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54" w:lineRule="exact"/>
        <w:rPr>
          <w:sz w:val="24"/>
          <w:szCs w:val="24"/>
          <w:color w:val="auto"/>
        </w:rPr>
      </w:pPr>
    </w:p>
    <w:p>
      <w:pPr>
        <w:ind w:right="3160" w:firstLine="6"/>
        <w:spacing w:after="0" w:line="286" w:lineRule="auto"/>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March 28, 2026</w:t>
      </w:r>
    </w:p>
    <w:p>
      <w:pPr>
        <w:spacing w:after="0" w:line="16" w:lineRule="exact"/>
        <w:rPr>
          <w:sz w:val="24"/>
          <w:szCs w:val="24"/>
          <w:color w:val="auto"/>
        </w:rPr>
      </w:pPr>
    </w:p>
    <w:p>
      <w:pPr>
        <w:ind w:right="2840" w:firstLine="6"/>
        <w:spacing w:after="0" w:line="257" w:lineRule="auto"/>
        <w:tabs>
          <w:tab w:leader="none" w:pos="30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001-14041</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HAEMONETICS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20" w:type="dxa"/>
            <w:vAlign w:val="bottom"/>
            <w:gridSpan w:val="2"/>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w w:val="99"/>
              </w:rPr>
              <w:t>Massachusetts</w:t>
            </w:r>
          </w:p>
        </w:tc>
        <w:tc>
          <w:tcPr>
            <w:tcW w:w="1780" w:type="dxa"/>
            <w:vAlign w:val="bottom"/>
          </w:tcPr>
          <w:p>
            <w:pPr>
              <w:spacing w:after="0"/>
              <w:rPr>
                <w:sz w:val="18"/>
                <w:szCs w:val="18"/>
                <w:color w:val="auto"/>
              </w:rPr>
            </w:pPr>
          </w:p>
        </w:tc>
        <w:tc>
          <w:tcPr>
            <w:tcW w:w="4920" w:type="dxa"/>
            <w:vAlign w:val="bottom"/>
            <w:gridSpan w:val="2"/>
          </w:tcPr>
          <w:p>
            <w:pPr>
              <w:jc w:val="right"/>
              <w:ind w:right="3186"/>
              <w:spacing w:after="0"/>
              <w:rPr>
                <w:sz w:val="20"/>
                <w:szCs w:val="20"/>
                <w:color w:val="auto"/>
              </w:rPr>
            </w:pPr>
            <w:r>
              <w:rPr>
                <w:rFonts w:ascii="Times New Roman" w:cs="Times New Roman" w:eastAsia="Times New Roman" w:hAnsi="Times New Roman"/>
                <w:sz w:val="16"/>
                <w:szCs w:val="16"/>
                <w:b w:val="1"/>
                <w:bCs w:val="1"/>
                <w:color w:val="auto"/>
              </w:rPr>
              <w:t>04-2882273</w:t>
            </w:r>
          </w:p>
        </w:tc>
      </w:tr>
      <w:tr>
        <w:trPr>
          <w:trHeight w:val="193"/>
        </w:trPr>
        <w:tc>
          <w:tcPr>
            <w:tcW w:w="452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1780" w:type="dxa"/>
            <w:vAlign w:val="bottom"/>
          </w:tcPr>
          <w:p>
            <w:pPr>
              <w:spacing w:after="0"/>
              <w:rPr>
                <w:sz w:val="16"/>
                <w:szCs w:val="16"/>
                <w:color w:val="auto"/>
              </w:rPr>
            </w:pPr>
          </w:p>
        </w:tc>
        <w:tc>
          <w:tcPr>
            <w:tcW w:w="4920" w:type="dxa"/>
            <w:vAlign w:val="bottom"/>
            <w:gridSpan w:val="2"/>
          </w:tcPr>
          <w:p>
            <w:pPr>
              <w:jc w:val="center"/>
              <w:ind w:right="2306"/>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258"/>
        </w:trPr>
        <w:tc>
          <w:tcPr>
            <w:tcW w:w="4520" w:type="dxa"/>
            <w:vAlign w:val="bottom"/>
            <w:gridSpan w:val="2"/>
          </w:tcPr>
          <w:p>
            <w:pPr>
              <w:jc w:val="center"/>
              <w:ind w:left="44"/>
              <w:spacing w:after="0"/>
              <w:rPr>
                <w:sz w:val="20"/>
                <w:szCs w:val="20"/>
                <w:color w:val="auto"/>
              </w:rPr>
            </w:pPr>
            <w:r>
              <w:rPr>
                <w:rFonts w:ascii="Times New Roman" w:cs="Times New Roman" w:eastAsia="Times New Roman" w:hAnsi="Times New Roman"/>
                <w:sz w:val="16"/>
                <w:szCs w:val="16"/>
                <w:b w:val="1"/>
                <w:bCs w:val="1"/>
                <w:color w:val="auto"/>
              </w:rPr>
              <w:t>125 Summer Street,</w:t>
            </w:r>
          </w:p>
        </w:tc>
        <w:tc>
          <w:tcPr>
            <w:tcW w:w="1780" w:type="dxa"/>
            <w:vAlign w:val="bottom"/>
          </w:tcPr>
          <w:p>
            <w:pPr>
              <w:spacing w:after="0"/>
              <w:rPr>
                <w:sz w:val="22"/>
                <w:szCs w:val="22"/>
                <w:color w:val="auto"/>
              </w:rPr>
            </w:pPr>
          </w:p>
        </w:tc>
        <w:tc>
          <w:tcPr>
            <w:tcW w:w="4920" w:type="dxa"/>
            <w:vAlign w:val="bottom"/>
            <w:gridSpan w:val="2"/>
          </w:tcPr>
          <w:p>
            <w:pPr>
              <w:jc w:val="right"/>
              <w:ind w:right="3366"/>
              <w:spacing w:after="0"/>
              <w:rPr>
                <w:sz w:val="20"/>
                <w:szCs w:val="20"/>
                <w:color w:val="auto"/>
              </w:rPr>
            </w:pPr>
            <w:r>
              <w:rPr>
                <w:rFonts w:ascii="Times New Roman" w:cs="Times New Roman" w:eastAsia="Times New Roman" w:hAnsi="Times New Roman"/>
                <w:sz w:val="16"/>
                <w:szCs w:val="16"/>
                <w:b w:val="1"/>
                <w:bCs w:val="1"/>
                <w:color w:val="auto"/>
              </w:rPr>
              <w:t>02110</w:t>
            </w:r>
          </w:p>
        </w:tc>
      </w:tr>
      <w:tr>
        <w:trPr>
          <w:trHeight w:val="206"/>
        </w:trPr>
        <w:tc>
          <w:tcPr>
            <w:tcW w:w="452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Boston, Massachusetts</w:t>
            </w: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80" w:type="dxa"/>
            <w:vAlign w:val="bottom"/>
          </w:tcPr>
          <w:p>
            <w:pPr>
              <w:jc w:val="center"/>
              <w:ind w:right="2606"/>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186"/>
        </w:trPr>
        <w:tc>
          <w:tcPr>
            <w:tcW w:w="452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r>
      <w:tr>
        <w:trPr>
          <w:trHeight w:val="225"/>
        </w:trPr>
        <w:tc>
          <w:tcPr>
            <w:tcW w:w="4180" w:type="dxa"/>
            <w:vAlign w:val="bottom"/>
          </w:tcPr>
          <w:p>
            <w:pPr>
              <w:jc w:val="right"/>
              <w:ind w:right="1344"/>
              <w:spacing w:after="0"/>
              <w:rPr>
                <w:sz w:val="20"/>
                <w:szCs w:val="20"/>
                <w:color w:val="auto"/>
              </w:rPr>
            </w:pPr>
            <w:r>
              <w:rPr>
                <w:rFonts w:ascii="Times New Roman" w:cs="Times New Roman" w:eastAsia="Times New Roman" w:hAnsi="Times New Roman"/>
                <w:sz w:val="16"/>
                <w:szCs w:val="16"/>
                <w:b w:val="1"/>
                <w:bCs w:val="1"/>
                <w:color w:val="auto"/>
              </w:rPr>
              <w:t>(781) 848-7100</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186"/>
        </w:trPr>
        <w:tc>
          <w:tcPr>
            <w:tcW w:w="452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r>
      <w:tr>
        <w:trPr>
          <w:trHeight w:val="311"/>
        </w:trPr>
        <w:tc>
          <w:tcPr>
            <w:tcW w:w="11220" w:type="dxa"/>
            <w:vAlign w:val="bottom"/>
            <w:gridSpan w:val="5"/>
          </w:tcPr>
          <w:p>
            <w:pPr>
              <w:ind w:left="36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33"/>
        </w:trPr>
        <w:tc>
          <w:tcPr>
            <w:tcW w:w="4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4"/>
        </w:trPr>
        <w:tc>
          <w:tcPr>
            <w:tcW w:w="4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01"/>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 per share</w:t>
            </w:r>
          </w:p>
        </w:tc>
        <w:tc>
          <w:tcPr>
            <w:tcW w:w="3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HAE</w:t>
            </w:r>
          </w:p>
        </w:tc>
        <w:tc>
          <w:tcPr>
            <w:tcW w:w="340" w:type="dxa"/>
            <w:vAlign w:val="bottom"/>
          </w:tcPr>
          <w:p>
            <w:pPr>
              <w:spacing w:after="0"/>
              <w:rPr>
                <w:sz w:val="17"/>
                <w:szCs w:val="17"/>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6" w:lineRule="exact"/>
        <w:rPr>
          <w:sz w:val="24"/>
          <w:szCs w:val="24"/>
          <w:color w:val="auto"/>
        </w:rPr>
      </w:pPr>
    </w:p>
    <w:p>
      <w:pPr>
        <w:ind w:right="3340" w:firstLine="318"/>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84" w:lineRule="exact"/>
        <w:tabs>
          <w:tab w:leader="none" w:pos="8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not required to file reports pursuant to Section 13 or 15(d)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 w:lineRule="exact"/>
        <w:rPr>
          <w:sz w:val="24"/>
          <w:szCs w:val="24"/>
          <w:color w:val="auto"/>
        </w:rPr>
      </w:pPr>
    </w:p>
    <w:p>
      <w:pPr>
        <w:ind w:right="300" w:firstLine="318"/>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300" w:firstLine="318"/>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18"/>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13" w:right="339" w:bottom="1440" w:gutter="0" w:footer="0" w:header="0"/>
        </w:sectPr>
      </w:pPr>
    </w:p>
    <w:p>
      <w:pPr>
        <w:spacing w:after="0" w:line="31" w:lineRule="exact"/>
        <w:rPr>
          <w:sz w:val="24"/>
          <w:szCs w:val="24"/>
          <w:color w:val="auto"/>
        </w:rPr>
      </w:pPr>
    </w:p>
    <w:p>
      <w:pPr>
        <w:ind w:left="20" w:right="20"/>
        <w:spacing w:after="0" w:line="307"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80"/>
        <w:spacing w:after="0" w:line="15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8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40"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14" w:lineRule="exact"/>
        <w:rPr>
          <w:sz w:val="24"/>
          <w:szCs w:val="24"/>
          <w:color w:val="auto"/>
        </w:rPr>
      </w:pPr>
    </w:p>
    <w:p>
      <w:pPr>
        <w:sectPr>
          <w:pgSz w:w="11900" w:h="16838" w:orient="portrait"/>
          <w:cols w:equalWidth="0" w:num="3">
            <w:col w:w="1560" w:space="720"/>
            <w:col w:w="3640" w:space="720"/>
            <w:col w:w="4600"/>
          </w:cols>
          <w:pgMar w:left="320" w:top="1013" w:right="339" w:bottom="1440" w:gutter="0" w:footer="0" w:header="0"/>
          <w:type w:val="continuous"/>
        </w:sectPr>
      </w:pPr>
    </w:p>
    <w:p>
      <w:pPr>
        <w:ind w:right="180"/>
        <w:spacing w:after="0" w:line="20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400"/>
        <w:spacing w:after="0" w:line="207" w:lineRule="exact"/>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 xml:space="preserve">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ind w:left="320"/>
        <w:spacing w:after="0"/>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w:t>
      </w:r>
    </w:p>
    <w:p>
      <w:pPr>
        <w:spacing w:after="0" w:line="6" w:lineRule="exact"/>
        <w:rPr>
          <w:sz w:val="24"/>
          <w:szCs w:val="24"/>
          <w:color w:val="auto"/>
        </w:rPr>
      </w:pPr>
    </w:p>
    <w:p>
      <w:pPr>
        <w:spacing w:after="0" w:line="184" w:lineRule="exact"/>
        <w:tabs>
          <w:tab w:leader="none" w:pos="4720" w:val="left"/>
        </w:tabs>
        <w:rPr>
          <w:sz w:val="20"/>
          <w:szCs w:val="20"/>
          <w:color w:val="auto"/>
        </w:rPr>
      </w:pPr>
      <w:r>
        <w:rPr>
          <w:rFonts w:ascii="Times New Roman" w:cs="Times New Roman" w:eastAsia="Times New Roman" w:hAnsi="Times New Roman"/>
          <w:sz w:val="16"/>
          <w:szCs w:val="16"/>
          <w:color w:val="auto"/>
        </w:rPr>
        <w:t>correction of an error to previously issued financial statements.</w:t>
      </w:r>
      <w:r>
        <w:rPr>
          <w:sz w:val="20"/>
          <w:szCs w:val="20"/>
          <w:color w:val="auto"/>
        </w:rPr>
        <w:tab/>
      </w:r>
      <w:r>
        <w:rPr>
          <w:rFonts w:ascii="MS PGothic" w:cs="MS PGothic" w:eastAsia="MS PGothic" w:hAnsi="MS PGothic"/>
          <w:sz w:val="14"/>
          <w:szCs w:val="14"/>
          <w:color w:val="auto"/>
        </w:rPr>
        <w:t>☐</w:t>
      </w:r>
    </w:p>
    <w:p>
      <w:pPr>
        <w:spacing w:after="0" w:line="24" w:lineRule="exact"/>
        <w:rPr>
          <w:sz w:val="24"/>
          <w:szCs w:val="24"/>
          <w:color w:val="auto"/>
        </w:rPr>
      </w:pPr>
    </w:p>
    <w:p>
      <w:pPr>
        <w:ind w:right="200" w:firstLine="318"/>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84" w:lineRule="exact"/>
        <w:tabs>
          <w:tab w:leader="none" w:pos="83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 w:lineRule="exact"/>
        <w:rPr>
          <w:sz w:val="24"/>
          <w:szCs w:val="24"/>
          <w:color w:val="auto"/>
        </w:rPr>
      </w:pPr>
    </w:p>
    <w:p>
      <w:pPr>
        <w:ind w:firstLine="318"/>
        <w:spacing w:after="0" w:line="251"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(assuming for these purposes that all executive officers and directors are “affiliates” of the registrant) as of September 27, 2025, the last business day of the registrant’s most recently completed second fiscal quarter was $2,226,588,933 (based on the closing sale price of the registrant’s common stock on that date as reported on the New York Stock Exchange).</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The number of shares of $0.01 par value common stock outstanding as of May 15, 2026 was 45,445,983.</w:t>
      </w:r>
    </w:p>
    <w:p>
      <w:pPr>
        <w:spacing w:after="0" w:line="3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3"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Portions of the definitive proxy statement for our Annual Meeting of Shareholders to be filed with the Securities and Exchange Commission within 120 days after the close of our fiscal year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547370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1"/>
        </w:trPr>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0"/>
        </w:trPr>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3"/>
              </w:rPr>
              <w:t>Business</w:t>
            </w:r>
          </w:p>
        </w:tc>
        <w:tc>
          <w:tcPr>
            <w:tcW w:w="8700" w:type="dxa"/>
            <w:vAlign w:val="bottom"/>
            <w:gridSpan w:val="20"/>
          </w:tcPr>
          <w:p>
            <w:pPr>
              <w:spacing w:after="0"/>
              <w:rPr>
                <w:sz w:val="16"/>
                <w:szCs w:val="16"/>
                <w:color w:val="auto"/>
              </w:rPr>
            </w:pPr>
          </w:p>
        </w:tc>
        <w:tc>
          <w:tcPr>
            <w:tcW w:w="800" w:type="dxa"/>
            <w:vAlign w:val="bottom"/>
            <w:tcBorders>
              <w:top w:val="single" w:sz="8" w:color="auto"/>
            </w:tcBorders>
            <w:gridSpan w:val="5"/>
          </w:tcPr>
          <w:p>
            <w:pPr>
              <w:jc w:val="right"/>
              <w:ind w:right="20"/>
              <w:spacing w:after="0" w:line="186"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4"/>
              </w:rPr>
              <w:t>Risk Factors</w:t>
            </w:r>
          </w:p>
        </w:tc>
        <w:tc>
          <w:tcPr>
            <w:tcW w:w="8440" w:type="dxa"/>
            <w:vAlign w:val="bottom"/>
            <w:gridSpan w:val="18"/>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7320" w:type="dxa"/>
            <w:vAlign w:val="bottom"/>
            <w:gridSpan w:val="12"/>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1C.</w:t>
            </w:r>
          </w:p>
        </w:tc>
        <w:tc>
          <w:tcPr>
            <w:tcW w:w="93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98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8340" w:type="dxa"/>
            <w:vAlign w:val="bottom"/>
            <w:gridSpan w:val="17"/>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8020" w:type="dxa"/>
            <w:vAlign w:val="bottom"/>
            <w:gridSpan w:val="15"/>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8180" w:type="dxa"/>
            <w:vAlign w:val="bottom"/>
            <w:tcBorders>
              <w:bottom w:val="single" w:sz="8" w:color="0000FF"/>
            </w:tcBorders>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7"/>
              </w:rPr>
              <w:t>Market for the Registrant’s Common Equity, Related Stockholder Matters and Issuer Purchases of Equity Securities</w:t>
            </w:r>
          </w:p>
        </w:tc>
        <w:tc>
          <w:tcPr>
            <w:tcW w:w="11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93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4220" w:type="dxa"/>
            <w:vAlign w:val="bottom"/>
            <w:tcBorders>
              <w:top w:val="single" w:sz="8" w:color="0000FF"/>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3000" w:type="dxa"/>
            <w:vAlign w:val="bottom"/>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6060" w:type="dxa"/>
            <w:vAlign w:val="bottom"/>
            <w:gridSpan w:val="9"/>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93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114</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166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5"/>
              </w:rPr>
              <w:t>Control and Procedures</w:t>
            </w:r>
          </w:p>
        </w:tc>
        <w:tc>
          <w:tcPr>
            <w:tcW w:w="4680" w:type="dxa"/>
            <w:vAlign w:val="bottom"/>
            <w:gridSpan w:val="11"/>
          </w:tcPr>
          <w:p>
            <w:pPr>
              <w:spacing w:after="0"/>
              <w:rPr>
                <w:sz w:val="17"/>
                <w:szCs w:val="17"/>
                <w:color w:val="auto"/>
              </w:rPr>
            </w:pPr>
          </w:p>
        </w:tc>
        <w:tc>
          <w:tcPr>
            <w:tcW w:w="29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114</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12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5"/>
              </w:rPr>
              <w:t>Other Information</w:t>
            </w:r>
          </w:p>
        </w:tc>
        <w:tc>
          <w:tcPr>
            <w:tcW w:w="380" w:type="dxa"/>
            <w:vAlign w:val="bottom"/>
            <w:gridSpan w:val="2"/>
          </w:tcPr>
          <w:p>
            <w:pPr>
              <w:spacing w:after="0"/>
              <w:rPr>
                <w:sz w:val="17"/>
                <w:szCs w:val="17"/>
                <w:color w:val="auto"/>
              </w:rPr>
            </w:pPr>
          </w:p>
        </w:tc>
        <w:tc>
          <w:tcPr>
            <w:tcW w:w="766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116</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9C.</w:t>
            </w:r>
          </w:p>
        </w:tc>
        <w:tc>
          <w:tcPr>
            <w:tcW w:w="48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452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116</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760" w:type="dxa"/>
            <w:vAlign w:val="bottom"/>
            <w:gridSpan w:val="8"/>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10.</w:t>
            </w:r>
          </w:p>
        </w:tc>
        <w:tc>
          <w:tcPr>
            <w:tcW w:w="93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Directors and Executive Officers of the Registrant and Corporate Governance</w:t>
            </w: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116</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760" w:type="dxa"/>
            <w:vAlign w:val="bottom"/>
            <w:gridSpan w:val="8"/>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54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38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117</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12.</w:t>
            </w:r>
          </w:p>
        </w:tc>
        <w:tc>
          <w:tcPr>
            <w:tcW w:w="93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117</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71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1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117</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80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80" w:type="dxa"/>
            <w:vAlign w:val="bottom"/>
            <w:gridSpan w:val="10"/>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93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52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117</w:t>
            </w:r>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80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Item 15.</w:t>
            </w:r>
          </w:p>
        </w:tc>
        <w:tc>
          <w:tcPr>
            <w:tcW w:w="932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80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118</w:t>
            </w:r>
          </w:p>
        </w:tc>
        <w:tc>
          <w:tcPr>
            <w:tcW w:w="40" w:type="dxa"/>
            <w:vAlign w:val="bottom"/>
          </w:tcPr>
          <w:p>
            <w:pPr>
              <w:spacing w:after="0"/>
              <w:rPr>
                <w:sz w:val="17"/>
                <w:szCs w:val="17"/>
                <w:color w:val="auto"/>
              </w:rPr>
            </w:pPr>
          </w:p>
        </w:tc>
      </w:tr>
      <w:tr>
        <w:trPr>
          <w:trHeight w:val="1020"/>
        </w:trPr>
        <w:tc>
          <w:tcPr>
            <w:tcW w:w="10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Company Overview</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 When used in this report, the terms “we,” “us,” “our,” “Haemonetics” and the “Company” mean Haemonetics Corporation.</w:t>
      </w:r>
    </w:p>
    <w:p>
      <w:pPr>
        <w:spacing w:after="0" w:line="1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plasma, red cells and platelets. “Hospital” is comprised of Interventional Technologies, which includes Vascular Closure, Sensor-Guided Technologies and Esophageal Protection product lines, and Blood Management Technologies, which includes Hemostasis Management, Cell Salvage and Transfusion Management product lines. Financial information concerning these segments is provided in Note 18, </w:t>
      </w:r>
      <w:r>
        <w:rPr>
          <w:rFonts w:ascii="Times New Roman" w:cs="Times New Roman" w:eastAsia="Times New Roman" w:hAnsi="Times New Roman"/>
          <w:sz w:val="17"/>
          <w:szCs w:val="17"/>
          <w:i w:val="1"/>
          <w:iCs w:val="1"/>
          <w:color w:val="auto"/>
        </w:rPr>
        <w:t>Segment and Enterprise-Wide Information</w:t>
      </w:r>
      <w:r>
        <w:rPr>
          <w:rFonts w:ascii="Times New Roman" w:cs="Times New Roman" w:eastAsia="Times New Roman" w:hAnsi="Times New Roman"/>
          <w:sz w:val="17"/>
          <w:szCs w:val="17"/>
          <w:color w:val="auto"/>
        </w:rPr>
        <w:t>, within the consolidated financial statements in Item 8 of this Annual Report on Form 10-K.</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that Plasma and Hospital have the greatest growth potential and are well positioned to drive long-term value. Blood Center operates in more challenging markets, and we have sharpened our focus accordingly on targeted opportunities – particularly in plasma and platelets – while ensuring continued alignment of this business with the Company’s broader strategic objectives.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and Products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Lines and Franchises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212529"/>
        </w:rPr>
        <w:t>The following describes our principal products in each of our segments. Availability of products may vary from one country or region to another as a result of specific local regulatory approval or clearance requirements. Applicable laws may restrict the sale, distribution or use of these products to, by, or on the order of a licensed healthcare practitioner.</w:t>
      </w:r>
    </w:p>
    <w:p>
      <w:pPr>
        <w:spacing w:after="0" w:line="123"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Plasma</w:t>
      </w:r>
    </w:p>
    <w:p>
      <w:pPr>
        <w:spacing w:after="0" w:line="166" w:lineRule="exact"/>
        <w:rPr>
          <w:rFonts w:ascii="Times New Roman" w:cs="Times New Roman" w:eastAsia="Times New Roman" w:hAnsi="Times New Roman"/>
          <w:sz w:val="18"/>
          <w:szCs w:val="18"/>
          <w:b w:val="1"/>
          <w:bCs w:val="1"/>
          <w:color w:val="auto"/>
        </w:rPr>
      </w:pPr>
    </w:p>
    <w:p>
      <w:pPr>
        <w:jc w:val="both"/>
        <w:ind w:left="640" w:right="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Plasma business offers automated plasma collection systems, donor management software and supporting software solutions that enable optimization of the yield, efficiency, quality and overall donor experience at plasma collection centers. We continue to invest in technology that lowers the overall cost to collect plasma while maintaining high standards of quality and safety.</w:t>
      </w:r>
    </w:p>
    <w:p>
      <w:pPr>
        <w:spacing w:after="0" w:line="120" w:lineRule="exact"/>
        <w:rPr>
          <w:rFonts w:ascii="Times New Roman" w:cs="Times New Roman" w:eastAsia="Times New Roman" w:hAnsi="Times New Roman"/>
          <w:sz w:val="18"/>
          <w:szCs w:val="18"/>
          <w:b w:val="1"/>
          <w:bCs w:val="1"/>
          <w:color w:val="auto"/>
        </w:rPr>
      </w:pPr>
    </w:p>
    <w:p>
      <w:pPr>
        <w:jc w:val="both"/>
        <w:ind w:left="6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Plasma Collection Market for Fractionation </w:t>
      </w:r>
      <w:r>
        <w:rPr>
          <w:rFonts w:ascii="Times New Roman" w:cs="Times New Roman" w:eastAsia="Times New Roman" w:hAnsi="Times New Roman"/>
          <w:sz w:val="18"/>
          <w:szCs w:val="18"/>
          <w:color w:val="auto"/>
        </w:rPr>
        <w:t>— Human plasma is collected for two purposes. First, it is used for transfusions in patients,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trauma victims who need to compensate for extreme blood loss. Second, it is processed into pharmaceuticals that aid in the treatment of a broad range of immune system diseases and blood-related disorders.</w:t>
      </w:r>
    </w:p>
    <w:p>
      <w:pPr>
        <w:spacing w:after="0" w:line="121" w:lineRule="exact"/>
        <w:rPr>
          <w:rFonts w:ascii="Times New Roman" w:cs="Times New Roman" w:eastAsia="Times New Roman" w:hAnsi="Times New Roman"/>
          <w:sz w:val="18"/>
          <w:szCs w:val="18"/>
          <w:b w:val="1"/>
          <w:bCs w:val="1"/>
          <w:color w:val="auto"/>
        </w:rPr>
      </w:pPr>
    </w:p>
    <w:p>
      <w:pPr>
        <w:jc w:val="both"/>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Plasma for transfusion is almost exclusively collected by blood centers as part of their broader mission to supply blood components. Plasma that is fractionated and manufactured into pharmaceuticals - frequently referred to as “source plasma” - is mainly collected by vertically integrated biopharmaceutical companies that operate their own collection centers and recruit donors specifically for source plasma donation. The markets for transfusion plasma and source plasma have different participants, product requirements and growth profiles. We serve the market for plasma that is processed into pharmaceuticals primarily through our Plasma business, and we serve the market for transfusion plasma through our Blood Center business.</w:t>
      </w:r>
    </w:p>
    <w:p>
      <w:pPr>
        <w:spacing w:after="0" w:line="132"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of the distinguishing features of the source plasma market is the method of collection. There are three primary ways to collect plasma. The first is to collect it from whole blood donations. When whole blood is processed, plasma can be separated at the same time as red cells and platelets and stored for future use. The second is as part of an apheresis procedure that also collects another blood component. These two methods are mainly used by blood centers to collect plasma for transfusions. The third method is a dedicated apheresis procedure that only collects plasma and returns the other blood components to the donor. This third method is almost exclusively used for source plasma collection.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Our Plasma business focuses on the collection of source plasma for pharmaceutical manufacturers using apheresis devices that only collect plasma and software solutions that support the efficient operation of dedicated source plasma collection centers. Our Blood Center business supports the collection of plasma for blood collectors, such as the American Red Cross, using apheresis collection devices.</w:t>
      </w:r>
    </w:p>
    <w:p>
      <w:pPr>
        <w:spacing w:after="0" w:line="125"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Over the last 20 years, the collection of source plasma has increasingly been performed by vertically integrated biopharmaceutical companies such as Grifols S.A., Octapharma AG, Takeda’s BioLife Plasma subsidiary and CSL Limited (together with its affiliates, “CSL”). With their global operations and management expertise, these companies are focused on efficient plasma supply chain management and leveraging information technology to manage operations from the point of plasma donation through fractionation to the production of the final pharmaceutical product.</w:t>
      </w:r>
    </w:p>
    <w:p>
      <w:pPr>
        <w:spacing w:after="0" w:line="127"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18"/>
          <w:szCs w:val="18"/>
          <w:color w:val="auto"/>
        </w:rPr>
        <w:t>Demand for source plasma has continued to grow because of an expanding end user market for plasma-derived biopharmaceuticals. Therapies that require a significant quantity of plasma to create have fueled an increase in the number of donations and dedicated source plasma collection centers. A significant portion of this collection growth has occurred in the United States with U.S. produced plasma now meeting over half of plasma volume demand worldwide. U.S. regulations are more favorable relative to other markets for plasma collectors. The frequency an individual may donate, the volume of plasma that may be donated each time and the ability to remunerate donors are all more favorable to efficient operations and output, leading to approximately two-thirds of worldwide source plasma collections occurring in the U.S. Plasma collectors have long sought revisions to plasma collection regulations outside of the U.S. to allow for greater frequency, volume per donation, and remuneration, but updates have generally been limited and no significant short-term changes are foreseen in the prevalence of U.S. collections.</w:t>
      </w:r>
    </w:p>
    <w:p>
      <w:pPr>
        <w:spacing w:after="0" w:line="133"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Plasma Products </w:t>
      </w:r>
      <w:r>
        <w:rPr>
          <w:rFonts w:ascii="Times New Roman" w:cs="Times New Roman" w:eastAsia="Times New Roman" w:hAnsi="Times New Roman"/>
          <w:sz w:val="18"/>
          <w:szCs w:val="18"/>
          <w:color w:val="auto"/>
        </w:rPr>
        <w:t>— Our automated plasma collection devices, related disposables, software and services are designed to support multiple facets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plasma collector operations. We have a long-standing commitment to understanding our customers’ collection and manufacturing processes. As a result, we aim to design equipment that is durable, dependable, and easy to use and to provide comprehensive training and support to help our customers optimize their plasma collections.</w:t>
      </w:r>
    </w:p>
    <w:p>
      <w:pPr>
        <w:spacing w:after="0" w:line="128"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17"/>
          <w:szCs w:val="17"/>
          <w:color w:val="auto"/>
        </w:rPr>
        <w:t>Today, nearly all source plasma collections worldwide are performed using automated collection technology at dedicated facilities. We offer multiple products to support these dedicated source plasma operations, including our NexSys PCS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plasmapheresis collection system and related disposables. We also offer a portfolio of integrated information technology platforms for plasma customers to manage their donors, operations and supply chain. Our software products, including our NexLynk DMS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donor management system and Donor360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tools, automate the donor interview and qualification process, streamline the workflow process in the plasma center, provide the controls necessary to evaluate donor suitability, inform the ability to release units collected and manage unit distribution. With our software solutions, plasma collectors can manage processes across the plasma supply chain, ensure high quality and compliance process support, react quickly to business changes and implement opportunities to reduce costs.</w:t>
      </w:r>
    </w:p>
    <w:p>
      <w:pPr>
        <w:spacing w:after="0" w:line="134"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We have provided automated platforms dedicated to the collection of plasma for over 30 years. Our NexSys PCS device is designed to enable higher plasma yield collections, improve productivity in our customers’ centers, enhance the overall donor experience and provide safe and reliable collections that will become life-changing medicines for patients. NexSys PCS includes bi-directional connectivity to the NexLynk DMS donor management system to improve operational efficiency within plasma centers, including through automated programming of donation procedures and automated data capture of procedure data.</w:t>
      </w:r>
    </w:p>
    <w:p>
      <w:pPr>
        <w:spacing w:after="0" w:line="129" w:lineRule="exact"/>
        <w:rPr>
          <w:sz w:val="20"/>
          <w:szCs w:val="20"/>
          <w:color w:val="auto"/>
        </w:rPr>
      </w:pPr>
    </w:p>
    <w:p>
      <w:pPr>
        <w:jc w:val="both"/>
        <w:ind w:left="640"/>
        <w:spacing w:after="0" w:line="228" w:lineRule="auto"/>
        <w:rPr>
          <w:sz w:val="20"/>
          <w:szCs w:val="20"/>
          <w:color w:val="auto"/>
        </w:rPr>
      </w:pPr>
      <w:r>
        <w:rPr>
          <w:rFonts w:ascii="Times New Roman" w:cs="Times New Roman" w:eastAsia="Times New Roman" w:hAnsi="Times New Roman"/>
          <w:sz w:val="18"/>
          <w:szCs w:val="18"/>
          <w:color w:val="auto"/>
        </w:rPr>
        <w:t>Our NexSys PCS with YES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is a yield-enhancing solution that enables increases in plasma yield per collection by an additional 18-26 mL per donation, on average. In fiscal 2021, we received U.S. Food and Drug Administration (“FDA”) 510(k) clearance for our NexSys PCS with proprietary Persona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NexSys PCS with Persona technology uses a percent plasma nomogram that customizes plasma collection based on an individual donor’s body composition and enables a 9% to 12% average increase in plasma volume per donation, based on our baseline device, software configuration and donor population. In fiscal 2024, we received FDA clearance for advancements to NexSys PCS including a new plasma collection bowl and new Express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Plus technology engineered to reduce procedure time. Additionally, in the fourth quarter of fiscal 2026 we received FDA 510(k) clearance for our NexSys PCS Plasma Collection System with Persona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PLUS technology. Persona PLUS is the next generation of our proprietary and patented Persona technology that enables on average a mid-single digit percent increase of plasma per donation over Persona. These recent innovations in Plasma strengthen the NexSys PCS value proposition and reinforce our commitment to supporting our Plasma customers. We expect to pursue further regulatory clearances for additional enhancements to the overall product offering.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We have entered into agreements with all U.S. customers to adopt NexSys PCS somewhere in their global collection network and our NexLynk DMS donor management software has been adopted by all U.S. customers except those with internally developed systems. We have completed conversion of our U.S. customers to Express Plus and Persona technologies as of the end of fiscal 2026.</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Plasma business unit represented 39.3%, 39.3% and 43.5% of our total revenue in fiscal 2026, 2025 and 2024, respectively.</w:t>
      </w:r>
    </w:p>
    <w:p>
      <w:pPr>
        <w:spacing w:after="0" w:line="162"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Blood Center</w:t>
      </w:r>
    </w:p>
    <w:p>
      <w:pPr>
        <w:spacing w:after="0" w:line="166"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Blood Center business offers a range of products and technologies to help blood centers optimize their blood collections, improve donor safety, enhance yields and control costs.</w:t>
      </w:r>
    </w:p>
    <w:p>
      <w:pPr>
        <w:spacing w:after="0" w:line="106" w:lineRule="exact"/>
        <w:rPr>
          <w:rFonts w:ascii="Times New Roman" w:cs="Times New Roman" w:eastAsia="Times New Roman" w:hAnsi="Times New Roman"/>
          <w:sz w:val="18"/>
          <w:szCs w:val="18"/>
          <w:b w:val="1"/>
          <w:bCs w:val="1"/>
          <w:color w:val="auto"/>
        </w:rPr>
      </w:pPr>
    </w:p>
    <w:p>
      <w:pPr>
        <w:jc w:val="both"/>
        <w:ind w:left="64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i w:val="1"/>
          <w:iCs w:val="1"/>
          <w:color w:val="auto"/>
        </w:rPr>
        <w:t xml:space="preserve">Blood Center Market </w:t>
      </w:r>
      <w:r>
        <w:rPr>
          <w:rFonts w:ascii="Times New Roman" w:cs="Times New Roman" w:eastAsia="Times New Roman" w:hAnsi="Times New Roman"/>
          <w:sz w:val="17"/>
          <w:szCs w:val="17"/>
          <w:color w:val="auto"/>
        </w:rPr>
        <w:t>— There are over 118 million blood donations around the world each year that produce blood products for transfusion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surgical, trauma or chronically ill patients. Patients typically receive only the blood components necessary to treat a particular clinical condition. Platelet therapy is frequently used to alleviate the effects of chemotherapy and to help patients with bleeding disorders. Red cells are often transfused to patients to replace blood lost during surgery and transfused to patients with blood disorders, such as sickle cell anemia or aplastic anemia. Plasma, in addition to its role in creating life-saving pharmaceuticals, is frequently transfused to replace blood volume in trauma victims and surgical patients.</w:t>
      </w:r>
    </w:p>
    <w:p>
      <w:pPr>
        <w:spacing w:after="0" w:line="115" w:lineRule="exact"/>
        <w:rPr>
          <w:rFonts w:ascii="Times New Roman" w:cs="Times New Roman" w:eastAsia="Times New Roman" w:hAnsi="Times New Roman"/>
          <w:sz w:val="18"/>
          <w:szCs w:val="18"/>
          <w:b w:val="1"/>
          <w:bCs w:val="1"/>
          <w:color w:val="auto"/>
        </w:rPr>
      </w:pPr>
    </w:p>
    <w:p>
      <w:pPr>
        <w:jc w:val="both"/>
        <w:ind w:left="6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When collecting blood components there are two primary collection methods, manual whole blood donations and automated component blood collections. While most donations are manual whole blood, the benefit of automated component blood collections is the ability to collect more than one unit of the targeted blood component. Manual whole blood donations are collected from the donor and then transported to a laboratory where the blood is separated into its components. Automated component blood collections separate the blood component in real-time while a person is donating. In this method, only the specific target blood component is collected, and the remaining components are returned to the blood donor.</w:t>
      </w:r>
    </w:p>
    <w:p>
      <w:pPr>
        <w:spacing w:after="0" w:line="115" w:lineRule="exact"/>
        <w:rPr>
          <w:rFonts w:ascii="Times New Roman" w:cs="Times New Roman" w:eastAsia="Times New Roman" w:hAnsi="Times New Roman"/>
          <w:sz w:val="18"/>
          <w:szCs w:val="18"/>
          <w:b w:val="1"/>
          <w:bCs w:val="1"/>
          <w:color w:val="auto"/>
        </w:rPr>
      </w:pPr>
    </w:p>
    <w:p>
      <w:pPr>
        <w:jc w:val="both"/>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While overall we expect total demand for blood to remain stable to slightly declining, demand in individual markets and for individual components can vary greatly. The development in mature markets of more minimally invasive procedures with lower associated blood loss, as well as hospitals’ improved blood management techniques and protocols have more than offset the increasing demand for blood from aging populations. Emerging markets are seeing demand growth with expanded healthcare coverage and greater access to more advanced medical treatments.</w:t>
      </w:r>
    </w:p>
    <w:p>
      <w:pPr>
        <w:spacing w:after="0" w:line="110" w:lineRule="exact"/>
        <w:rPr>
          <w:rFonts w:ascii="Times New Roman" w:cs="Times New Roman" w:eastAsia="Times New Roman" w:hAnsi="Times New Roman"/>
          <w:sz w:val="18"/>
          <w:szCs w:val="18"/>
          <w:b w:val="1"/>
          <w:bCs w:val="1"/>
          <w:color w:val="auto"/>
        </w:rPr>
      </w:pPr>
    </w:p>
    <w:p>
      <w:pPr>
        <w:jc w:val="both"/>
        <w:ind w:left="64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Blood Center Products </w:t>
      </w:r>
      <w:r>
        <w:rPr>
          <w:rFonts w:ascii="Times New Roman" w:cs="Times New Roman" w:eastAsia="Times New Roman" w:hAnsi="Times New Roman"/>
          <w:sz w:val="18"/>
          <w:szCs w:val="18"/>
          <w:color w:val="auto"/>
        </w:rPr>
        <w:t>— We offer automated blood component systems to blood centers to collect blood products efficiently and cost effectively.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apheresis equipment is designed to collect specific blood components from the donor, with collection options spanning from multi-dose collection of individual components to combinations of different blood components, increasing our customers’ donor management capabilities and reducing the number of donors required to achieve collection targets. We also market to Blood Center customers our NexSys PCS device for plasma collections as well as our ACP automated cell processor for the preparation and recovery of frozen blood cells. In the fourth quarter of fiscal 2025, we completed the divestiture of the Whole Blood product line within our Blood Center business, allowing us to better align our resources to higher margin, higher growth opportunities.</w:t>
      </w:r>
    </w:p>
    <w:p>
      <w:pPr>
        <w:spacing w:after="0" w:line="13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Blood Center business represented 16.6%, 19.2% and 21.6% of our total revenue in fiscal 2026, 2025 and 2024, respectively.</w:t>
      </w:r>
    </w:p>
    <w:p>
      <w:pPr>
        <w:spacing w:after="0" w:line="162"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Hospital</w:t>
      </w:r>
    </w:p>
    <w:p>
      <w:pPr>
        <w:spacing w:after="0" w:line="166" w:lineRule="exact"/>
        <w:rPr>
          <w:rFonts w:ascii="Times New Roman" w:cs="Times New Roman" w:eastAsia="Times New Roman" w:hAnsi="Times New Roman"/>
          <w:sz w:val="18"/>
          <w:szCs w:val="18"/>
          <w:b w:val="1"/>
          <w:bCs w:val="1"/>
          <w:color w:val="auto"/>
        </w:rPr>
      </w:pPr>
    </w:p>
    <w:p>
      <w:pPr>
        <w:jc w:val="both"/>
        <w:ind w:left="6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Hospitals are called upon to provide the highest standard of patient care while at the same time reducing operating costs. Haemonetics’ Hospital business has two distinct franchises, Interventional Technologies, which includes Vascular Closure, Sensor-Guided Technologies and Esophageal Protection, and Blood Management Technologies, which includes Hemostasis Management, Cell Salvage and Transfusion Management. Both the Interventional Technologies and Blood Management Technologies franchises have a leading market position and a mission of helping hospitals and clinicians provide the highest standard of patient care while at the same time reducing operating and procedural costs and optimizing resources.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Interventional Technologies: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Vascular Closure</w:t>
      </w:r>
    </w:p>
    <w:p>
      <w:pPr>
        <w:spacing w:after="0" w:line="16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Vascular Closure Market </w:t>
      </w:r>
      <w:r>
        <w:rPr>
          <w:rFonts w:ascii="Times New Roman" w:cs="Times New Roman" w:eastAsia="Times New Roman" w:hAnsi="Times New Roman"/>
          <w:sz w:val="18"/>
          <w:szCs w:val="18"/>
          <w:color w:val="auto"/>
        </w:rPr>
        <w:t>— Catheter-based, minimally invasive alternatives to open surgery have transformed cardiovascular medicine.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these procedures gain access to the vascular system through the femoral artery or vein. These access sites in the vessel require closure post procedure. Even with the major advances in technology over the last 40 years, the most common complications in coronary and peripheral procedures are still related to the access site. Manual compression, the traditional standard of care, involves the application of pressure in order to facilitate the formation of a blood clot at the access site. Vascular closure devices improve upon manual compression by rapidly closing the access site and facilitating more efficient workflow for procedures in both the coronary and peripheral markets as well as the rapidly growing structural heart and electrophysiology markets.</w:t>
      </w:r>
    </w:p>
    <w:p>
      <w:pPr>
        <w:spacing w:after="0" w:line="128" w:lineRule="exact"/>
        <w:rPr>
          <w:sz w:val="20"/>
          <w:szCs w:val="20"/>
          <w:color w:val="auto"/>
        </w:rPr>
      </w:pPr>
    </w:p>
    <w:p>
      <w:pPr>
        <w:jc w:val="both"/>
        <w:ind w:left="64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Vascular Closure Products </w:t>
      </w:r>
      <w:r>
        <w:rPr>
          <w:rFonts w:ascii="Times New Roman" w:cs="Times New Roman" w:eastAsia="Times New Roman" w:hAnsi="Times New Roman"/>
          <w:sz w:val="17"/>
          <w:szCs w:val="17"/>
          <w:color w:val="auto"/>
        </w:rPr>
        <w:t>— Our VASCADE technology was developed to address the limitations of manual compression and existing vascular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closure devices. Our VASCADE family of Vascular Closure products consists of four devices, VASCADE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5F, VASCADE 6/7F, VASCADE MVP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VASCADE MVP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XL, which share a common, innovative technology that features a simple, catheter-based delivery system and leverages the natural clot-inducing properties of collagen. This novel design significantly reduces access site complications, increases patient satisfaction and improves hospital workflow metrics that, in turn, drive economic benefits and overall cost savings. Our Vascular Closure devices address the growing number of catheter-based coronary, structural heart, peripheral and electrophysiology procedures that require vascular access site closure each year.</w:t>
      </w:r>
    </w:p>
    <w:p>
      <w:pPr>
        <w:spacing w:after="0" w:line="138"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18"/>
          <w:szCs w:val="18"/>
          <w:color w:val="auto"/>
        </w:rPr>
        <w:t>Our VASCADE product is proven to have a statistically significant reduction in minor complications compared to manual compression based on a randomized clinical trial. Our VASCADE MVP device is the first marketed vascular closure device clinically proven in a prospective, multi-center, randomized clinical trial, to improve workflow relative to manual compression for electrophysiology procedures. Importantly, these improvements may drive meaningful cost savings for hospitals, ambulatory surgery centers and other treatment facilities. VASCADE MVP was also the first vascular closure device to receive an FDA indication for same-day discharge following atrial fibrillation ablation. During fiscal 2025, we launched our newest VASCADE product, the VASCADE MVP XL, which utilizes 58% more collagen and a larger disc than the VASCADE MVP system. Additionally, in the fourth quarter of fiscal 2026 we received FDA approval to expand the indication for VASCADE MVP XL to include procedures using 10-14F ID and up to 17F OD sheaths.</w:t>
      </w:r>
    </w:p>
    <w:p>
      <w:pPr>
        <w:spacing w:after="0" w:line="134"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18"/>
          <w:szCs w:val="18"/>
          <w:color w:val="auto"/>
        </w:rPr>
        <w:t>Our PerQseal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Elite large bore closure system is designed for percutaneous vessel closure following catheter-based procedures requiring large bore femoral access, including transcatheter aortic valve replacement (“TAVR”), endovascular aneurysm repair (“EVAR”) and mechanical circulatory support procedures. PerQseal Elite features a fully bioabsorbable, sutureless sealing patch intended to address the clinical need for large bore closure through a simple over-the-wire deployment approach that maintains 0.035” guidewire access. The system is compatible with arteriotomies and venotomies up to 26F (14F – 22F sheaths). PerQseal Elite has received CE Mark in Europe for arterial and venous indications, and we have submitted a premarket approval (“PMA”) application to the FDA for an arterial indication in the United States. We believe PerQseal Elite complements and expands our Vascular Closure portfolio into the large bore market.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Sensor-Guided Technologies</w:t>
      </w:r>
    </w:p>
    <w:p>
      <w:pPr>
        <w:spacing w:after="0" w:line="164"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Sensor-Guided Technologies Market — </w:t>
      </w:r>
      <w:r>
        <w:rPr>
          <w:rFonts w:ascii="Times New Roman" w:cs="Times New Roman" w:eastAsia="Times New Roman" w:hAnsi="Times New Roman"/>
          <w:sz w:val="18"/>
          <w:szCs w:val="18"/>
          <w:color w:val="auto"/>
        </w:rPr>
        <w:t>Coronary guidewires facilitate the delivery and positioning of interventional devices through the catheters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can also assist in the diagnosis of certain heart conditions. These guidewires are thin and flexible, allowing surgeons to navigate coronary arteries.</w:t>
      </w:r>
    </w:p>
    <w:p>
      <w:pPr>
        <w:spacing w:after="0" w:line="117"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Sensor-Guided Technologies Products — </w:t>
      </w:r>
      <w:r>
        <w:rPr>
          <w:rFonts w:ascii="Times New Roman" w:cs="Times New Roman" w:eastAsia="Times New Roman" w:hAnsi="Times New Roman"/>
          <w:sz w:val="17"/>
          <w:szCs w:val="17"/>
          <w:color w:val="auto"/>
        </w:rPr>
        <w:t>Our OptoWire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pressure guidewire aims to improve clinical outcomes by accurately and consistently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measuring fractional flow reserve and diastolic pressure ratio to aid clinicians in the diagnosis and treatment of patients with coronary artery disease.</w:t>
      </w:r>
    </w:p>
    <w:p>
      <w:pPr>
        <w:spacing w:after="0" w:line="125"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18"/>
          <w:szCs w:val="18"/>
          <w:color w:val="auto"/>
        </w:rPr>
        <w:t>Our SavvyWire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is a sensor-guided 3-in-1 guidewire for TAVR procedures, advancing the workflow of the procedure and enabling potentially shorter hospital stays for patients. SavvyWire serves as a guide-wire, delivers accurate hemodynamic measurement and display, and provides left ventricular (“LV”) pacing without the need for adjunct devices or venous access.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Sensor-Guided Technologies business also manufactures fiber optic sensor solutions used in medical devices and other industrial applications.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Esophageal Protection</w:t>
      </w:r>
    </w:p>
    <w:p>
      <w:pPr>
        <w:spacing w:after="0" w:line="164"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Esophageal Protection Market — </w:t>
      </w:r>
      <w:r>
        <w:rPr>
          <w:rFonts w:ascii="Times New Roman" w:cs="Times New Roman" w:eastAsia="Times New Roman" w:hAnsi="Times New Roman"/>
          <w:sz w:val="18"/>
          <w:szCs w:val="18"/>
          <w:color w:val="auto"/>
        </w:rPr>
        <w:t>Cardiac ablation, which is the primary treatment for atrial fibrillation, is a procedure that uses thermal energy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electrical pulses to cause lesions in certain areas of the heart, with the aim of preventing abnormal electrical signals from triggering irregular heartbeats. For those cardiac ablation procedures performed using radiofrequency (“RF”) ablation, a risk of thermal injury to the esophagus persists. Traditionally, the standard of care has been temperature monitoring, which involves placing a temperature probe into the esophagus and pausing the ablation procedure if the esophageal temperature exceeded certain thresholds. Esophageal protection devices cool or move the esophagus during RF ablation procedures to minimize the risk of thermal injury.</w:t>
      </w:r>
    </w:p>
    <w:p>
      <w:pPr>
        <w:spacing w:after="0" w:line="127"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Esophageal Protection Products — </w:t>
      </w:r>
      <w:r>
        <w:rPr>
          <w:rFonts w:ascii="Times New Roman" w:cs="Times New Roman" w:eastAsia="Times New Roman" w:hAnsi="Times New Roman"/>
          <w:sz w:val="18"/>
          <w:szCs w:val="18"/>
          <w:color w:val="auto"/>
        </w:rPr>
        <w:t>Our ensoETM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consists of a multi-lumen silicone tube placed in the esophagus, akin to a standard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orogastric tube. By circulating temperature-controlled water, the ensoETM system provides proactive cooling during RF cardiac ablation, reducing the likelihood of esophageal injury. The ensoETM system can also be used to cool or warm a patient in other surgical and critical care settings, particularly in procedures where external cooling or heating may not be available or effective, such as burn surgery.</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Blood Management Technologies: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Hemostasis Management</w:t>
      </w:r>
    </w:p>
    <w:p>
      <w:pPr>
        <w:spacing w:after="0" w:line="16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Hemostasis Management Market </w:t>
      </w:r>
      <w:r>
        <w:rPr>
          <w:rFonts w:ascii="Times New Roman" w:cs="Times New Roman" w:eastAsia="Times New Roman" w:hAnsi="Times New Roman"/>
          <w:sz w:val="18"/>
          <w:szCs w:val="18"/>
          <w:color w:val="auto"/>
        </w:rPr>
        <w:t>— Hemostasis refers to a patient’s ability to form and maintain blood clots. The clinical management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hemostasis requires that physicians have the most complete information to make decisions on how to best maintain a patient’s coagulation equilibrium between hemorrhage (bleeding) and thrombosis (clotting). Hemostasis is a critical challenge in various medical procedures, including cardiovascular surgery, organ transplantation, trauma, post-partum hemorrhage and percutaneous coronary intervention. By understanding a patient’s hemostasis status, clinicians can better plan for the patient’s care pathway. For example, they may decide whether to start or discontinue the use of certain drugs or determine the need for a transfusion and which specific blood components would be most effective in minimizing blood loss and reducing clotting risk. Such planning supports better care, which can lead to lower hospital costs through a reduction in unnecessary blood product transfusions, reduced adverse transfusion reactions and shorter intensive care unit and hospital stays.</w:t>
      </w:r>
    </w:p>
    <w:p>
      <w:pPr>
        <w:spacing w:after="0" w:line="130"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Hemostasis Management Products </w:t>
      </w:r>
      <w:r>
        <w:rPr>
          <w:rFonts w:ascii="Times New Roman" w:cs="Times New Roman" w:eastAsia="Times New Roman" w:hAnsi="Times New Roman"/>
          <w:sz w:val="18"/>
          <w:szCs w:val="18"/>
          <w:color w:val="auto"/>
        </w:rPr>
        <w:t>— Our portfolio of hemostasis diagnostic systems enables clinicians to assess holistically the coagulation status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patient at the point-of-care or laboratory setting.</w:t>
      </w:r>
    </w:p>
    <w:p>
      <w:pPr>
        <w:spacing w:after="0" w:line="104" w:lineRule="exact"/>
        <w:rPr>
          <w:sz w:val="20"/>
          <w:szCs w:val="20"/>
          <w:color w:val="auto"/>
        </w:rPr>
      </w:pPr>
    </w:p>
    <w:p>
      <w:pPr>
        <w:jc w:val="both"/>
        <w:ind w:left="640"/>
        <w:spacing w:after="0" w:line="239" w:lineRule="auto"/>
        <w:rPr>
          <w:sz w:val="20"/>
          <w:szCs w:val="20"/>
          <w:color w:val="auto"/>
        </w:rPr>
      </w:pPr>
      <w:r>
        <w:rPr>
          <w:rFonts w:ascii="Times New Roman" w:cs="Times New Roman" w:eastAsia="Times New Roman" w:hAnsi="Times New Roman"/>
          <w:sz w:val="18"/>
          <w:szCs w:val="18"/>
          <w:color w:val="auto"/>
        </w:rPr>
        <w:t>The TEG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6s system quickly delivers a comprehensive assessment of a patient’s hemostasis, giving clinicians the invaluable insight needed to deliver more targeted treatment. It delivers high quality test results with an easy-to-operate analyzer. The automated cartridge-based system runs up to four assays simultaneously without any manual reagent mixing. The TEG 6s analyzer is our smallest cartridge-based viscoelastic analyzer available and can be utilized in a variety of settings.</w:t>
      </w:r>
    </w:p>
    <w:p>
      <w:pPr>
        <w:spacing w:after="0" w:line="137"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18"/>
          <w:szCs w:val="18"/>
          <w:color w:val="auto"/>
        </w:rPr>
        <w:t>TEG Manager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software centralizes data from connected TEG analyzers throughout the hospital, providing clinicians secure remote access to both active and historical test results that inform treatment decisions. Clinical alert messages can be configured according to institution guidelines, providing standardized practice and efficient test interpretation.</w:t>
      </w:r>
    </w:p>
    <w:p>
      <w:pPr>
        <w:spacing w:after="0" w:line="142" w:lineRule="exact"/>
        <w:rPr>
          <w:sz w:val="20"/>
          <w:szCs w:val="20"/>
          <w:color w:val="auto"/>
        </w:rPr>
      </w:pPr>
    </w:p>
    <w:p>
      <w:pPr>
        <w:jc w:val="both"/>
        <w:ind w:left="640"/>
        <w:spacing w:after="0" w:line="241" w:lineRule="auto"/>
        <w:rPr>
          <w:sz w:val="20"/>
          <w:szCs w:val="20"/>
          <w:color w:val="auto"/>
        </w:rPr>
      </w:pPr>
      <w:r>
        <w:rPr>
          <w:rFonts w:ascii="Times New Roman" w:cs="Times New Roman" w:eastAsia="Times New Roman" w:hAnsi="Times New Roman"/>
          <w:sz w:val="18"/>
          <w:szCs w:val="18"/>
          <w:color w:val="auto"/>
        </w:rPr>
        <w:t>In the U.S., the TEG 6s system is indicated to assess hemorrhage or thrombosis conditions in cardiovascular surgery and cardiology procedures as well as to evaluate the hemostasis condition in adult trauma patients. TEG 6s PlateletMapping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ADP &amp; AA Cartridge can help understand a patient’s platelet function and provide insight into the risk of bleeding and greater confidence in therapeutic decisions. In fiscal 2024, we received FDA clearance for a new TEG 6s Global Hemostasis-HN assay cartridge. This new cartridge extends Haemonetics' TEG 6s viscoelastic testing capabilities to serve fully heparinized patients in adult cardiovascular surgeries/procedures and liver transplantation in both laboratory and point-of-care settings. We continue to pursue a broader set of indications for TEG 6s in the U.S. The TEG 6s system is approved for a broader set of indications outside of the U.S., including Europe, Australia and Japan.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Cell Salvage</w:t>
      </w:r>
    </w:p>
    <w:p>
      <w:pPr>
        <w:spacing w:after="0" w:line="16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Cell Salvage Market </w:t>
      </w:r>
      <w:r>
        <w:rPr>
          <w:rFonts w:ascii="Times New Roman" w:cs="Times New Roman" w:eastAsia="Times New Roman" w:hAnsi="Times New Roman"/>
          <w:sz w:val="18"/>
          <w:szCs w:val="18"/>
          <w:color w:val="auto"/>
        </w:rPr>
        <w:t>— The Cell Salvage market is mainly comprised of devices designed to collect, wash and prepare a patient’s own blood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reinfusion during or after surgery. Loss of blood is common in many surgical procedures, including open heart, trauma, transplant, vascular and orthopedic procedures, and the need for transfusion of oxygen-carrying red cells to make up for lost blood volume is routine. Patients commonly receive donor (or allogeneic) blood which carries various risks for transfusion reactions including chills, fevers or other side effects that can prolong a patient’s recovery.</w:t>
      </w:r>
    </w:p>
    <w:p>
      <w:pPr>
        <w:spacing w:after="0" w:line="128"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with the intent of reinfusion of red cells to that patient. Blood is suctioned from the surgical site or collected from a wound or chest drain, processed and washed through a centrifuge-based system that yields concentrated red cells, available in a reinfusion bag, for transfusion back to the patient at the physician’s discretion. This process occurs in a sterile, closed-circuit, single-use consumable set that is fitted into an electromechanical device. We market our surgical blood salvage products to surgical specialists, primarily cardiovascular, orthopedic and trauma surgeons, OB-GYN and to anesthesiologists and surgical suite service providers.</w:t>
      </w:r>
    </w:p>
    <w:p>
      <w:pPr>
        <w:spacing w:after="0" w:line="130"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Cell Salvage Products </w:t>
      </w:r>
      <w:r>
        <w:rPr>
          <w:rFonts w:ascii="Times New Roman" w:cs="Times New Roman" w:eastAsia="Times New Roman" w:hAnsi="Times New Roman"/>
          <w:sz w:val="18"/>
          <w:szCs w:val="18"/>
          <w:color w:val="auto"/>
        </w:rPr>
        <w:t>— Our Cell Saver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autologous blood recovery system is a surgical blood salvage system targeted to medium to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blood loss procedures, such as cardiovascular, orthopedic, trauma, transplant, vascular, obstetrical and gynecological surgeries. The Cell Saver Elite + is designed to minimize allogeneic blood use and reliably recover and prepare a patient’s own high-quality blood for reinfusion.</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Transfusion Management</w:t>
      </w:r>
    </w:p>
    <w:p>
      <w:pPr>
        <w:spacing w:after="0" w:line="16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Transfusion Management Market </w:t>
      </w:r>
      <w:r>
        <w:rPr>
          <w:rFonts w:ascii="Times New Roman" w:cs="Times New Roman" w:eastAsia="Times New Roman" w:hAnsi="Times New Roman"/>
          <w:sz w:val="18"/>
          <w:szCs w:val="18"/>
          <w:color w:val="auto"/>
        </w:rPr>
        <w:t>— Hospital transfusion services professionals and clinicians are facing cost restraints in addition to the pressure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patient safety, compliance and operational efficiency. Managing the safety and traceability of the blood supply chain and comprehensive management of patients, orders, specimens, blood products, derivatives and accessories across the hospital network is challenging. In addition, providing clinicians with the vital access to blood when needed most while maintaining traceability is a key priority. Frequently when blood products leave the blood bank, the transfusion management staff loses control and visibility of the blood components. They often do not know if the blood was handled, stored or transfused properly, which may lead to negative effects on patient safety, product quality, inventory availability and staff efficiency as well as increased waste.</w:t>
      </w:r>
    </w:p>
    <w:p>
      <w:pPr>
        <w:spacing w:after="0" w:line="128" w:lineRule="exact"/>
        <w:rPr>
          <w:sz w:val="20"/>
          <w:szCs w:val="20"/>
          <w:color w:val="auto"/>
        </w:rPr>
      </w:pPr>
    </w:p>
    <w:p>
      <w:pPr>
        <w:jc w:val="both"/>
        <w:ind w:left="64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Transfusion Management Products </w:t>
      </w:r>
      <w:r>
        <w:rPr>
          <w:rFonts w:ascii="Times New Roman" w:cs="Times New Roman" w:eastAsia="Times New Roman" w:hAnsi="Times New Roman"/>
          <w:sz w:val="18"/>
          <w:szCs w:val="18"/>
          <w:color w:val="auto"/>
        </w:rPr>
        <w:t>— Our Transfusion Management solutions are designed to help provide safety, traceability and compliance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hospital blood bank to the patient bedside and enable consistent care across the hospital network. Our SafeTrace Tx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transfusion management software is designed to be used as the system of record for all hospital blood bank and transfusion service information. BloodTrack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blood management software is a modular suite of blood management and bedside transfusion solutions that combines software with hardware components and acts as an extension of the hospital’s blood bank information system. The software is designed to work with blood storage devices, including the BloodTrack HaemoBank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device.</w:t>
      </w:r>
    </w:p>
    <w:p>
      <w:pPr>
        <w:spacing w:after="0" w:line="78" w:lineRule="exact"/>
        <w:rPr>
          <w:sz w:val="20"/>
          <w:szCs w:val="20"/>
          <w:color w:val="auto"/>
        </w:rPr>
      </w:pPr>
    </w:p>
    <w:p>
      <w:pPr>
        <w:ind w:right="1780" w:firstLine="636"/>
        <w:spacing w:after="0" w:line="430" w:lineRule="auto"/>
        <w:rPr>
          <w:sz w:val="20"/>
          <w:szCs w:val="20"/>
          <w:color w:val="auto"/>
        </w:rPr>
      </w:pPr>
      <w:r>
        <w:rPr>
          <w:rFonts w:ascii="Times New Roman" w:cs="Times New Roman" w:eastAsia="Times New Roman" w:hAnsi="Times New Roman"/>
          <w:sz w:val="18"/>
          <w:szCs w:val="18"/>
          <w:color w:val="auto"/>
        </w:rPr>
        <w:t xml:space="preserve">Our Hospital business represented 44.1%, 41.5% and 34.9% of our total revenue in fiscal 2026, 2025 and 2024, respectively. </w:t>
      </w:r>
      <w:r>
        <w:rPr>
          <w:rFonts w:ascii="Times New Roman" w:cs="Times New Roman" w:eastAsia="Times New Roman" w:hAnsi="Times New Roman"/>
          <w:sz w:val="18"/>
          <w:szCs w:val="18"/>
          <w:b w:val="1"/>
          <w:bCs w:val="1"/>
          <w:i w:val="1"/>
          <w:iCs w:val="1"/>
          <w:color w:val="auto"/>
        </w:rPr>
        <w:t>Marketing and Sales</w:t>
      </w:r>
    </w:p>
    <w:p>
      <w:pPr>
        <w:jc w:val="both"/>
        <w:spacing w:after="0" w:line="252" w:lineRule="auto"/>
        <w:rPr>
          <w:sz w:val="20"/>
          <w:szCs w:val="20"/>
          <w:color w:val="auto"/>
        </w:rPr>
      </w:pPr>
      <w:r>
        <w:rPr>
          <w:rFonts w:ascii="Times New Roman" w:cs="Times New Roman" w:eastAsia="Times New Roman" w:hAnsi="Times New Roman"/>
          <w:sz w:val="18"/>
          <w:szCs w:val="18"/>
          <w:color w:val="auto"/>
        </w:rPr>
        <w:t>We market and sell our products in approximately 90 countries through a combination of our own direct sales force (including full-time sales representatives and clinical specialists) as well as independent distributors in approximately 87 countries. Our customers include biopharmaceutical companies, blood collection groups and independent blood centers, hospitals and hospital service providers, group purchasing organizations and national health organizations. Sales representatives target the primary decision-makers within each of those organizations. In fiscal 2026, our ten largest customers accounted for approximately 44% of our net revenues. In fiscal 2026, one Plasma customer accounted for approximately 13% of total net revenues.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investment in research and development is critical to driving our future growth. Our research and development efforts are focused on the further development and improvement of our existing products, the design and development of new, innovative medical technologies and regulatory compliance across all our business segments. Our research and development function maintains technical expertise in engineering disciplines critical to our products, including mechanical, electrical, software, biomedical engineering and chemistry. Innovations resulting from these various engineering efforts enable us to develop systems that are faster, smaller and more user-friendly, or that incorporate additional features important to our customer base. Customer collaborations are also an important part of our technical strength and competitive advantage. These collaborations with customers provide us with ideas for new products and applications, enhanced protocols and potential test sites as well as objective evaluations and expert opinions regarding technical and performance issues.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resources were allocated primarily to support innovation across our Plasma and Hospital product portfolios in fiscal 2026. During fiscal 2026 we announced FDA clearance for the NexSys PCS Plasma Collection System with Persona PLUS technology, which represents the next generation of our proprietary and patented Persona technology that tailors plasma collections to each donor for improved average plasma volume per donation. Additionally, during fiscal 2026 we received FDA approval to expand the labeling for the VASCADE MVP XL venous vascular closure system to include procedures using 10-14F inner diameter (ID) and up to 17F outer diameter (OD) procedural sheaths. With this label expansion, the VASCADE MVP XL system is approved for larger sheaths used in market-leading technologies for pulsed field ablation (“PFA”) and left atrial appendage closure (“LAAC”) to treat atrial fibrillation.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endeavor to supply products that are both high quality and cost competitive for our customers by leveraging continuous improvement methodologies, focusing on our core competencies and partnering with strategic suppliers that complement our capabilities. In general, we design our equipment and consumables and use contract manufacturers to build the devices, while the majority of consumables are manufactured by us.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production activities occur in controlled settings or “clean room” environments and have built-in quality checks throughout the manufacturing process. Our manufacturing teams are focused on continuously improving our productivity, product cost and product quality through change control procedures, validations and strong supplier management programs. We regularly review our logistics capabilities, inventory and safety stock levels and maintain business continuity plans to address supply disruptions that may occur.</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primary consumable manufacturing operations are located in North America and Malaysia. Contract manufacturers also supply component sets according to our specifications, with component sets manufactured in Japan, Singapore, Thailand, Indonesia and the Philippines. Our capital equipment is principally manufactured in Malaysia, Australia and the U.S.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experienced increased levels of unpredictability in the supply of certain raw materials and components used in the manufacturing of our products. While we continue to believe we will have access to the raw materials and components that we need, these supply chain dynamics could result in increased costs to us or an inability to fully meet customer demand for certain of our products. Additionally, the global macroeconomic environment has continued to present challenging conditions and uncertainty, including around inflation, tariffs, interest rates, monetary policy, exchange rates and geopolitical developments, which could adversely impact the costs associated with our manufacturing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6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We consider our intellectual property rights to be important to our business. We rely on a combination of patent, trademark, copyright and trade secret laws, as well as provisions in our agreements with third parties, to protect our intellectual property rights.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hold numerous patents in North America and have applied for numerous additional U.S. patents relating to our products and related technologies. We also own or have applied for corresponding patents in selected foreign countries. These patents cover certain elements of our products and processes, including protocols employed in our equipment and aspects of certain of our disposables. Our patents may cover current products, products in markets we plan to enter, or products in markets we plan to license to others. Certain patents may also be defensive in that they are directed to technologies not currently embodied in our current products. We also may license patent rights from third parties that cover technologies that we use or plan to use in our business. We own various trademarks that have been registered in the United States and certain other countries.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 To maintain our competitive position, we also rely on the technical expertise and know-how of our personnel. We believe that unpatented know-how and trade secrets relied upon in connection with our business and products are generally as important as patent protection in establishing and maintaining a competitive advantage.</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are engaged in intellectual property litigation as described in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within the consolidated financial statements in Item 8 of this Annual Report on Form 10-K. We have instituted, and may in the future institute, intellectual property litigation to enforce our patent rights, to protect our trade secrets or know-how and to determine the scope and validity of the proprietary rights of others. Such litigation could be protracted, expensive and subject to significant uncertainty as to outcome. Additionally, we have been, and may in the future be, notified of claims that we may be infringing, misappropriating or otherwise violating the intellectual property rights of third parties. In connection with any such claims, we may seek to enter into settlement and/or licensing arrangements or to litigate such claims. Any such settlements could include cross-licensing of the patents that are the subject of the litigation and/or monetary payments, and a successful claim against us may require the removal of the alleged infringing product from the market or require designing around the third party’s patents, potentially resulting in less market demand for the product. For additional information, see Item 1A. “Risk Factors”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To remain competitive, we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w:t>
      </w:r>
    </w:p>
    <w:p>
      <w:pPr>
        <w:jc w:val="both"/>
        <w:ind w:firstLine="6"/>
        <w:spacing w:after="0" w:line="247" w:lineRule="auto"/>
        <w:tabs>
          <w:tab w:leader="none" w:pos="2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positive reputation among our customers, (ii) development of new products that meet our customer’s needs, (iii) obtaining regulatory approvals for our products in key markets, (iv) obtaining patents that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that favor a competitor’s technology or reduce revenues in key areas of our business.</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technical staff is highly skilled, but certain competitors have substantially greater financial resources and larger technical staff at their disposal. There can be no assurance that competitors will not direct substantial efforts and resources toward the development and marketing of products competitive with those of Haemonetics.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we face competition from several large global companies with product offerings similar to ours. Terumo Blood and Cell Technologies (“Terumo BCT”), Fresenius SE &amp; Co. KGaA, and Abbott Laboratories, in particular, have significant financial and other resources and are strong competitors in a number of our businesses. The following provides an overview of the key competitors in each of our three global business units.</w:t>
      </w:r>
    </w:p>
    <w:p>
      <w:pPr>
        <w:spacing w:after="0" w:line="123"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Plasma</w:t>
      </w:r>
    </w:p>
    <w:p>
      <w:pPr>
        <w:spacing w:after="0" w:line="166" w:lineRule="exact"/>
        <w:rPr>
          <w:rFonts w:ascii="Times New Roman" w:cs="Times New Roman" w:eastAsia="Times New Roman" w:hAnsi="Times New Roman"/>
          <w:sz w:val="18"/>
          <w:szCs w:val="18"/>
          <w:i w:val="1"/>
          <w:iCs w:val="1"/>
          <w:color w:val="auto"/>
        </w:rPr>
      </w:pPr>
    </w:p>
    <w:p>
      <w:pPr>
        <w:jc w:val="both"/>
        <w:ind w:left="64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automated plasma collection market, we principally compete with Fresenius’ Fenwal Aurora and Aurora Xi device product lines and Terumo BCT’s Rika device on the basis of procedure duration, donor experience, plasma yield per donation, product quality and reliability, ease of use, services and technical features of the collection systems, supply chain reliability and the long-term cost-effectiveness of equipment and disposables. Outside of the U.S., we also compete with Nigale, a Chinese manufacturer that has expanded beyond China into European and South American markets, and Scinomed, a European company with Chinese manufacturing that competes in select European countries as well. In the field of plasma related software, we principally compete with applications developed internally by certain of our customers.</w:t>
      </w:r>
    </w:p>
    <w:p>
      <w:pPr>
        <w:spacing w:after="0" w:line="130"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Blood Center</w:t>
      </w:r>
    </w:p>
    <w:p>
      <w:pPr>
        <w:spacing w:after="0" w:line="166" w:lineRule="exact"/>
        <w:rPr>
          <w:rFonts w:ascii="Times New Roman" w:cs="Times New Roman" w:eastAsia="Times New Roman" w:hAnsi="Times New Roman"/>
          <w:sz w:val="18"/>
          <w:szCs w:val="18"/>
          <w:i w:val="1"/>
          <w:iCs w:val="1"/>
          <w:color w:val="auto"/>
        </w:rPr>
      </w:pPr>
    </w:p>
    <w:p>
      <w:pPr>
        <w:jc w:val="both"/>
        <w:ind w:left="640"/>
        <w:spacing w:after="0" w:line="25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MCS brand apheresis equipment competes not only against manual whole blood collections but also with products from Terumo BCT and Fresenius. Technology is the key differentiator in automated component blood collections, with speed, as measured by the time to collect more than one unit of a specific targeted blood component, quality, reliability, ease of use, service and other technical features being key factors. In markets with a significant number of people eligible to donate more than one unit in a single donation, the processing speed can be a significant competitive differentiator. This is particularly relevant in platelet donations and can drive market share shifts in certain markets.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Hospital</w:t>
      </w:r>
    </w:p>
    <w:p>
      <w:pPr>
        <w:spacing w:after="0" w:line="166" w:lineRule="exact"/>
        <w:rPr>
          <w:rFonts w:ascii="Times New Roman" w:cs="Times New Roman" w:eastAsia="Times New Roman" w:hAnsi="Times New Roman"/>
          <w:sz w:val="18"/>
          <w:szCs w:val="18"/>
          <w:i w:val="1"/>
          <w:iCs w:val="1"/>
          <w:color w:val="auto"/>
        </w:rPr>
      </w:pPr>
    </w:p>
    <w:p>
      <w:pPr>
        <w:ind w:left="640" w:right="8580"/>
        <w:spacing w:after="0" w:line="4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u w:val="single" w:color="auto"/>
          <w:color w:val="auto"/>
        </w:rPr>
        <w:t xml:space="preserve">Interventional Technologies: </w:t>
      </w:r>
      <w:r>
        <w:rPr>
          <w:rFonts w:ascii="Times New Roman" w:cs="Times New Roman" w:eastAsia="Times New Roman" w:hAnsi="Times New Roman"/>
          <w:sz w:val="17"/>
          <w:szCs w:val="17"/>
          <w:color w:val="auto"/>
        </w:rPr>
        <w:t>Vascular Closure</w:t>
      </w:r>
    </w:p>
    <w:p>
      <w:pPr>
        <w:jc w:val="both"/>
        <w:ind w:left="640"/>
        <w:spacing w:after="0" w:line="24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vascular closure industry is highly competitive and has been evolving rapidly with the introduction of new products, technologies, regulations and activities of industry participants. Our VASCADE and PerQseal products serve as alternatives to existing methods of vascular access site closure in interventional procedures, generally including manual compression, figure-of-eight sutures and other advanced closure devices. Our main competitors in vascular access closure include Terumo BCT, Abbott Laboratories, Cordis, and Teleflex, where we compete primarily based on clinical and economic value, ease of use, workflow improvements and patient satisfaction. Our products are optimized for the requirements of coronary, structural heart, peripheral and electrophysiology procedures, including procedures that require multiple access sites. In addition, our value proposition is supported by robust clinical trial evidence and study data, which demonstrate reduced access site complication rates as well as workflow improvements compared to manual compression that lead to cost savings.</w:t>
      </w:r>
    </w:p>
    <w:p>
      <w:pPr>
        <w:spacing w:after="0" w:line="137"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Sensor-Guided Technologies</w:t>
      </w:r>
    </w:p>
    <w:p>
      <w:pPr>
        <w:spacing w:after="0" w:line="164" w:lineRule="exact"/>
        <w:rPr>
          <w:rFonts w:ascii="Times New Roman" w:cs="Times New Roman" w:eastAsia="Times New Roman" w:hAnsi="Times New Roman"/>
          <w:sz w:val="18"/>
          <w:szCs w:val="18"/>
          <w:i w:val="1"/>
          <w:iCs w:val="1"/>
          <w:color w:val="auto"/>
        </w:rPr>
      </w:pPr>
    </w:p>
    <w:p>
      <w:pPr>
        <w:jc w:val="both"/>
        <w:ind w:left="640"/>
        <w:spacing w:after="0" w:line="25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landscape of sensor-guided technologies is competitive, especially within the mature coronary physiology market. Our OptoWire and SavvyWire products stand out as leading offerings in their respective segments, providing real-time feedback and precise guidance during coronary physiology and structural heart procedures. Competitors such as Abbott Laboratories, Boston Scientific, and Philips pose challenges and opportunities in the coronary physiology segment, each offering their own technologies and solutions. There are not currently competing, commercially available guidewires that are indicated to deliver both hemodynamic measurement and LV pacing for TAVR procedures; however, at least one competitor (SoloPace(R)) has entered the market with a guidewire indicated for on-label LV pacing during TAVR, which may increase competitive pressure in this segment over time.</w:t>
      </w:r>
    </w:p>
    <w:p>
      <w:pPr>
        <w:spacing w:after="0" w:line="133"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Esophageal Protection</w:t>
      </w:r>
    </w:p>
    <w:p>
      <w:pPr>
        <w:spacing w:after="0" w:line="164" w:lineRule="exact"/>
        <w:rPr>
          <w:rFonts w:ascii="Times New Roman" w:cs="Times New Roman" w:eastAsia="Times New Roman" w:hAnsi="Times New Roman"/>
          <w:sz w:val="18"/>
          <w:szCs w:val="18"/>
          <w:i w:val="1"/>
          <w:iCs w:val="1"/>
          <w:color w:val="auto"/>
        </w:rPr>
      </w:pPr>
    </w:p>
    <w:p>
      <w:pPr>
        <w:jc w:val="both"/>
        <w:ind w:left="640"/>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ensoETM system competes primarily with temperature monitoring as the current standard of care for esophageal protection during RF ablations, as well as with a small number of other esophageal protection devices that deviate the esophagus. Additionally, RF ablation technologies are experiencing significant competition from companies advancing PFA technologies on the basis of, among other factors, workflow efficiencies and safety profile. In this context, ensoETM supports the continued use of RF ablation technologies by reducing the likelihood of ablation-related esophageal injury. The ensoETM system’s utility in temperature regulation during other surgical and critical care procedures also provides additional opportunities for market penetration and differentiation.</w:t>
      </w:r>
    </w:p>
    <w:p>
      <w:pPr>
        <w:spacing w:after="0" w:line="132" w:lineRule="exact"/>
        <w:rPr>
          <w:rFonts w:ascii="Times New Roman" w:cs="Times New Roman" w:eastAsia="Times New Roman" w:hAnsi="Times New Roman"/>
          <w:sz w:val="18"/>
          <w:szCs w:val="18"/>
          <w:i w:val="1"/>
          <w:iCs w:val="1"/>
          <w:color w:val="auto"/>
        </w:rPr>
      </w:pPr>
    </w:p>
    <w:p>
      <w:pPr>
        <w:ind w:left="640" w:right="8160"/>
        <w:spacing w:after="0" w:line="4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Blood Management Technologies: Hemostasis Management</w:t>
      </w:r>
    </w:p>
    <w:p>
      <w:pPr>
        <w:jc w:val="both"/>
        <w:ind w:left="64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hemostasis analyzer systems are used primarily in surgical applications. Competition includes routine coagulation tests, such as prothrombin time, partial thromboplastin time and platelet count marketed by various manufacturers, such as Werfen, Diagnostica Stago SAS and Sysmex. The TEG analyzer competes with these routine laboratory tests based on its ability to provide a more complete picture of a patient’s hemostasis at a single point in time and to measure the clinically relevant platelet function for an individual patient.</w:t>
      </w:r>
    </w:p>
    <w:p>
      <w:pPr>
        <w:spacing w:after="0" w:line="124" w:lineRule="exact"/>
        <w:rPr>
          <w:rFonts w:ascii="Times New Roman" w:cs="Times New Roman" w:eastAsia="Times New Roman" w:hAnsi="Times New Roman"/>
          <w:sz w:val="18"/>
          <w:szCs w:val="18"/>
          <w:i w:val="1"/>
          <w:iCs w:val="1"/>
          <w:color w:val="auto"/>
        </w:rPr>
      </w:pPr>
    </w:p>
    <w:p>
      <w:pPr>
        <w:jc w:val="both"/>
        <w:ind w:left="640"/>
        <w:spacing w:after="0" w:line="22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addition, TEG competes more directly with other viscoelastic testing systems, including ROTEM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analyzers, the VerifyNow™ System and HemoSonics Quantra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ROTEM and VerifyNow instruments are marketed by Werfen. HemoSonics is owned and offered by Diagnostica Stago. There are also additional technologies being explored to assess viscoelasticity and other characteristics that can provide insights into the coagulation status of a patient. In the advanced viscoelastic testing segment, Haemonetics is the global market leader.</w:t>
      </w:r>
    </w:p>
    <w:p>
      <w:pPr>
        <w:spacing w:after="0" w:line="140"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Cell Salvage</w:t>
      </w:r>
    </w:p>
    <w:p>
      <w:pPr>
        <w:spacing w:after="0" w:line="164" w:lineRule="exact"/>
        <w:rPr>
          <w:rFonts w:ascii="Times New Roman" w:cs="Times New Roman" w:eastAsia="Times New Roman" w:hAnsi="Times New Roman"/>
          <w:sz w:val="18"/>
          <w:szCs w:val="18"/>
          <w:i w:val="1"/>
          <w:iCs w:val="1"/>
          <w:color w:val="auto"/>
        </w:rPr>
      </w:pPr>
    </w:p>
    <w:p>
      <w:pPr>
        <w:jc w:val="both"/>
        <w:ind w:left="640"/>
        <w:spacing w:after="0" w:line="25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intraoperative autotransfusion market, competition is based on reliability, ease of use, service, support and price. For high-volume platforms, each manufacturer's technology is similar and our Cell Saver technology competes principally with products offered by LivaNova PLC, Medtronic and Fresenius.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Transfusion Management</w:t>
      </w:r>
    </w:p>
    <w:p>
      <w:pPr>
        <w:spacing w:after="0" w:line="164"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SafeTrace Tx and BloodTrack compete in the transfusion management software market within the broader category of hospital information systems. SafeTrace Tx is an FDA regulated blood bank information system (“BBIS”) that integrates and communicates with other healthcare information systems such as the electronic health record and laboratory information system within the hospital. The BloodTrack software, also FDA regulated, is an extension of the BBIS and provides secure, traceable blood units at the point-of-care, including trauma, surgery, outpatient and critical care settings. Growth drivers for these markets include patient safety, operational efficiencies and compliance.</w:t>
      </w:r>
    </w:p>
    <w:p>
      <w:pPr>
        <w:spacing w:after="0" w:line="132"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SafeTrace Tx competition primarily consists of stand-alone BBIS including WellSky, SSC Soft, and some electronic health record software that includes a built-in transfusion management solution including Cerner and Clinsys. Global competition for BloodTrack varies by country including MSoft, MAK Systems in Europe and established blood practices in the U.S. such as using standard refrigerators and manual movement of blood products. BloodTrack integrates with the hospital’s existing lab or blood bank system allowing for greater market acceptance.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Due to the variety of products that we manufacture, we and our products are subject to a wide range of regulations from numerous government agencies, including the FDA, and similar agencies outside the U.S. To varying degrees, each of these agencies requires us to comply with laws and regulations governing the development, testing, manufacturing, labeling, marketing and distribution of our products.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medical devices, drugs and biological products are subject to extensive regulation by the FDA under the Federal Food, Drug, and Cosmetic Act (“FDCA”) and other federal and state statutes and regulations. The failure to comply with applicable U.S. requirements may subject a company to a variety of administrative or judicial sanctions, such as FDA refusal to clear or approve applications, warning or untitled letters, product recalls, product seizures, total or partial suspension of production or distribution, injunctions, fines, civil penalties and criminal prosecution.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Medical Device Regulation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Premarket Requirements - U.S.</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Unless an exemption applies, all medical devices introduced to the U.S. market are required by the FDA, as a condition of marketing, to secure clearance of a 510(k) premarket notification, grant of a request for de novo classification, or approval of a premarket approval application, or PMA. The FDA classifies medical devices into one of three classes based on risk. Devices deemed to pose a low or moderate risk are placed in Class I or II. Manufacturers of most Class</w:t>
      </w:r>
    </w:p>
    <w:p>
      <w:pPr>
        <w:spacing w:after="0" w:line="1" w:lineRule="exact"/>
        <w:rPr>
          <w:sz w:val="20"/>
          <w:szCs w:val="20"/>
          <w:color w:val="auto"/>
        </w:rPr>
      </w:pPr>
    </w:p>
    <w:p>
      <w:pPr>
        <w:jc w:val="both"/>
        <w:ind w:firstLine="6"/>
        <w:spacing w:after="0" w:line="248" w:lineRule="auto"/>
        <w:tabs>
          <w:tab w:leader="none" w:pos="1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and a few Class I devices, must submit to the FDA a 510(k) premarket notification requesting clearance for commercial distribution. Devices deemed by the FDA to pose the greatest risk or devices deemed not substantially equivalent to a previously cleared 510(k) device are placed in Class III, requiring submission and approval of a PMA or risk-based classification through the de novo process.</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obtain 510(k) clearance, we must submit a premarket notification demonstrating that the proposed device is “substantially equivalent” to a previously 510(k)-cleared device or a device that was in commercial distribution before May 28, 1976 for which the FDA has not yet called for the submission of PMAs, or a device that has been the subject of a de novo classification. The FDA’s 510(k) clearance pathway usually takes from three to 12 months from the date the notification is submitted, but it can take longer, depending on the extent of the FDA’s requests for additional information and the amount of time a sponsor takes to fulfill them. We may need to first obtain an investigational device exemption (for significant risk devices), known as an IDE, in order to conduct extensive clinical testing of the device to obtain the necessary clinical data for submission to the FDA. After a device receives 510(k) clearance, any modification that could significantly affect its safety or effectiveness, or that would constitute a major change in its intended use, will require a new 510(k) clearance or could require premarket approval.</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device that cannot demonstrate substantial equivalence to a previously marketed predicate is automatically deemed Class III. The de novo process provides a pathway to classify novel medical devices for which general controls alone, or general and special controls, provide reasonable assurance of safety and effectiveness for the intended use, but for which there is no legally marketed predicate device. Once a request for de novo classification is granted by the FDA, the newly classified device may be used as a predicate by the applicant or a competitor in a future 510(k) notification submission, if the FDA determines that new devices of the same type require 510(k) clearance.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Devices deemed by the FDA to pose the greatest risk are placed in Class III. A PMA is required for most Class III devices. The PMA process is more detailed, lengthier and more expensive than the 510(k) and de novo processes. Our VASCADE portfolio of vascular closure systems are Class III products for which PMAs were previously obtained and we have submitted a PMA application to the FDA for an arterial indication for the PerQseal Elite product. The 510(k) clearance, de novo classification, and PMA processes can be resource intensive, expensive, lengthy and require payment of significant user fees.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Requirements - U.S.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After the FDA permits a device to enter commercial distribution, numerous regulatory requirements continue to apply. Generally, establishments that design and/or manufacture devices are required to register with the FDA. They also must provide the FDA with a list of the devices that they design and/or manufacture at their facilities. Other postmarket requirements include compliance with:</w:t>
      </w:r>
    </w:p>
    <w:p>
      <w:pPr>
        <w:spacing w:after="0" w:line="125" w:lineRule="exact"/>
        <w:rPr>
          <w:sz w:val="20"/>
          <w:szCs w:val="20"/>
          <w:color w:val="auto"/>
        </w:rPr>
      </w:pPr>
    </w:p>
    <w:p>
      <w:pPr>
        <w:jc w:val="both"/>
        <w:ind w:left="640" w:hanging="316"/>
        <w:spacing w:after="0" w:line="249" w:lineRule="auto"/>
        <w:tabs>
          <w:tab w:leader="none" w:pos="6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Quality Management System Regulation (“QMSR”), which in February 2026 replaced the Quality System Regulation (“QSR”). It sets forth current good manufacturing practice (“cGMP”) requirements for medical devices, incorporating by reference the international standard specific for medical device quality management systems set by the International Organization for Standardization (ISO), ISO 13485:2016 Medical devices – Quality management systems – Requirements for regulatory purposes. The QMSR applies to manufacturers, including contract manufacturers, of finished medical devices, and governs methods, facilities, and controls used in designing, manufacturing, packaging, labeling, storing, installing and servicing such devices. Manufacturers of medical devices must establish a quality system appropriate for the devices they manufacture. For example, devices containing certain types of software must implement comprehensive cybersecurity risk management programs and documentation consistent with the QMSR. The Haemonetics quality management system is certified to ISO 13485:2016;</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including unique device identification;</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correction and removal (recall) regulations with their associated reporting obligations.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we and the manufacturing facilities of some of our suppliers are subject to unannounced inspections by the FDA to determine our compliance with the QMSR and other applicable regulations described above. If a company fails to comply with regulatory requirements, the FDA can issue Form 483 Notices of Observation, warning letters or untitled letters, recommend or require product recalls, issue safety communications, seek a court order detaining or seizing certain devices, seek an injunction, suspend or withdraw regulatory clearance or approvals, ban certain medical devices, order repair, replacement or refund of medical devices or require notification of health professionals and others with regard to medical devices that present risks of substantial harm to the public health. The FDA may also initiate action for criminal prosecution of violations.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also may require post market testing, surveillance, or other measures to monitor the effects of an approved or cleared product. The FDA may place conditions on a PMA-approved device that could restrict the distribution or use of the product. In addition, manufacturers are subject to periodic inspections by the FDA. Accordingly, manufacturers must continue to expend time, money, and effort in the areas of production and quality control to maintain compliance with QMSRs.</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Advertising, marketing and promotional activities for devices are also subject to FDA oversight. The failure to comply with the requirements applicable to these activities can result in FDA enforcement action.</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Manufacturers of medical devices are permitted to promote products solely for the uses and indications set forth in the approved or cleared product labeling. Promotion of products for uses not described in the approved or cleared labeling (“off-label” uses) has resulted in enforcement actions against manufacturers, including actions alleging violation of the Federal False Claims Act, federal and state healthcare fraud and abuse laws, and state consumer protection laws. The failure to comply with prohibitions on “off-label” promotion can result in significant monetary penalties, suspension of sales of certain products, product recalls, civil or criminal sanctions, exclusion from participating in federal healthcare programs, or other administrative and enforcement actions. In the U.S., allegations of such wrongful conduct could also result in a corporate integrity agreement with the U.S. government that imposes significant administrative obligations and costs.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Outside the U.S.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regulatory review process varies from country to country and may in some cases require the submission of clinical data. Our international sales are subject to regulatory requirements in the countries in which our products are sold. For example, the European Union (“EU”) has adopted the EU Medical Device Regulation (the “EU MDR”) and the EU In Vitro Diagnostic Regulation (the “EU IVDR”), each of which impose stricter requirements for the marketing and sale of medical devices, including in the area of clinical evaluation requirements, quality systems and postmarket surveillance, than the medical device directives they replace. The EU MDR became fully applicable as of May 26, 2021 and the EU IVDR became fully applicable as of May 26, 2022. We achieved initial EU MDR and IVDR certifications in October 2023. EU MDR certification is ongoing for legacy devices.</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There is a conditional transition period after the date of full application, the duration of which is dependent on the classification of the device and conditioned upon manufacturers having submitted EU MDR applications by May 26, 2024. A new EU certificate under the applicable regulations must be obtained prior to the end of the transition period if there is to be no interruption in manufacturing and supply of devices to the market. There are nevertheless a number of provisions that need to be complied with from the date of application, including updating the postmarket surveillance process, appointing an importer for the EU, appointing a person responsible for regulatory compliance, and updating economic operator agreements. Complying with the requirements of these regulations has and will continue to require us to incur significant expenditures. Failure to meet these requirements could adversely impact our business in the EU and other regions that tie their product registrations to the EU requirements. Similarly, the separation of states from participation in the EU, such as through the cessation of the United Kingdom’s membership in the EU (commonly known as “Brexit”) and the separation of the Swiss and EU medical product markets with the adoption of the EU MDR (commonly referred to as “Swexit”), may result in further regulatory risk and complexity as the former EU member or participant state establishes separate laws and regulations governing medical products. Regulatory requirements in other jurisdictions also continue to become more stringent, increasing regulatory requirements to register and maintain products in these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Outside the U.S.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must obtain the requisite marketing authorizations from regulatory authorities in foreign countries prior to marketing of a product in those countries. The requirements and process governing product licensing vary from country to country. If we fail to comply with applicable foreign regulatory requirements, we may be subject to, among other things, warning letters or untitled letters, injunctions, civil, administrative, or criminal penalties, monetary fines or imprisonment, suspension or withdrawal of regulatory approvals, suspension of ongoing clinical studies, refusal to approve pending applications or supplements to applications filed by us, suspension or the imposition of restrictions on operations, product recalls, the refusal to permit the import or export of our products or the seizure or detention of products.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Conflict Minerals</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may be material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well as costs of possible changes to products processes, or sources of supply as a consequence of such verification activities.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Fraud and Abuse Laws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 We have described below some of the key federal, state and foreign healthcare laws and regulations that apply to our business.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This statute has been interpreted to apply to arrangements between manufacturers of federally reimbursed products on one hand and prescribers, purchasers and others in a position to recommend, refer, or order federally reimbursed products on the other.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or pharmaceutical and biological products,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from knowingly presenting, or causing to be presented, a false, fraudulent or materially incomplete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companies in the healthcare industry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of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(“HITECH”) among other things, imposes criminal and civil liability for knowingly and willfully executing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the Physician Payment Sunshine Act, implemented as the Open Payments program, requires manufacturers of certain products reimbursed by Medicare, Medicaid, or the Children’s Health Insurance Program to track and report information to the federal government on certain payments or transfers of value that they make to physicians (defined to include doctors,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 Manufacturers are also required to collect information regarding payments and other transfers of value to physician assistants, nurse practitioners, clinical nurse specialists, anesthesiologist assistants, certified registered nurse anesthetists and certified nurse-midwives for reporting. The reported data is made available in searchable form on a public website on an annual basis. Failure to submit required information may result in civil monetary penalties.</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states have adopted analogous laws and regulations, including state anti-kickback and false claims laws, which may apply to items or services reimbursed under Medicaid and other state programs or, in several states, regardless of the payer. Several states have enacted legislation requiring pharmaceutical and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 and/or offering co-pay support to patients for certain prescription drugs.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countries, including a number of EU Member States, have laws of similar application.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and emerging industry expectations that may present a significant risk to the business, including laws or regulations relating to the manufacture or sale of products using plastics and evolving customer expectations with respect to environmental stewardship.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6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We are committed to building a collaborative, performance-driven culture that attracts and retains top talent. As of March 28, 2026, we employed the full-time equivalent of 3,009 persons. Approximately 78% of our employees are located in North America and the remaining 22% are located across 17 other countries.</w:t>
      </w:r>
    </w:p>
    <w:p>
      <w:pPr>
        <w:spacing w:after="0" w:line="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our industry, there is substantial competition for key personnel in the regions in which we operate. Recruiting, developing, engaging and retaining talented employees is critical to both our strategy and our ability to compete effectively in the markets we serve. Our human capital strategy focuses on a complementary set of initiatives designed to support our corporate strategy and secure top talent, including the following:</w:t>
      </w:r>
    </w:p>
    <w:p>
      <w:pPr>
        <w:spacing w:after="0" w:line="123" w:lineRule="exact"/>
        <w:rPr>
          <w:sz w:val="20"/>
          <w:szCs w:val="20"/>
          <w:color w:val="auto"/>
        </w:rPr>
      </w:pPr>
    </w:p>
    <w:p>
      <w:pPr>
        <w:jc w:val="both"/>
        <w:ind w:left="640" w:hanging="316"/>
        <w:spacing w:after="0" w:line="251"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dedicate meaningful time and resources to employee development, training and succession planning. </w:t>
      </w:r>
      <w:r>
        <w:rPr>
          <w:rFonts w:ascii="Times New Roman" w:cs="Times New Roman" w:eastAsia="Times New Roman" w:hAnsi="Times New Roman"/>
          <w:sz w:val="18"/>
          <w:szCs w:val="18"/>
          <w:color w:val="auto"/>
        </w:rPr>
        <w:t>Pursuant to our Principles of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our Board of Directors plans for succession to the position of Chief Executive Officer as well as other senior leadership positions and reviews potential successors to these roles at least annually. We maintain a robust performance management review process for our permanent employees below the senior leadership level to help develop talent and ensure alignment of performance goals at every level of the organization throughout the fiscal year. Additionally, we offer a variety of programs and resources designed to facilitate our employees’ career development, training and networking, including:</w:t>
      </w:r>
    </w:p>
    <w:p>
      <w:pPr>
        <w:spacing w:after="0" w:line="134" w:lineRule="exact"/>
        <w:rPr>
          <w:rFonts w:ascii="Times New Roman" w:cs="Times New Roman" w:eastAsia="Times New Roman" w:hAnsi="Times New Roman"/>
          <w:sz w:val="18"/>
          <w:szCs w:val="18"/>
          <w:color w:val="auto"/>
        </w:rPr>
      </w:pPr>
    </w:p>
    <w:p>
      <w:pPr>
        <w:ind w:left="1280" w:hanging="320"/>
        <w:spacing w:after="0" w:line="274" w:lineRule="auto"/>
        <w:tabs>
          <w:tab w:leader="none" w:pos="13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development planning by employees, in consultation with their managers, to help define individual development goals and facilitate manager coaching and feedback;</w:t>
      </w:r>
    </w:p>
    <w:p>
      <w:pPr>
        <w:spacing w:after="0" w:line="110" w:lineRule="exact"/>
        <w:rPr>
          <w:rFonts w:ascii="Times New Roman" w:cs="Times New Roman" w:eastAsia="Times New Roman" w:hAnsi="Times New Roman"/>
          <w:sz w:val="18"/>
          <w:szCs w:val="18"/>
          <w:color w:val="auto"/>
        </w:rPr>
      </w:pPr>
    </w:p>
    <w:p>
      <w:pPr>
        <w:ind w:left="1280" w:hanging="320"/>
        <w:spacing w:after="0" w:line="274" w:lineRule="auto"/>
        <w:tabs>
          <w:tab w:leader="none" w:pos="12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development sessions focused on developing core leadership competencies, including performance management training, coaching and feedback and building trust;</w:t>
      </w:r>
    </w:p>
    <w:p>
      <w:pPr>
        <w:spacing w:after="0" w:line="110" w:lineRule="exact"/>
        <w:rPr>
          <w:rFonts w:ascii="Times New Roman" w:cs="Times New Roman" w:eastAsia="Times New Roman" w:hAnsi="Times New Roman"/>
          <w:sz w:val="18"/>
          <w:szCs w:val="18"/>
          <w:color w:val="auto"/>
        </w:rPr>
      </w:pPr>
    </w:p>
    <w:p>
      <w:pPr>
        <w:ind w:left="1280" w:hanging="320"/>
        <w:spacing w:after="0" w:line="274" w:lineRule="auto"/>
        <w:tabs>
          <w:tab w:leader="none" w:pos="13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 training for employees, including through our internal learning management platform, to promote individual development, strengthen our culture and drive compliance and quality across our organization;</w:t>
      </w:r>
    </w:p>
    <w:p>
      <w:pPr>
        <w:spacing w:after="0" w:line="110"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programs that provide eligible U.S. and Canadian employees with the opportunity to be reimbursed (up to a set dollar limit) for tuition and certain other expenses associated with degree programs, certifications and continuing education courses that relate to their work at the Company; and</w:t>
      </w:r>
    </w:p>
    <w:p>
      <w:pPr>
        <w:spacing w:after="0" w:line="1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recognition of employees across the organization who personify our core values.</w:t>
      </w:r>
    </w:p>
    <w:p>
      <w:pPr>
        <w:spacing w:after="0" w:line="162"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engage regularly with our employees. </w:t>
      </w:r>
      <w:r>
        <w:rPr>
          <w:rFonts w:ascii="Times New Roman" w:cs="Times New Roman" w:eastAsia="Times New Roman" w:hAnsi="Times New Roman"/>
          <w:sz w:val="18"/>
          <w:szCs w:val="18"/>
          <w:color w:val="auto"/>
        </w:rPr>
        <w:t>Our senior leadership team participates in scheduled meetings with our employees throughout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 including quarterly Town Halls with our global workforce – to reiterate strategic priorities, provide business updates, recognize employee contributions and answer employee questions. We also regularly solicit perspectives from our workforce through surveys and other communications channels. Nearly 90% of global employees participated in our most recent biennial employee engagement survey conducted in fiscal 2025, with feedback from the survey shared across the organization and used to inform both Company-sponsored initiatives and shared action plans between managers and direct reports. Additionally, we conducted short pulse surveys throughout the fiscal year that allowed us to receive more real-time employee feedback and take prompt action as needed to enhance our talent attraction and retention capabilities.</w:t>
      </w:r>
    </w:p>
    <w:p>
      <w:pPr>
        <w:spacing w:after="0" w:line="133"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seek to foster a collaborative, performance-driven culture. </w:t>
      </w:r>
      <w:r>
        <w:rPr>
          <w:rFonts w:ascii="Times New Roman" w:cs="Times New Roman" w:eastAsia="Times New Roman" w:hAnsi="Times New Roman"/>
          <w:sz w:val="18"/>
          <w:szCs w:val="18"/>
          <w:color w:val="auto"/>
        </w:rPr>
        <w:t>We are committed to providing an inclusive environment where the contributions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every individual are valued. We advance these efforts through purposeful investments and training, including as described above, and by requiring that employees complete annual training on our Code of Conduct.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40" w:hanging="316"/>
        <w:spacing w:after="0" w:line="25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offer market-competitive compensation opportunities and benefits that are designed to attract, retain and motivate exceptional employees and drive both individual and company performance</w:t>
      </w:r>
      <w:r>
        <w:rPr>
          <w:rFonts w:ascii="Times New Roman" w:cs="Times New Roman" w:eastAsia="Times New Roman" w:hAnsi="Times New Roman"/>
          <w:sz w:val="18"/>
          <w:szCs w:val="18"/>
          <w:color w:val="auto"/>
        </w:rPr>
        <w:t>. In addition to base salary, most of our employees have variable components to their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tied to achievement of corporate and individual performance goals, the fluctuations of our stock price, or a combination of both. We also offer a comprehensive package of global benefits to support the health and well-being of our employees and their families and continually introduce new and enhanced benefit offerings to meet the evolving needs of our workforce and to remain competitive in local markets, including a hybrid work offering for our corporate offices in the U.S. and certain other jurisdictions.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maintain policies and practices to promote employee health and safety</w:t>
      </w:r>
      <w:r>
        <w:rPr>
          <w:rFonts w:ascii="Times New Roman" w:cs="Times New Roman" w:eastAsia="Times New Roman" w:hAnsi="Times New Roman"/>
          <w:sz w:val="18"/>
          <w:szCs w:val="18"/>
          <w:color w:val="auto"/>
        </w:rPr>
        <w:t>. As a Company, we are committed to making our workplaces safe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 This includes eliminating unsafe work practices and workplace injuries and illnesses and promoting the health, safety and well-being of all employees, contractors and visitors. Important objectives in achieving our vision include creating a positive safety culture, maintaining an effective safety management system and reducing risk in the workplace. Among other things, we utilize a third-party enterprise compliance and risk management solution at all of our locations to track incidents. We also require tailored health and safety compliance training for all site employees as well as annual training for all employees on our Code of Conduct, which includes a specific module on health and safety.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Reports and Other Information</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Our Principles of Corporate Governance, Code of Conduct and the charters of the Audit, Compensation, Governance and Compliance and Technology Committees of our Board of Directors are published on the Investor Relations section of our website at </w:t>
      </w:r>
      <w:r>
        <w:rPr>
          <w:rFonts w:ascii="Times New Roman" w:cs="Times New Roman" w:eastAsia="Times New Roman" w:hAnsi="Times New Roman"/>
          <w:sz w:val="17"/>
          <w:szCs w:val="17"/>
          <w:u w:val="single" w:color="auto"/>
          <w:color w:val="0000FF"/>
        </w:rPr>
        <w:t>www.haemonetics.com</w:t>
      </w:r>
      <w:r>
        <w:rPr>
          <w:rFonts w:ascii="Times New Roman" w:cs="Times New Roman" w:eastAsia="Times New Roman" w:hAnsi="Times New Roman"/>
          <w:sz w:val="17"/>
          <w:szCs w:val="17"/>
          <w:color w:val="auto"/>
        </w:rPr>
        <w:t>. On this website the public can also access, free of charge, our annual, quarterly and current reports and other documents filed or furnished to the Securities and Exchange Commission, or SEC, as soon as reasonably practicable after we electronically file such material with, or furnish it to, the SEC. The SEC maintains an internet site (</w:t>
      </w:r>
      <w:r>
        <w:rPr>
          <w:rFonts w:ascii="Times New Roman" w:cs="Times New Roman" w:eastAsia="Times New Roman" w:hAnsi="Times New Roman"/>
          <w:sz w:val="17"/>
          <w:szCs w:val="17"/>
          <w:u w:val="single" w:color="auto"/>
          <w:color w:val="0000FF"/>
        </w:rPr>
        <w:t>http://www.sec.gov</w:t>
      </w:r>
      <w:r>
        <w:rPr>
          <w:rFonts w:ascii="Times New Roman" w:cs="Times New Roman" w:eastAsia="Times New Roman" w:hAnsi="Times New Roman"/>
          <w:sz w:val="17"/>
          <w:szCs w:val="17"/>
          <w:color w:val="auto"/>
        </w:rPr>
        <w:t>) that contains reports, proxy and information statements and other information regarding issuers that file documents electronically.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Certain statements that we make from time to time, including statements contained in this Annual Report on Form 10-K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impacts of share repurchases; and market position and expenditures.</w:t>
      </w:r>
    </w:p>
    <w:p>
      <w:pPr>
        <w:spacing w:after="0" w:line="1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 For further discussion of these and other factors, see Item 1A. Risk Factors in this report.</w:t>
      </w:r>
    </w:p>
    <w:p>
      <w:pPr>
        <w:spacing w:after="0" w:line="110"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long-term strategic and financial-improvement goals;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risks for new and existing products, including material reductions in purchasing from or loss of a significant customer;</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safety concerns, leading to product recalls, withdrawals, regulatory action by the FDA (or similar non-U.S. regulatory agencies), reputational damage, declining sales or litigation;</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our products or information technology systems, or those of our customers, suppliers or other business partners, which could impair our ability or our customers’ ability to conduct business or compromise sensitive information of the Company or its customers, suppliers and other business partners, or of customers’ patients;</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expected strategic benefits and opportunities from completed or planned acquisitions, including the Company’s acquisitions of Vivasure Medical Limited (“Vivasure”), OpSens Inc. and Advanced Cooling Therapy, Inc., d/b/a Attune Medical (“Attune Medical”), divestitures or other strategic investments by the Company may not be realized or may take longer to realize than expected;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trends toward healthcare cost containment, including the continued consolidation among healthcare providers and other market participants;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spacing w:after="0" w:line="12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anticipated benefits of restructuring programs that we have or may undertake, including our ongoing market and regional alignment and portfolio rationalization initiatives;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impact of enhanced requirements to obtain regulatory approval in the U.S. and around the world and the associated timing and cost of product approval;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40" w:hanging="316"/>
        <w:spacing w:after="0" w:line="25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the impact of U.S. and foreign export and import restrictions and tariffs;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and international tax laws;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debt obligations and raise additional capital when desired on terms reasonably acceptable to us;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our convertible senior notes and related capped call transactions;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conditions in China, Taiwan, Russia, Ukraine, Iran and other parts of the Middle East, and other foreign jurisdictions where we do business;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anticipated benefits from our investments in emerging economies;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foreign currency fluctuations and interest rate fluctuations on our net sales, expenses and resulting margins;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the outcome of patent litigation;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product liability and other litigation claims we may be subject to now or in the future;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key personnel;</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impacting our stock price and/or our share repurchase program, and the possibility that such share repurchase program may be delayed, suspended or discontinued;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against our corporate responsibility initiatives and meet evolving stakeholder expectations concerning corporate responsibility matters;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threatened public health crises.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Investors should understand that it is not possible to predict or identify all such factors and should not consider the risks described above and in Item 1A. Risk Factors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Please refer to the cautionary statements made under the heading “Cautionary Statement Regarding Forward-Looking Information” at the end of Item 1 of this Annual Report on Form 10-K for more information on the qualifications and limitations on forward-looking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business strategy does not yield the expected results or we fail to implement the necessary changes to our operations, we could see material adverse effects on our business, financial condition or results of operations.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We believe that Plasma and Hospital have the greatest growth potential and are well positioned to drive long-term value. Blood Center operates in more challenging markets, and we have sharpened our focus accordingly on targeted opportunities – particularly in plasma and platelets – while ensuring continued alignment of this business with the Company’s broader strategic objectives. If we have not correctly identified the product categories with the greatest growth potential, we will not allocate our resources appropriately which could have a material adverse effect on our business, financial condition or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reductions in purchasing from or loss of a significant customer could adversely affect our business.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fiscal 2026, our ten largest customers accounted for approximately 44% of our net revenues. A material portion of sales in our Plasma segment come from (and we anticipate will continue to come from) a limited number of customers. In fiscal 2026, one Plasma customer accounted for approximately 13% of total net revenues. Any non-renewal, termination, material reduction in purchasing or material reduction in per unit pricing by any of our largest customers for any reason, including material decreases in demand for plasma or development of alternative processes, could have a material adverse effect on our business, financial condition or results or operations.</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successfully expand our product lines through internal research and new product development or keep pace with rapid technological changes in the healthcare industry, our business may be materially and adversely affected.</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significant element of our strategy is to increase revenue growth by focusing on innovation and new product development. The medical device markets in which we participate, however, are highly competitive. We encounter significant competition across our product lines and in each market in which our products are sold from various medical device companies, some of whom have greater financial and marketing resources than we do. In addition, the medical device markets in which we participate and the healthcare industry generally are characterized by extensive research and development and rapid technological change.</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New product development requires significant investment in research and development, clinical trials and regulatory approvals. The results of our product development efforts may be affected by a number of factors, including our ability to anticipate customer needs, innovate and develop new products and technologies, effectively use artificial intelligence (“AI”) and machine learning capabilities, successfully complete clinical trials, obtain regulatory approvals in the United States and abroad, manufacture products in a cost-effective manner, obtain appropriate intellectual property protection for our products, gain and maintain market acceptance of our products, and comply with existing and future regulatory requirements. In addition, patents attained by others could preclude or delay our commercialization of a product. There can be no assurance that any products now in development or that we may seek to develop in the future will achieve technological feasibility, obtain regulatory approval or gain market acceptance. If we fail to develop new products or enhance existing products, or if competitive technologies or therapeutic alternatives to plasma-derived pharmaceuticals in development, such as FcRn-targeted therapies, emerge and gain market acceptance, such events could have a material adverse effect on our business, financial condition or results of operations. In addition, a delay in the timing of the launch of next-generation products and the overall performance of, and continued customer confidence in, those products may result in declines in our market share and have an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quality issues associated with our products could adversely affect the results of operations.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serious and costly consequences of product failure. Manufacturing or design defects, component failures, 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the FDA or similar governmental authorities in other countries),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business development activities are unsuccessful, we may not realize the intended benefits.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sought and in the future may seek to supplement our organic growth through strategic acquisitions, investments and alliances, including our acquisitions of Vivasure Medical Limited, OpSens Inc. and Attune Medical. We have also sought and in the future may seek to divest certain assets deemed non-core to our long-term strategic objectives, including our divestiture in January 2025 of the Whole Blood product line and related assets within our Blood Center business unit. Such transactions are inherently risky and require significant effort and management attention. The success of any acquisition, investment or alliance, or of any divestiture, may be affected by a number of factors, including our ability to properly assess and value the potential business opportunity or to successfully integrate any business we may acquire into our existing business.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Promising partnerships and acquisitions may also not be completed for reasons such as competition among prospective partners or buyers, the inability to reach satisfactory terms, the need for regulatory approvals or the existence of economic conditions affecting our access to capital for acquisitions and other capital investments. If we are successful in completing partnerships and acquisitions, we may be required to expend significant funds, incur additional debt or other obligations, or issue additional securities, which may negatively affect our operating results and financial condition. If we spend significant funds or incur additional debt or obligations, our ability to obtain financing for working capital or other purposes could be adversely affected, and we may be more vulnerable to economic downturns and competitive pressures.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our business development activities are unsuccessful, we may not realize the intended benefits of such activities, including that acquisition and integration costs may be greater than expected or the possibility that expected return on investment synergies and accretion, or on new growth opportunities funded in whole or part by divestitures, will not be realized or will not be realized within the expected timeframe.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systems and subject to privacy and security laws and a cyber-attack or other breach of these systems could have a material adverse effect on our business, financial condition or results of operations.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increasingly rely on information technology systems, including cloud-based computing, to process, transmit and store electronic information for our day-to-day operations and for our customers, including sensitive personal information and proprietary or confidential information. Additionally, certain of our products collect data regarding patients and donors and connect to our systems for maintenance and other purposes or are actively managed by Haemonetics on behalf of specific customers. Similar to other large multi-national companies, the size and complexity of our information technology systems makes them vulnerable to a cyber-attack, malicious intrusion, breakdown, destruction, loss of data privacy, or other significant disruption. We outsource certain elements of our information technology systems to third parties that, as a result of this outsourcing, could have access to certain confidential information and whose systems may also be vulnerable to these types of attacks or disruptions. While we conduct security risk assessments prior to engaging third-party suppliers and other vendors and business partners to validate that they maintain appropriate safeguards to protect our and their information systems in connection with the services they provide, it is possible that they suffer a cyber-attack that impacts us, our suppliers or our customers. Security threats, including cyber and other attacks are becoming increasingly sophisticated, frequent, and adaptive and, like other large multi-national companies, we have experienced cyber incidents in the past and may experience them in the future. Accordingly,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This includes opportunities as well as risks associated with the integration of AI into our or our suppliers’ or customers’ operations. While AI presents significant opportunities for innovation and efficiency, it could also introduce new risks in managing information systems and in the cybersecurity threat landscape. Based on the information available as of the date of this Annual Report on Form 10-K, we are not aware of any risks from cybersecurity threats, including as a result of any previous cybersecurity incidents, that have materially affected or are reasonably likely to materially affect us, including our business strategy, results of operation or financial condition. While we have invested and continue to invest in the protection of personal information and proprietary or confidential information, there can be no assurance that our efforts will prevent cyber-attacks, intrusions, breakdowns or other incidents or ensure compliance with all applicable securities and privacy laws, regulations and standards. In addition, third parties may attempt to hack into our products to obtain data relating to patients with our products or our proprietary information. Emerging technologies such as generative AI may be used by malicious actors to create more targeted phishing narratives or otherwise strengthen social engineering capabilities, which may increase our threat landscape. Any failure by us or third parties we work with to maintain or protect our respective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3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Additionally, the legal and regulatory environment surrounding information security and privacy is increasingly demanding, with the imposition of new and changing requirements across businesses, including rules requiring timely public disclosure of cybersecurity incidents. We are required to comply with increasingly complex and changing legal and regulatory requirements that govern the collection, use, storage, security, transfer, disclosure and other processing of personal data in the United States and in other countries, including, but not limited to, HIPAA, HITECH, the California Consumer Privacy Act (“CCPA), the California Privacy Rights Act, and the EU’s General Data Protection Regulation (“GDPR”). The GDPR imposes stringent EU data protection requirements and provides for significant penalties for noncompliance. HIPAA also imposes stringent data privacy and security requirements and the regulatory authority has imposed significant fines and penalties on organizations found to be out of compliance. CCPA provides consumers with a private right of action against companies who have a security breach due to lack of appropriate security measures, and several other U.S. states have introduced or proposed similar privacy laws which may apply to us directly or indirectly through our customers, manufacturers, suppliers or other third-party partners. In addition, information security and privacy laws continue to come into effect in China and other countries where we conduct business. We or our third-party providers and business partners may also be subjected to audits or investigations by one or more domestic or foreign government agencies relating to compliance with information security and privacy laws and regulations, and noncompliance with the laws and regulations could result in material fines or litigation.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 inability to successfully manage the implementation of our new global enterprise resource planning system could adversely affect our operations and operating results.</w:t>
      </w:r>
    </w:p>
    <w:p>
      <w:pPr>
        <w:spacing w:after="0" w:line="1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in the process of implementing a new global enterprise resource planning system. This system will replace many of our existing operating and financial systems. The implementation is a major undertaking, both financially and from a management and personnel perspective. Any material disruptions, delays or deficiencies in the design and implementation of our new enterprise resource planning system could adversely affect our ability to process orders, ship products, provide services and customer support, send invoices and track payments, fulfill contractual obligations or otherwise operate our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outsource certain aspects of our business to a single third-party vendor that subjects us to risks, including disruptions in business and increased costs.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we rely on a single vendor to support several of our business processes, including customer service and support and elements of enterprise technology, procurement, accounting and human resources. We make diligent efforts to ensure that the provider of these outsourced services is observing proper internal control practices. However, there are no guarantees that failures will not occur, including as a result of cyber-attacks. Accordingly, we are subject to the risks associated with the vendor’s ability to successfully provide the necessary services to meet our needs.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our vendor is unable to adequately protect our data or information is lost, if our ability to deliver our services is interrupted (including as a result of significant outbreaks of disease, natural disasters, extreme weather and other conditions caused by or related to climate change, strikes, terrorism attacks, cyber incidents or other adverse events in the countries in which the vendor operates), if our vendor's fees are higher than expected, if our vendor makes mistakes in the execution of operations support, or if the vendor terminates our relationship, then our business and operating results may be negatively affected.</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Consolidation of healthcare providers and blood collectors, healthcare cost containment pressures, government payment and delivery system reforms and changes in private payer policies could decrease demand for our products, the prices which customers are willing to pay for those products and/or the number of procedures performed using our devices, which could have an adverse effect on our business, financial condition and results of operations.</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Political, economic and policy influences are causing the healthcare and blood collection industries to make substantial structural and financial changes that affect our results of operations. Government and private sector initiatives limiting the growth of healthcare costs are causing structural reforms in healthcare delivery, including the reduction in blood use and reduced payments for care. These trends have placed greater pricing pressure on suppliers and, in some cases, decreased average selling prices and increased the number of sole source relationships. This pressure impacts our Hospital and Blood Center businesses. Our vascular closure devices, for example, are often perceived as physician preference devices with a relatively higher price point compared to certain vascular closure alternatives such as sutures or manual compression, and purchases are commonly made by a hospital only after approval by its value analysis committee. If a hospital value analysis committee does not approve or revokes prior approval for any of the reasons set forth above, the demand for our vascular closure devices may decrease and we could experience an adverse effect on our results of operations or financial condition. Additionally, the influence of integrated delivery networks, group purchasing organizations and large single accounts has the potential to put price pressure on our Hospital business.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1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 interruption in our ability to manufacture our products, obtain key components or raw materials, or the failure of a sole source supplier or sterilization service provider may adversely affect our business.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 complex global supply chain that involves integrating key suppliers and our manufacturing capacity into a global movement of components and finished goods. This complexity is enhanced by global macroeconomic conditions and uncertainty, including inflation, tariffs, interest rates, monetary policy, exchange rates and geopolitical developments.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manufacture certain key disposables and devices at single locations with limited alternate facilities. If natural disasters, extreme weather and other conditions caused by or related to climate change, strikes, terrorism attacks, cyber incidents or other adverse events occur that result in the closure of or damage to one or more of these facilities, we may be unable to supply the relevant products at previous levels or at all for some period. Additionally, for reasons of quality assurance or cost effectiveness, we purchase certain finished goods, components and raw materials from sole suppliers who have their own complex supply chains. We have experienced increased levels of unpredictability in the supply of certain raw materials and components used in the manufacturing of our products. While we continue to believe we will have access to the raw materials and components that we need, any disruption to one or more of our suppliers’ production or delivery of sufficient volumes of raw materials and components conforming to our specifications could disrupt or delay our ability to deliver finished products to our customers. For example, we purchase components in Asia for use in manufacturing in the U.S. and Mexico. We source all of our apheresis equipment from Asia and regularly ship finished goods from the U.S. and Mexico to the rest of the world.</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products also require sterilization prior to sale or distribution and we utilize contract sterilizers to perform this service. To the extent our contract sterilizers are unable to sterilize our products, whether due to capacity, availability of materials for sterilization, regulatory or other constraints, including federal and state regulations on the use of ethylene oxide, we may be unable to transition to alternative resources or methods in a timely or cost effective manner, or at all, which could have a material impact on our results of operations and financial condition.</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we manufacture our VASCADE vascular closure devices under a shelter plan service agreement with Offshore International Incorporated (d/b/a Tetakawi) pursuant to which we lease our manufacturing facility in Guaymas, Mexico. Tetakawi is responsible for a number of ongoing services related to the facility, including provision of external security and maintenance, manufacturing personnel related human resource matters, recruiting support, government compliance, workforce transportation and cross-border shipping of raw components. We are reliant on Tetakawi to provide these services and any disruption in these services or our failure to maintain our contractual relationship with Tetakawi could significantly harm our ability to manufacture our vascular closure devices and maintain sufficient quality standards, which would negatively impact our business and results of operations.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Due to the high standards and stringent requirements of the FDA and other similar non-U.S. regulatory agencies applicable to manufacturing our products, such as the FDA’s QMSR and cGMP regulations, we also may not be able to quickly establish additional or replacement sources for certain raw materials, components or finished goods. A reduction or interruption in manufacturing, or an inability to secure alternative sources of raw materials, components or finished goods on commercially reasonable terms or in a timely manner, could compromise our ability to manufacture our products on a timely and cost-competitive basis, which may have a material adverse effect on our business, financial condition and results of operations.</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the cost, composition or availability of the plastics we purchase, or of other raw materials and components used in our products, could adversely affect our business, financial condition and results of operations.</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results of operations could be materially negatively impacted by volatility in the cost or availability of plastic raw materials used in our disposable products as well as other raw materials and components used in our products that, in turn, increase the costs of producing and distributing our products. In recent years, we have experienced inflationary pressures that have significantly increased the cost of raw materials, transportation, construction, services and energy necessary for the production and distribution of our products. The global macroeconomic environment has continued to present challenging conditions and uncertainty, including around inflation, tariffs, interest rates, monetary policy, exchange rates and geopolitical developments, which could adversely impact our business, financial condition, cash flows and results of operations. While we have implemented cost containment measures, selective price increases and taken other actions to offset these inflationary pressures and potential limitations in our global supply chain, we may not be able to completely offset all the increases in our operational costs and ensure the continued availability of materials we use. Additionally, climate change (including laws or regulations passed in response thereto) could increase our supply costs, including energy and transportation/freight-related expenses, or reduce the availability of raw materials.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composition of the plastic we purchase is also important. Due to regulatory changes and evolving customer expectations, we may be required to remove materials such as phthalates or PFAS from our devices, find alternative materials which then need to be validated or obtain regulatory approvals from the regulatory authorities for a number of products.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not experienced significant shortages in the past, any interruption in the supply for plastics and other raw materials used in our products could have a material impact on our business by limiting our ability to manufacture and sell products. These outcomes may in turn result in customers transitioning to available competitive products, loss of market share, negative publicity, reputational damage, loss of customer confidence or other negative consequences (including a decline in stock price).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we expect from cost reduction initiatives.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implemented various cost reduction initiatives to align our cost structure with our operations and ongoing portfolio rationalization activities. During the first quarter of fiscal 2026, our Board of Directors approved our ongoing market and regional alignment initiative, a company-wide restructuring initiative designed to improve operational performance and reduce costs by directing the Company’s resources toward the markets and geographies that offer the greatest growth and portfolio advancement opportunities, and delegated authority to the Company's management to determine the details of the specific actions that will comprise the initiative. While cost savings from this initiative to date have been consistent with our expectations, it is possible that events and circumstances, such as financial or strategic difficulties, delays and unexpected costs may occur that could result in our not realizing all of the anticipated benefits or our not realizing the anticipated benefits on our expected timetable. Our market and regional alignment initiative could also yield unintended consequences, such as business disruption, the loss of institutional knowledge as a result of turnover and reduced employee productivity, which could negatively affect our business, sales, financial condition and results of operations. Our inability to realize all of the anticipated benefits from our market and regional alignment initiative could have a material adverse effect on our business, results of operations, cash flows and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a medical device manufacturer, we operate in a highly regulated industry, and non-compliance with applicable laws or regulations could adversely affect our financial condition and results of operations.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manufacture, distribution and marketing of our products are subject to extensive regulation by the FDA and other state and non-U.S. regulatory bodies. Our operations are also subject to review and monitoring by the FDA and other regulatory authorities. Government regulation of medical devices is meant to assure their safety and effectiveness, and includes regulation of, among other things, the product’s development, testing, premarket clearance, de novo classification or approval, manufacture, marketing, labeling, post-market surveillance, reporting, and imports and exports. Before a new medical device, or a new use of an existing product, can be marketed in the United States, it must first receive either premarket clearance under Section 510(k) of the FDCA, a grant of a request for de novo classification or a premarket approval, or PMA, from the FDA, unless an exemption applies. For example, in 2025 Vivasure submitted a PMA application to the FDA for the PerQseal Elite arterial closure system that is currently under FDA review. The process of obtaining regulatory authorization to market a medical device can be costly and time-consuming, and we may not be able to obtain these authorizations on a timely basis, if at all.</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Many of our currently commercialized products have received 510(k) clearance. In the future, the FDA may determine that our products, as they currently exist or as they may be changed in the future, will require more costly, lengthy and uncertain de novo classification or PMA processes. Modifications to Class</w:t>
      </w:r>
    </w:p>
    <w:p>
      <w:pPr>
        <w:jc w:val="both"/>
        <w:ind w:firstLine="6"/>
        <w:spacing w:after="0" w:line="246" w:lineRule="auto"/>
        <w:tabs>
          <w:tab w:leader="none" w:pos="2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like our vascular closure products, may require additional clinical studies or supplemental PMA submissions. If the FDA requires us to go through a lengthier, more rigorous process for future products or modifications to existing products, our product introductions or modifications could be delayed or canceled, which could adversely affect our revenue. In particular, the FDA has recently placed increased scrutiny on cybersecurity for medical devices, which may necessitate additional time and cost for product development, submission and approval, de novo classification or clearance. In addition, even if we do obtain clearance, de novo classification or approval, the FDA may not authorize these products for the indications that we requested. Any delay in, or failure to receive or maintain, clearances, de novo classifications or approvals for our products under development could prevent us from generating revenue from these products.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substantially comply with applicable regulations could subject our products to recall or seizure of our products by government authorities, or an order to suspend manufacturing and distribution activities. If our products were determined to have design or manufacturing flaws, this could also result in their recall or seizure. Either of these situations could also result in administrative actions like untitled or warning letters or in the imposition of fines and other penalties or sanctions.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products are also subject to approval and regulation by foreign regulatory and safety agencies. For example, the EU has adopted the EU Medical Device Regulation, or EU MDR, and the EU In Vitro Diagnostic Regulation, or EU IVDR, each of which impose stricter requirements for the marketing and sale of medical devices beyond those of the current medical device directives they replace, including in the area of clinical evaluation requirements, quality systems and post-market surveillance. Complying with the requirements of these regulations may require us to incur significant expenditures and we may experience delays that negatively impact the ability to sell our full suite of products in certain jurisdictions. Similarly, the separation of states from participation in the EU, such as Brexit and Swexit, may result in further regulatory risk and complexity as the former EU member or participant state establishes separate laws and regulations governing medical products. More stringent regulations have also been introduced in many countries outside of Europe that previously did not have medical device regulations, had minimal regulations or relied on reciprocal recognition of approval in other markets. Failure to meet these requirements could adversely impact our business in the EU and other applicable regions.</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Additionally, FDA and foreign regulations and guidance are often revised or reinterpreted by the FDA and foreign counterparts in ways that may significantly affect our business and our products. Any new statutes, regulations or revisions or reinterpretations of existing regulations may impose additional costs or lengthen review times of any future products or make it more difficult to obtain clearance, approval, or certification to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approval, or certification; changes to manufacturing methods; recall, replacement or discontinuance of our products; or additional record keeping. For example, on February 2, 2026, the FDA’s final rule implementing the QMSR became effective. The QMSR, which replaced the FDA’s former Quality System Regulation, sets forth the FDA’s cGMP requirements for medical devices, and among other things, incorporates by reference certain elements of the quality management system requirements of ISO 13485:2016. Although the FDA has stated that the standards contained in ISO 13485:216 are substantially similar to those set forth in the QSR, and although we have obtained ISO 13485:2016 certification for our quality management system,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which align more closely with FDA’s existing medical device requirements than with ISO standards. Accordingly, it remains unclear the extent to which the QMSR may impose additional or different regulatory requirements on us that could increase the costs of compliance or otherwise negatively affect our business. If we are unable to comply with QMSR or with any other changes in the laws or regulations enforced by FDA or comparable regulatory authorities, we may be subject to enforcement action, which could have an adverse effect on our business, financial condition and results of operations.</w:t>
      </w:r>
    </w:p>
    <w:p>
      <w:pPr>
        <w:spacing w:after="0" w:line="12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laws and regulations governing the manufacture and production of our products, our products could be subject to restrictions or withdrawal from the market.</w:t>
      </w:r>
    </w:p>
    <w:p>
      <w:pPr>
        <w:spacing w:after="0" w:line="1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Any product for which we obtain clearance, de novo classification or approval, and the manufacturing processes, reporting requirements, post-approval clinical data and promotional activities for such product, will be subject to continued regulatory review and oversight, and our facilities will be subject to periodic inspection (both routine and unannounced) by the FDA and other domestic and foreign regulatory bodies. In particular, we and our third-party suppliers must comply with the FDA’s QMSR or cGMP requirements (depending on the products at issue), which address, among other things, the methods of documentation of the design, testing, production, control, quality assurance, labeling, packaging, sterilization, storage and shipping of our products.</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future failure by us or one of our suppliers to comply with applicable statutes and regulations administered by the FDA or other regulatory authority could result in administrative actions, field actions, or civil or criminal enforcement actions.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Furthermore, our key component suppliers may not currently be or may not continue to be in compliance with all applicable regulatory requirements, which could result in our failure to produce our products on a timely basis and in the required quantities, if at all. Any sanctions by the FDA or other regulatory authority could have a material adverse effect on our reputation, business, results of operations and financial condition.</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subject to environmental laws, which are becoming more stringent throughout the world. For example, the U.S. Environmental Protection Agency regulates the use of ethylene oxide for sterilization of medical devices, and is increasingly focused on reducing emissions from the ethylene oxide sterilization process, which could increase our costs of operations and necessitate changes to our manufacturing plants and processes. Other environmental laws may have similar consequences to us or our suppliers, or result in liability to us. Additionally, increased environmental regulation, including the enactment of laws and regulations to address climate change, may increase our compliance costs or restrict certain aspects of our activities.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medical device manufacturer, we are subject to safety reporting requirements.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FDA’s medical device reporting regulations, medical device manufacturers are required to report to the FDA information of which they become aware that a device has or may have caused or contributed to a death or serious injury or malfunctioned in a way that would likely cause or contribute to a death or serious injury if the malfunction of the device or one of our similar devices were to recur. Similar reporting requirements exist in some of the other jurisdictions in which we operate. Failure to report these events to the FDA or other applicable regulatory authorities within the required timeframes, or at all, could lead to enforcement actions, fines and criminal sanctions against us.</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payers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and expandable systems to comply with different compliance or reporting requirements in multiple jurisdictions increase the possibility that a healthcare company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do not comply with applicable fraud and abuse or other healthcare laws and regulations or guidance, or anti-bribery laws such as the Foreign Corrupt Practices Act of 1977, or equivalent laws in other jurisdictions.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not to be in compliance with applicable laws, they may be subject to criminal, civil or administrative sanctions, including exclusions from government funded healthcare programs.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3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have a material impact on our financial condition, results of operations and/or liquidity.</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income taxes, non-income based taxes and tax audits in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applicable tax laws and regulations, or their interpretation and application, including the possibility of retroactive effect, could affect our income tax expense and profitability, as they did in fiscal 2017 and fiscal 2018 upon passage of the U.S. Tax Cuts and Jobs Act, and in 2020 with the passage of the Coronavirus Aid, Relief, and Economic Security Act. Certain provisions of the Inflation Reduction Act passed in 2022, including a 15% corporate alternative minimum tax, as well as the similar 15% global minimum tax under the Organization for Economic Cooperation and Development's Pillar Two Global Anti-Base Erosion Rules, may impact our income tax expense, profitability, and capital allocation decisions. The Pillar Two Global Anti-Base Erosion Rules are currently effective in some of the jurisdictions in which we operate. Other countries are considering enacting laws consistent with the Pillar Two rules, while others have yet to announce their intention to adopt. The United States has not enacted the Pillar Two global minimum tax, and in June 2025, the G7 countries announced an agreement to exempt U.S. companies from certain elements of the Pillar Two framework. While we continue to monitor legislative adoption of Pillar Two by country, as well as for additional guidance from the OECD, there is significant uncertainty that exists regarding the interpretation of the detailed Pillar Two rules, whether such rules will be implemented consistently across taxing jurisdictions, how such rules interact with existing national tax laws and whether such rules are consistent with existing tax treaty obligations. Accordingly, the final adoption, implementation, and interpretation of Pillar Two across all jurisdictions where we do business could have a material adverse impact on our financial condition, results of operations and cash flows.</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One Big Beautiful Bill Act (“OBBBA”) was enacted in the U.S. on July 4, 2025. The OBBBA legislation provides for the permanent extension of certain expiring provisions of the Tax Cuts and Jobs Act of 2017, revisions to the international tax framework and the reinstatement of favorable tax treatment for certain business provisions. The legislation has multiple effective dates, with certain provisions effective in 2025 and others implemented in future periods. The Company has accounted for the impact of the OBBBA on the Company’s consolidated financial statements and has determined that it has no material impact on the reported tax rate in the current year.</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expand the scale of our international business activities, any changes in the U.S. or foreign taxation of such activities may increase our worldwide effective tax rate and harm our business, financial condition and results of operations. Such changes may also apply prospectively or retroactively to our historical operations and result in taxes greater than the amounts estimated and recorded in our consolidated financial statements, and any such changes could have a material impact on our effective tax rate and on our business,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Obligations and Indebtedness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that may decrease our business flexibility, access to capital, and/or increase our borrowing costs, and we may still incur additional debt in the future, which may adversely affect our operations and financial results.</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April 2024, the Company entered into a second amended and restated credit agreement with certain lenders to refinance the existing senior unsecured term loan and senior unsecured revolving credit facility and extend their maturity date through April 2029. The second amended and restated credit agreement provides for a $250.0 million senior unsecured term loan and a $750.0 million senior unsecured revolving credit facility, or together, the 2024 Revised Credit Facilities. In May 2024, the Company issued $700.0 million aggregate principal amount of indebtedness under the Company’s convertible notes due 2029 (“2029 Notes”), and used $230.0 million of the proceeds to repay the entirety of the previously outstanding balance under the Company’s senior unsecured revolving credit facility and $185.5 million of the proceeds to repurchase $200.0 million in aggregate principal amount of the Company’s convertible senior notes due 2026 (“2026 Notes”). In March 2026, the Company repaid the remaining $300.0 million balance of the 2026 Notes at maturity, funded by cash on hand and $300.0 million of borrowings under the Company’s revolving credit facility. As of March 28, 2026, the Company had $239.1 million of debt outstanding under the senior unsecured term loan, $700.0 million aggregate principal amount of indebtedness under the 2029 Notes, and $300.0 million outstanding under the revolving credit facility.</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2024 Revised Credit Facilities contain financial covenants that require us to maintain specified financial ratios that may limit our ability to borrow additional funds and that require us to make interest and principal payments. As of March 28, 2026, we were in compliance with the covenants pursuant to our 2024 Revised Credit Facilities, and we currently forecast that we will be in compliance with these covenants through the period ending April 3, 2027.</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2029 Notes, if triggered, may adversely affect our financial condition and operating results.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Under certain circumstances, the noteholders may convert their 2029 Notes at their option prior to their scheduled maturity. If one or more noteholders elect to convert their 2029 Notes, we would be required to settle a portion or all of our conversion obligation through the payment of cash, which could adversely affect our liquidity. In addition, holders of our Notes will have the right to require us to repurchase their 2029 Notes upon the occurrence of a fundamental change (as defined in the applicable indenture (the “Indenture”)), at a repurchase price equal to the principal amount of the 2029 Notes to be repurchased, plus accrued and unpaid special interest, if any, to but not including, the fundamental change repurchase date. We may not have enough available cash or be able to obtain financing at the time we are required to repurchase the 2029 Notes or pay the cash amounts due upon conversion. In addition, applicable law, regulatory authorities and the agreements governing our other indebtedness may restrict our ability to repurchase the 2029 Notes or pay the cash amounts due upon conversion. Our failure to repurchase the 2029 Notes or to pay the cash amounts due upon conversion when required will constitute a default under the Indenture. A default under the Indenture or the fundamental change itself could also lead to a default under agreements governing our other indebtedness, including our 2024 Revised Credit Facilities, which may result in that other indebtedness becoming immediately payable in full. We may not have sufficient funds to satisfy all amounts due under the other indebtedness and the 2029 Notes.</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Even if holders do not elect to convert their 2029 Notes, we could be required under applicable accounting rules to reclassify all or a portion of the outstanding principal of the 2029 Notes as a current rather than long-term liability, which would result in a material reduction of our net working capital.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2029 Notes and our common stock.</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2029 Notes, we entered into privately negotiated capped call transactions (the “Capped Call Transactions”) with certain financial institutions (the “Option Counterparties”). The Capped Call Transactions are expected generally to reduce the potential dilution to our common stock upon any conversion of the 2029 Notes and/or offset any potential cash payments we are required to make in excess of the principal amount of converted 2029 Notes, as the case may be, with such reduction and/or offset subject to a cap.</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From time to time,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2029 Notes. This activity could also cause or avoid an increase or a decrease in the market price of our common stock or the 2029 Notes.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are subject to the risk that one or more of the Option Counterparties may default or otherwise fail to perform, or may exercise certain rights to terminate, their obligations under the Capped Call Transactions. Our exposure to the credit risk of the option counterparties is not secured by any collateral. Past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the time under such transactions with such Option Counterparty. Our exposure depends on many factors, but our exposure will generally increase if the market price or the volatility of our common stock increases. In addition, upon default by an Option Counterparty, we may suffer more dilution than we currently anticipate with respect to our common stock. We can provide no assurances as to the financial stability or viability of the Option Counterparties.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Indentures could delay or prevent an otherwise beneficial takeover of us.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provisions in the 2029 Notes and the Indentures could make a third party attempt to acquire us more difficult or expensive. For example, if a takeover constitutes a fundamental change, then noteholders will have the right to require us to repurchase their 2029 Notes for cash. In addition, if a takeover constitutes a make-whole fundamental change, then we may be required to temporarily increase the conversion rate. In either case, and in other cases, our obligations under the 2029 Notes and the Indentures could increase the cost of acquiring us or otherwise discourage a third party from acquiring us or removing incumbent management, including in a transaction that noteholders or holders of our common stock may view as favorable.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2029 Notes may dilute the ownership interest of existing stockholders.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conversion of some or all of the 2029 Notes will dilute the ownership interests of existing stockholders to the extent we deliver shares of our common stock upon conversion of any of the 2029 Notes. Any sales in the public market of the common stock issuable upon such conversion could adversely affect our common stock’s prevailing market prices. In addition, the existence of the 2029 Notes may encourage short selling by market participants because the conversion of the 2029 Notes could be used to satisfy short positions, or anticipated conversion of the 2029 Notes into shares of our common stock could depress the price of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Internationally</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substantial amount of our revenue comes from outside the U.S., we are subject to geopolitical events, economic volatility, violations of anti-corruption laws, export and import restrictions and tariffs, decisions by local regulatory authorities and the laws and medical practices in foreign jurisdictions.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market and sell our products in approximately 90 countries and have distributors in approximately 87 of these countries. This exposes us to currency fluctuation, geopolitical risk, economic volatility, anti-corruption laws, export and import restrictions, local regulatory authorities and the laws and medical practices in foreign jurisdictions. Recently, the U.S. government implemented substantial changes to U.S. trade policies, including increased tariffs and changes to multilateral trade agreements. Additionally, the President of the United States has directed various federal agencies to further evaluate key aspects of U.S. trade policy and there has been ongoing discussion and commentary regarding potential significant changes to U.S. trade policies, treaties and tariffs. Global trade policy continues to evolve and the ultimate impact of recent developments with respect to U.S. tariffs is unclear.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These changes could prevent or make it difficult or more expensive for us to obtain the materials or components needed for new products. Tariff increases could negatively impact our costs and/or require us to increase our prices, which likely would decrease customer demand for our products. Retaliatory tariff and trade measures imposed by other countries could affect our ability to export products and therefore adversely affect our sales. Any significant changes in current U.S. trade or other policies that restrict imports or increase import tariffs could have a material adverse effect upon our results of operations. Further, in addition to fluctuations in foreign exchange rates, discussed below, our business in markets outside the United States is subject to changing political, social and geopolitical conditions, such as tensions between China and Taiwan and the wars in Ukraine, Iran and other parts of the Middle East, including any political instability resulting from war, terrorism, insurrections and civil unrest, and changing economic conditions in these markets, such as inflation, deflation, interest rate volatility and credit availability. Additionally, a number of factors, including U.S. relations with the governments of the foreign countries in which we operate, changes to international trade agreements and treaties, changes in tax laws and regulations, economic sanctions (including those imposed by the U.S. and other governments against Russia), export controls, restrictions on the ability to transfer capital across borders, tariffs and other increases in trade protectionism and barriers to market participation, or the weakening or loss of certain intellectual property protection rights in some countries, may affect our business, financial condition and results of operations. Many of these risks are rapidly evolving and subject to an accelerating pace of change. We are continuing to monitor the situations in Ukraine, Iran and other parts of the Middle East and globally as well as to assess its potential impact on our business. Although our business in Russia accounted for less than 1% of fiscal 2026 net revenues, a significant escalation or further expansion of the conflict’s current scope or related disruptions to the global markets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international operations are governed by the U.S. Foreign Corrupt Practices Act, or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87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Export of U.S. technology or goods manufactured in the U.S. to some jurisdictions requires special U.S. export authorization or local market controls that may be influenced by factors, including political dynamics, outside our control.</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are risks with doing business in emerging economies, such as Brazil, Russia, India and China. These economies tend to have less mature product regulatory systems and more volatile financial markets. In addition, the government-controlled healthcare system’s ability to invest in our products and systems may abruptly shift due to changing government priorities, geopolitical events or funding capacity. Our ability to sell products in these economies is dependent upon, among other factors,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also exposed to a higher degree of financial risk if we extend credit to customers in these economies.</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many of the international markets in which we do business, including certain parts of Europe, South America, the Middle East and Asia, our employees, agents or distributors offer to sell our products in response to public tenders issued by various governmental agencies.</w:t>
      </w:r>
    </w:p>
    <w:p>
      <w:pPr>
        <w:spacing w:after="0" w:line="10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adversely affect our cash flows and results of operations.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International revenues and expenses account for a substantial portion of our operations. In fiscal 2026, our international revenues accounted for 26.4%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amounts that have been accrued.</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subject to taxation in numerous countries, states and other jurisdictions. In preparing our consolidated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Certain provisions of the Inflation Reduction Act passed in 2022, including a 15% corporate alternative minimum tax, as well as the similar 15% global minimum tax under the Organization for Economic Cooperation and Development's Pillar Two Global Anti-Base Erosion Rules, may impact our income tax expense, profitability, and capital allocation decisions. The Pillar Two Global Anti-Base Erosion Rules are currently effective in some of the jurisdictions in which we operate. The United States has not enacted the Pillar Two global minimum tax and, in June 2025, the G7 countries announced an agreement to exempt U.S. companies from certain elements of the Pillar Two framework.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Litigation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our intellectual property may be subject to misappropriation in some countries.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countries, particularly China and Russia, do not enforce compliance with laws that protect intellectual property rights with the same degree of vigor as is available under the U.S. and European systems of justice. 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intellectual property litigation could be costly and disruptive to us.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 As described in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within the consolidated financial statements in Item 8 of this Annual Report on Form 10-K, we are currently party to intellectual property litigation. Intellectual property litigation that we institute from time to time may be settled on terms less favorable than desired or we may encounter challenges in enforcing judgments in our favor that require additional legal action, which could affect our financial performance and strategic objectives. Additionally, in the event that our right to market any of our products is successfully challenged, we may be required to obtain a license on terms which may not be favorable to us, if at all. If we fail to obtain a required license or are unable to design around a patent, our business, financial condition or results of operations could be materially adversely affected.</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determined to infringe on another party’s patent, which could lead to financial losses or adversely affect our ability to market our products.</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 or otherwise have an adverse effect on our results of operations. In addition, competitors may patent technological advances that may give them a competitive advantage or create barriers to entry.</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guard against the risk of infringement of intellectual property rights held by third parties we conduct freedom to operate studies through qualified counsel on all newly developed or acquired technologies. While we believe this practice is reasonable and adequate, there is risk that third-party patents or trademarks were not identified in such studies or that litigation outcomes regarding infringement or validity may be contrary to our understanding of the facts or the established law.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susceptible to significant product liability claims. Pending and future product liability claims and other litigation may adversely affect our financial condition and results of operations or liquidity, and they also have the potential to damage our reputation, impair our ability to market our products and impact our ability to maintain applicable insurance coverage on reasonable terms or at all.</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medical devices we design, manufacture, and market are used by health care professionals in connection with the treatment of patients and the collection of blood or blood components from donors. As with all medical technologies, the use of our products involves inherent risks, including potential injury or death to patients or donors. Additionally, if the health care professionals that utilize our products are not properly trained, are negligent in using our products or use our products “off-label,” the capabilities of our products may be diminished or the patient may suffer critical injury. As a result, we are exposed to potential product liability claims alleging that the use of our devices caused adverse outcomes due to factors such as design defects, manufacturing flaws, inadequate labeling, failure to warn or misuse. Product liability lawsuits, whether or not they have merit, can be costly to defend, divert management’s attention, and damage our reputation in the marketplace. Adverse judgments or settlements could result in significant monetary damages or injunctive relief that limits or prohibits the sale of our products. In addition, such claims may prompt regulatory investigations, product recalls, safety alerts, or enhanced reporting and post-market surveillance requirements, any of which could further affect our operations and financial performance. We may face liability even when injuries are caused by user error, pre-existing health conditions, or off-label use of our devices. While we seek to ensure proper physician training, we cannot guarantee that all users are appropriately trained or use our products as intended.</w:t>
      </w:r>
    </w:p>
    <w:p>
      <w:pPr>
        <w:spacing w:after="0" w:line="13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Some of our products are also subject to performance guarantee programs, which may require us to compensate customers when clinical outcomes do not meet specified thresholds. Adverse events associated with these products could increase the frequency or cost of such payments.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that our current product liability insurance coverage is sufficient, there is no assurance that such coverage will be adequate to cover incurred liabilities or that we will be able to obtain acceptable product and professional liability coverage in the future. Additionally, we do not maintain third-party insurance coverage for all categories of potential liability, which increases our exposure to unanticipated claims and adverse decisions and these losses could have a material adverse effect on our financial condition, results of operations or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personnel needed to successfully operate the business and to plan for future executive transitions.</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to compete effectively depends on our ability to attract and retain key employees, including people in senior management, sales, marketing and R&amp;D positions, and to facilitate seamless leadership transitions for key positions. Our ability to recruit and retain key talent will depend on a number of factors, including hiring practices of our competitors, compensation and benefits, work location, work environment, hybrid work environment policies and industry economic conditions. If we fail to attract and retain key personnel in senior management and other positions, or if our succession planning efforts are not effective, it could have a material adverse effect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volatile and may fluctuate, and accordingly, the value of an investment in our common stock may also fluctuate.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Risk Factors, as well as economic and geopolitical conditions in general and to variability in the prevailing sentiment regarding our operations or business prospects, as well as, among other things, changing investment priorities of our shareholders. Because the market price of our common stock fluctuates significantly, shareholders may not be able to sell their shares at attractive prices.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programs, including under our existing share repurchase authorization, could affect the price of our common stock and increase volatility and may be suspended or terminated at any time, which may result in a decrease in the trading price of our common stock.</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 $500 million share repurchase authorization approved by our Board of Directors in April 2025 extends through April 2028. Under this share repurchase program, we are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is determined by us and depends on a number of factors, including market conditions, applicable legal requirements and compliance with the terms of loan covenants. The share repurchase program may be suspended, modified or discontinued at any time and we have no obligation to repurchase any amount of our common stock under the programs. Repurchases pursuant to our share repurchase program could affect our stock price and increase its volatility. The existence of a share repurchase program could also cause our stock price to be higher than it would be in the absence of such a program and could potentially reduce the market liquidity for our common stock. There can be no assurance that any share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program’s effectiveness. As of March 28, 2026, the total remaining authorization for repurchases of the Company’s common stock under the 2025 share repurchase program was $325.0 million. Refer to Note 7,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within the consolidated financial statements in Item 8 of this Annual Report on Form 10-K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responsibility matters.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There has been increased focus from certain regulatory bodies, investors, customers, employees and other stakeholders concerning corporate responsibility matters, including topics identified under the framework of Environmental, Social and Governance (“ESG”). Customer preferences or requirements may be influenced by company progress across various ESG topics related to, among other things, human capital and environmental impact matters. From time to time, we may announce certain initiatives, including goals, regarding corporate responsibility focus areas for our company. We may not achieve, or may be perceived as not achieving, against such initiatives, including as a result of changes in our business. The standards by which corporate responsibility efforts and related matters are measured are developing and evolving. For example, organizations that provide information to investors on corporate governance and related matters have developed ratings processes for evaluating companies on their respective approaches to corporate responsibility matters, which are increasingly being employed by investors, lenders, and customers to inform their investment, financing or purchasing decisions. Any failure, or perceived failure, to achieve against our corporate responsibility initiatives or to establish goals that align with stakeholder expectations could result in declines in our market share and have an adverse impact on our business, financial condition or results of operations, including as a result of reputational harm, an inability to attract customers, and an inability to attract and retain top talent.</w:t>
      </w:r>
    </w:p>
    <w:p>
      <w:pPr>
        <w:spacing w:after="0" w:line="1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could adversely affect our business, results of operations and financial condition.</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long-term effects of climate change are difficult to predict and may be widespread. Extreme weather or other conditions could adversely impact our operations and supply chain, including the variability and cost of raw materials and components required for the operation of our business. In addition, access to and pricing of certain natural resources, such as water, could impact our manufacturing operations. There has been increased focus by federal, international, state and local regulatory and legislative bodies and by other stakeholders such as customers and investors to combat and/or limit the effects of climate change. If legislation or regulations are enacted in jurisdictions in which we do business that are more stringent than our current obligations or other stakeholders effectively require more stringent compliance, we and companies in our supply chain may experience increased compliance burdens and costs to meet these obligations, which could cause disruption in the sourcing, manufacturing and distribution of our products and adversely affect our business, financial condition or results of operations. Additionally, the impacts of climate change may further include customer preferences and requirements. Failure to meet these preferences or requirements could potentially result in loss of market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or threatened public health crises could harm our business.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Global pandemics or other public health crises, such as the COVID-19 pandemic, could adversely impact our business, financial condition or results of operations, and those of our customers and suppliers, and any such future pandemics or public health crises could include disruptions in global economic activity, global supply chains and labor markets, operational challenges such as site shutdowns, workplace disruptions or limited provider capacity to perform procedures using our products, volatile financial market dynamics and significant volatility in price and availability of goods and services.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assess, identify and manage risks from cybersecurity threats through our global cybersecurity program. The program is managed by a full-time Chief Information Security Officer (“CISO”) whose organization manages our cybersecurity strategy, architecture, policies, standards and processes for the security of Haemonetics’ enterprise network and information assets. The CISO reports to our Chief Information Officer (“CIO”) and is supported by a dedicated security operations team. Our current CISO has over 20 years of information technology experience, including positions of increasing responsibility with respect to security architecture, software engineering, security operations and incident response.</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CISO’s organization monitors, manages and works to identify and assess, cybersecurity risks through various technologies, resources, processes and policies that are regularly updated to align with the changing threat landscape, our evolving business needs as well as global regulatory requirements. Our global cybersecurity program is aligned to the National Institute of Standards and Technology (“NIST”) Cybersecurity Framework and is certified to the ISO 27001 global standard on Information Security Management. Our cybersecurity program is closely integrated with our QMS under the ISO 13485 standard. Our program utilizes layered defenses to help protect against cybersecurity threats and to work to secure our assets, reduce detection time and improve recoverability. Among other things, this includes ongoing systems monitoring with support from a managed detection and response service provider and other third-party vendors to augment our monitoring and response capabilities, as well as a standardized incident response program with incident response team members participating in regularly scheduled management reviews and tabletop exercises. Our CISO and CIO conduct regular cross-functional management reviews of our programs, including with members of senior leadership. All employees and those contractors of the Company with access to our information systems receive annual cybersecurity awareness training, and we have integrated cybersecurity and data protection topics into our Code of Conduct. All critical information systems have a written business continuity plan that is exercised at least annually. The entire program is audited annually by both internal and third-party auditors.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Cybersecurity is also included in our product development life cycle and part of our vendor and business partner evaluation process. Our product development approach considers cybersecurity best practices and builds security controls into our product design. Haemonetics is a member of MedISAO, an industry organization dedicated to improving the security of medical devices, where security issues can be reported securely. We monitor our products for vulnerabilities and follow bulletins, patches and alerts posted to our download center or communicated directly to customers. Additionally, we conduct security risk assessments prior to engaging third-party suppliers and other vendors and business partners to validate that they maintain appropriate safeguards to protect our and their information systems in connection with services they provide. This risk assessment is heightened with respect to vendors or business partners that have access to personal information that we collect, maintain or use.</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evaluate cybersecurity risk as part of our broader enterprise risk framework. Our Board of Directors oversees Haemonetics’ enterprise-wide approach to risk management while our management team is responsible for managing risk on a day-to-day basis and for bringing to the Board’s attention material risks facing the Company, including with respect to cybersecurity threats. The Board focuses on the quality and scope of the Company’s risk management strategies and considers the most significant areas of risk inherent in the Company’s business strategies and operations as well as the steps that management is taking to mitigate those risks. We conduct an annual enterprise risk assessment – including consideration of cybersecurity risks – that is reviewed with the Board and Audit Committee and informs strategic priorities throughout the Company. Additionally, certain Board committees consider discrete categories of cybersecurity risk relating to their respective areas of responsibility. Our CISO reports at least annually on Haemonetics’ threat landscape and security programs to our Governance and Compliance Committee, which oversees Haemonetics’ compliance programs and policies regarding data privacy and cybersecurity risks associated with our information technology systems. Management also reports on these programs to the Audit Committee as needed and periodically reviews with our Technology Committee certain aspects of new and existing products as they relate to quality, safety and cybersecurity.</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the information available as of the date of this Annual Report on Form 10-K, we are not aware of any risks from cybersecurity threats, including as a result of any previous cybersecurity incidents, that have materially affected or are reasonably likely to materially affect us, including our business strategy, results of operations or financial condition. Despite our security measures, however, there can be no assurance that we, or the third parties with which we interact, will not experience a cybersecurity incident in the future that may materially affect us. For additional information, see Item 1A. “Risk Factors” for a discussion of cybersecurity-related risks.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28, 2026, our global headquarters are located in Boston, Massachusetts and our principal manufacturing centers are located in Pennsylvania within the U.S., as well as internationally in Malaysia, Mexico, Canada and Ireland. Our products are distributed worldwide from our primary distribution centers in Utah and Pennsylvania, as well as smaller locations globally. We believe all of these facilities are well-maintained and suitable for the operations conducted in them. Our U.S., Malaysia and Mexico facilities manufacture products for more than one of our business segments.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facilities as of March 28, 2026 (in approximate square feet):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7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429,689</w:t>
            </w:r>
          </w:p>
        </w:tc>
      </w:tr>
      <w:tr>
        <w:trPr>
          <w:trHeight w:val="22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316,413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694,413</w:t>
            </w:r>
          </w:p>
        </w:tc>
      </w:tr>
      <w:tr>
        <w:trPr>
          <w:trHeight w:val="243"/>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746,102</w:t>
            </w:r>
          </w:p>
        </w:tc>
        <w:tc>
          <w:tcPr>
            <w:tcW w:w="1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1,124,102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xml:space="preserve"> within the consolidated financial statements in Item 8 of this Annual Report on Form 10-K, which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Information</w:t>
      </w:r>
    </w:p>
    <w:p>
      <w:pPr>
        <w:spacing w:after="0" w:line="1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Our common stock is quoted on the New York Stock Exchange under the symbol “HAE.” As of March 28, 2026, we had 93 stockholders of record. We have not historically paid cash dividends and do not currently anticipate paying cash dividends in the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Company’s share repurchases during the fourth quarter of fiscal 2026: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220" w:type="dxa"/>
            <w:vAlign w:val="bottom"/>
          </w:tcPr>
          <w:p>
            <w:pPr>
              <w:spacing w:after="0"/>
              <w:rPr>
                <w:sz w:val="13"/>
                <w:szCs w:val="13"/>
                <w:color w:val="auto"/>
              </w:rPr>
            </w:pPr>
          </w:p>
        </w:tc>
        <w:tc>
          <w:tcPr>
            <w:tcW w:w="18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w:t>
            </w:r>
          </w:p>
        </w:tc>
      </w:tr>
      <w:tr>
        <w:trPr>
          <w:trHeight w:val="156"/>
        </w:trPr>
        <w:tc>
          <w:tcPr>
            <w:tcW w:w="4540" w:type="dxa"/>
            <w:vAlign w:val="bottom"/>
          </w:tcPr>
          <w:p>
            <w:pPr>
              <w:spacing w:after="0"/>
              <w:rPr>
                <w:sz w:val="13"/>
                <w:szCs w:val="13"/>
                <w:color w:val="auto"/>
              </w:rPr>
            </w:pPr>
          </w:p>
        </w:tc>
        <w:tc>
          <w:tcPr>
            <w:tcW w:w="1300" w:type="dxa"/>
            <w:vAlign w:val="bottom"/>
          </w:tcPr>
          <w:p>
            <w:pPr>
              <w:jc w:val="right"/>
              <w:ind w:right="78"/>
              <w:spacing w:after="0" w:line="156"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3"/>
                <w:szCs w:val="13"/>
                <w:color w:val="auto"/>
              </w:rPr>
            </w:pPr>
          </w:p>
        </w:tc>
        <w:tc>
          <w:tcPr>
            <w:tcW w:w="114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20" w:type="dxa"/>
            <w:vAlign w:val="bottom"/>
          </w:tcPr>
          <w:p>
            <w:pPr>
              <w:spacing w:after="0"/>
              <w:rPr>
                <w:sz w:val="13"/>
                <w:szCs w:val="13"/>
                <w:color w:val="auto"/>
              </w:rPr>
            </w:pPr>
          </w:p>
        </w:tc>
        <w:tc>
          <w:tcPr>
            <w:tcW w:w="1860" w:type="dxa"/>
            <w:vAlign w:val="bottom"/>
          </w:tcPr>
          <w:p>
            <w:pPr>
              <w:jc w:val="center"/>
              <w:ind w:right="39"/>
              <w:spacing w:after="0" w:line="156"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r>
      <w:tr>
        <w:trPr>
          <w:trHeight w:val="213"/>
        </w:trPr>
        <w:tc>
          <w:tcPr>
            <w:tcW w:w="4540" w:type="dxa"/>
            <w:vAlign w:val="bottom"/>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Announced Program</w:t>
            </w:r>
            <w:r>
              <w:rPr>
                <w:rFonts w:ascii="Times New Roman" w:cs="Times New Roman" w:eastAsia="Times New Roman" w:hAnsi="Times New Roman"/>
                <w:sz w:val="18"/>
                <w:szCs w:val="18"/>
                <w:b w:val="1"/>
                <w:bCs w:val="1"/>
                <w:color w:val="auto"/>
                <w:w w:val="96"/>
                <w:vertAlign w:val="superscript"/>
              </w:rPr>
              <w:t>(1)(2)</w:t>
            </w:r>
          </w:p>
        </w:tc>
        <w:tc>
          <w:tcPr>
            <w:tcW w:w="2080" w:type="dxa"/>
            <w:vAlign w:val="bottom"/>
            <w:tcBorders>
              <w:bottom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r>
      <w:tr>
        <w:trPr>
          <w:trHeight w:val="186"/>
        </w:trPr>
        <w:tc>
          <w:tcPr>
            <w:tcW w:w="4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860" w:type="dxa"/>
            <w:vAlign w:val="bottom"/>
          </w:tcPr>
          <w:p>
            <w:pPr>
              <w:spacing w:after="0"/>
              <w:rPr>
                <w:sz w:val="16"/>
                <w:szCs w:val="16"/>
                <w:color w:val="auto"/>
              </w:rPr>
            </w:pPr>
          </w:p>
        </w:tc>
      </w:tr>
      <w:tr>
        <w:trPr>
          <w:trHeight w:val="25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2025 – January 24, 2026</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131,937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69.97</w:t>
            </w:r>
          </w:p>
        </w:tc>
        <w:tc>
          <w:tcPr>
            <w:tcW w:w="1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131,937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415,768</w:t>
            </w:r>
          </w:p>
        </w:tc>
      </w:tr>
      <w:tr>
        <w:trPr>
          <w:trHeight w:val="252"/>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25, 2026 – February 21, 2026</w:t>
            </w: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228,520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69.00</w:t>
            </w:r>
          </w:p>
        </w:tc>
        <w:tc>
          <w:tcPr>
            <w:tcW w:w="1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228,520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400,000</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22, 2026 – March 28, 2026</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1,218,798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61.54</w:t>
            </w:r>
          </w:p>
        </w:tc>
        <w:tc>
          <w:tcPr>
            <w:tcW w:w="1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1,218,798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325,000</w:t>
            </w:r>
          </w:p>
        </w:tc>
      </w:tr>
      <w:tr>
        <w:trPr>
          <w:trHeight w:val="218"/>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1,579,255</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1,579,255</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0" w:lineRule="exact"/>
        <w:rPr>
          <w:sz w:val="20"/>
          <w:szCs w:val="20"/>
          <w:color w:val="auto"/>
        </w:rPr>
      </w:pPr>
    </w:p>
    <w:p>
      <w:pPr>
        <w:ind w:left="640" w:hanging="316"/>
        <w:spacing w:after="0" w:line="210" w:lineRule="auto"/>
        <w:tabs>
          <w:tab w:leader="none" w:pos="583"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 April 2025, our Board approved a three-year share repurchase program authorizing the repurchase of up to $500.0 million of Haemonetics common stock, based on market conditions, through April 2028. Under the 2025 share repurchase program, shares may be repurchased in accordance with applicable laws both on the open market, including under trading plans established pursuant to Rule 10b5-1 under the Securities Exchange Act of 1934, as amended, and in privately negotiated transactions.</w:t>
      </w:r>
    </w:p>
    <w:p>
      <w:pPr>
        <w:spacing w:after="0" w:line="43" w:lineRule="exact"/>
        <w:rPr>
          <w:rFonts w:ascii="Times New Roman" w:cs="Times New Roman" w:eastAsia="Times New Roman" w:hAnsi="Times New Roman"/>
          <w:sz w:val="23"/>
          <w:szCs w:val="23"/>
          <w:color w:val="auto"/>
          <w:vertAlign w:val="superscript"/>
        </w:rPr>
      </w:pPr>
    </w:p>
    <w:p>
      <w:pPr>
        <w:jc w:val="both"/>
        <w:ind w:left="640" w:hanging="316"/>
        <w:spacing w:after="0" w:line="227" w:lineRule="auto"/>
        <w:tabs>
          <w:tab w:leader="none" w:pos="623"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During the fourth quarter of fiscal 2026, we repurchased $25.0 million of our common stock pursuant to a previously executed Rule 10b5-1 trading plan. The total number of shares repurchased pursuant to the Rule 10b5-1 trading plan was 360,457 at an average price per share upon final settlement of $69.36. In March 2026, we completed a $75.0 million repurchase of our common stock pursuant to an accelerated share repurchase agreement (“ASR”) entered into with Goldman Sachs &amp; Co. (“Goldman Sachs”) in February 2026. The total number of shares repurchased under the ASR was 1,218,798 at an average price per share upon final settlement of $61.54. As of March 28, 2026, the total remaining authorization for repurchases of our common stock under the share repurchase program was $325.0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20"/>
        <w:spacing w:after="0" w:line="431"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Our Business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plasma, red cells and platelets. “Hospital” is comprised of Interventional Technologies, which includes Vascular Closure, Sensor-Guided Technologies and Esophageal Protection product lines, and Blood Management Technologies, which includes Hemostasis Management, Cell Salvage and Transfusion Management product lines. Financial information concerning these segments is provided in Note 18, </w:t>
      </w:r>
      <w:r>
        <w:rPr>
          <w:rFonts w:ascii="Times New Roman" w:cs="Times New Roman" w:eastAsia="Times New Roman" w:hAnsi="Times New Roman"/>
          <w:sz w:val="17"/>
          <w:szCs w:val="17"/>
          <w:i w:val="1"/>
          <w:iCs w:val="1"/>
          <w:color w:val="auto"/>
        </w:rPr>
        <w:t>Segment and Enterprise-Wide Information</w:t>
      </w:r>
      <w:r>
        <w:rPr>
          <w:rFonts w:ascii="Times New Roman" w:cs="Times New Roman" w:eastAsia="Times New Roman" w:hAnsi="Times New Roman"/>
          <w:sz w:val="17"/>
          <w:szCs w:val="17"/>
          <w:color w:val="auto"/>
        </w:rPr>
        <w:t>, within the consolidated financial statements in Item 8 of this Annual Report on Form 10-K.</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that Plasma and Hospital have the greatest growth potential and are well positioned to drive long-term value. Blood Center operates in more challenging markets, and we have sharpened our focus accordingly on targeted opportunities – particularly in plasma and platelets – while ensuring continued alignment of this business with our broader strategic objectives.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Vivasure Medical Limited</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January 9, 2026, we acquired all of the outstanding equity interests of Vivasure for a net purchase price of $164.4 million. The net purchase price included $60.2 million paid in cash at closing, net of $0.4 million cash acquired and after giving effect to the value of certain prior investments and loans we made to Vivasure, as well as other customary closing adjustments, and the fair value of contingent consideration of $20.7 million. The contingent consideration is based on sales growth over the three years following the completion of the acquisition and the achievement of certain other milestones, and is also subject to adjustments based on the value of certain prior investments and loans. The Company financed this transaction through available cash on hand.</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Vivasure is a Galway, Ireland-based company pioneering next-generation technology for percutaneous vessel closure. Vivasure’s PerQseal Elite system uses a proprietary bioabsorbable patch to seal large-bore (up to 26 F) arteriotomies and venotomies from inside the vessel, offering a sutureless, fully absorbable solution for structural heart and endovascular procedures. In 2025, Vivasure submitted a premarket approval, or PMA, application to the FDA for the PerQseal Elite arterial closure system and received CE Mark in Europe for both arterial and venous indications. The addition of Vivasure expands our Hospital business unit portfolio in the interventional cardiology market and will be included in the Hospital reportable segment.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accordance with our previously announced three-year share repurchase program, During the fourth quarter of fiscal 2026, we repurchased $25.0 million of our common stock pursuant to a previously executed Rule 10b5-1 trading plan. The total number of shares repurchased pursuant to the Rule 10b5-1 trading plan was 360,457 at an average price per share upon final settlement of $69.36. Additionally, in March 2026, we completed a $75.0 million repurchase of our common stock pursuant to an ASR entered into with Goldman Sachs in February 2026. The total number of shares repurchased under the ASR was 1,218,798 at an average price per share upon final settlement of $61.54. As of March 28, 2026, the total remaining authorization for repurchases of our common stock under the share repurchase program was $325.0 million.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 Repayment and Revolving Credit Facility Drawdown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2, 2026, we repaid in full at maturity our outstanding 2026 Notes for an aggregate amount of $300.0 million in cash, representing the outstanding principal amount of the 2026 Notes. The repayment was funded with cash on hand and borrowings under the Company’s revolving credit facility. No holders exercised conversion rights with respect to the 2026 Notes prior to the close of business on the second scheduled trading day immediately preceding the maturity date. The capped call transactions entered into in connection with the issuance of the 2026 Notes expired in accordance with their terms upon the maturity of the 2026 Notes.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 Market</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are two key aspects to the market for our plasma products - the growth in demand for plasma-derived biopharmaceuticals and the limited number of significant biopharmaceutical companies in this market.</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Changes in demand for plasma-derived therapies, particularly immunoglobulin, are the key driver of plasma collection volumes in the plasma biopharmaceutical market. Various factors related to the supply of plasma and the production of plasma-derived therapies also affect collection volume, including the following:</w:t>
      </w:r>
    </w:p>
    <w:p>
      <w:pPr>
        <w:spacing w:after="0" w:line="125"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Biopharmaceutical companies continue to increase yield from plasma collections in order to meet growing demand for plasma-derived therapies without requiring an equivalent increase in plasma donations;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approved indications for diseases treated with plasma-derived therapies, the growing understanding and diagnosis of diseases treatable with plasma derived therapies, longer lifespans and a growing aging patient population increase the demand for plasma;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 the availability of plasma-derived therapies across new geographic markets also increases demand for plasma.</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Despite the overall growth in the market, there are few biopharmaceutical companies that collect and fractionate source plasma. Significant barriers to entry exist for new entrants due to high capital outlay requirements for fractionation, long regulatory pathways to the licensing of collection centers and fractionation facilities and approval of plasma-derived biopharmaceuticals. As a result, there are relatively few customers for our Plasma products, especially in the U.S. where over two-thirds of the world’s source plasma is collected and only a few customers provide the majority of our Plasma revenue. However, certain jurisdictions, such as Egypt, Canada, Belgium and the United Kingdom have begun or expanded dedicated programs to collect plasma for fractionation for their local needs, which has expanded the Plasma market.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 Market</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Blood Center market, we sell automated blood component collection systems. While we sell products around the world, a significant portion of our sales are to a limited number of customers due to the relatively limited number of blood collectors.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Within the Blood Center market, we have seen two trends that have negatively impacted growth of the overall marketplace despite the overall increase in aging populations:</w:t>
      </w:r>
    </w:p>
    <w:p>
      <w:pPr>
        <w:spacing w:after="0" w:line="110" w:lineRule="exact"/>
        <w:rPr>
          <w:sz w:val="20"/>
          <w:szCs w:val="20"/>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transfusion rates in mature markets due to the development of more minimally invasive procedures with lower associated blood loss as well as better blood management; and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multi-unit collection technology for automated blood component collection systems has intensified and has negatively impacted our sales in markets where these collections are prevalent.</w:t>
      </w:r>
    </w:p>
    <w:p>
      <w:pPr>
        <w:spacing w:after="0" w:line="11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As Blood Center operates in more challenging markets, we have sharpened our focus accordingly on targeted opportunities – particularly in plasma and platelets – while ensuring continued alignment of this business with the Company’s broader strategic objectives.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 Markets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Interventional Technologies:</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Vascular Closure Market - </w:t>
      </w:r>
      <w:r>
        <w:rPr>
          <w:rFonts w:ascii="Times New Roman" w:cs="Times New Roman" w:eastAsia="Times New Roman" w:hAnsi="Times New Roman"/>
          <w:sz w:val="18"/>
          <w:szCs w:val="18"/>
          <w:color w:val="auto"/>
        </w:rPr>
        <w:t>The target markets for our vascular closure products used in coronary, structural heart, peripheral and electrophysiology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are highly concentrated in the U.S. The mature market of coronary and peripheral procedures consists of interventions to diagnose and treat vascular diseases. Our products also address many of the vascular closure needs for the structural heart (“contralateral access sites”) and electrophysiology procedures. In August 2024, we successfully launched the VASCADE MVP XL, which allowed us to capitalize more broadly in procedures as part of electrophysiology, coronary and peripheral markets. In January 2026, we successfully completed the acquisition of Vivasure, which included the PerQseal Elite large bore closure system, which is designed for percutaneous vessel closure following catheter-based procedures requiring large bore femoral access, including TAVR, EVAR and mechanical circulatory support procedures. PerQseal Elite has received CE Mark in Europe for arterial and venous indications, and we have submitted a PMA application to the FDA for an arterial indication in the United States. We believe PerQseal Elite complements and expands our Vascular Closure portfolio into the large bore market.</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Sensor-Guided Technologies Market - </w:t>
      </w:r>
      <w:r>
        <w:rPr>
          <w:rFonts w:ascii="Times New Roman" w:cs="Times New Roman" w:eastAsia="Times New Roman" w:hAnsi="Times New Roman"/>
          <w:sz w:val="18"/>
          <w:szCs w:val="18"/>
          <w:color w:val="auto"/>
        </w:rPr>
        <w:t>The market for sensor-guided technologies reflects varying dynamics across different interventional cardiology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In the TAVR market, characterized by high growth, the demand for innovative solutions like SavvyWire is driven by an aging population and increasing prevalence of aortic valve diseases globally. Conversely, in the more mature percutaneous coronary intervention (“PCI”) market, the steady demand for sensor-guided technologies such as OptoWire remains driven by persistent prevalence of coronary artery disease, emphasizing the need for advanced diagnostic and therapeutic interventions. Our strategic investment in sensor-guided technologies positions us to capitalize on these trends, leveraging innovation to address evolving needs in both high-growth and mature markets while expanding our global market presence through initiatives such as receiving CE Mark for our Savvywire.</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Esophageal Protection Market - </w:t>
      </w:r>
      <w:r>
        <w:rPr>
          <w:rFonts w:ascii="Times New Roman" w:cs="Times New Roman" w:eastAsia="Times New Roman" w:hAnsi="Times New Roman"/>
          <w:sz w:val="18"/>
          <w:szCs w:val="18"/>
          <w:color w:val="auto"/>
        </w:rPr>
        <w:t>The market for esophageal protection devices, such as our ensoETM, is driven by radiofrequency, or RF, ablation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atrial fibrillation, which has a risk of thermal injury to the esophagus. One of the perceived benefits of pulse field ablation, or PFA, is that its mechanism of action is tissue selective, which is believed to spare the esophagus from serious injury and may, therefore, obviate the need for esophageal cooling devices. While there are cardiac ablation procedures currently performed using RF ablation, the immediate opportunity for esophageal cooling during an atrial fibrillation ablation has substantially diminished over the last two years due to the launch of PFA in the US and Japan. PFA has been available in Europe for several years already.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Blood Management Technologies: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Hemostasis Management Market - </w:t>
      </w:r>
      <w:r>
        <w:rPr>
          <w:rFonts w:ascii="Times New Roman" w:cs="Times New Roman" w:eastAsia="Times New Roman" w:hAnsi="Times New Roman"/>
          <w:sz w:val="18"/>
          <w:szCs w:val="18"/>
          <w:color w:val="auto"/>
        </w:rPr>
        <w:t>The use of routine coagulation testing is well established throughout the world in various medical procedures,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cardiovascular surgery, organ transplantation, trauma, post-partum hemorrhage and percutaneous coronary intervention. While standard tests like prothrombin time, partial thromboplastin time and platelet count have limited ability to reveal a patient’s risk for bleeding, they do not provide information on the patient’s risk for thrombosis. In addition, these routine tests do not provide specific data about clot quality or stability. As a result of these limitations, clinicians are increasingly utilizing advanced hemostasis testing to provide more information about a patient’s hemostasis status, resulting in improved clinical decision-making. In addition, advanced hemostasis testing supports hospital efforts to reduce the risks, complications and costs associated with unnecessary blood component transfusions.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Haemonetics’ TEG hemostasis analyzer system is an advanced diagnostic tool that provides a comprehensive assessment of a patient’s overall hemostasis. This information enables clinicians to decide the most appropriate clinical treatment for the patient to minimize blood loss and reduce clotting risk. For example, TEG analyzers have been used to support clinical decision making in open cardiovascular surgery and organ transplantation, becoming the standard of care in liver transplants. In more recent years, interest has grown into the utilization of TEG in trauma and other procedures in which the risk of hemorrhage and thrombosis are high.</w:t>
      </w:r>
    </w:p>
    <w:p>
      <w:pPr>
        <w:spacing w:after="0" w:line="13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Geographically, TEG systems have achieved the highest market penetration in North America and Europe. However, there are considerable growth opportunities in these as well as other markets, as TEG systems become more established as the standard of care around the world.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Cell Salvage Market </w:t>
      </w:r>
      <w:r>
        <w:rPr>
          <w:rFonts w:ascii="Times New Roman" w:cs="Times New Roman" w:eastAsia="Times New Roman" w:hAnsi="Times New Roman"/>
          <w:sz w:val="18"/>
          <w:szCs w:val="18"/>
          <w:color w:val="auto"/>
        </w:rPr>
        <w:t>- In recent years, more efficient blood use and less invasive surgeries have reduced demand for autotransfusion in these procedures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contributed to intense competition in mature markets, while increased access to healthcare in emerging economies has provided new markets and sources of growth. Orthopedic procedures have seen similar changes with improved blood management practices, including the use of tranexamic acid to treat and prevent postoperative bleeding, significantly reducing the number of transfusions and autotransfusion. Geographically, the Cell Saver has achieved the highest market penetration in North America, Europe and Japan. We believe there are growth opportunities in Asia Pacific as the use of autotransfusion is becoming accepted as a standard of care.</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Transfusion Management Market - </w:t>
      </w:r>
      <w:r>
        <w:rPr>
          <w:rFonts w:ascii="Times New Roman" w:cs="Times New Roman" w:eastAsia="Times New Roman" w:hAnsi="Times New Roman"/>
          <w:sz w:val="18"/>
          <w:szCs w:val="18"/>
          <w:color w:val="auto"/>
        </w:rPr>
        <w:t>Revenues from BloodTrack have increased in the U.S. and Europe in recent years as hospitals seek means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efficiencies and meet compliance guidelines for tracking and dispositioning blood components to patients. SafeTrace Tx’s leading market share continues in the U.S. and SafeTraceTX has expanded into the United Kingdom as hospitals seek solutions to address operational efficiency, cybersecurity and interoperability with enterprise systems.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8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Reported change</w:t>
            </w:r>
          </w:p>
        </w:tc>
      </w:tr>
      <w:tr>
        <w:trPr>
          <w:trHeight w:val="192"/>
        </w:trPr>
        <w:tc>
          <w:tcPr>
            <w:tcW w:w="6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gridSpan w:val="4"/>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r>
      <w:tr>
        <w:trPr>
          <w:trHeight w:val="23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1,334,027</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1,360,824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787,586</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748,958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59.0 %</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i w:val="1"/>
                <w:iCs w:val="1"/>
                <w:color w:val="auto"/>
              </w:rPr>
              <w:t>55.0 %</w:t>
            </w:r>
          </w:p>
        </w:tc>
        <w:tc>
          <w:tcPr>
            <w:tcW w:w="1480" w:type="dxa"/>
            <w:vAlign w:val="bottom"/>
            <w:shd w:val="clear" w:color="auto" w:fill="CCEEFF"/>
          </w:tcPr>
          <w:p>
            <w:pPr>
              <w:spacing w:after="0"/>
              <w:rPr>
                <w:sz w:val="19"/>
                <w:szCs w:val="19"/>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630,852</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527,141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156,734</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221,817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11.7 %</w:t>
            </w:r>
          </w:p>
        </w:tc>
        <w:tc>
          <w:tcPr>
            <w:tcW w:w="340" w:type="dxa"/>
            <w:vAlign w:val="bottom"/>
          </w:tcPr>
          <w:p>
            <w:pPr>
              <w:spacing w:after="0"/>
              <w:rPr>
                <w:sz w:val="19"/>
                <w:szCs w:val="19"/>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i w:val="1"/>
                <w:iCs w:val="1"/>
                <w:color w:val="auto"/>
              </w:rPr>
              <w:t>16.3 %</w:t>
            </w:r>
          </w:p>
        </w:tc>
        <w:tc>
          <w:tcPr>
            <w:tcW w:w="1480" w:type="dxa"/>
            <w:vAlign w:val="bottom"/>
          </w:tcPr>
          <w:p>
            <w:pPr>
              <w:spacing w:after="0"/>
              <w:rPr>
                <w:sz w:val="19"/>
                <w:szCs w:val="19"/>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(28,704)</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(9,746)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194.5 %</w:t>
            </w: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128,030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212,071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30,722</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44,392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24.0 %</w:t>
            </w:r>
          </w:p>
        </w:tc>
        <w:tc>
          <w:tcPr>
            <w:tcW w:w="340" w:type="dxa"/>
            <w:vAlign w:val="bottom"/>
          </w:tcPr>
          <w:p>
            <w:pPr>
              <w:spacing w:after="0"/>
              <w:rPr>
                <w:sz w:val="19"/>
                <w:szCs w:val="19"/>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i w:val="1"/>
                <w:iCs w:val="1"/>
                <w:color w:val="auto"/>
              </w:rPr>
              <w:t>20.9 %</w:t>
            </w:r>
          </w:p>
        </w:tc>
        <w:tc>
          <w:tcPr>
            <w:tcW w:w="1480" w:type="dxa"/>
            <w:vAlign w:val="bottom"/>
          </w:tcPr>
          <w:p>
            <w:pPr>
              <w:spacing w:after="0"/>
              <w:rPr>
                <w:sz w:val="19"/>
                <w:szCs w:val="19"/>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97,308</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167,679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7.3 %</w:t>
            </w:r>
          </w:p>
        </w:tc>
        <w:tc>
          <w:tcPr>
            <w:tcW w:w="340" w:type="dxa"/>
            <w:vAlign w:val="bottom"/>
          </w:tcPr>
          <w:p>
            <w:pPr>
              <w:spacing w:after="0"/>
              <w:rPr>
                <w:sz w:val="19"/>
                <w:szCs w:val="19"/>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i w:val="1"/>
                <w:iCs w:val="1"/>
                <w:color w:val="auto"/>
              </w:rPr>
              <w:t>12.3 %</w:t>
            </w:r>
          </w:p>
        </w:tc>
        <w:tc>
          <w:tcPr>
            <w:tcW w:w="1480" w:type="dxa"/>
            <w:vAlign w:val="bottom"/>
          </w:tcPr>
          <w:p>
            <w:pPr>
              <w:spacing w:after="0"/>
              <w:rPr>
                <w:sz w:val="19"/>
                <w:szCs w:val="19"/>
                <w:color w:val="auto"/>
              </w:rPr>
            </w:pPr>
          </w:p>
        </w:tc>
      </w:tr>
      <w:tr>
        <w:trPr>
          <w:trHeight w:val="22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3.33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1"/>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2.05</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3.31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the Saturday closest to the last day of March. Each fiscal year presented includes 52 weeks with each quarter having 13 weeks.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revenues decreased 2.0% during fiscal 2026 as compared with fiscal 2025. The decrease was driven by prior year portfolio transitions in Plasma and Blood Center—including the previously announced customer transition of CSL Plasma and the divestiture of the Whole Blood product line—that together represented approximately $153 million of nonrecurring fiscal 2025 revenue, partially offset by an increase in Hospital, primarily attributable to the Hemostasis Management and Transfusion Management product lines within the Blood Management Technologies franchise.</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Operating income decreased 29.3% during fiscal 2026 as compared with fiscal 2025. The decrease was primarily due to the impairment of intangible assets related to Attune Medical, partially offset by pricing benefits across all business units, decreased restructuring costs related to portfolio rationalization initiatives and decreased amortization of fair value inventory step-up related to the acquisition of Attune Medical.</w:t>
      </w:r>
    </w:p>
    <w:p>
      <w:pPr>
        <w:spacing w:after="0" w:line="12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Information pertaining to fiscal year 2024 results of operations, including a year-to-year comparison against fiscal year 2025, was included in our Annual Report on Form 10-K for the year ended March 29, 2025 under Part II, Item 7, “Management’s Discussion and Analysis of Financial Position and Results of Operations,” which was filed with the SEC on May 21, 2025. This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financial measures in accordance with accounting principles generally accepted in the United States of America (“GAAP”), management uses non-GAAP financial measures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2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9"/>
        </w:trPr>
        <w:tc>
          <w:tcPr>
            <w:tcW w:w="3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20" w:type="dxa"/>
            <w:vAlign w:val="bottom"/>
          </w:tcPr>
          <w:p>
            <w:pPr>
              <w:jc w:val="right"/>
              <w:ind w:right="259"/>
              <w:spacing w:after="0" w:line="199" w:lineRule="exact"/>
              <w:rPr>
                <w:sz w:val="20"/>
                <w:szCs w:val="20"/>
                <w:color w:val="auto"/>
              </w:rPr>
            </w:pPr>
            <w:r>
              <w:rPr>
                <w:rFonts w:ascii="Times New Roman" w:cs="Times New Roman" w:eastAsia="Times New Roman" w:hAnsi="Times New Roman"/>
                <w:sz w:val="14"/>
                <w:szCs w:val="14"/>
                <w:b w:val="1"/>
                <w:bCs w:val="1"/>
                <w:color w:val="auto"/>
              </w:rPr>
              <w:t>growth</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982,176</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1,010,918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351,851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349,906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1,334,027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1,360,824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0" w:lineRule="exact"/>
        <w:rPr>
          <w:sz w:val="20"/>
          <w:szCs w:val="20"/>
          <w:color w:val="auto"/>
        </w:rPr>
      </w:pPr>
    </w:p>
    <w:p>
      <w:pPr>
        <w:ind w:left="640" w:hanging="316"/>
        <w:spacing w:after="0" w:line="193" w:lineRule="auto"/>
        <w:tabs>
          <w:tab w:leader="none" w:pos="583"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Constant currency growth, a non-GAAP financial measure, measures the change in revenue between the current and prior year periods using a constant currency. See “Management’s Use of Non-GAAP Measures.”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Operations and the Impact of Foreign Exchange</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principal operations are in the United States, Europe, Japan and other parts of Asia. We market and sell our products in approximately 90 countries through a combination of our direct sales force and independent distributors.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revenue generated in our principal operating regions is summarized below:</w:t>
      </w:r>
    </w:p>
    <w:p>
      <w:pPr>
        <w:spacing w:after="0" w:line="198"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74.3 %</w:t>
            </w:r>
          </w:p>
        </w:tc>
      </w:tr>
      <w:tr>
        <w:trPr>
          <w:trHeight w:val="225"/>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5"/>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25"/>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9"/>
        </w:trPr>
        <w:tc>
          <w:tcPr>
            <w:tcW w:w="8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net revenues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International sales are generally conducted in local currencies, primarily Japanese Yen, Euro and Chinese Yuan. Our results of operations are impacted by changes in foreign exchange rates, particularly in the value of the Yen, Euro and Yuan, relative to the U.S. Dollar. We have placed foreign currency hedges on certain foreign currencies to mitigate our exposure to foreign currency fluctuations.</w:t>
      </w:r>
    </w:p>
    <w:p>
      <w:pPr>
        <w:spacing w:after="0" w:line="1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Please see the section entitled </w:t>
      </w:r>
      <w:r>
        <w:rPr>
          <w:rFonts w:ascii="Times New Roman" w:cs="Times New Roman" w:eastAsia="Times New Roman" w:hAnsi="Times New Roman"/>
          <w:sz w:val="18"/>
          <w:szCs w:val="18"/>
          <w:i w:val="1"/>
          <w:iCs w:val="1"/>
          <w:color w:val="auto"/>
        </w:rPr>
        <w:t>“Foreign Exchange”</w:t>
      </w:r>
      <w:r>
        <w:rPr>
          <w:rFonts w:ascii="Times New Roman" w:cs="Times New Roman" w:eastAsia="Times New Roman" w:hAnsi="Times New Roman"/>
          <w:sz w:val="18"/>
          <w:szCs w:val="18"/>
          <w:color w:val="auto"/>
        </w:rPr>
        <w:t xml:space="preserv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9"/>
        </w:trPr>
        <w:tc>
          <w:tcPr>
            <w:tcW w:w="3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0" w:type="dxa"/>
            <w:vAlign w:val="bottom"/>
          </w:tcPr>
          <w:p>
            <w:pPr>
              <w:jc w:val="right"/>
              <w:ind w:right="255"/>
              <w:spacing w:after="0" w:line="199" w:lineRule="exact"/>
              <w:rPr>
                <w:sz w:val="20"/>
                <w:szCs w:val="20"/>
                <w:color w:val="auto"/>
              </w:rPr>
            </w:pPr>
            <w:r>
              <w:rPr>
                <w:rFonts w:ascii="Times New Roman" w:cs="Times New Roman" w:eastAsia="Times New Roman" w:hAnsi="Times New Roman"/>
                <w:sz w:val="14"/>
                <w:szCs w:val="14"/>
                <w:b w:val="1"/>
                <w:bCs w:val="1"/>
                <w:color w:val="auto"/>
              </w:rPr>
              <w:t>growth</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Plasma net revenues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524,456</w:t>
            </w:r>
          </w:p>
        </w:tc>
        <w:tc>
          <w:tcPr>
            <w:tcW w:w="80" w:type="dxa"/>
            <w:vAlign w:val="bottom"/>
          </w:tcPr>
          <w:p>
            <w:pPr>
              <w:spacing w:after="0"/>
              <w:rPr>
                <w:sz w:val="19"/>
                <w:szCs w:val="19"/>
                <w:color w:val="auto"/>
              </w:rPr>
            </w:pPr>
          </w:p>
        </w:tc>
        <w:tc>
          <w:tcPr>
            <w:tcW w:w="7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220,861</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47,990</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Blood Center net revenues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2"/>
                <w:szCs w:val="22"/>
                <w:color w:val="auto"/>
                <w:vertAlign w:val="superscript"/>
              </w:rPr>
              <w:t>(2)</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234,007</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2"/>
                <w:szCs w:val="22"/>
                <w:color w:val="auto"/>
                <w:vertAlign w:val="superscript"/>
              </w:rPr>
              <w:t>(3)</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354,297</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309,250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18"/>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Hospital net revenues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588,304</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564,269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1,334,027</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1,360,824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40" w:hanging="316"/>
        <w:spacing w:after="0" w:line="193" w:lineRule="auto"/>
        <w:tabs>
          <w:tab w:leader="none" w:pos="583"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Constant currency growth, a non-GAAP financial measure, measures the change in revenue between the current and prior year periods using a constant currency. See “Management’s Use of Non-GAAP Measures.”</w:t>
      </w:r>
    </w:p>
    <w:p>
      <w:pPr>
        <w:ind w:left="580" w:hanging="256"/>
        <w:spacing w:after="0" w:line="204" w:lineRule="auto"/>
        <w:tabs>
          <w:tab w:leader="none" w:pos="58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Interventional Technologies includes Vascular Closure, Sensor Guided Technologies and Esophageal Protection product lines of the Hospital business unit.</w:t>
      </w:r>
    </w:p>
    <w:p>
      <w:pPr>
        <w:spacing w:after="0" w:line="57" w:lineRule="exact"/>
        <w:rPr>
          <w:rFonts w:ascii="Times New Roman" w:cs="Times New Roman" w:eastAsia="Times New Roman" w:hAnsi="Times New Roman"/>
          <w:sz w:val="23"/>
          <w:szCs w:val="23"/>
          <w:color w:val="auto"/>
          <w:vertAlign w:val="superscript"/>
        </w:rPr>
      </w:pPr>
    </w:p>
    <w:p>
      <w:pPr>
        <w:ind w:left="580" w:hanging="256"/>
        <w:spacing w:after="0" w:line="184" w:lineRule="auto"/>
        <w:tabs>
          <w:tab w:leader="none" w:pos="5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Blood Management Technologies includes Hemostasis Management, Cell Salvage and Transfusion Management product lines of the Hospital business unit.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Plasma revenue decreased by 2.0% on an as reported basis and decreased by 2.7% without the effect of foreign exchange during fiscal 2026 as compared with fiscal 2025. This revenue decrease was primarily driven by lower sales volumes in North America relating to the previously announced customer transition of CSL Plasma, partially offset by share gains, higher volume and pricing benefits.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Blood Center revenue decreased 15.3% on an as reported basis and decreased 16.5% without the effect of foreign exchange during fiscal 2026 as compared with fiscal 2025. The decrease in Blood Center’s reported revenue was primarily driven by the divestiture of our Whole Blood product line in January 2025, partially offset by favorable product mix and higher volume.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Hospital revenue increased 4.3% on an as reported basis and increased 3.5% without the effect of foreign exchange during fiscal 2026 as compared with fiscal 2025. The increase was primarily attributable to increased sales volume and market expansion in the Hemostasis and Transfusion Management product lines within the Blood Management Technologies franchise, which was partially offset by lower sales volume in the Interventional Technologies franchise.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vMerge w:val="restart"/>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Pr>
          <w:p>
            <w:pPr>
              <w:spacing w:after="0"/>
              <w:rPr>
                <w:sz w:val="10"/>
                <w:szCs w:val="10"/>
                <w:color w:val="auto"/>
              </w:rPr>
            </w:pPr>
          </w:p>
        </w:tc>
        <w:tc>
          <w:tcPr>
            <w:tcW w:w="1140" w:type="dxa"/>
            <w:vAlign w:val="bottom"/>
            <w:vMerge w:val="restart"/>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2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9"/>
        </w:trPr>
        <w:tc>
          <w:tcPr>
            <w:tcW w:w="3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0" w:type="dxa"/>
            <w:vAlign w:val="bottom"/>
          </w:tcPr>
          <w:p>
            <w:pPr>
              <w:jc w:val="center"/>
              <w:spacing w:after="0" w:line="199" w:lineRule="exact"/>
              <w:rPr>
                <w:sz w:val="20"/>
                <w:szCs w:val="20"/>
                <w:color w:val="auto"/>
              </w:rPr>
            </w:pPr>
            <w:r>
              <w:rPr>
                <w:rFonts w:ascii="Times New Roman" w:cs="Times New Roman" w:eastAsia="Times New Roman" w:hAnsi="Times New Roman"/>
                <w:sz w:val="14"/>
                <w:szCs w:val="14"/>
                <w:b w:val="1"/>
                <w:bCs w:val="1"/>
                <w:color w:val="auto"/>
                <w:w w:val="95"/>
              </w:rPr>
              <w:t>growth</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186"/>
        </w:trPr>
        <w:tc>
          <w:tcPr>
            <w:tcW w:w="36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787,586</w:t>
            </w:r>
          </w:p>
        </w:tc>
        <w:tc>
          <w:tcPr>
            <w:tcW w:w="7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748,958</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3"/>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59.0 %</w:t>
            </w:r>
          </w:p>
        </w:tc>
        <w:tc>
          <w:tcPr>
            <w:tcW w:w="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55.0 %</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0" w:lineRule="exact"/>
        <w:rPr>
          <w:sz w:val="20"/>
          <w:szCs w:val="20"/>
          <w:color w:val="auto"/>
        </w:rPr>
      </w:pPr>
    </w:p>
    <w:p>
      <w:pPr>
        <w:ind w:left="640" w:hanging="316"/>
        <w:spacing w:after="0" w:line="193" w:lineRule="auto"/>
        <w:tabs>
          <w:tab w:leader="none" w:pos="583"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Constant currency growth, a non-GAAP financial measure, measures the change in revenue between the current and prior year periods using a constant currency. See “Management’s Use of Non-GAAP Measures.”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increased 5.2% on an as reported basis and increased 3.9% without the effect of foreign exchange during fiscal 2026 as compared with fiscal 2025. The increase was primarily driven by the continued transformation of the product portfolio to higher margin offerings, benefits from product innovation, decreased restructuring costs related to portfolio rationalization initiatives and decreased amortization of fair value inventory step-up related to the Attune Medical acquisition.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6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vMerge w:val="restart"/>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change</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0" w:type="dxa"/>
            <w:vAlign w:val="bottom"/>
          </w:tcPr>
          <w:p>
            <w:pPr>
              <w:jc w:val="right"/>
              <w:ind w:right="256"/>
              <w:spacing w:after="0" w:line="199" w:lineRule="exact"/>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18"/>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59,766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62,722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5"/>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442,421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436,789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5"/>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33.2 %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32.1 %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43,998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48,261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5"/>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contingent consideration</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25"/>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86,546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3,519.7 %</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3,519.7 %</w:t>
            </w:r>
          </w:p>
        </w:tc>
        <w:tc>
          <w:tcPr>
            <w:tcW w:w="0" w:type="dxa"/>
            <w:vAlign w:val="bottom"/>
          </w:tcPr>
          <w:p>
            <w:pPr>
              <w:spacing w:after="0"/>
              <w:rPr>
                <w:sz w:val="1"/>
                <w:szCs w:val="1"/>
                <w:color w:val="auto"/>
              </w:rPr>
            </w:pPr>
          </w:p>
        </w:tc>
      </w:tr>
      <w:tr>
        <w:trPr>
          <w:trHeight w:val="225"/>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630,852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527,141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33"/>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47.3 %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38.7 %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0" w:lineRule="exact"/>
        <w:rPr>
          <w:sz w:val="20"/>
          <w:szCs w:val="20"/>
          <w:color w:val="auto"/>
        </w:rPr>
      </w:pPr>
    </w:p>
    <w:p>
      <w:pPr>
        <w:ind w:left="640" w:hanging="316"/>
        <w:spacing w:after="0" w:line="200" w:lineRule="auto"/>
        <w:tabs>
          <w:tab w:leader="none" w:pos="583"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Constant currency growth, a non-GAAP financial measure, measures the change in revenue between the current and prior year periods using a constant currency. See “Management’s Use of Non-GAAP Measures.”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Research and development expenses decreased 4.7% on an as reported basis and decreased 5.3% without the effect of foreign exchange during fiscal 2026 as compared with fiscal 2025. The decrease in fiscal 2026 was primarily due to lower costs related to compliance with EU MDR and EU IVDR requirements.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expenses increased 1.3% on an as reported basis and increased 0.2% without the effect of foreign exchange during fiscal 2026 as compared with fiscal 2025. The increase in fiscal 2026 was primarily due to costs associated with the acquisition of Vivasure, impacts from tariffs and higher performance-based compensation costs.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recognized amortization expense related to our acquired intangible assets of $44.0 million and $48.3 million during fiscal 2026 and fiscal 2025, respectively. The decrease in fiscal 2026 is primarily due to the impairment of intangible assets related to Attune Medical and certain intangible assets becoming fully amortized or impaired during fiscal 2025 and fiscal 2026.</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Remeasurement of Contingent Consideration</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recognized a benefit of $1.9 million and $23.0 million during fiscal 2026 and fiscal 2025, respectively, related to the remeasurement of acquisition-related contingent consideration.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recognized impairment of intangible assets of $86.5 million and $2.4 million during fiscal 2026 and fiscal 2025, respectively. Impairment of intangible assets in fiscal 2026 related to the Attune Medical asset group and the intellectual property associated with the HAS viscoelastic diagnostic devices, related assays and disposables. Impairment of intangible assets in fiscal 2025 related to internally developed software assets. For further discussion, refer to Note 10, </w:t>
      </w:r>
      <w:r>
        <w:rPr>
          <w:rFonts w:ascii="Times New Roman" w:cs="Times New Roman" w:eastAsia="Times New Roman" w:hAnsi="Times New Roman"/>
          <w:sz w:val="18"/>
          <w:szCs w:val="18"/>
          <w:i w:val="1"/>
          <w:iCs w:val="1"/>
          <w:color w:val="auto"/>
        </w:rPr>
        <w:t xml:space="preserve">Goodwill &amp; Intangible Assets </w:t>
      </w:r>
      <w:r>
        <w:rPr>
          <w:rFonts w:ascii="Times New Roman" w:cs="Times New Roman" w:eastAsia="Times New Roman" w:hAnsi="Times New Roman"/>
          <w:sz w:val="18"/>
          <w:szCs w:val="18"/>
          <w:color w:val="auto"/>
        </w:rPr>
        <w:t>within the accompanying consolidated financial statements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Interest and other expenses, net increased 194.5% during fiscal 2026 as compared with fiscal 2025. The increase was primarily driven by gains recognized in the first quarter of fiscal 2025 on the repurchase of $200.0 million of aggregate principal of our 2026 Notes. For further discussion on the 2026 Notes, refer to Note 12, </w:t>
      </w:r>
      <w:r>
        <w:rPr>
          <w:rFonts w:ascii="Times New Roman" w:cs="Times New Roman" w:eastAsia="Times New Roman" w:hAnsi="Times New Roman"/>
          <w:sz w:val="18"/>
          <w:szCs w:val="18"/>
          <w:i w:val="1"/>
          <w:iCs w:val="1"/>
          <w:color w:val="auto"/>
        </w:rPr>
        <w:t>Notes Payable and Long-Term Debt</w:t>
      </w:r>
      <w:r>
        <w:rPr>
          <w:rFonts w:ascii="Times New Roman" w:cs="Times New Roman" w:eastAsia="Times New Roman" w:hAnsi="Times New Roman"/>
          <w:sz w:val="18"/>
          <w:szCs w:val="18"/>
          <w:color w:val="auto"/>
        </w:rPr>
        <w:t xml:space="preserve"> within the accompanying consolidated financial statements for further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40" w:type="dxa"/>
            <w:vAlign w:val="bottom"/>
          </w:tcPr>
          <w:p>
            <w:pPr>
              <w:spacing w:after="0"/>
              <w:rPr>
                <w:sz w:val="16"/>
                <w:szCs w:val="16"/>
                <w:color w:val="auto"/>
              </w:rPr>
            </w:pPr>
          </w:p>
        </w:tc>
      </w:tr>
      <w:tr>
        <w:trPr>
          <w:trHeight w:val="24"/>
        </w:trPr>
        <w:tc>
          <w:tcPr>
            <w:tcW w:w="78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6"/>
        </w:trPr>
        <w:tc>
          <w:tcPr>
            <w:tcW w:w="69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Reported change</w:t>
            </w:r>
          </w:p>
        </w:tc>
      </w:tr>
      <w:tr>
        <w:trPr>
          <w:trHeight w:val="22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income tax rate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Reported Tax Rate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transaction costs, and is favorably impacted by changes in contingent consideration revaluation, the expiration of the statute of limitations with respect to certain uncertain tax position reserves, jurisdictional mix of earnings, impact of foreign tax law changes and research credits generated.</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March 28, 2026, we recorded income tax expense of $30.7 million on our worldwide pre-tax income of $128.0 million, resulting in a reported tax rate of 24.0%. Our reported tax rate for the year ended March 28, 2026 is higher than our reported tax rate of 20.9% for fiscal 2025, primarily due to tax benefits attributable to the expiration of the statute of limitations associated with uncertain tax positions reserves and contingent consideration benefits recorded in FY25, partially offset by the impact of the jurisdictional mix of earnings.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6"/>
                <w:szCs w:val="16"/>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4"/>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245,440</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306,763</w:t>
            </w:r>
          </w:p>
        </w:tc>
      </w:tr>
      <w:tr>
        <w:trPr>
          <w:trHeight w:val="225"/>
        </w:trPr>
        <w:tc>
          <w:tcPr>
            <w:tcW w:w="79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Availability under revolving credit facilities</w:t>
            </w:r>
            <w:r>
              <w:rPr>
                <w:rFonts w:ascii="Times New Roman" w:cs="Times New Roman" w:eastAsia="Times New Roman" w:hAnsi="Times New Roman"/>
                <w:sz w:val="22"/>
                <w:szCs w:val="22"/>
                <w:color w:val="auto"/>
                <w:vertAlign w:val="superscript"/>
              </w:rPr>
              <w:t>(1)</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448,697</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748,697</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552,280</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356,862</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ratio</w:t>
            </w:r>
          </w:p>
        </w:tc>
        <w:tc>
          <w:tcPr>
            <w:tcW w:w="22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79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Net debt position</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(979,140)</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(918,025)</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2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turnover</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37" w:lineRule="exact"/>
        <w:rPr>
          <w:sz w:val="20"/>
          <w:szCs w:val="20"/>
          <w:color w:val="auto"/>
        </w:rPr>
      </w:pPr>
    </w:p>
    <w:p>
      <w:pPr>
        <w:ind w:left="520" w:hanging="196"/>
        <w:spacing w:after="0"/>
        <w:tabs>
          <w:tab w:leader="none" w:pos="52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Availability under our revolving credit facilities is reduced by eligible outstanding letters of credit allowable of $1.3 million as of March 28, 2026 and March 29, 2025, respectively.</w:t>
      </w:r>
    </w:p>
    <w:p>
      <w:pPr>
        <w:spacing w:after="0" w:line="44" w:lineRule="exact"/>
        <w:rPr>
          <w:rFonts w:ascii="Times New Roman" w:cs="Times New Roman" w:eastAsia="Times New Roman" w:hAnsi="Times New Roman"/>
          <w:sz w:val="18"/>
          <w:szCs w:val="18"/>
          <w:color w:val="auto"/>
          <w:vertAlign w:val="superscript"/>
        </w:rPr>
      </w:pPr>
    </w:p>
    <w:p>
      <w:pPr>
        <w:ind w:left="520" w:hanging="196"/>
        <w:spacing w:after="0"/>
        <w:tabs>
          <w:tab w:leader="none" w:pos="52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debt position is the sum of cash and cash equivalents less total debt.</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2029 Notes. Our expected cash outlays relate primarily to acquisitions, investments, capital expenditures, share repurchases, our ongoing market and regional alignment initiative, and payments of principal and interest under our credit facilities.</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28, 2026, we had $245.4 million in cash and cash equivalents, the majority of which is held in the U.S. or in countries from which it can be repatriated to the 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2025, we used a portion of our proceeds from the 2029 Notes to repurchase, for $185.5 million, $200.0 million of the $500.0 million aggregate principal amount of our 2026 Notes, resulting in a gain of $14.5 million related to the discount on repurchase. As the repurchase of the 2026 Notes met the criteria for extinguishment accounting, $1.9 million of unamortized debt issuance costs were allocated to the repurchase, resulting in a net gain of $12.6 million.</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 2026, we repaid in full at maturity our 2026 Notes for an aggregate amount of $300.0 million in cash, representing the outstanding principal amount of the 2026 Notes. The repayment was funded with cash on hand and borrowings under the Company’s revolving credit facility. No holders exercised conversion rights with respect to the 2026 Notes prior to maturity. The capped call transactions entered into in connection with the issuance of the 2026 Notes expired in accordance with their terms upon the maturity of the 2026 Notes.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March 28, 2026, the $700.0 million principal balance of the 2029 Notes was netted down by $11.2 million of remaining debt issuance costs, resulting in a net convertible note payable of $688.8 million. The 2029 Notes will mature on June 1, 2029, unless earlier converted, redeemed or repurchased. As of March 28, 2026, the 2029 Notes were not convertible. Interest expense related to the 2029 Notes was $20.8 million for fiscal 2026, which includes nominal interest expense and the amortization of the debt issuance costs. For further discussion on the 2029 Notes, refer to Note 12, </w:t>
      </w:r>
      <w:r>
        <w:rPr>
          <w:rFonts w:ascii="Times New Roman" w:cs="Times New Roman" w:eastAsia="Times New Roman" w:hAnsi="Times New Roman"/>
          <w:sz w:val="18"/>
          <w:szCs w:val="18"/>
          <w:i w:val="1"/>
          <w:iCs w:val="1"/>
          <w:color w:val="auto"/>
        </w:rPr>
        <w:t>Notes Payable and 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within the accompanying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July 16, 2022, the Company entered into an amended and restated credit agreement to refinance its credit facilities initially entered into in 2018 and extended their maturity dates through June 2025 (the “2022 Revised Credit Facilities”). On April 30, 2024, we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0.0%, plus an applicable rate ranging from 1.125% to 1.750% based on the our consolidated net leverage ratio (as specified in the second amended and restated credit agreement) at the applicable measurement date. The revolving credit facility carries an unused fee that ranges from 0.125% to 0.250% annually based on our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28, 2026, $239.1 million was outstanding under the term loan with an effective interest rate of 5.6%, which was netted down by the $3.9 million of remaining debt discount, resulting in a net note payable of $235.1 million. In connection with the settlement of the 2026 Notes, we borrowed $300.0 million under the revolving credit facility, which was outstanding as of March 28, 2026. We also had $17.7 million of uncommitted operating lines of credit to fund our global operations under which there were no outstanding borrowings as of March 28, 2026.</w:t>
      </w:r>
    </w:p>
    <w:p>
      <w:pPr>
        <w:spacing w:after="0" w:line="12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have scheduled principal payments of $7.8 million required during fiscal 2027 related to our term loan. See Note 12, </w:t>
      </w:r>
      <w:r>
        <w:rPr>
          <w:rFonts w:ascii="Times New Roman" w:cs="Times New Roman" w:eastAsia="Times New Roman" w:hAnsi="Times New Roman"/>
          <w:sz w:val="18"/>
          <w:szCs w:val="18"/>
          <w:i w:val="1"/>
          <w:iCs w:val="1"/>
          <w:color w:val="auto"/>
        </w:rPr>
        <w:t>Notes Payable and Long-Term Debt</w:t>
      </w:r>
      <w:r>
        <w:rPr>
          <w:rFonts w:ascii="Times New Roman" w:cs="Times New Roman" w:eastAsia="Times New Roman" w:hAnsi="Times New Roman"/>
          <w:sz w:val="18"/>
          <w:szCs w:val="18"/>
          <w:color w:val="auto"/>
        </w:rPr>
        <w:t xml:space="preserve"> within the accompanying consolidated financial statements for further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Share Repurchase Program</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April 2025, our Board approved a new three-year share repurchase program authorizing the repurchase of up to $500 million of our common stock, based on market conditions, through April 2028. In September 2025, we completed a $75.0 million repurchase of our common stock pursuant to an ASR entered into with Citibank N.A. in August 2025. The total number of shares repurchased under this ASR was 1,430,579 for an average price per share upon final settlement of $52.43. During the fourth quarter of fiscal 2026, we repurchased $25.0 million of our common stock pursuant to a previously executed Rule 10b5-1 trading plan. The total number of shares repurchased pursuant to the Rule 10b5-1 trading plan was 360,457 at an average price per share upon final settlement of $69.36. Additionally, in March 2026 we completed a $75.0 million repurchase of our common stock pursuant to an ASR entered into with Goldman Sachs in February 2026. The total number of shares repurchased under this ASR was 1,218,798 for an average price per share upon final settlement of $61.54. As of March 28, 2026, the total remaining authorization for repurchases of our common stock under the share repurchase program was $325.0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Regional Alignment Initiative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May 2025, our Board approved our currently ongoing market and regional alignment initiative and delegated authority to management to determine the details of the specific actions that will comprise the initiative. This strategic initiative is designed to improve operational performance and reduce costs by directing our resources toward the markets and geographies that offer the greatest growth and portfolio advancement opportunities. During fiscal 2026, we incurred restructuring and restructuring related costs of $5.1 million under this initiative. Total cumulative charges under this initiative are $5.6 million as of March 28, 2026. The amounts and timing of estimated costs and savings are subject to change until finalized. The actual amounts and timing may vary materially based on various factors.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40" w:type="dxa"/>
            <w:vAlign w:val="bottom"/>
          </w:tcPr>
          <w:p>
            <w:pPr>
              <w:spacing w:after="0"/>
              <w:rPr>
                <w:sz w:val="16"/>
                <w:szCs w:val="16"/>
                <w:color w:val="auto"/>
              </w:rPr>
            </w:pPr>
          </w:p>
        </w:tc>
      </w:tr>
      <w:tr>
        <w:trPr>
          <w:trHeight w:val="24"/>
        </w:trPr>
        <w:tc>
          <w:tcPr>
            <w:tcW w:w="7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192"/>
        </w:trPr>
        <w:tc>
          <w:tcPr>
            <w:tcW w:w="7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6"/>
                <w:szCs w:val="16"/>
                <w:color w:val="auto"/>
              </w:rPr>
            </w:pP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5"/>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293,221</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181,725</w:t>
            </w:r>
          </w:p>
        </w:tc>
      </w:tr>
      <w:tr>
        <w:trPr>
          <w:trHeight w:val="225"/>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(161,895)</w:t>
            </w:r>
          </w:p>
        </w:tc>
      </w:tr>
      <w:tr>
        <w:trPr>
          <w:trHeight w:val="225"/>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108,818</w:t>
            </w:r>
          </w:p>
        </w:tc>
      </w:tr>
      <w:tr>
        <w:trPr>
          <w:trHeight w:val="225"/>
        </w:trPr>
        <w:tc>
          <w:tcPr>
            <w:tcW w:w="792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1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127,963</w:t>
            </w: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0" w:lineRule="exact"/>
        <w:rPr>
          <w:sz w:val="20"/>
          <w:szCs w:val="20"/>
          <w:color w:val="auto"/>
        </w:rPr>
      </w:pPr>
    </w:p>
    <w:p>
      <w:pPr>
        <w:ind w:left="640" w:hanging="316"/>
        <w:spacing w:after="0" w:line="193" w:lineRule="auto"/>
        <w:tabs>
          <w:tab w:leader="none" w:pos="61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consolidated balance sheets are affected by spot exchange rates used to translate local currency amounts into U.S. Dollars. In accordance with U.S. GAAP, we have eliminated the effect of foreign currency throughout our consolidated statements of cash flows, except for its effect on our cash and cash equivalents.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cash provided by operating activities increased $111.5 million during fiscal 2026 as compared with fiscal 2025. Cash flows from operating activities for fiscal 2026 included net income of $97.3 million, adjusted for non-cash depreciation and amortization of $111.7 million, share-based compensation expense of $33.8 million and impairment charges of $86.5 million, partially offset by cash outflows for working capital of $23.7 million driven by digital transformation costs. Cash flows from operating activities for fiscal 2025 included net income of $167.7 million, adjusted for non-cash items, primarily depreciation and amortization of $115.6 million and share-based compensation of $29.6 million; partially offset by cash outflows for non-cash adjustments related to a $23.0 million gain on the remeasurement of contingent consideration, a $15.7 million gain on the sale of property, plant and equipment, a $12.6 million gain on the repurchase of convertible senior notes, and cash outflows for working capital of $102.0 million driven by increased outflows for inventory.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 cash used in investing activities decreased $17.7 million during fiscal 2026 as compared with fiscal 2025. Cash flows used in investing activities for fiscal 2026 included cash outflows of $60.2 million for the acquisition of Vivasure, non-cash transfers from inventory of $51.9 million, strategic investments of $36.1 million, and capital expenditures of $32.8 million. Cash flows used in investing activities for fiscal 2025 included cash outflows of $150.9 million for the acquisition of Attune Medical, capital expenditures of $39.3 million, non-cash transfers from inventory of $21.1 million, and other strategic investments of $17.1 million, partially offset by $43.3 million in proceeds from divestitures and the sale of assets and $23.3 million from the sale of property, plant and equipment.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Net cash used in financing activities decreased $287.3 million during fiscal 2026 as compared to net cash provided by financing activities during fiscal 2025. Cash flows used in financing activities for fiscal 2026 included cash outflows for the repayment of the 2026 Notes of $300.0 million, share repurchases of $175.0 million, repayments of term loan borrowings of $6.3 million, and employee equity award settlements of $5.0 million, partially offset by proceeds from the revolving credit facility of $300.0 million. Cash flows provided by financing activities for fiscal 2025 included cash inflows relating to proceeds from the issuance of the 2029 Notes of $700.0 million and proceeds from term loan borrowings of $250.0 million, partially offset by cash outflows for the repurchase of a portion of the 2026 Notes of $185.5 million, capped call purchases of $88.2 million, term loan redemptions of $262.5 million, shares repurchases of $225.0 million, payments on the revolving credit facility of $50.0 million, debt issuance costs of $23.1 million and employee equity award settlements of $10.2 million.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contractual and commercial commitments as of March 28, 2026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
        </w:trPr>
        <w:tc>
          <w:tcPr>
            <w:tcW w:w="4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r>
      <w:tr>
        <w:trPr>
          <w:trHeight w:val="192"/>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5"/>
        </w:trPr>
        <w:tc>
          <w:tcPr>
            <w:tcW w:w="43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w:t>
            </w:r>
          </w:p>
        </w:tc>
      </w:tr>
      <w:tr>
        <w:trPr>
          <w:trHeight w:val="225"/>
        </w:trPr>
        <w:tc>
          <w:tcPr>
            <w:tcW w:w="43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retirement plan benefit payments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w:t>
            </w:r>
          </w:p>
        </w:tc>
      </w:tr>
      <w:tr>
        <w:trPr>
          <w:trHeight w:val="218"/>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1,614,676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288,233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1,219,463</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29,079</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0" w:lineRule="exact"/>
        <w:rPr>
          <w:sz w:val="20"/>
          <w:szCs w:val="20"/>
          <w:color w:val="auto"/>
        </w:rPr>
      </w:pPr>
    </w:p>
    <w:p>
      <w:pPr>
        <w:ind w:left="640" w:hanging="316"/>
        <w:spacing w:after="0" w:line="210" w:lineRule="auto"/>
        <w:tabs>
          <w:tab w:leader="none" w:pos="547"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Interest payments reflect the contractual interest payments on outstanding debt related to the term loan under our 2024 Revised Credit Facilities and exclude the impact of interest rate swap agreements. Interest payments are projected using interest rates in effect as of March 28, 2026. Certain of these projected interest payments may differ in the future based on changes in market interest rates.</w:t>
      </w:r>
    </w:p>
    <w:p>
      <w:pPr>
        <w:spacing w:after="0" w:line="43" w:lineRule="exact"/>
        <w:rPr>
          <w:rFonts w:ascii="Times New Roman" w:cs="Times New Roman" w:eastAsia="Times New Roman" w:hAnsi="Times New Roman"/>
          <w:sz w:val="23"/>
          <w:szCs w:val="23"/>
          <w:color w:val="auto"/>
          <w:vertAlign w:val="superscript"/>
        </w:rPr>
      </w:pPr>
    </w:p>
    <w:p>
      <w:pPr>
        <w:ind w:left="640" w:hanging="316"/>
        <w:spacing w:after="0" w:line="200" w:lineRule="auto"/>
        <w:tabs>
          <w:tab w:leader="none" w:pos="643"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amounts we are committed to spend on purchase orders entered in the normal course of business which includes capital equipment and commitments with contractors for the manufacture of certain disposable products and equipment. The majority of our operating expense spending does not require any advance commitment.</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above table does not reflect our long-term liabilities associated with unrecognized tax benefits of $0.8 million recorded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cannot reasonably make a reliable estimate of the period in which we expect to settle these long-term liabilities due to factors outside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such as tax examinations.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approximately 44% of our revenue during fiscal 2026 was generated by our ten largest customers, 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customers can be significant at any point in time. Additionally, a portion of our trade accounts receivable outside the U.S. include sales to government-owned or supported healthcare systems which are subject to payment delays and local economic conditions. Payment is dependent upon the financial stability and creditworthiness of those countries’ national economies.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U.S. GAAP, we record a liability in our consolidated financial statements for legal matters when a loss is known or considered probable and the amount may be reasonably estimated. Actual settlements may be different than estimated and could have a material impact on our consolidated earnings, financial position and/or cash flows. For a discussion of our material legal proceedings refer to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xml:space="preserve"> within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global macroeconomic environment has continued to present challenging conditions and uncertainty, including inflation, tariffs, interest rates, monetary policy, exchange rates and geopolitical developments, which could adversely impact the costs associated with our manufacturing operations. We continue to monitor inflationary pressures generally and raw materials indices that may affect our procurement, production and distribution costs.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our reporting currency is the U.S. Dollar, 26.4% and 25.7% of our sales in fiscal 2026 and fiscal 2025, respectively, were generated outside the U.S., generally in foreign currencies.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Mexican Peso and Euro, and to a lesser extent Canadian Dollar, Swiss Franc and Chinese Yuan. This does not eliminate the volatility of foreign exchange rates, but because we generally enter into forward contracts into the future, rates are fixed at the time of execution; thereby facilitating financial planning and resource allocation. Hedges are executed on a rolling basis over an 18-month horizon, informed by forecasted net income exposures. Both forecasted exposures and active hedges are reviewed periodically throughout the year to ensure effective and efficient mitigation of foreign currency exchange rate risk. These contracts are designated as cash flow hedges. The final impact of currency fluctuations on the results of operations is dependent on the local currency amounts hedged and the actual local currency results. We do not use forward foreign currency contracts for speculative or trading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within the accompanying consolidated financial statements for a discussion of recently issued accounting pronouncements.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significant accounting policies are summarized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within the accompanying consolidated financial statements. While all of these significant accounting policies impact our financial condition and results of operations, we view certain of these policies as critical. Policies determined to be critical are those policies that have the most significant impact on our consolidated financial statements and require management to use a greater degree of judgment and/or estimates. Actual results may differ from those estimates. We consider an estimate to be a “critical accounting estimate” when (i) the nature of the estimate is material due to the level of subjectivity and judgment necessary to account for highly uncertain matters or the susceptibility of such matters to change; and (ii) the impact of the estimate on financial condition or operating performance is material. The accounting policies and estimates identified as critical are as follows: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Our estimates take into consideration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within the accompanying consolidated financial statements for further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use consistent methodologies in developing the assumptions and estimates underlying the fair value calculations used in our impairment tests, these estimates are uncertain by nature and can vary from actual results. The use of alternative valuation assumptions, including estimated revenue projections, growth rates, cash flows and discount rates could result in different fair value estimates.</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Future events that could have a negative impact on the levels of excess fair value over carrying value of our reporting units include, but are not limited to, the following:</w:t>
      </w:r>
    </w:p>
    <w:p>
      <w:pPr>
        <w:spacing w:after="0" w:line="110" w:lineRule="exact"/>
        <w:rPr>
          <w:sz w:val="20"/>
          <w:szCs w:val="20"/>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estimated market sizes or market growth rates due to greater-than-expected declines in procedural volumes, pricing pressures, product actions and/or competitive technology developments;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our market share and penetration assumptions due to increased competition, an inability to develop or launch new and next-generation products and technology features in line with our commercialization strategies and market and/or regulatory conditions that may cause significant launch delays or product recalls;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forecasted profitability due to an inability to implement successfully and achieve timely and sustainable cost improvement measures consistent with our expectations;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reporting units or in the structure of our business as a result of future reorganizations, acquisitions or divestitures of assets or businesses; and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market-participant risk-adjusted weighted average cost of capital and increases in our market-participant tax rate and/or changes in tax laws or macroeconomic conditions.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changes in one or more of these factors, among others, could result in future goodwill impairment charges.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Goodwill is tested for impairment at least annually as of the first day of the fourth quarter in fiscal 2026, or more frequently if events or changes in circumstances indicate potential goodwill impairment. The test is performed at the reporting unit level by comparing the estimated fair value of each reporting unit to its carrying value, including goodwill.</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estimation of fair value requires significant judgment and is based primarily on a discounted cash flow approach, supplemented by market-based methods where appropriate. Key assumptions include projected revenue growth rates, operating margins, and the discount rate. These inputs are based on management’s expectations of future performance and market conditions and are inherently uncertain.</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the first day of the fourth quarter in fiscal 2026, the estimated fair values of all reporting units exceeded their carrying values. However, the fair value of the Interventional Technologies reporting unit, which is within the Hospital reportable segment, was $867.8 million, which only exceeded its carrying value of $821.6 million by 6%. The fair value of the Interventional Technologies reporting unit was primarily determined using a discounted cash flow approach utilizing a discount rate of 10.5%, which reflects a market-participant weighted average cost of capital based on the risk profile, size and capital structure of the reporting unit.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Interventional Technologies reporting unit remains sensitive to changes in key assumptions. A decline in projected revenue growth rates, or an increase in the discount rate, could result in the carrying value exceeding fair value. For example, a 50-basis point increase in the discount rate or a reduction in projected revenue growth rates of 1% could eliminate headroom for this reporting unit.</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monitor for goodwill impairment indicators throughout the year, including changes in macroeconomic conditions, industry trends, and business performance. No interim goodwill impairment indicators were identified during fiscal 2026 that required an interim impairment test for goodwill.</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Although no goodwill impairment was recorded during fiscal 2026, the Interventional Technologies reporting unit remains at risk of future goodwill impairment if actual results differ from current estimates or if market conditions deteriorate.</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evaluate long-lived intangible assets subject to amortization for intangible impairment quarterly to determine if any adverse conditions exist that would indicate that the carrying value of an asset or asset group may not be recoverable, or that a change in the remaining useful life is required. Conditions indicating that an intangible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Recoverability is assessed by comparing the carrying value of the asset group to the undiscounted cash flows expected to result from its use and eventual disposition. If the carrying value exceeds those undiscounted cash flows, an intangible impairment loss is measured as the excess of carrying value over fair value.</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recoverability and fair value requires significant judgment. Estimated cash flows are based on management’s assumptions regarding future revenues, operating margins, customer attrition, and economic conditions. When required, fair value is typically determined using a discounted cash flow approach. Key assumptions include projected growth rates, profitability, and discount rates, all of which are inherently uncertain and may differ from actual results.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fourth quarter of fiscal 2026, we identified intangible impairment indicators related to the Attune Medical asset group within the Interventional Technologies reporting unit, including lower revenue projections, changes in market conditions and declines in operating performance. As a result, we performed a recoverability test as of the first day of the fourth quarter in fiscal 2026 for the Attune Medical asset group and determined that the carrying value of the asset group exceeded the estimated undiscounted cash flows, indicating that the asset group was not recoverable. As a result, we performed an additional fair value measurement for the Attune Medical asset group.</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Attune Medical asset group was measured using an income approach based on a discounted cash flow methodology and is classified within Level 3 of the fair value hierarchy due to the use of significant unobservable inputs. As of the first day of the fourth quarter in fiscal 2026, the estimated fair value of the asset group was approximately $12.3 million, compared to a carrying value of $89.5 million, resulting in the recognition of an intangible impairment charge of $77.2 million in the fourth quarter of fiscal 2026.</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Significant unobservable inputs used in the fair value measurement included projected revenues, operating margins, and a discount rate reflecting the estimated weighted average cost of capital of a market participant. The revenue and margin assumptions were based on management’s internal forecasts, which incorporate assumptions about future market conditions, product adoption rates, pricing, and competitive dynamics. The discount rate utilized in the valuation of the Attune Medical asset group was 19.8%, which reflects the higher risk profile, earlier stage of commercialization, and greater uncertainty in projected cash flows relative to the broader Interventional Technologies reporting unit. The discount rate was developed using market-based inputs, including a risk-free rate, equity risk premium, and company-specific risk adjustments.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Changes in these significant unobservable inputs could result in a materially higher or lower fair value measurement. For example, increases in the discount rate or decreases in projected revenues or operating margins would result in a lower estimated fair value, while decreases in the discount rate or improvements in projected operating performance would result in a higher estimated fair value.</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continue to monitor the Attune Medical asset group for intangible impairment indicators, including macroeconomic conditions, industry trends, and changes in business performance. While the intangible impairment charge recognized reflects management’s best estimate of fair value as of the testing date, it is reasonably possible that changes in assumptions or future business conditions could result in additional intangible impairment charges in future periods.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Goodwill &amp; Intangible Assets,</w:t>
      </w:r>
      <w:r>
        <w:rPr>
          <w:rFonts w:ascii="Times New Roman" w:cs="Times New Roman" w:eastAsia="Times New Roman" w:hAnsi="Times New Roman"/>
          <w:sz w:val="18"/>
          <w:szCs w:val="18"/>
          <w:color w:val="auto"/>
        </w:rPr>
        <w:t xml:space="preserve"> within the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Provisions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base our provisions for excess, expired and obsolete inventory primarily on our estimates of forecasted net sales. A significant change in the timing or level of demand for our products as compared with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within the accompanying consolidated financial statements for further information and discussion of our income tax provision and balances.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file income tax returns in all jurisdictions in which we operate. We record a liability for uncertain tax positions taken or expected to be taken in income tax returns. Our consolidated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We are currently involved in or may become involved in various legal proceedings and claims, including, without limitation, patent infringement, product liability, breach of contract and employee-related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an additional loss provision is recorded when either a best estimate can be made or the minimum loss amount is increased. When events result in an expectation of a more favorable outcome than previously expected, our best estimate is changed to a lower amount. With respect to the specific legal proceedings and claims described in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xml:space="preserve">, unless otherwise noted, the amount or range of possible losses is not reasonably estimable. There can be no assurance that the settlement, resolution, or other outcome of one or more matters, including the matters set forth in Note 15 </w:t>
      </w:r>
      <w:r>
        <w:rPr>
          <w:rFonts w:ascii="Times New Roman" w:cs="Times New Roman" w:eastAsia="Times New Roman" w:hAnsi="Times New Roman"/>
          <w:sz w:val="18"/>
          <w:szCs w:val="18"/>
          <w:i w:val="1"/>
          <w:iCs w:val="1"/>
          <w:color w:val="auto"/>
        </w:rPr>
        <w:t>Commitments &amp; Contingencies</w:t>
      </w:r>
      <w:r>
        <w:rPr>
          <w:rFonts w:ascii="Times New Roman" w:cs="Times New Roman" w:eastAsia="Times New Roman" w:hAnsi="Times New Roman"/>
          <w:sz w:val="18"/>
          <w:szCs w:val="18"/>
          <w:color w:val="auto"/>
        </w:rPr>
        <w:t>, during any subsequent reporting period will not have a material adverse effect on our results of operations or cash flows for that period or on the our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record tangible and intangible assets acquired and liabilities assumed in business combinations under the purchase method of accounting. Amounts paid for each acquisition are allocated to the assets acquired and liabilities assumed based on their fair values at the dates of acquisition. The fair value of identifiable intangible assets is based on detailed valuations that use information and assumptions including forecasted cash flows, revenues attributable to existing technology and discount rates. When estimating the significant assumptions to be used in the valuation we included a consideration of current industry information, market and economic trends, historical results of the acquired business and other relevant factors. These significant assumptions are forward-looking and could be affected by future economic and market conditions. We allocate any excess purchase price over the fair value of the net tangible and intangible assets acquired and liabilities assumed to goodwill.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Contingent consideration is recorded at fair value as measured on the date of acquisition using an appropriate valuation model, such as the Monte Carlo simulation model. The value recorded is based on estimates of future financial projections under various potential scenarios, in which the model runs many simulations based on comparable companies’ growth rates and their implied volatility. Our estimates of forecasted revenues in the earn out period include a consideration of current industry information, market and economic trends, historical results of the acquired business and other relevant factors. These cash flow projections are discounted with a risk adjusted rate. At each reporting period until such contingent amounts are earned, the fair value of the liability is remeasured and adjusted as a component of operating expenses based on changes to the underlying assumptions. The estimates used to determine the fair value of the contingent consideration liability are subject to significant judgment and given the inherent uncertainties in making these estimates, actual results are likely to differ from the amounts originally recorded and could be materially different.</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cases where we acquire a company in which we previously held an equity stake, we attribute a portion of the purchase price to the previously-held equity interest, which is implied based on the total purchase consideration allocable to each of the shareholders, including Haemonetics, according to priority of equity interests. We record a gain or loss in Interest and other expense, net in the consolidated statements of income equal to the difference between the implied fair value of our prior ownership and the book value immediately prior to the acquisition.</w:t>
      </w:r>
    </w:p>
    <w:p>
      <w:pPr>
        <w:spacing w:after="0" w:line="125" w:lineRule="exact"/>
        <w:rPr>
          <w:sz w:val="20"/>
          <w:szCs w:val="20"/>
          <w:color w:val="auto"/>
        </w:rPr>
      </w:pPr>
    </w:p>
    <w:p>
      <w:pPr>
        <w:ind w:right="4080"/>
        <w:spacing w:after="0" w:line="430"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color w:val="auto"/>
        </w:rPr>
        <w:t xml:space="preserve">Our exposures relative to market risk are due to foreign exchange risk and interest rate risk. </w:t>
      </w:r>
      <w:r>
        <w:rPr>
          <w:rFonts w:ascii="Times New Roman" w:cs="Times New Roman" w:eastAsia="Times New Roman" w:hAnsi="Times New Roman"/>
          <w:sz w:val="18"/>
          <w:szCs w:val="18"/>
          <w:b w:val="1"/>
          <w:bCs w:val="1"/>
          <w:color w:val="auto"/>
        </w:rPr>
        <w:t>Foreign Exchange Risk</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 the change in the fair value of all forward contracts assuming both a 10% strengthening and weakening of the U.S. Dollar relative to all other major currencies. As of March 28, 2026, in the event of a 10% strengthening of the U.S. Dollar, the change in fair value of all forward contracts would result in a $4.9 million increase in the fair value of the forward contracts, whereas a 10% weakening of the U.S. Dollar would result in a $6.0 million decrease in the fair value of the forward contracts.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exposure to changes in interest rates is associated with borrowings under our credit facilities, all of which is variable rate debt. Total outstanding debt under our senior unsecured term loan as of March 28, 2026 was $239.1 million with an effective interest rate of 5.6% based on prevailing Term SOFR rates. An increase of 100 basis points in Term SOFR rates would result in additional annual interest expense of $0.4 million. As of March 28, 2026, the notional amount on our two active interest rate swap agreements to effectively convert borrowings under our 2024 Revised Credit Facilities from a variable rate to a fixed rate were $199.3 million. These interest rate swaps are intended to mitigate the exposure to fluctuations in interest rates and qualify for hedge accounting treatment as cash flow hedges.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part of our business development activities, we hold strategic investments in privately held entities, including preferred stock. Certain of these investments are accounted for under the equity method, as we have the ability to exercise significant influence over the operating and financial policies of the investees. For equity instruments that do not have readily determinable fair values and are not accounted for under the equity method, we apply the measurement alternative, recording them at cost less impairment. The carrying amount of these investments is subsequently adjusted for observable price changes in orderly transactions for identical or similar investments of the same issuer. In addition, these investments are periodically evaluated for impairment. There is also a risk that we could lose all or a substantial portion of our investment in these privately held entities depending on their solvency and ability to achieve their business objectives.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part of our business development activities, we hold strategic investments in certain entities. We have made total strategic investments and loans totaling $19.2 million as of March 28, 2026 and $61.6 million as of March 29, 2025, including $48.7 million in strategic investments and loans to Vivasure as of March 29, 2025. On January 9, 2026 we completed the acquisition of Vivasure. Our strategic investments are classified as other long-term assets on our consolidated balance sheets, and we have not recorded any material adjustments to the carrying value of our strategic investments, other than those related to the Vivasure acquisition, in fiscal 2026 or fiscal 2025. For further discussion, refer to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 xml:space="preserve"> within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0" w:firstLine="3407"/>
        <w:spacing w:after="0" w:line="43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Haemonetics Corporation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Haemonetics Corporation and subsidiaries (the Company) as of March 28, 2026 and March 29, 2025, the related consolidated statements of income, comprehensive income, stockholders' equity and cash flows for each of the three years in the period ended March 28, 2026, and the related notes (collectively referred to as the “consolidated financial statements”). In our opinion, the consolidated financial statements present fairly, in all material respects, the financial position of the Company at March 28, 2026 and March 29, 2025, and the results of its operations and its cash flows for each of the three years in the period ended March 28, 2026, in conformity with U.S. generally accepted accounting principles.</w:t>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March 28, 2026, based on criteria established in Internal Control—Integrated Framework issued by the Committee of Sponsoring Organizations of the Treadway Commission (2013 framework), and our report dated May 20, 2026 expressed an unqualified opinion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right="180"/>
        <w:spacing w:after="0" w:line="25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during fiscal year 2026, the Company completed the acquisition of Vivasure Medical Limited for a purchase price of $164.4 million, inclusive of contingent consideration with an initial fair value of $20.7 million. The acquisition was accounted for as a business combination.</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Auditing the Company’s accounting for the business combination was complex due to the significant estimation required by management to determine the $117.1 million fair value of the acquired developed technology intangible asset. The significant estimation was primarily due to the judgmental nature of the inputs to the valuation model used to measure the fair value of the developed technology intangible asset. The Company used the income approach to measure the fair value of the developed technology intangible asset. The significant assumptions used to estimate the fair value of the intangible asset included the discount rate and certain assumptions that form the basis of the forecasted results, specifically revenue growth rates and EBITDA margin.</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controls over the Company’s accounting for the business combination. We tested controls over the valuation of intangible assets, including the valuation models and underlying assumptions used to develop such estimates.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test the fair value of the acquired developed technology intangible asset, our audit procedures included, among others, evaluating the significant assumptions used. We also tested the valuation model used. Our testing procedures over certain significant assumptions included, among others, comparing them to current industry and market trends and to the assumptions used by management to value similar assets in other acquisitions. We also performed sensitivity analyses of the significant assumptions to evaluate the change in the fair value resulting from changes in the assumptions. In addition, we involved valuation professionals to assist in our evaluation of the methodology, computations, and certain significant assumptions included in the fair value estimates.</w:t>
      </w:r>
    </w:p>
    <w:p>
      <w:pPr>
        <w:spacing w:after="0" w:line="200" w:lineRule="exact"/>
        <w:rPr>
          <w:sz w:val="20"/>
          <w:szCs w:val="20"/>
          <w:color w:val="auto"/>
        </w:rPr>
      </w:pPr>
    </w:p>
    <w:p>
      <w:pPr>
        <w:sectPr>
          <w:pgSz w:w="11900" w:h="16838" w:orient="portrait"/>
          <w:cols w:equalWidth="0" w:num="2">
            <w:col w:w="1820" w:space="260"/>
            <w:col w:w="914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right="180"/>
        <w:spacing w:after="0" w:line="25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 10 to the consolidated financial statements, the Company had approximately $656 million of goodwill allocated among its reporting units as of March 28, 2026. The Company performs its annual impairment analysis as of the first day of the fourth quarter, and more frequently if the Company believes indicators of impairment exist. For reporting units tested quantitatively, the Company estimates the fair value primarily utilizing the discounted cash flow income approach.</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Auditing the annual goodwill impairment test for the Interventional Technologies reporting unit was especially complex and judgmental due to the significant estimation required in the discounted cash flow income analysis utilized to determine the fair value. In particular, the fair value estimates involve judgmental assumptions including the amount and timing of expected future cash flows from revenue growth rates and the discount rate, which are affected by expectations about future market or economic conditions and reporting unit specific risk factors.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goodwill impairment review process. For example, we tested controls over management's review of the significant inputs and assumptions used in determining the reporting unit fair value.</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test the estimated fair value of the Interventional Technologies reporting unit, we performed audit procedures that included, among others, assessing fair value estimation methodologies, testing the significant assumptions discussed above and the completeness and accuracy of the underlying data used by the Company in its analysis. We compared the significant assumptions used by management to historical financial results of the reporting unit and information generated by external parties. We considered the historical accuracy of management’s estimates and performed sensitivity analyses of significant assumptions to evaluate the changes in the fair value of the reporting unit that would result from changes in the assumptions. In addition, we involved our valuation professionals to assist in our evaluation of the significant assumptions used to develop the fair value estimates.</w:t>
      </w:r>
    </w:p>
    <w:p>
      <w:pPr>
        <w:spacing w:after="0" w:line="200" w:lineRule="exact"/>
        <w:rPr>
          <w:sz w:val="20"/>
          <w:szCs w:val="20"/>
          <w:color w:val="auto"/>
        </w:rPr>
      </w:pPr>
    </w:p>
    <w:p>
      <w:pPr>
        <w:sectPr>
          <w:pgSz w:w="11900" w:h="16838" w:orient="portrait"/>
          <w:cols w:equalWidth="0" w:num="2">
            <w:col w:w="1820" w:space="260"/>
            <w:col w:w="914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6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spacing w:after="0"/>
              <w:rPr>
                <w:sz w:val="11"/>
                <w:szCs w:val="11"/>
                <w:color w:val="auto"/>
              </w:rPr>
            </w:pPr>
          </w:p>
        </w:tc>
        <w:tc>
          <w:tcPr>
            <w:tcW w:w="1180" w:type="dxa"/>
            <w:vAlign w:val="bottom"/>
          </w:tcPr>
          <w:p>
            <w:pPr>
              <w:jc w:val="right"/>
              <w:ind w:right="313"/>
              <w:spacing w:after="0" w:line="12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1"/>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20" w:type="dxa"/>
            <w:vAlign w:val="bottom"/>
            <w:gridSpan w:val="7"/>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1,334,027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1,309,055</w:t>
            </w:r>
          </w:p>
        </w:tc>
      </w:tr>
      <w:tr>
        <w:trPr>
          <w:trHeight w:val="22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546,441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617,507</w:t>
            </w:r>
          </w:p>
        </w:tc>
      </w:tr>
      <w:tr>
        <w:trPr>
          <w:trHeight w:val="218"/>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691,548</w:t>
            </w: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54,435</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429,780</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32,031</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r>
      <w:tr>
        <w:trPr>
          <w:trHeight w:val="219"/>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526,665</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164,883</w:t>
            </w:r>
          </w:p>
        </w:tc>
      </w:tr>
      <w:tr>
        <w:trPr>
          <w:trHeight w:val="22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(13,018)</w:t>
            </w: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151,865</w:t>
            </w:r>
          </w:p>
        </w:tc>
      </w:tr>
      <w:tr>
        <w:trPr>
          <w:trHeight w:val="22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34,307</w:t>
            </w: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2"/>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50,706</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51,397</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8"/>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60" w:type="dxa"/>
            <w:vAlign w:val="bottom"/>
          </w:tcPr>
          <w:p>
            <w:pPr>
              <w:spacing w:after="0"/>
              <w:rPr>
                <w:sz w:val="11"/>
                <w:szCs w:val="11"/>
                <w:color w:val="auto"/>
              </w:rPr>
            </w:pPr>
          </w:p>
        </w:tc>
        <w:tc>
          <w:tcPr>
            <w:tcW w:w="1160" w:type="dxa"/>
            <w:vAlign w:val="bottom"/>
          </w:tcPr>
          <w:p>
            <w:pPr>
              <w:jc w:val="right"/>
              <w:ind w:right="316"/>
              <w:spacing w:after="0" w:line="12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1"/>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117,558</w:t>
            </w:r>
          </w:p>
        </w:tc>
      </w:tr>
      <w:tr>
        <w:trPr>
          <w:trHeight w:val="212"/>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Impact of defined benefit plans, net of tax</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25"/>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25"/>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cash flow hedges, net of tax</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r>
      <w:tr>
        <w:trPr>
          <w:trHeight w:val="225"/>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 into earnings of cash flow hedge (gains) losses,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r>
      <w:tr>
        <w:trPr>
          <w:trHeight w:val="218"/>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16"/>
                <w:szCs w:val="16"/>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16"/>
                <w:szCs w:val="16"/>
                <w:color w:val="auto"/>
              </w:rPr>
            </w:pPr>
          </w:p>
        </w:tc>
        <w:tc>
          <w:tcPr>
            <w:tcW w:w="368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306,763</w:t>
            </w:r>
          </w:p>
        </w:tc>
        <w:tc>
          <w:tcPr>
            <w:tcW w:w="0" w:type="dxa"/>
            <w:vAlign w:val="bottom"/>
          </w:tcPr>
          <w:p>
            <w:pPr>
              <w:spacing w:after="0"/>
              <w:rPr>
                <w:sz w:val="1"/>
                <w:szCs w:val="1"/>
                <w:color w:val="auto"/>
              </w:rPr>
            </w:pPr>
          </w:p>
        </w:tc>
      </w:tr>
      <w:tr>
        <w:trPr>
          <w:trHeight w:val="172"/>
        </w:trPr>
        <w:tc>
          <w:tcPr>
            <w:tcW w:w="674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Accounts receivable, less allowance for credit losses of $3,693 as of March 28, 2026 and</w:t>
            </w: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$6,300 as of March 29, 2025</w:t>
            </w:r>
          </w:p>
        </w:tc>
        <w:tc>
          <w:tcPr>
            <w:tcW w:w="1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216,855</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202,657</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365,141</w:t>
            </w: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60,414</w:t>
            </w: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834,879</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934,975</w:t>
            </w:r>
          </w:p>
        </w:tc>
        <w:tc>
          <w:tcPr>
            <w:tcW w:w="0" w:type="dxa"/>
            <w:vAlign w:val="bottom"/>
          </w:tcPr>
          <w:p>
            <w:pPr>
              <w:spacing w:after="0"/>
              <w:rPr>
                <w:sz w:val="1"/>
                <w:szCs w:val="1"/>
                <w:color w:val="auto"/>
              </w:rPr>
            </w:pPr>
          </w:p>
        </w:tc>
      </w:tr>
      <w:tr>
        <w:trPr>
          <w:trHeight w:val="218"/>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305,761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284,052</w:t>
            </w:r>
          </w:p>
        </w:tc>
        <w:tc>
          <w:tcPr>
            <w:tcW w:w="0" w:type="dxa"/>
            <w:vAlign w:val="bottom"/>
          </w:tcPr>
          <w:p>
            <w:pPr>
              <w:spacing w:after="0"/>
              <w:rPr>
                <w:sz w:val="1"/>
                <w:szCs w:val="1"/>
                <w:color w:val="auto"/>
              </w:rPr>
            </w:pPr>
          </w:p>
        </w:tc>
      </w:tr>
      <w:tr>
        <w:trPr>
          <w:trHeight w:val="172"/>
        </w:trPr>
        <w:tc>
          <w:tcPr>
            <w:tcW w:w="674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Intangible assets, less accumulated amortization of $363,763 as of March 28, 2026 and</w:t>
            </w:r>
          </w:p>
        </w:tc>
        <w:tc>
          <w:tcPr>
            <w:tcW w:w="1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$316,313 as of March 29, 2025</w:t>
            </w:r>
          </w:p>
        </w:tc>
        <w:tc>
          <w:tcPr>
            <w:tcW w:w="1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447,655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455,743</w:t>
            </w:r>
          </w:p>
        </w:tc>
        <w:tc>
          <w:tcPr>
            <w:tcW w:w="0" w:type="dxa"/>
            <w:vAlign w:val="bottom"/>
          </w:tcPr>
          <w:p>
            <w:pPr>
              <w:spacing w:after="0"/>
              <w:rPr>
                <w:sz w:val="1"/>
                <w:szCs w:val="1"/>
                <w:color w:val="auto"/>
              </w:rPr>
            </w:pPr>
          </w:p>
        </w:tc>
      </w:tr>
      <w:tr>
        <w:trPr>
          <w:trHeight w:val="225"/>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656,368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604,269</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asset</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164,106</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2,395,925</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21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2,450,948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74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 and current maturities of long-term debt</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Pr>
          <w:p>
            <w:pPr>
              <w:spacing w:after="0"/>
              <w:rPr>
                <w:sz w:val="19"/>
                <w:szCs w:val="19"/>
                <w:color w:val="auto"/>
              </w:rPr>
            </w:pPr>
          </w:p>
        </w:tc>
        <w:tc>
          <w:tcPr>
            <w:tcW w:w="1400" w:type="dxa"/>
            <w:vAlign w:val="bottom"/>
          </w:tcPr>
          <w:p>
            <w:pPr>
              <w:jc w:val="right"/>
              <w:ind w:right="121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303,558</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66,999</w:t>
            </w:r>
          </w:p>
        </w:tc>
        <w:tc>
          <w:tcPr>
            <w:tcW w:w="0" w:type="dxa"/>
            <w:vAlign w:val="bottom"/>
          </w:tcPr>
          <w:p>
            <w:pPr>
              <w:spacing w:after="0"/>
              <w:rPr>
                <w:sz w:val="1"/>
                <w:szCs w:val="1"/>
                <w:color w:val="auto"/>
              </w:rPr>
            </w:pPr>
          </w:p>
        </w:tc>
      </w:tr>
      <w:tr>
        <w:trPr>
          <w:trHeight w:val="225"/>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59,423</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158,337</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148,133</w:t>
            </w: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282,599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578,113</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1,219,565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921,230</w:t>
            </w:r>
          </w:p>
        </w:tc>
        <w:tc>
          <w:tcPr>
            <w:tcW w:w="0" w:type="dxa"/>
            <w:vAlign w:val="bottom"/>
          </w:tcPr>
          <w:p>
            <w:pPr>
              <w:spacing w:after="0"/>
              <w:rPr>
                <w:sz w:val="1"/>
                <w:szCs w:val="1"/>
                <w:color w:val="auto"/>
              </w:rPr>
            </w:pPr>
          </w:p>
        </w:tc>
      </w:tr>
      <w:tr>
        <w:trPr>
          <w:trHeight w:val="225"/>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liability</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62,575</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68,194</w:t>
            </w:r>
          </w:p>
        </w:tc>
        <w:tc>
          <w:tcPr>
            <w:tcW w:w="0" w:type="dxa"/>
            <w:vAlign w:val="bottom"/>
          </w:tcPr>
          <w:p>
            <w:pPr>
              <w:spacing w:after="0"/>
              <w:rPr>
                <w:sz w:val="1"/>
                <w:szCs w:val="1"/>
                <w:color w:val="auto"/>
              </w:rPr>
            </w:pP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74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Common stock, $0.01 par value; Authorized — 150,000,000 shares; Issued and</w:t>
            </w:r>
          </w:p>
        </w:tc>
        <w:tc>
          <w:tcPr>
            <w:tcW w:w="1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outstanding — 45,252,667 shares as of March 28, 2026 and 48,215,899 shares as of</w:t>
            </w:r>
          </w:p>
        </w:tc>
        <w:tc>
          <w:tcPr>
            <w:tcW w:w="1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29, 2025</w:t>
            </w:r>
          </w:p>
        </w:tc>
        <w:tc>
          <w:tcPr>
            <w:tcW w:w="1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5"/>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554,137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523,264</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279,344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352,174</w:t>
            </w: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796,320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820,836</w:t>
            </w:r>
          </w:p>
        </w:tc>
        <w:tc>
          <w:tcPr>
            <w:tcW w:w="0" w:type="dxa"/>
            <w:vAlign w:val="bottom"/>
          </w:tcPr>
          <w:p>
            <w:pPr>
              <w:spacing w:after="0"/>
              <w:rPr>
                <w:sz w:val="1"/>
                <w:szCs w:val="1"/>
                <w:color w:val="auto"/>
              </w:rPr>
            </w:pPr>
          </w:p>
        </w:tc>
      </w:tr>
      <w:tr>
        <w:trPr>
          <w:trHeight w:val="218"/>
        </w:trPr>
        <w:tc>
          <w:tcPr>
            <w:tcW w:w="6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2,395,925</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218"/>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2,450,948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restart"/>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080" w:type="dxa"/>
            <w:vAlign w:val="bottom"/>
            <w:vMerge w:val="restart"/>
          </w:tcPr>
          <w:p>
            <w:pPr>
              <w:jc w:val="center"/>
              <w:ind w:right="53"/>
              <w:spacing w:after="0" w:line="126"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12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1,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50,448,519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253,168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817,997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20" w:type="dxa"/>
            <w:vAlign w:val="bottom"/>
            <w:tcBorders>
              <w:top w:val="single" w:sz="8" w:color="CCEEFF"/>
            </w:tcBorders>
            <w:vMerge w:val="continue"/>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79,168</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5,603</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5,604</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restricted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withholding on employee equity awards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117,558</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43"/>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50,788,000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634,627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360,456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959,959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20" w:type="dxa"/>
            <w:vAlign w:val="bottom"/>
            <w:tcBorders>
              <w:top w:val="single" w:sz="8" w:color="CCEEFF"/>
            </w:tcBorders>
            <w:vMerge w:val="continue"/>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97,092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6,476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6,476</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repurchased, including excise tax</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(226,848)</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restricted stock, net of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withholding on employee equity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Purchase of capped call related to convertible notes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167,679</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0" w:type="dxa"/>
            <w:vAlign w:val="bottom"/>
          </w:tcPr>
          <w:p>
            <w:pPr>
              <w:spacing w:after="0"/>
              <w:rPr>
                <w:sz w:val="1"/>
                <w:szCs w:val="1"/>
                <w:color w:val="auto"/>
              </w:rPr>
            </w:pPr>
          </w:p>
        </w:tc>
      </w:tr>
      <w:tr>
        <w:trPr>
          <w:trHeight w:val="244"/>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29,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48,215,899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523,264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352,174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820,836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20" w:type="dxa"/>
            <w:vAlign w:val="bottom"/>
            <w:tcBorders>
              <w:top w:val="single" w:sz="8" w:color="CCEEFF"/>
            </w:tcBorders>
            <w:vMerge w:val="continue"/>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126,607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6,098</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repurchased, including excise tax</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(3,373,720)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(176,331)</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restricted stock, net of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withholding on employee equity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33,827</w:t>
            </w:r>
          </w:p>
        </w:tc>
        <w:tc>
          <w:tcPr>
            <w:tcW w:w="0" w:type="dxa"/>
            <w:vAlign w:val="bottom"/>
          </w:tcPr>
          <w:p>
            <w:pPr>
              <w:spacing w:after="0"/>
              <w:rPr>
                <w:sz w:val="1"/>
                <w:szCs w:val="1"/>
                <w:color w:val="auto"/>
              </w:rPr>
            </w:pPr>
          </w:p>
        </w:tc>
      </w:tr>
      <w:tr>
        <w:trPr>
          <w:trHeight w:val="225"/>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97,308</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28, 2026</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45,252,667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554,137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279,344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(37,614)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796,320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6"/>
        </w:trPr>
        <w:tc>
          <w:tcPr>
            <w:tcW w:w="6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40" w:type="dxa"/>
            <w:vAlign w:val="bottom"/>
          </w:tcPr>
          <w:p>
            <w:pPr>
              <w:spacing w:after="0"/>
              <w:rPr>
                <w:sz w:val="10"/>
                <w:szCs w:val="10"/>
                <w:color w:val="auto"/>
              </w:rPr>
            </w:pPr>
          </w:p>
        </w:tc>
        <w:tc>
          <w:tcPr>
            <w:tcW w:w="130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spacing w:after="0"/>
              <w:rPr>
                <w:sz w:val="10"/>
                <w:szCs w:val="10"/>
                <w:color w:val="auto"/>
              </w:rPr>
            </w:pPr>
          </w:p>
        </w:tc>
        <w:tc>
          <w:tcPr>
            <w:tcW w:w="1180" w:type="dxa"/>
            <w:vAlign w:val="bottom"/>
          </w:tcPr>
          <w:p>
            <w:pPr>
              <w:jc w:val="right"/>
              <w:ind w:right="313"/>
              <w:spacing w:after="0" w:line="126"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2"/>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97,308</w:t>
            </w:r>
          </w:p>
        </w:tc>
        <w:tc>
          <w:tcPr>
            <w:tcW w:w="80" w:type="dxa"/>
            <w:vAlign w:val="bottom"/>
          </w:tcPr>
          <w:p>
            <w:pPr>
              <w:spacing w:after="0"/>
              <w:rPr>
                <w:sz w:val="19"/>
                <w:szCs w:val="19"/>
                <w:color w:val="auto"/>
              </w:rPr>
            </w:pPr>
          </w:p>
        </w:tc>
        <w:tc>
          <w:tcPr>
            <w:tcW w:w="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167,679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117,558</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97,215</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fair value inventory step-up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28,332</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repurchase of convertible senior notes, net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on sales of 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non-cash operating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(24,193)</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(60,061)</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prepaid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other assets and 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(34,046)</w:t>
            </w: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accounts payable and accrued expenses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44,582</w:t>
            </w:r>
          </w:p>
        </w:tc>
      </w:tr>
      <w:tr>
        <w:trPr>
          <w:trHeight w:val="219"/>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181,751</w:t>
            </w: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divestiture and sale of assets</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172"/>
        </w:trPr>
        <w:tc>
          <w:tcPr>
            <w:tcW w:w="676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Non-cash transfers from inventory to property, plant and equipment for Haemonetics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8"/>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(28,171)</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(243,852)</w:t>
            </w: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18"/>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(322,389)</w:t>
            </w: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and repurchase of convertible notes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capped call related to convertible notes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 borrowings</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 redemption</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term loan borrowings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revolving facility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revolving facility</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employee stock programs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used to net share settle employee equity awards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repurchases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18"/>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38,157</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(105,666)</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284,466</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245,440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178,800</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6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ind w:right="358"/>
              <w:spacing w:after="0" w:line="12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00" w:type="dxa"/>
            <w:vAlign w:val="bottom"/>
          </w:tcPr>
          <w:p>
            <w:pPr>
              <w:spacing w:after="0"/>
              <w:rPr>
                <w:sz w:val="11"/>
                <w:szCs w:val="11"/>
                <w:color w:val="auto"/>
              </w:rPr>
            </w:pPr>
          </w:p>
        </w:tc>
        <w:tc>
          <w:tcPr>
            <w:tcW w:w="1240" w:type="dxa"/>
            <w:vAlign w:val="bottom"/>
          </w:tcPr>
          <w:p>
            <w:pPr>
              <w:jc w:val="center"/>
              <w:ind w:right="179"/>
              <w:spacing w:after="0" w:line="12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300" w:type="dxa"/>
            <w:vAlign w:val="bottom"/>
          </w:tcPr>
          <w:p>
            <w:pPr>
              <w:spacing w:after="0"/>
              <w:rPr>
                <w:sz w:val="11"/>
                <w:szCs w:val="11"/>
                <w:color w:val="auto"/>
              </w:rPr>
            </w:pPr>
          </w:p>
        </w:tc>
        <w:tc>
          <w:tcPr>
            <w:tcW w:w="1180" w:type="dxa"/>
            <w:vAlign w:val="bottom"/>
          </w:tcPr>
          <w:p>
            <w:pPr>
              <w:jc w:val="right"/>
              <w:ind w:right="318"/>
              <w:spacing w:after="0" w:line="12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1"/>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5"/>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17,465</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16,534</w:t>
            </w:r>
          </w:p>
        </w:tc>
        <w:tc>
          <w:tcPr>
            <w:tcW w:w="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60,665</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49,293</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52,706</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previously held equity interest settled in connection with acquisition</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47,258</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pre-existing loan in connection with acquisition</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35,812</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BASIS OF PRESENTATION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Haemonetics is a global medical technology company dedicated to improving the quality, effectiveness and efficiency of health care. Haemonetics’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 When used in this report, the terms “we,” “us,” “our,” “Haemonetics” and the “Company” mean Haemonetics Corporation.</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Haemonetics manages its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plasma, red cells and platelets. “Hospital” is comprised of Interventional Technologies, which includes Vascular Closure, Sensor-Guided Technologies and Esophageal Protection product lines, and Blood Management Technologies, which includes Hemostasis Management, Cell Salvage and Transfusion Management product lines.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accompanying consolidated financial statements present separately the Company’s consolidated financial position, results of operations, cash flows and changes in shareholders’ equity. The consolidated financial statements have been prepared in accordance with U.S. generally accepted accounting principles (“U.S. GAAP”). All amounts presented, except per share amounts, are stated in thousands of U.S. dollars, unless otherwise indicated.</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consolidated financial statements to provide additional evidence relative to certain estimates or to identify matters that require additional disclosure. Subsequent events have been evaluated as required. There were no material recognized or unrecognized subsequent events.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Haemonetics’ fiscal year ends on the Saturday closest to the last day of March. Fiscal years 2026, 2025 and 2024 include 52 weeks with each quarter having 13 weeks.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all accounts including those of its subsidiaries. All significant intercompany accounts and transactions have been eliminated in consolidation. In addition, the Company assesses its strategic investments to determine whether they meet the definition of a variable interest entity (“VIE”), and if so, whether the Company has controlling financial interest. Controlling financial interest occurs if the Company has both the power to direct activities of the VIE that most significantly impact the VIE’s economic performance and an obligation to absorb losses of or the right to receive benefits from the VIE that could potentially be significant to the VIE. The Company’s strategic investments did not meet the controlling financial interest criteria, as such no VIEs were consolidated during fiscal 2026, 2025 or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its estimates and assumptions. The Company considers estimates to be critical if they are required to make assumptions about material matters that are uncertain at the time of estimation or if materially different estimates could have been made or it is reasonably likely that the accounting estimate will change from period to period. The following are areas considered to be critical and require management’s judgment: revenue recognition, inventory provisions, intangible asset and goodwill valuation, legal and other judgmental accruals and income taxes.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is currently involved and may become involved in various legal proceedings and claims, including, without limitation, patent infringement, product liability, breach of contract and employee-related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the Company records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the best estimate is changed to a lower amount.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The Company's revenue recognition policy is to recognize revenues from product sales, software and services in accordance with the Financial Accounting Standards Board (“FASB”) issued Accounting Standards Codification (“ASC”) Update No. 2014-19,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the Company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 In software contracts with multiple performance obligations, the Company accounts for individual performance obligations separately if they are distinct. The Company allocates the transaction price to each performance obligation based on its relative standalone selling price out of total consideration of the contract. Standalone selling price is determined utilizing observable prices to the extent available. If the standalone selling price for a performance obligation is not directly observable, the Company estimates it maximizing the use of observable inputs. For maintenance and support, the Company determines the standalone selling price based on the price at which we separately sell a renewal contract and the economic relationship between licenses and maintenance.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Revenues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majority of the Company’s performance obligations related to product sales are satisfied at a point in time. Product revenue consists of the sale of its disposable products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product sales to distributors, the Company recognizes revenue for both equipment and disposables upon shipment to distributors, which is when its performance obligations are complete. The Company’s standard contracts with its distributors 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and Other Revenues</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implementation services related to software customization as well as 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the Company’s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Judgments</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the Company is unable to estimate the expected rebates reasonably, it records a liability for the maximum potential rebate or discount that could be earned. In circumstances where the Company provides upfront rebate payments to customers, it capitalizes the rebate payments and amortizes the resulting asset as a reduction of revenue using a systematic method over the life of the contract.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contract assets, as well as customer advances, customer deposits and deferred revenue (contract liabilities) on the consolidated balance sheets. The difference in timing between billing and revenue recognition primarily occurs in software licensing arrangements, resulting in contract assets and contract liabilities.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Practical Expedients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consolidated financial statements as a component of stockholders’ equity. Foreign currency transaction gains and losses, including those resulting from intercompany transactions, are charged directly to earnings and included in other expense, net on the consolidated statements of income. The impact of foreign exchange on long-term intercompany loans, for which repayment has not been scheduled or planned, are recorded in accumulated other comprehensive loss (“AOCL”)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March 28, 2026, cash and cash equivalents consisted primarily of investments in United States Government Agency and institutional money market funds.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establishes a specific allowance for customers when it is probable that they will not be able to meet their financial obligations. Customer accounts are reviewed individually on a regular basis and reserves are established as deemed appropriate. The Company also maintains a general reserve using a percentage that is established based upon the age of its receivables and its collection history. The Company establishes allowances for balances not yet due and past due accounts based on past experience.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 The Company has based its provisions for excess, expired and obsolete inventory primarily on its estimates of forecasted net sales. Significant changes in the timing or level of demand for the Company’s products result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the Company’s estimates related to excess, expired and obsolete inventory.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Property, plant and equipment is recorded at historical cost. The Company provides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91"/>
        </w:trPr>
        <w:tc>
          <w:tcPr>
            <w:tcW w:w="97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24"/>
        </w:trPr>
        <w:tc>
          <w:tcPr>
            <w:tcW w:w="9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30 – 40 Years</w:t>
            </w:r>
          </w:p>
        </w:tc>
        <w:tc>
          <w:tcPr>
            <w:tcW w:w="0" w:type="dxa"/>
            <w:vAlign w:val="bottom"/>
          </w:tcPr>
          <w:p>
            <w:pPr>
              <w:spacing w:after="0"/>
              <w:rPr>
                <w:sz w:val="1"/>
                <w:szCs w:val="1"/>
                <w:color w:val="auto"/>
              </w:rPr>
            </w:pPr>
          </w:p>
        </w:tc>
      </w:tr>
      <w:tr>
        <w:trPr>
          <w:trHeight w:val="225"/>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 – 20 Years</w:t>
            </w:r>
          </w:p>
        </w:tc>
        <w:tc>
          <w:tcPr>
            <w:tcW w:w="0" w:type="dxa"/>
            <w:vAlign w:val="bottom"/>
          </w:tcPr>
          <w:p>
            <w:pPr>
              <w:spacing w:after="0"/>
              <w:rPr>
                <w:sz w:val="1"/>
                <w:szCs w:val="1"/>
                <w:color w:val="auto"/>
              </w:rPr>
            </w:pPr>
          </w:p>
        </w:tc>
      </w:tr>
      <w:tr>
        <w:trPr>
          <w:trHeight w:val="225"/>
        </w:trPr>
        <w:tc>
          <w:tcPr>
            <w:tcW w:w="9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15 Years</w:t>
            </w:r>
          </w:p>
        </w:tc>
        <w:tc>
          <w:tcPr>
            <w:tcW w:w="0" w:type="dxa"/>
            <w:vAlign w:val="bottom"/>
          </w:tcPr>
          <w:p>
            <w:pPr>
              <w:spacing w:after="0"/>
              <w:rPr>
                <w:sz w:val="1"/>
                <w:szCs w:val="1"/>
                <w:color w:val="auto"/>
              </w:rPr>
            </w:pPr>
          </w:p>
        </w:tc>
      </w:tr>
      <w:tr>
        <w:trPr>
          <w:trHeight w:val="225"/>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10 Years</w:t>
            </w:r>
          </w:p>
        </w:tc>
        <w:tc>
          <w:tcPr>
            <w:tcW w:w="0" w:type="dxa"/>
            <w:vAlign w:val="bottom"/>
          </w:tcPr>
          <w:p>
            <w:pPr>
              <w:spacing w:after="0"/>
              <w:rPr>
                <w:sz w:val="1"/>
                <w:szCs w:val="1"/>
                <w:color w:val="auto"/>
              </w:rPr>
            </w:pPr>
          </w:p>
        </w:tc>
      </w:tr>
      <w:tr>
        <w:trPr>
          <w:trHeight w:val="225"/>
        </w:trPr>
        <w:tc>
          <w:tcPr>
            <w:tcW w:w="9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7 Years</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evaluates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installed base of devices includes devices owned by the Company and devices sold to the customer. The asset on its consolidated balance sheets classified as Haemonetics equipment consists of medical devices installed at customer sites but owned by Haemonetics. Generally, the customer has the right to use it for a period of time during which they separately purchase disposables.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Consistent with the impairment tests noted below for other intangible assets subject to amortization, the Company reviews Haemonetics equipment and the related useful lives of such equipment at least once a year, or more frequently if certain conditions arise, to determine if any adverse conditions exist that would indicate the carrying value of these assets may not be recoverable. To conduct these reviews, the Company estimates the future amount and timing of demand for disposables used with these devices, from which it generates revenues. The Company also considers product life cycle in its evaluation of useful life and recoverability. Changes in expected demand can result in additional depreciation expense, which is classified as cost of goods sold. Any significant unanticipated changes in demand could impact the value of the Company’s devices and its reported operating results.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purchase price over the fair value of the net tangible and other identifiable intangible assets acquired. Goodwill is not amortized and is instead reviewed for impairment at least annually, or on an interim basis between annual tests when events or circumstances indicate that it is more likely than not that the fair value of a reporting unit is less than its carrying value. The Company performs its annual impairment test on the first day of the fiscal fourth quarter for each of its reporting units.</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reporting unit is defined as an operating segment or one level below an operating segment, referred to as a component. The Company determines its reporting units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The Company’s operating segments are as follows: Plasma, Blood Center and Hospital. The Company’s reporting units are as follows: Plasma, Blood Center, Interventional Technologies and Blood Management Technologies. When the Company completes business combinations, the Company assigns goodwill to the reporting units that it expects to benefit from the respective business combination at the time of acquisition.</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ASC Update No.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entities perform their goodwill impairment test by comparing the fair value of a reporting unit with its carrying amount by either performing a qualitative or quantitative assessment. The Company may elect to perform only a qualitative assessment for its annual impairment test when certain qualitative criteria are met that indicate that it is more likely than not the fair values of each reporting unit exceed their carrying values.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elects to perform a quantitative test, it determines carrying values of each reporting unit by allocating assets and liabilities, including corporate assets, which relate to a reporting unit’s operations and would be considered in determining its fair value, to the individual reporting units. The Company allocates assets and liabilities not directly related to a specific reporting unit, but from which the reporting unit benefits, based primarily on the respective revenue contribution of each reporting unit.</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when performing a quantitative test, the Company primarily uses the income approach, specifically the discounted cash flow method, to derive the fair value of each of its reporting units in preparing its goodwill impairment assessments. This approach calculates fair value by estimating the after-tax cash flows attributable to a reporting unit and then discounting these after-tax cash flows to a present value using a risk-adjusted discount rate. The Company selected this method as being the most meaningful in preparing its goodwill assessments because the use of the income approach typically generates a more precise measurement of fair value than the market approach. In applying the income approach to its accounting for goodwill, the Company makes assumptions about the amount and timing of future expected cash flows, terminal value growth rates and appropriate discount rates. The amount and timing of future cash flows within the Company’s discounted cash flow analysis is based on its most recent operational budgets, long range strategic plans and other estimates. The terminal value growth rate is used to calculate the value of cash flows beyond the last projected period in the Company’s discounted cash flow analysis and reflects the Company’s best estimates for stable, perpetual growth of its reporting units. The Company uses estimates of market-participant risk adjusted weighted average cost of capital as a basis for determining the discount rates to apply to its reporting units’ future expected cash flows. The Company corroborates the valuations that arose from the discounted cash flow approach by performing both a market multiple valuation and by reconciling the aggregate fair value of its reporting units to its market capitalization at the time of the test. An impairment charge, if any, would then be recognized for the amount by which the carrying value exceeds the reporting unit’s fair value.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Goodwill Impairment Test</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fiscal 2026 the Company elected to perform the annual goodwill impairment test using qualitative assessments for three reporting units and a quantitative assessment for one reporting unit for its annual goodwill impairment test. In fiscal 2025, the Company elected to perform quantitative assessments for its annual goodwill impairment test. In fiscal 2024, the Company performed a qualitative assessment. In fiscal 2026, 2025 and 2024, the results of the annual goodwill impairment test performed indicated that the estimated fair value of all of its reporting units exceeded their respective carrying values, however, in fiscal 2026 the fair value of the Interventional Technologies reporting unit, which is within the Hospital reportable segment, was $867.8 million, which only exceeded its carrying value of $821.6 million by 6%. The fair value of the Interventional Technologies reporting unit was primarily determined using a discounted cash flow approach utilizing a discount rate of 10.5%, which reflects a market-participant weighted average cost of capital based on the risk profile, size, and capital structure of the reporting unit.</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estimation of fair value requires significant judgment and is based primarily on a discounted cash flow approach, supplemented by market-based methods where appropriate. Key assumptions include projected revenue growth rates, operating margins, and the discount rate. These inputs are based on management’s expectations of future performance and market conditions and are inherently uncertain.</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Interventional Technologies reporting unit remains sensitive to changes in key assumptions. A decline in projected revenue growth rates, or an increase in the discount rate, could result in the carrying value exceeding fair value.</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monitors for goodwill impairment indicators throughout the year, including changes in macroeconomic conditions, industry trends, and business performance. No interim goodwill impairment indicators for the Interventional Technologies reporting unit were identified during fiscal 2026 that required an additional goodwill impairment test.</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Although no goodwill impairment was recorded for the Interventional Technologies reporting unit during fiscal 2026, it remains at risk of future impairment if actual results differ from current estimates or if market conditions deteriorate.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Monitoring of Long-Lived Intangible Asset Impairment</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also evaluates long-lived intangible assets subject to amortization for intangible impairment quarterly to determine if any adverse conditions exist that would indicate that the carrying value of an asset or asset group may not be recoverable, or that a change in the remaining useful life is required. Conditions indicating that an intangible impairment exists include but are not limited to a change in the competitive landscape, internal decisions to pursue new or different technology strategies, a loss of a significant customer or a significant change in the marketplace including prices paid for the Company’s products or the size of the market for the Company’s products. Recoverability is assessed by comparing the carrying value of the asset group to the undiscounted cash flows expected to result from its use and eventual disposition. If the carrying value exceeds those undiscounted cash flows, an intangible impairment loss is measured as the excess of carrying value over fair value.</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When an intangible impairment indicator exists, the Company tests the intangible asset for recoverability. For purposes of the recoverability test, the Company groups its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the Company will write the carrying value down to the fair value in the period identified.</w:t>
      </w:r>
    </w:p>
    <w:p>
      <w:pPr>
        <w:spacing w:after="0" w:line="1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color w:val="auto"/>
        </w:rPr>
        <w:t>The Company generally calculates the fair value of its intangible assets as the present value of estimated future cash flows it expects to generate from the asset using a risk-adjusted discount rate. In determining its estimated future cash flows associated with its intangible assets, the Company uses estimates and assumptions regarding future revenues, operating margins, customer attrition, economic conditions and remaining useful lives of the asset (asset group).</w:t>
      </w:r>
    </w:p>
    <w:p>
      <w:pPr>
        <w:spacing w:after="0" w:line="1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the Company determines the estimate of an intangible asset’s remaining useful life should be reduced based on its expected use of the asset, the remaining carrying amount of the asset is amortized prospectively over the revised estimated useful life.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fourth quarter of fiscal 2026, the Company identified intangible impairment indicators related to the Advanced Cooling Therapy, Inc., d/b/a Attune Medical (“Attune Medical”) asset group within the Interventional Technologies reporting unit, which is within the Hospital reportable segment, including lower revenue projections, changes in market conditions and declines in operating performance. As a result, a recoverability test was performed as of the first day of the fourth quarter in fiscal 2026 for the Attune Medical asset group and it was determined that the carrying value of the asset group exceeded the estimated undiscounted cash flows, indicating that the asset group was not recoverable. As a result, an additional fair value measurement was performed for the Attune Medical asset group.</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fair value of the Attune Medical asset group was measured using a discounted cash flow approach. As of the first day of the fourth quarter in fiscal 2026, the estimated fair value of the asset group was approximately $12.3 million, compared to a carrying value of $89.5 million, resulting in the recognition of an intangible impairment charge of $77.2 million in the fourth quarter of fiscal 2026.</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Significant unobservable inputs used in the fair value measurement included projected revenues, operating margins, and a discount rate reflecting the estimated weighted average cost of capital of a market participant. The revenue and margin assumptions were based on internal forecasts, which incorporate assumptions about future market conditions, product adoption rates, pricing, and competitive dynamics. The discount rate utilized in the valuation of the Attune Medical asset group was 19.8%, which reflects the higher risk profile, earlier stage of commercialization, and greater uncertainty in projected cash flows relative to the broader Interventional Technologies reporting unit. The discount rate was developed using market-based inputs, including a risk-free rate, equity risk premium, and company-specific risk adjustments.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implementation costs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ASC Topic 350-40, </w:t>
      </w:r>
      <w:r>
        <w:rPr>
          <w:rFonts w:ascii="Times New Roman" w:cs="Times New Roman" w:eastAsia="Times New Roman" w:hAnsi="Times New Roman"/>
          <w:sz w:val="18"/>
          <w:szCs w:val="18"/>
          <w:i w:val="1"/>
          <w:iCs w:val="1"/>
          <w:color w:val="auto"/>
        </w:rPr>
        <w:t>Goodwill and Other, Internal-Use Software,</w:t>
      </w:r>
      <w:r>
        <w:rPr>
          <w:rFonts w:ascii="Times New Roman" w:cs="Times New Roman" w:eastAsia="Times New Roman" w:hAnsi="Times New Roman"/>
          <w:sz w:val="18"/>
          <w:szCs w:val="18"/>
          <w:color w:val="auto"/>
        </w:rPr>
        <w:t xml:space="preserve"> specifies that certain costs incurred in the application development stage to implement cloud computing arrangements hosted by a third-party vendor are required to be capitalized. The Company includes these costs in other long-term assets. The costs are amortized using the straight-line method over the expected contract term, including extension periods and is included in selling, general and administrative expense in the consolidated statements of income.</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long-term assets as of March 28, 2026 included approximately $62.4 million of capitalized implementation costs related to a new global enterprise resource planning system. There were $44.0 million of implementation costs capitalized as of March 29, 2025. Amortization expense was $1.4 million, $1.4 million and $0.9 million in fiscal 2026, 2025 and 2024,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Costs of Computer Software to be Sold, Leased, or Otherwise Marketed</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ASC Topic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5 to 10 years. Technological feasibility is established when it has a detailed design of the software and when research and development activities on the underlying device, if applicable, are completed. The Company capitalizes costs associated with both software that it sells as a separate product and software that is embedded in a device.</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reviews the net realizable value of capitalized assets periodically to assess the recoverability of amounts capitalized. There were no impairment charges recorded during fiscal 2026, 2025 and 2024. In the future, the net realizable value may be adversely affected by the loss of a significant customer or a significant change in the marketplace, which could result in an impairment being recorded. Refer to Note 10, </w:t>
      </w:r>
      <w:r>
        <w:rPr>
          <w:rFonts w:ascii="Times New Roman" w:cs="Times New Roman" w:eastAsia="Times New Roman" w:hAnsi="Times New Roman"/>
          <w:sz w:val="18"/>
          <w:szCs w:val="18"/>
          <w:i w:val="1"/>
          <w:iCs w:val="1"/>
          <w:color w:val="auto"/>
        </w:rPr>
        <w:t>Goodwill &amp; Intangible Assets</w:t>
      </w:r>
      <w:r>
        <w:rPr>
          <w:rFonts w:ascii="Times New Roman" w:cs="Times New Roman" w:eastAsia="Times New Roman" w:hAnsi="Times New Roman"/>
          <w:sz w:val="18"/>
          <w:szCs w:val="18"/>
          <w:color w:val="auto"/>
        </w:rPr>
        <w:t xml:space="preserve"> for more information regarding capitalized software.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current liabilities represent items payable or expected to settle within the next twelve months. The items included in the fiscal year end balances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3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4"/>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102,507</w:t>
            </w:r>
          </w:p>
        </w:tc>
      </w:tr>
      <w:tr>
        <w:trPr>
          <w:trHeight w:val="218"/>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148,133</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represent items that are not payable or expected to settle within the next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research and development costs are expensed as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advertising costs are expensed as incurred and are included in selling, general and administrative expenses in the consolidated statements of income.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$7.4 million, $7.7 million and $7.1 million in fiscal 2026, 2025 and 2024,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are included in selling,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income tax provision is calculated for all jurisdictions in which the Company operates.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the Company’s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information and discussion of the Company’s income tax provision and balances.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files income tax returns in all jurisdictions in which it operates. The Company records a liability for uncertain tax positions taken or expected to be taken in income tax returns. The Company’s consolidated financial statements reflect expected future tax consequences of such positions presuming the taxing authorities’ full knowledge of the position and all relevant facts. The Company records a liability for the portion of unrecognized tax benefits claimed that it has determined are not more-likely-than-not realizable. These tax reserves have been established based on management’s assessment as to the potential exposure attributable to the Company’s uncertain tax positions as well as interest and penalties attributable to these uncertain tax positions. All tax reserves are analyzed quarterly and adjustments are made as events occur that result in changes in judgment.</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evaluates at the end of each reporting period whether some or all of the undistributed earnings of its foreign subsidiaries are permanently reinvested. The Company recognizes deferred income tax liabilities to the extent that management asserts that undistributed earnings of its foreign subsidiaries are not permanently reinvested or will not be permanently reinvested in the future. The Company’s position is based upon several factors including management’s evaluation of Haemonetics’ and its subsidiaries’ financial requirements, the short-term and long-term operational and fiscal objectives of the Company and the tax consequences associated with the repatriation of earnings.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accounts for convertible senior notes as a single liability measured at its amortized cost. At issuance, the carrying amount is calculated as the proceeds, net of initial debt issuance costs. The difference between the principal amount and carrying value is amortized to interest expense over the term of the convertible senior notes using the effective interest rate method.</w:t>
      </w:r>
    </w:p>
    <w:p>
      <w:pPr>
        <w:spacing w:after="0" w:line="12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 xml:space="preserve">A detailed analysis of the terms of the convertible senior notes transactions is required to determine the existence of any derivatives that may require separate mark-to-market accounting under applicable accounting guidance. Refer to Note 13,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 xml:space="preserve"> for further details.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Company accounts for its derivative financial instruments in accordance with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and ASC Topic 820, </w:t>
      </w:r>
      <w:r>
        <w:rPr>
          <w:rFonts w:ascii="Times New Roman" w:cs="Times New Roman" w:eastAsia="Times New Roman" w:hAnsi="Times New Roman"/>
          <w:sz w:val="17"/>
          <w:szCs w:val="17"/>
          <w:i w:val="1"/>
          <w:iCs w:val="1"/>
          <w:color w:val="auto"/>
        </w:rPr>
        <w:t>Fair Value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Measurements and Disclosures. </w:t>
      </w:r>
      <w:r>
        <w:rPr>
          <w:rFonts w:ascii="Times New Roman" w:cs="Times New Roman" w:eastAsia="Times New Roman" w:hAnsi="Times New Roman"/>
          <w:sz w:val="17"/>
          <w:szCs w:val="17"/>
          <w:color w:val="auto"/>
        </w:rPr>
        <w:t>In accordance with ASC Topic 815, the Company records all derivatives on the consolidated balance sheets at fair value.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for the change in the fair value of derivatives depends on the intended use of the derivative, whether the Company has elected to designate a derivative as a hedging instrument for accounting purposes and whether the hedging relationship has satisfied the criteria necessary to apply hedge accounting. In addition, ASC Topic 815 provides that, for derivative instruments that qualify for hedge accounting, changes in the fair value are either (a) 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The Company does not use derivative financial instruments for trading or speculation purposes.</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When the underlying hedged transaction affects earnings, the gains or losses on the forward foreign exchange rate contracts designated as hedges are recorded in net revenues, cost of goods sold, operating expenses and other expense, net in the Company’s consolidated statements of income,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the Company records the gains or losses in earnings currently. These gains and losses are intended to offset the gains and losses recorded on net monetary assets or liabilities that are denominated in foreign currencies. The Company recorded foreign currency losses of $3.2 million in fiscal 2026, foreign currency gains of $0.9 million in fiscal 2025, and foreign currency losses of $4.0 million in fiscal 2024.</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 quarterly basis, the Company assesses whether the cash flow hedges are highly effective in offsetting changes in the cash flow of the hedged item. The Company manages the credit risk of its counterparties by dealing only with institutions that it considers financially sound and considers the risk of non-performance to be remote. Additionally,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derivative instruments do not subject its earnings or cash flows to material risk, as gains and losses on these derivatives are intended to offset losses and gains on the item being hedged. The Company does not enter into derivative transactions for speculative purposes and it does not have any non-derivative instruments that are designated as hedging instruments pursuant to ASC Topic 815. Refer to Note 13, </w:t>
      </w:r>
      <w:r>
        <w:rPr>
          <w:rFonts w:ascii="Times New Roman" w:cs="Times New Roman" w:eastAsia="Times New Roman" w:hAnsi="Times New Roman"/>
          <w:sz w:val="18"/>
          <w:szCs w:val="18"/>
          <w:i w:val="1"/>
          <w:iCs w:val="1"/>
          <w:color w:val="auto"/>
        </w:rPr>
        <w:t>Financial Instruments and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expenses the fair value of share-based awards granted to employees, board members and others, net of estimated forfeitures. To calculate the grant-date fair value of its stock options the Company uses the Black-Scholes option-pricing model, for performance share units based on relative total shareholder return (“rTSR”) the Company uses Monte Carlo simulation models, and for performance share units based on the average annual organic revenue growth rate (“AAGR”) the Company recognizes expense based on the number of awards expected to vest, which requires management to assess the probability of achieving the performance conditions. This assessment is based on internal revenue forecasts, historical performance and current market conditions, and is reassessed at each reporting date.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Exit Activities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records employee termination costs in accordance with ASC Topic 712</w:t>
      </w:r>
      <w:r>
        <w:rPr>
          <w:rFonts w:ascii="Times New Roman" w:cs="Times New Roman" w:eastAsia="Times New Roman" w:hAnsi="Times New Roman"/>
          <w:sz w:val="18"/>
          <w:szCs w:val="18"/>
          <w:i w:val="1"/>
          <w:iCs w:val="1"/>
          <w:color w:val="auto"/>
        </w:rPr>
        <w:t>, Compensation - Nonretirement and Postemployment Benefits</w:t>
      </w:r>
      <w:r>
        <w:rPr>
          <w:rFonts w:ascii="Times New Roman" w:cs="Times New Roman" w:eastAsia="Times New Roman" w:hAnsi="Times New Roman"/>
          <w:sz w:val="18"/>
          <w:szCs w:val="18"/>
          <w:color w:val="auto"/>
        </w:rPr>
        <w:t>, if it pays the benefits as part of an on-going benefit arrangement, which includes benefits provided as part of its established severance policies or that it provides in accordance with international statutory requirements. The Company accrues employee termination costs associated with an on-going benefit arrangement if the obligation is attributable to prior services rendered, the rights to the benefits have vested, the payment is probable and the liability can be reasonably estimated. The Company accounts for employee termination benefits that represent a one-time benefit in accordance with ASC Topic 420</w:t>
      </w:r>
      <w:r>
        <w:rPr>
          <w:rFonts w:ascii="Times New Roman" w:cs="Times New Roman" w:eastAsia="Times New Roman" w:hAnsi="Times New Roman"/>
          <w:sz w:val="18"/>
          <w:szCs w:val="18"/>
          <w:i w:val="1"/>
          <w:iCs w:val="1"/>
          <w:color w:val="auto"/>
        </w:rPr>
        <w:t>, Exit or Disposal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Obligation</w:t>
      </w:r>
      <w:r>
        <w:rPr>
          <w:rFonts w:ascii="Times New Roman" w:cs="Times New Roman" w:eastAsia="Times New Roman" w:hAnsi="Times New Roman"/>
          <w:sz w:val="18"/>
          <w:szCs w:val="18"/>
          <w:color w:val="auto"/>
        </w:rPr>
        <w:t>s. It records such costs into expense over the employee’s future service period, if any.</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 costs associated with exit activities may include contract termination costs, including costs related to leased facilities to be abandoned or subleased, consultant fees and impairments of long-lived assets. The costs are expensed in accordance with ASC Topic 420 and ASC Topic 360</w:t>
      </w:r>
      <w:r>
        <w:rPr>
          <w:rFonts w:ascii="Times New Roman" w:cs="Times New Roman" w:eastAsia="Times New Roman" w:hAnsi="Times New Roman"/>
          <w:sz w:val="18"/>
          <w:szCs w:val="18"/>
          <w:i w:val="1"/>
          <w:iCs w:val="1"/>
          <w:color w:val="auto"/>
        </w:rPr>
        <w:t>, 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and are included in costs of goods sold and selling, general and administrative costs in its consolidated statements of income. Additionally,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directly related to the Company’s active restructuring initiatives, including program management costs, accelerated depreciation and costs to transfer product lines among facilities are included within costs of goods sold and selling, general and administrative costs in its consolidated statements of income. Refer to Note 5,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further information and discussion of its restructuring plans.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Acquisitions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allocates the amounts it pays for each acquisition to the assets acquired and liabilities assumed based on their estimated fair values at the dates of acquisition, including acquired identifiable intangible assets. The Company bases the estimated fair value of identifiable intangible assets on detailed valuations that use significant assumptions including forecasted cash flows, revenues attributable to existing technology and discount rates. When estimating the significant assumptions to be used in the valuation, the Company includes a consideration of current industry information, market and economic trends, historical results of the acquired business and other relevant factors. These significant assumptions are forward-looking and could be affected by future economic and market conditions. The Company allocates any excess purchase price over the fair value of the net tangible and intangible assets acquired to goodwill.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holds strategic investments in privately held entities. Certain of these investments are accounted for under the equity method to the extent the Company determines it has the ability to exercise significant influence over the operating and financial policies of the investees. For equity instruments that do not have readily determinable fair values and are not accounted for under the equity method, the Company applies the measurement alternative, recording them at cost less impairment. The carrying amount for these instruments would be subsequently adjusted for observable price changes, or prices in orderly transactions for an identical investment or similar investment of the same issuer. In addition, these investments are periodically evaluated for impairment, and the investments are classified as other long-term assets on the Company’s consolidated balance sheets.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cases where the Company acquires a company in which it previously held an equity stake, the Company attributes a portion of the purchase price to the previously-held equity interest, which is implied based on the total purchase consideration allocable to each of the shareholders, including Haemonetics, according to priority of equity interests. The Company remeasures its previously held equity interest in the acquiree at its acquisition date fair value and records a gain or loss for the difference between the fair value and carrying value in interest and other expense, net in the consolidated statements of income. Refer to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 xml:space="preserve"> for further information and discussion regarding the acquisition.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equivalents and accounts receivable. In fiscal 2026, 2025 and 2024, the Company’s ten largest customers accounted for approximately 44%, 42% and 48% of net revenues, respectively. In fiscal 2026, one Plasma customer accounted for approximately 13% of total net revenues.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markets and industries can expose the Company to concentrations of credit risk. For example, in the Plasma business unit, sales are concentrated with several large customers. As a result, accounts receivable extended to any one of these biopharmaceutical customers can be significant at any point in time. Also, a portion of the Company’s trade accounts receivable outside the U.S. include sales to government-owned or supported healthcare systems in several countries, which are subject to payment delays. Payment is dependent upon the financial stability and creditworthiness of those countries’ national economies. The Company has not incurred significant losses on government receivables. The Company continually evaluates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ASC Update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ASC Update No. 2023-09 requires disaggregated information about a reporting entity’s effective tax rate reconciliation as well as information on income taxes paid. ASC Update No. 2023-09 is effective for the Company’s first fiscal year beginning after December 15, 2024 and early adoption is permitted. ASC Update No. 2023-09 became applicable to Haemonetics beginning with the fiscal 2026 Annual Report on Form 10-K. The Company adopted the new guidance effective December 28, 2025 on a prospective basis. Refer to Note 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presentation on this.</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2025, the FASB issued ASC Update No. 2025-07, </w:t>
      </w:r>
      <w:r>
        <w:rPr>
          <w:rFonts w:ascii="Times New Roman" w:cs="Times New Roman" w:eastAsia="Times New Roman" w:hAnsi="Times New Roman"/>
          <w:sz w:val="18"/>
          <w:szCs w:val="18"/>
          <w:i w:val="1"/>
          <w:iCs w:val="1"/>
          <w:color w:val="auto"/>
        </w:rPr>
        <w:t>Derivatives and Hedging and Revenue from Contracts with Customers</w:t>
      </w:r>
      <w:r>
        <w:rPr>
          <w:rFonts w:ascii="Times New Roman" w:cs="Times New Roman" w:eastAsia="Times New Roman" w:hAnsi="Times New Roman"/>
          <w:sz w:val="18"/>
          <w:szCs w:val="18"/>
          <w:color w:val="auto"/>
        </w:rPr>
        <w:t>. ASC Update No. 2025-07 reduces cost, complexity and diversity in practice of evaluating whether contracts with features based on the operations or activities of one of the parties to the contract are derivatives. The updated guidance is effective for fiscal years beginning after December 15, 2026, with early adoption permitted. The Company elected to early adopt ASU Update No. 2025-07 on a prospective basis effective the beginning of the fourth quarter of fiscal 2026. The adoption did not have a material impact on the financial statements, including prior interim periods.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ASC Update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ASC Update No. 2024-03 requires detailed cost and expense information disaggregated in the financial statements notes. The updated guidance is effective for fiscal years beginning after December 15, 2026 and interim reporting periods within annual reporting periods beginning after December 15, 2027, with early adoption permitted. ASC Update No. 2024-03 is applicable to Haemonetics beginning with the fiscal 2028 Annual Report on Form 10-K and the Company is currently evaluating the impact to its interim and annual report disclosures.</w:t>
      </w:r>
    </w:p>
    <w:p>
      <w:pPr>
        <w:spacing w:after="0" w:line="1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July 2025, the FASB issued ASC Update No.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326</w:t>
      </w:r>
      <w:r>
        <w:rPr>
          <w:rFonts w:ascii="Times New Roman" w:cs="Times New Roman" w:eastAsia="Times New Roman" w:hAnsi="Times New Roman"/>
          <w:sz w:val="18"/>
          <w:szCs w:val="18"/>
          <w:color w:val="auto"/>
        </w:rPr>
        <w:t>). ASC Update No. 2025-05 introduces a practical expedient related to the estimation of expected credit losses for current accounts receivable and current contract assets that arise from transactions accounted for under FASB Accounting Standards Codification 606. Under ASC Update No. 2025-05, an entity is required to disclose whether it has elected to use the practical expedient. An entity that makes the accounting policy election is required to disclose the date through which subsequent cash collections are evaluated. The updated guidance is effective for fiscal years beginning December 15, 2025, with early adoption permitted. ASC Update No. 2025-05 is applicable to Haemonetics beginning with the fiscal 2027 Annual Report on Form 10-K and the Company is currently evaluating the impact to its interim and annual report disclosures. The guidance can be applied on a prospective basis with the option to apply the standard retrospectively.</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In September 2025, the FASB issued ASC Update No. 2025-06, </w:t>
      </w:r>
      <w:r>
        <w:rPr>
          <w:rFonts w:ascii="Times New Roman" w:cs="Times New Roman" w:eastAsia="Times New Roman" w:hAnsi="Times New Roman"/>
          <w:sz w:val="17"/>
          <w:szCs w:val="17"/>
          <w:i w:val="1"/>
          <w:iCs w:val="1"/>
          <w:color w:val="auto"/>
        </w:rPr>
        <w:t>Intangibles - Goodwill and Other - Internal-Use Software</w:t>
      </w:r>
      <w:r>
        <w:rPr>
          <w:rFonts w:ascii="Times New Roman" w:cs="Times New Roman" w:eastAsia="Times New Roman" w:hAnsi="Times New Roman"/>
          <w:sz w:val="17"/>
          <w:szCs w:val="17"/>
          <w:color w:val="auto"/>
        </w:rPr>
        <w:t>. ASC Update No. 2025-06 eliminates references to development stages in the capitalization guidance and requires costs to be capitalized once management authorizes funding and will be completed and used as intended. The updated guidance is effective for fiscal years beginning after December 15, 2027, with early adoption permitted. ASC Update No. 2025-06 is applicable to Haemonetics beginning with the fiscal 2029 Annual Report on Form 10-K and the Company is currently evaluating the impact to its interim and annual report disclosures. The guidance can be applied on a prospective basis with the option to apply the standard retrospectively.</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2025, the FASB issued ASC Update No. 2025-09,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Update No. 2025-09 enables groups of forecasted transactions to now share similar risk exposure with ongoing assessments of risk similarity to better reflect economic hedging strategies. The updated guidance is effective for fiscal years beginning after December 15, 2028, with early adoption permitted. ASC Update No. 2025-09 is applicable to Haemonetics beginning with the fiscal 2030 Annual Report on Form 10-K and the Company is currently evaluating the impact to its interim and annual report disclosures. The guidance will be applied on a prospective basis with the option to apply the standard retrospectively.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2025, the FASB issued ASC Update No.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ASC Update No. 2025-11 improves navigability and consistency in interim reporting by providing a comprehensive list of interim disclosures that are required from U.S. GAAP as well as a disclosure principle for additional transparency. The updated guidance is effective for fiscal years beginning after December 15, 2027, with early adoption permitted. ASC Update No. 2025-11 is applicable to Haemonetics beginning with the fiscal 2029 Annual Report on Form 10-K and the Company is currently evaluating the impact to its interim and annual report disclosures.</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2025, the FASB issued ASC Update No.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ASC Update No. 2025-12 makes a broad set of technical corrections, clarifications and targeted improvements to the FASB Accounting Standards Codification to address unintended application issues and improve the operability of U.S. GAAP across a range of topics. The updated guidance is effective for fiscal years beginning after December 15, 2026, with early adoption permitted. ASC Update No. 2025-12 is applicable to Haemonetics beginning with the fiscal 2028 Annual Report on Form 10-K and the Company is currently evaluating the impact to its interim and annual report disclosures.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DIVESTITURES AND STRATEGIC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Vivasure Medical Limited</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January 9, 2026, the Company acquired all of the outstanding equity interests of Vivasure Medical Limited (“Vivasure”) for a net purchase price of $164.4 million. The net purchase price included $60.2 million paid in cash at closing, net of $0.4 million cash acquired and after giving effect to the value of certain prior investments and loans made by the Company to Vivasure, as well as other customary closing adjustments, and the fair value of contingent consideration of $20.7 million. The contingent consideration is based on sales growth over the three years following the completion of the acquisition and the achievement of certain other milestones, and is also subject to adjustments based on the value of certain prior investments and loans. The Company financed this transaction through available cash on hand. During fiscal 2026, the Company recorded a gain of $4.9 million within interest and other expense, net on the consolidated statements of income as a result of the remeasurement of the Company’s prior equity interest of approximately 30% in Vivasure, which had a fair value of $47.3 million.</w:t>
      </w:r>
    </w:p>
    <w:p>
      <w:pPr>
        <w:spacing w:after="0" w:line="13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Vivasure is a Galway, Ireland-based company pioneering next-generation technology for percutaneous vessel closure. Vivasure’s PerQseal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Elite system uses a proprietary bioabsorbable patch to seal large-bore (up to 26 F) arteriotomies and venotomies from inside the vessel, offering a sutureless, fully absorbable solution for structural heart and endovascular procedures. In 2025, Vivasure submitted a premarket approval application to the U.S. FDA for the PerQseal Elite arterial closure system and received CE Mark in Europe for both arterial and venous indications. The addition of Vivasure expands the Hospital business unit portfolio in the interventional cardiology market and will be included in the Hospital reportable segment.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Company accounted for the acquisition as a business combination, and in accordance with FASB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Company’s consolidated financial statements were prepared. Measurement period adjustments may arise upon the availability of further information regarding events or circumstances that existed at the acquisition date and will be recorded in the period in which they are determined, as if they had been completed at the acquisition date. The finalization of the Company’s purchase accounting assessment could result in changes in the valuation of assets acquired and liabilities assumed, which could be material. The final determination of the fair value of certain assets and liabilities will be completed within the measurement period as required by Topic 805.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total purchase price of $164.4 million consists of the amounts presented below, which represent the initial determination of the fair value of the identifiable assets acquired and liabilities assumed: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January 9, 2026</w:t>
            </w:r>
          </w:p>
        </w:tc>
      </w:tr>
      <w:tr>
        <w:trPr>
          <w:trHeight w:val="24"/>
        </w:trPr>
        <w:tc>
          <w:tcPr>
            <w:tcW w:w="9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6"/>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117,100</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r>
      <w:tr>
        <w:trPr>
          <w:trHeight w:val="225"/>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18"/>
        </w:trPr>
        <w:tc>
          <w:tcPr>
            <w:tcW w:w="9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173,387</w:t>
            </w:r>
          </w:p>
        </w:tc>
      </w:tr>
      <w:tr>
        <w:trPr>
          <w:trHeight w:val="21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8"/>
        </w:trPr>
        <w:tc>
          <w:tcPr>
            <w:tcW w:w="9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w:t>
            </w:r>
          </w:p>
        </w:tc>
      </w:tr>
      <w:tr>
        <w:trPr>
          <w:trHeight w:val="243"/>
        </w:trPr>
        <w:tc>
          <w:tcPr>
            <w:tcW w:w="9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that the identifiable intangible asset was primarily developed technology. The fair value of the intangible asset was based on valuation techniques with estimates and assumptions developed by the Company. Developed technology was valued using the excess earnings method.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 and assumed liabilities was recorded as goodwill. As a result of the acquisition of Vivasure, the Company recognized goodwill of $50.5 million based on expected synergies from integration into the Company’s Hospital business unit. The goodwill is not deductible for tax purposes and relates entirely to the Hospital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6"/>
        </w:trPr>
        <w:tc>
          <w:tcPr>
            <w:tcW w:w="6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80" w:type="dxa"/>
            <w:vAlign w:val="bottom"/>
            <w:vMerge w:val="continue"/>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Rates used in Purchase</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117,100</w:t>
            </w:r>
          </w:p>
        </w:tc>
        <w:tc>
          <w:tcPr>
            <w:tcW w:w="1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16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19"/>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117,100</w:t>
            </w: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incurred $1.1 million of acquisition-related costs during fiscal 2026 in connection with the Vivasure acquisition. These costs related to legal and other professional fees, which were recognized in selling, general and administrative on the consolidated statements of income.</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Vivasure from the date the acquisition was completed. Pro forma financial information has not been presented as the acquisition is not material to the Company’s overall financial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information regarding the remeasurement of the contingent consideration liability refer to Note 13, </w:t>
      </w:r>
      <w:r>
        <w:rPr>
          <w:rFonts w:ascii="Times New Roman" w:cs="Times New Roman" w:eastAsia="Times New Roman" w:hAnsi="Times New Roman"/>
          <w:sz w:val="17"/>
          <w:szCs w:val="17"/>
          <w:i w:val="1"/>
          <w:iCs w:val="1"/>
          <w:color w:val="auto"/>
        </w:rPr>
        <w:t>Financial Instruments and Fair Value Measurements.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Attune Medical</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March 5, 2024, the Company entered into a definitive agreement to acquire Attune Medical, the manufacturer of the ensoETM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proactive esophageal cooling device, pursuant to which among other things, the Company agreed to acquire all of the issued and outstanding common shares of Attune Medical. On April 1, 2024, the Company completed its acquisition of Attune Medical for a net purchase price of $176.2 million, which included an upfront cash payment of $162.0 million, or $150.5 million net of $11.5 million cash acquired, the fair value of contingent consideration of $25.3 million, and $0.4 million of working capital adjustments. The contingent consideration is based on sales growth over the next three years, which is uncapped, and the achievement of certain other milestones. Refer to Note 13,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 xml:space="preserve"> for further information regarding the contingent consideration liability. The Company financed the acquisition through a combination of cash on hand and borrowings under its senior unsecured revolving credit facility.</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Company’s addition of the Esophageal Protection product line through its acquisition of Attune Medical expands the Hospital business unit’s presence in electrophysiology and complements its Vascular Closure product line within Interventional Technologies, which is included in the Hospital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acquisition as a business combination, and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spacing w:after="0" w:line="1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purchase price of $176.2 million consists of the amounts presented below, which represent the final determination of the fair value of the identifiable assets acquired and liabilities assumed: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April 1, 2024</w:t>
            </w:r>
          </w:p>
        </w:tc>
      </w:tr>
      <w:tr>
        <w:trPr>
          <w:trHeight w:val="24"/>
        </w:trPr>
        <w:tc>
          <w:tcPr>
            <w:tcW w:w="9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6"/>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105,800</w:t>
            </w:r>
          </w:p>
        </w:tc>
      </w:tr>
      <w:tr>
        <w:trPr>
          <w:trHeight w:val="225"/>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70,256</w:t>
            </w:r>
          </w:p>
        </w:tc>
      </w:tr>
      <w:tr>
        <w:trPr>
          <w:trHeight w:val="218"/>
        </w:trPr>
        <w:tc>
          <w:tcPr>
            <w:tcW w:w="9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207,246</w:t>
            </w:r>
          </w:p>
        </w:tc>
      </w:tr>
      <w:tr>
        <w:trPr>
          <w:trHeight w:val="21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r>
      <w:tr>
        <w:trPr>
          <w:trHeight w:val="218"/>
        </w:trPr>
        <w:tc>
          <w:tcPr>
            <w:tcW w:w="9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31,040</w:t>
            </w:r>
          </w:p>
        </w:tc>
      </w:tr>
      <w:tr>
        <w:trPr>
          <w:trHeight w:val="244"/>
        </w:trPr>
        <w:tc>
          <w:tcPr>
            <w:tcW w:w="9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176,206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was valued using the excess earnings method. Customer contracts and related relationships were valued using the distributor method. The trademark was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Attune Medical, the Company recognized goodwill of $70.3 million based on expected synergies from integration into the Company’s Hospital business unit. The goodwill is not deductible for tax purposes and relates entirely to the Hospital reportable segment.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4"/>
        </w:trPr>
        <w:tc>
          <w:tcPr>
            <w:tcW w:w="6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80" w:type="dxa"/>
            <w:vAlign w:val="bottom"/>
            <w:vMerge w:val="continue"/>
          </w:tcPr>
          <w:p>
            <w:pPr>
              <w:spacing w:after="0"/>
              <w:rPr>
                <w:sz w:val="12"/>
                <w:szCs w:val="12"/>
                <w:color w:val="auto"/>
              </w:rPr>
            </w:pP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Rates used in Purchase</w:t>
            </w:r>
          </w:p>
        </w:tc>
        <w:tc>
          <w:tcPr>
            <w:tcW w:w="0" w:type="dxa"/>
            <w:vAlign w:val="bottom"/>
          </w:tcPr>
          <w:p>
            <w:pPr>
              <w:spacing w:after="0"/>
              <w:rPr>
                <w:sz w:val="1"/>
                <w:szCs w:val="1"/>
                <w:color w:val="auto"/>
              </w:rPr>
            </w:pPr>
          </w:p>
        </w:tc>
      </w:tr>
      <w:tr>
        <w:trPr>
          <w:trHeight w:val="193"/>
        </w:trPr>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191"/>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96,100</w:t>
            </w:r>
          </w:p>
        </w:tc>
        <w:tc>
          <w:tcPr>
            <w:tcW w:w="1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10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25"/>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6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10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10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19"/>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105,800</w:t>
            </w: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Company recorded a long-term net deferred tax liability of $26.2 million primarily related to fair value adjustments recorded associated with definite-lived intangible assets and inventory in which there is no tax basis, partially offset by deferred tax assets primarily related to net operating losses acquired.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incurred $9.8 million of acquisition-related costs during fiscal 2025 in connection with the Attune Medical acquisition. These costs related to legal and other professional fees, which were recognized in selling, general and administrative on the consolidated statements of income.</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Attune Medical from the date the acquisition was completed. Pro forma financial information has not been presented as the acquisition is not material to the Company’s overall financial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information regarding the remeasurement of the contingent consideration liability refer to Note 13,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OpSens Inc.</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a net purchase price of $243.9 million, reflecting total consideration of $254.5 million, net of $10.6 million of cash acquired. The Company financed the acquisition through a combination of cash on hand and borrowings under its senior unsecured revolving credit facility.</w:t>
      </w:r>
    </w:p>
    <w:p>
      <w:pPr>
        <w:spacing w:after="0" w:line="1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OpSens offers commercially and clinically validated optical technology for use primarily in interventional cardiology. OpSens’ core products include the SavvyWire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sensor-guided 3-in-1 guidewire for transcatheter aortic valve replacement (“TAVR”) procedures, advancing the workflow of the procedure and enabling potentially shorter hospital stays for patients; and the OptoWire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pressure guidewire that aims to improve clinical outcomes by accurately and consistently measuring fractional flow reserve and diastolic pressure ratio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acquisition as a business combination, and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purchase price of $243.9 million consists of the amounts presented below, which represent the final determination of the fair value of the identifiable assets acquired and liabilities assumed: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12, 2023</w:t>
            </w:r>
          </w:p>
        </w:tc>
      </w:tr>
      <w:tr>
        <w:trPr>
          <w:trHeight w:val="24"/>
        </w:trPr>
        <w:tc>
          <w:tcPr>
            <w:tcW w:w="9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6"/>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18"/>
        </w:trPr>
        <w:tc>
          <w:tcPr>
            <w:tcW w:w="9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279,230</w:t>
            </w:r>
          </w:p>
        </w:tc>
      </w:tr>
      <w:tr>
        <w:trPr>
          <w:trHeight w:val="218"/>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r>
      <w:tr>
        <w:trPr>
          <w:trHeight w:val="22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w:t>
            </w:r>
          </w:p>
        </w:tc>
      </w:tr>
      <w:tr>
        <w:trPr>
          <w:trHeight w:val="22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18"/>
        </w:trPr>
        <w:tc>
          <w:tcPr>
            <w:tcW w:w="9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35,378</w:t>
            </w:r>
          </w:p>
        </w:tc>
      </w:tr>
      <w:tr>
        <w:trPr>
          <w:trHeight w:val="244"/>
        </w:trPr>
        <w:tc>
          <w:tcPr>
            <w:tcW w:w="9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OpSens, the Company recognized goodwill of $79.4 million based on expected synergies from integration into the Company’s Hospital business unit. The goodwill is not deductible for tax purposes and relates entirely to the Hospital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6"/>
        </w:trPr>
        <w:tc>
          <w:tcPr>
            <w:tcW w:w="6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80" w:type="dxa"/>
            <w:vAlign w:val="bottom"/>
            <w:vMerge w:val="continue"/>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Rates used in Purchase</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15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5"/>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16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15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15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18"/>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1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recorded a net long-term deferred tax liability of $14.8 million, primarily as a result of fair value adjustments recorded associated with definite-lived intangible assets and inventory in which there is no tax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incurred $6.6 million of acquisition-related costs for fiscal 2024 in connection with the OpSens acquisition. These costs related to legal and other professional fees, which were recognized in selling, general and administrative on the consolidated statements of income.</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OpSens from the date the acquisition was completed. Pro forma financial information has not been presented as the acquisition is not material to the Company’s overall financial results.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the Whole Blood Product Line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3, 2024, the Company announced that it had entered into a definitive agreement to sell its Whole Blood product line and related assets within its Blood Center reportable segment to GVS, S.p.A (“GVS”), a manufacturer of filter solutions for applications in the healthcare and life sciences sectors. The divested assets include the Company’s complete portfolio of proprietary whole blood collection, processing and filtration solutions, along with the Company’s manufacturing facility in Covina, California where certain of these products are produced, and related equipment and assets located at the Company’s manufacturing facility in Tijuana, Mexico.</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13, 2025, the Company completed the transaction with GVS in exchange for upfront cash consideration of $43.3 million, after customary post-closing adjustments, and up to $22.5 million in contingent consideration, based on sales growth over the next three years and the achievement of certain other milestones.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assets that were derecognized in connection with the sale consisted of $26.4 million of inventory, $7.8 million of property, plant and equipment and $6.4 million of goodwill, which were previously classified as held for sale in prepaid expenses and other current assets in the consolidated balance sheets in the third quarter of fiscal 2025.</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sale, the Company recognized a gain from the sale of the business in interest and other expense, net in the consolidated statements of income for the year ended March 29, 2025. The gain was not material and included the cash receipts of $43.3 million less net assets transferred to GVS or otherwise derecognized and net of transaction costs of $0.1 million.</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the sale, the Company entered into a Transition Services Agreement (“TSA”) with GVS to ensure a smooth transition of business operations. Under the TSA, the Company will continue to provide certain regulatory, quality, logistical and operational support services to GVS for a maximum period of 36 months following the transaction closing to facilitate GVS's integration of the acquired business. Under the TSA, the Company is entitled to be reimbursed for the costs incurred plus a mark-up and has recorded net income and expenses related to the agreement in selling, general and administrative in the consolidated statements of income, which was approximately $0.4 million during fiscal 2026.</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TSA, Haemonetics and GVS entered into a Contract Manufacturing Agreement (“CMA”), under which Haemonetics will continue to manufacture certain whole blood filtration products for GVS for a maximum term of 18 months. The CMA allows GVS to gradually transition manufacturing operations while ensuring supply continuity for customers. Under the CMA, the Company is entitled to be reimbursed for the costs incurred plus a mark-up and has recorded net income and expenses related to the agreement in selling, general and administrative in the consolidated statements of income, which was approximately $1.7 million during fiscal 2026.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the Company’s business development activities, it holds strategic investments in certain entities. The Company has strategic investments totaling $19.2 million as of March 28, 2026. As of March 29, 2025, the Company had strategic investments and loans of $61.6 million, including $48.7 million in strategic investments and loans to Vivasure. On January 9, 2026 the Company completed the acquisition of Vivasure. The Company’s strategic investments are classified as other long-term assets on the Company’s consolidated balance sheets, and the Company has not recorded any material adjustments to the carrying value of the Company’s strategic investments, other than those related to the Vivasure acquisition, in fiscal 2026, fiscal 2025 or fiscal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28, 2026, the Company had $35.9 million of transaction price allocated to remaining performance obligations related to executed contracts with an original duration of one year or more. The Company expects to recognize approximately 72% of this amount as revenue within the next twelve months and the remaining balance thereafter.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contract assets, as well as customer advances, customer deposits and deferred revenue (contract liabilities) on the consolidated balance sheets. The difference in timing between billing and revenue recognition primarily occurs in software licensing arrangements, resulting in contract assets and contract liabilities.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28, 2026 and March 29, 2025, the Company had contract liabilities of $42.3 million and $43.3 million, respectively. During fiscal 2026, the Company recognized $5.4 million of revenue that was included in the above March 29, 2025 contract liability balance. Contract liabilities are classified as other current liabilities and other long-term liabilities on the consolidated balance sheets. As of March 28, 2026 and March 29, 2025, the Company’s contract assets were $5.5 million and $11.6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Program</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2020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2020 Program closed as of March 29, 2025. During fiscal 2025 and 2024, the Company incurred $7.7 million and $9.8 million of restructuring and restructuring related costs under this program, respectively. Total cumulative charges under the 2020 Program were $84.7 million through March 29,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Rationalization Initiatives</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November 2023, the Company announced its plans to end of life the ClotPro analyzer system within the Hospital business unit and certain products within the Blood Center business unit, primarily in Whole Blood, including the associated manufacturing operations and closure of certain other facilities. These portfolio rationalization initiatives closed as of March 29, 2025. Under these initiatives, during fiscal 2026 the Company recognized reversals of previously incurred costs of $1.9 million, as compared with restructuring and restructuring related costs incurred of $13.0 million and $14.0 million, respectively, during fiscal 2025 and fiscal 2024. Total cumulative charges under these portfolio rationalization initiatives are $25.1 million as of March 28,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and Regional Alignment Initiative</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May 2025, the Board approved the currently ongoing market and regional alignment initiative and delegated authority to the Company’s management to determine the details of the specific actions that will comprise the initiative. This strategic initiative is designed to improve operational performance and reduce costs by directing the Company’s resources toward the markets and geographies that offer the greatest growth and portfolio advancement opportunities. Initial actions related to this initiative were approved by the Board in January 2025, resulting in restructuring related costs during the fourth quarter of fiscal 2025. Under this initiative, during fiscal 2026 and 2025, the Company incurred restructuring and restructuring related costs of $5.1 million and $0.6 million, respectively, under this initiative. Total cumulative charges under the market and regional alignment initiative are $5.6 million as of March 28, 2026.</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summarizes the activity for restructuring reserves related to prior programs, the 2020 Program, portfolio rationalization initiatives, and market and regional alignment initiatives for the fiscal years 2026, 2025 and 2024, substantially all of which relates to employee severance, other employee costs, inventory reserves and lease termination fees: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Market and Regional</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Prior Programs</w:t>
            </w:r>
          </w:p>
        </w:tc>
        <w:tc>
          <w:tcPr>
            <w:tcW w:w="20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2020 Program</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Rationalization</w:t>
            </w:r>
          </w:p>
        </w:tc>
        <w:tc>
          <w:tcPr>
            <w:tcW w:w="15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Initiatives</w:t>
            </w:r>
          </w:p>
        </w:tc>
        <w:tc>
          <w:tcPr>
            <w:tcW w:w="1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Alignment Initiatives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25"/>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30, 2024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0" w:type="dxa"/>
            <w:vAlign w:val="bottom"/>
          </w:tcPr>
          <w:p>
            <w:pPr>
              <w:spacing w:after="0"/>
              <w:rPr>
                <w:sz w:val="1"/>
                <w:szCs w:val="1"/>
                <w:color w:val="auto"/>
              </w:rPr>
            </w:pPr>
          </w:p>
        </w:tc>
      </w:tr>
      <w:tr>
        <w:trPr>
          <w:trHeight w:val="225"/>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adjustments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0" w:type="dxa"/>
            <w:vAlign w:val="bottom"/>
          </w:tcPr>
          <w:p>
            <w:pPr>
              <w:spacing w:after="0"/>
              <w:rPr>
                <w:sz w:val="1"/>
                <w:szCs w:val="1"/>
                <w:color w:val="auto"/>
              </w:rPr>
            </w:pPr>
          </w:p>
        </w:tc>
      </w:tr>
      <w:tr>
        <w:trPr>
          <w:trHeight w:val="21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29, 2025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25"/>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43"/>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28,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presents the restructuring costs by line item during fiscal 2026, 2025 and 2024 within the Company’s accompanying consolidated statements of income and consolidated statements of comprehensive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1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w:t>
            </w: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the Company had a restructuring liability of $1.3 million, all of which is payable within the next twelve months.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addition to the restructuring expenses included in the table above, the Company also incurred costs of $0.1 million, $7.2 million and $9.5 million in fiscal 2026, 2025 and 2024, respectively, that do not constitute restructuring costs under ASC 420, </w:t>
      </w:r>
      <w:r>
        <w:rPr>
          <w:rFonts w:ascii="Times New Roman" w:cs="Times New Roman" w:eastAsia="Times New Roman" w:hAnsi="Times New Roman"/>
          <w:sz w:val="18"/>
          <w:szCs w:val="18"/>
          <w:i w:val="1"/>
          <w:iCs w:val="1"/>
          <w:color w:val="auto"/>
        </w:rPr>
        <w:t>Exit and Disposal Cost Obligations,</w:t>
      </w:r>
      <w:r>
        <w:rPr>
          <w:rFonts w:ascii="Times New Roman" w:cs="Times New Roman" w:eastAsia="Times New Roman" w:hAnsi="Times New Roman"/>
          <w:sz w:val="18"/>
          <w:szCs w:val="18"/>
          <w:color w:val="auto"/>
        </w:rPr>
        <w:t xml:space="preserve"> and which the Company instead refers to as restructuring related costs. These costs consist primarily of expenditures directly related to the restructuring actions.</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presents the restructuring related costs by line item during fiscal 2026, 2025 and 2024 within the Company’s accompanying consolidated statements of income and consolidated statements of comprehensive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1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w:t>
            </w:r>
          </w:p>
        </w:tc>
      </w:tr>
      <w:tr>
        <w:trPr>
          <w:trHeight w:val="20"/>
        </w:trPr>
        <w:tc>
          <w:tcPr>
            <w:tcW w:w="6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restructuring and restructuring related costs by reportable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Plasma</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Blood Center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Hospital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18"/>
        </w:trPr>
        <w:tc>
          <w:tcPr>
            <w:tcW w:w="67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0" w:type="dxa"/>
            <w:vAlign w:val="bottom"/>
          </w:tcPr>
          <w:p>
            <w:pPr>
              <w:spacing w:after="0"/>
              <w:rPr>
                <w:sz w:val="1"/>
                <w:szCs w:val="1"/>
                <w:color w:val="auto"/>
              </w:rPr>
            </w:pPr>
          </w:p>
        </w:tc>
      </w:tr>
      <w:tr>
        <w:trPr>
          <w:trHeight w:val="192"/>
        </w:trPr>
        <w:tc>
          <w:tcPr>
            <w:tcW w:w="6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related costs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Plasma</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Blood Center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Hospital</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restructuring and restructuring related costs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Domestic and foreign income before provision for income tax is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112,563</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(benefit) from continuing operations contains the following components: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35,794</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29,113</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w:t>
            </w:r>
          </w:p>
        </w:tc>
      </w:tr>
      <w:tr>
        <w:trPr>
          <w:trHeight w:val="218"/>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45,184</w:t>
            </w: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r>
      <w:tr>
        <w:trPr>
          <w:trHeight w:val="218"/>
        </w:trPr>
        <w:tc>
          <w:tcPr>
            <w:tcW w:w="67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r>
      <w:tr>
        <w:trPr>
          <w:trHeight w:val="244"/>
        </w:trPr>
        <w:tc>
          <w:tcPr>
            <w:tcW w:w="6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34,307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 Company’s effective tax rate is adversely impacted by non-deductible expenses including executive compensation and transaction costs, and is favorably impacted by changes in contingent consideration revaluation, the expiration of the statute of limitations with respect to certain uncertain tax position reserves, jurisdictional mix of earnings, impact of foreign tax law changes and research credits generated.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effected, significant temporary differences comprising the net deferred tax liability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80" w:type="dxa"/>
            <w:vAlign w:val="bottom"/>
          </w:tcPr>
          <w:p>
            <w:pPr>
              <w:spacing w:after="0"/>
              <w:rPr>
                <w:sz w:val="13"/>
                <w:szCs w:val="13"/>
                <w:color w:val="auto"/>
              </w:rPr>
            </w:pPr>
          </w:p>
        </w:tc>
        <w:tc>
          <w:tcPr>
            <w:tcW w:w="13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1"/>
        </w:trPr>
        <w:tc>
          <w:tcPr>
            <w:tcW w:w="7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7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5"/>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5"/>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r>
      <w:tr>
        <w:trPr>
          <w:trHeight w:val="225"/>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25"/>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Accruals, reserves and other deferred tax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r>
      <w:tr>
        <w:trPr>
          <w:trHeight w:val="225"/>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r>
      <w:tr>
        <w:trPr>
          <w:trHeight w:val="225"/>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25"/>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r>
      <w:tr>
        <w:trPr>
          <w:trHeight w:val="225"/>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credit carry-forward, net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r>
      <w:tr>
        <w:trPr>
          <w:trHeight w:val="225"/>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39,219</w:t>
            </w:r>
          </w:p>
        </w:tc>
      </w:tr>
      <w:tr>
        <w:trPr>
          <w:trHeight w:val="218"/>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97,117</w:t>
            </w:r>
          </w:p>
        </w:tc>
      </w:tr>
      <w:tr>
        <w:trPr>
          <w:trHeight w:val="225"/>
        </w:trPr>
        <w:tc>
          <w:tcPr>
            <w:tcW w:w="7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w:t>
            </w:r>
          </w:p>
        </w:tc>
      </w:tr>
      <w:tr>
        <w:trPr>
          <w:trHeight w:val="218"/>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85,187</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(35,006)</w:t>
            </w:r>
          </w:p>
        </w:tc>
      </w:tr>
      <w:tr>
        <w:trPr>
          <w:trHeight w:val="225"/>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goodwill and intangibles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(87,905)</w:t>
            </w:r>
          </w:p>
        </w:tc>
      </w:tr>
      <w:tr>
        <w:trPr>
          <w:trHeight w:val="225"/>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Unremitted earnings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5"/>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r>
      <w:tr>
        <w:trPr>
          <w:trHeight w:val="225"/>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r>
      <w:tr>
        <w:trPr>
          <w:trHeight w:val="219"/>
        </w:trPr>
        <w:tc>
          <w:tcPr>
            <w:tcW w:w="79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(139,959)</w:t>
            </w:r>
          </w:p>
        </w:tc>
      </w:tr>
      <w:tr>
        <w:trPr>
          <w:trHeight w:val="243"/>
        </w:trPr>
        <w:tc>
          <w:tcPr>
            <w:tcW w:w="79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valuation allowance increase of $2.3 million during fiscal 2026 is primarily due to an increase in valuation allowances established against acquired attributes offset by a decrease in the valuation allowance against foreign deferred tax assets and other income tax attributes utilized during the fiscal year</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The Company has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It has also considered the ability to implement certain strategies that would, if necessary, be implemented to accelerate taxable income and use expiring deferred tax assets. The Company has concluded that future taxable income can be considered a source of income to realize a benefit for deferred tax assets in certain jurisdictions. The Company believes it is able to support the deferred tax assets recognized as of the end of the year based on all of the available evidence. The worldwide net deferred tax liability as of March 28, 2026 includes deferred tax liabilities related to amortizable tax basis in goodwill and other indefinite lived assets, which can only be used as a source of income to benefit other indefinite lived deferred tax assets.</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28, 2026, the Company maintains a valuation allowance against certain U.S. foreign tax credit carryforwards and U.S. state net operating loss and tax credit carryforwards that are not more-likely-than-not realizable, as well as a valuation allowance against the deferred tax assets of certain foreign subsidiaries.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connection with certain acquisitions, the Company has acquired net operating loss and tax credit carryforwards, which may become subject to an annual limitation in the event of certain cumulative changes in the ownership interest of significant 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The Company conducted Section 382 studies covering the periods of inception through the respective acquisition dates. The studies concluded that ownership changes occurred during those periods which limit the amount of the Company’s net operating losses and tax credit carryforwards that can be utilized before expiring. The remaining carryforwards disclosed in the deferred tax table above represent the amount of attributes that can be utilized based on the results of the studies. The Company does not believe it has had any additional ownership change that would result in additional limitations. Subsequent ownership changes may further affect the limitation in future years. In fiscal 2026, the Company acquired approximately $135.5 million of net operating losses in Ireland as a result of the acquisition of Vivasure. The Company has preliminarily concluded that the transaction does not result in the net operating losses being subject to any utilization limitations associated with the acquisition itself.</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28, 2026, the Company has U.S. federal net operating loss carryforwards of $6.6 million, all of which will begin to expire in fiscal 2027. The Company has U.S. state net operating losses of $51.5 million of which $51.0 million will expire at various times between fiscal 2027 and fiscal 2044 and $0.5 million can be carried forward indefinitely. The Company has federal tax credits of $0.6 million that will begin to expire in fiscal 2030 and state tax credits of $6.6 million that began to expire in fiscal 2029.</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28, 2026, the Company has Canadian federal and provincial net operating loss carryforwards of $21.5 million and $18.2 million, respectively, which will expire from fiscal 2036 through fiscal 2045. Additionally, the Company has Irish net operating loss carryforwards of $140.0 million that can be carried forward indefinitely. The Company has other foreign net operating losses of approximately $6.8 million that are available to reduce future income which can be carried forward indefinitely. The Company has foreign research tax credits of $2.0 million which will begin to expire in fiscal 2035.</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28, 2026, substantially all of the unremitted earnings of the Company have been taxed in the U.S. The accumulated earnings in the foreign subsidiaries are primarily utilized to fund working capital requirements as its subsidiaries continue to expand their operations and to fund future foreign acquisitions. The Company does not believe it is practicable to estimate the amount of income taxes payable on the earnings that are indefinitely reinvested in foreign operations, however a significant portion of the unremitted earnings could be remitted without a future tax cost.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 accordance with the adoption of ASC Update No. 2023-09, income tax provision differs from the tax provision computed at the U.S. federal statutory income tax rate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gridSpan w:val="3"/>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Year Ended March 28, 2026</w:t>
            </w:r>
          </w:p>
        </w:tc>
        <w:tc>
          <w:tcPr>
            <w:tcW w:w="700" w:type="dxa"/>
            <w:vAlign w:val="bottom"/>
          </w:tcPr>
          <w:p>
            <w:pPr>
              <w:spacing w:after="0"/>
              <w:rPr>
                <w:sz w:val="16"/>
                <w:szCs w:val="16"/>
                <w:color w:val="auto"/>
              </w:rPr>
            </w:pPr>
          </w:p>
        </w:tc>
      </w:tr>
      <w:tr>
        <w:trPr>
          <w:trHeight w:val="24"/>
        </w:trPr>
        <w:tc>
          <w:tcPr>
            <w:tcW w:w="7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gridSpan w:val="3"/>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16"/>
                <w:szCs w:val="16"/>
                <w:color w:val="auto"/>
              </w:rPr>
            </w:pP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26,886</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78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State income taxes net of federal benefit</w:t>
            </w:r>
            <w:r>
              <w:rPr>
                <w:rFonts w:ascii="Times New Roman" w:cs="Times New Roman" w:eastAsia="Times New Roman" w:hAnsi="Times New Roman"/>
                <w:sz w:val="22"/>
                <w:szCs w:val="22"/>
                <w:color w:val="auto"/>
                <w:vertAlign w:val="superscript"/>
              </w:rPr>
              <w:t>(1)</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Switzerland</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5"/>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5"/>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Local income tax</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5"/>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items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5"/>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Local income tax</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items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Ireland</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5"/>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5"/>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5"/>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on executive compensation</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research credits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tax credits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137" w:lineRule="exact"/>
        <w:rPr>
          <w:sz w:val="20"/>
          <w:szCs w:val="20"/>
          <w:color w:val="auto"/>
        </w:rPr>
      </w:pPr>
    </w:p>
    <w:p>
      <w:pPr>
        <w:ind w:left="520" w:hanging="196"/>
        <w:spacing w:after="0"/>
        <w:tabs>
          <w:tab w:leader="none" w:pos="52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jurisdictions which account for the majority of the tax effect in this category include California, Texas, Florida, New York, Pennsylvania, Illinois and Georgia.</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Prior to the adoption of ASC Update No. 2023-09, income tax provision differed from the tax provision computed at the U.S. federal statutory income tax rate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r>
      <w:tr>
        <w:trPr>
          <w:trHeight w:val="192"/>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6"/>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6"/>
                <w:szCs w:val="16"/>
                <w:color w:val="auto"/>
              </w:rPr>
            </w:pPr>
          </w:p>
        </w:tc>
      </w:tr>
      <w:tr>
        <w:trPr>
          <w:trHeight w:val="23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 taxed income</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Unremitted earnings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statutory rate changes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benefits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credits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tax law changes</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8"/>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recorded an income tax expense in fiscal 2026 of $30.7 million, representing an effective tax rate of 24.0%. The effective tax rate is unfavorably impacted by state taxes and non-deductible executive compensation, offset by the favorable impact of changes in jurisdictional mix of earnings and research credits generated.</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15% global minimum tax under the Organization for Economic Cooperation and Development’s (“OECD”) Pillar Two Global Anti-Base Erosion Rule is currently effective in certain jurisdictions in which the Company operates. The OECD continues to issue guidance on the Pillar Two framework and various countries continue to enact legislation with respect to their application of the framework. The Company has considered the Pillar Two rules in effect in the countries in which it operates and have reflected the effect of the rules in the foreign tax effects. The impact is not material in fiscal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Unrecognized tax benefits represent uncertain tax positions for which reserves have been established. As of March 28, 2026, the Company had $1.6 million of unrecognized tax benefits, of which $0.7 million would impact the effective tax rate, if recognized. As of March 29, 2025, the Company had $2.8 million of unrecognized tax benefits, of which $1.8 million would impact the effective tax rate, if recognized. As of March 30, 2024, the Company had $3.7 million of unrecognized tax benefits, of which $3.1 million would impact the effective tax rate, if recognized.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its gross unrecognized tax benefits for the fiscal years ended March 28, 2026, March 29, 2025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40" w:type="dxa"/>
            <w:vAlign w:val="bottom"/>
          </w:tcPr>
          <w:p>
            <w:pPr>
              <w:spacing w:after="0"/>
              <w:rPr>
                <w:sz w:val="13"/>
                <w:szCs w:val="13"/>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92"/>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of fiscal 2026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of a prior fiscal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related to acquired businesses</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Reductions of tax positions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Settlements of tax positions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historical practice has been and continues to be to recognize interest and penalties related to federal, state and foreign income tax matters in income tax expense. Approximately $0.1 million of gross interest and penalties was accrued as of March 28, 2026 and March 29, 2025, respectively, and are not included in the amounts above. Additionally, an expense of $0.1 million, a benefit of $0.3 million, and an expense of $0.1 million of accrued interest and penalties were included in the income tax provision for each of the years ended March 28, 2026, March 29, 2025 and March 30, 2024, respectively.</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conducts business globally and, as a result, files federal, state and foreign income tax returns in multiple jurisdictions. In the normal course of business, it is subject to examination by taxing authorities throughout the world. With a few exceptions, the Company is no longer subject to U.S. federal, state, or local income tax examinations for years before fiscal 2023 and foreign income tax examinations for years before fiscal 2021. To the extent that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cash income taxes paid, net of refunds: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Year Ended</w:t>
            </w:r>
          </w:p>
        </w:tc>
      </w:tr>
      <w:tr>
        <w:trPr>
          <w:trHeight w:val="24"/>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86"/>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92"/>
        </w:trPr>
        <w:tc>
          <w:tcPr>
            <w:tcW w:w="9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41,750</w:t>
            </w:r>
          </w:p>
        </w:tc>
      </w:tr>
      <w:tr>
        <w:trPr>
          <w:trHeight w:val="225"/>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r>
      <w:tr>
        <w:trPr>
          <w:trHeight w:val="225"/>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r>
      <w:tr>
        <w:trPr>
          <w:trHeight w:val="218"/>
        </w:trPr>
        <w:tc>
          <w:tcPr>
            <w:tcW w:w="9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60,665</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5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500" w:type="dxa"/>
            <w:vAlign w:val="bottom"/>
          </w:tcPr>
          <w:p>
            <w:pPr>
              <w:spacing w:after="0"/>
              <w:rPr>
                <w:sz w:val="16"/>
                <w:szCs w:val="16"/>
                <w:color w:val="auto"/>
              </w:rPr>
            </w:pPr>
          </w:p>
        </w:tc>
        <w:tc>
          <w:tcPr>
            <w:tcW w:w="4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and Shares in Thousands, Except Per Share Data)</w:t>
            </w:r>
          </w:p>
        </w:tc>
      </w:tr>
      <w:tr>
        <w:trPr>
          <w:trHeight w:val="23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97,308</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167,679</w:t>
            </w:r>
          </w:p>
        </w:tc>
        <w:tc>
          <w:tcPr>
            <w:tcW w:w="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117,558</w:t>
            </w:r>
          </w:p>
        </w:tc>
      </w:tr>
      <w:tr>
        <w:trPr>
          <w:trHeight w:val="212"/>
        </w:trPr>
        <w:tc>
          <w:tcPr>
            <w:tcW w:w="6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50,330</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w:t>
            </w:r>
          </w:p>
        </w:tc>
      </w:tr>
      <w:tr>
        <w:trPr>
          <w:trHeight w:val="225"/>
        </w:trPr>
        <w:tc>
          <w:tcPr>
            <w:tcW w:w="6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Dilutive net effect of common stock equivalents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400</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9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3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50,730</w:t>
            </w:r>
          </w:p>
        </w:tc>
        <w:tc>
          <w:tcPr>
            <w:tcW w:w="4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5"/>
        </w:trPr>
        <w:tc>
          <w:tcPr>
            <w:tcW w:w="6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3.31</w:t>
            </w:r>
          </w:p>
        </w:tc>
        <w:tc>
          <w:tcPr>
            <w:tcW w:w="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2"/>
        </w:trPr>
        <w:tc>
          <w:tcPr>
            <w:tcW w:w="6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the calculation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768</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bl>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 average outstanding common shares. Diluted earnings per share is calculated using its weighted-average outstanding common shares including the dilutive effect of stock awards as determined under the treasury stock method and the outstanding convertible senior notes as determined under the net share settlement method. From the time of the issuance of the convertible senior notes, the average market price of the Company’s common shares has been less than the applicable initial conversion price, and consequently no shares have been included in diluted earnings per share for the conversion values of both the convertible senior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Share Repurchase Program</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August 2022, the Company announced that its Board of Directors had approved a three-year share repurchase program authorizing the repurchase of up to $300.0 million of Haemonetics common stock, based on market conditions, through August 2025. Under the 2022 share repurchase program, the Company was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fiscal 2023, the Company completed a $75.0 million repurchase of its common stock pursuant to an accelerated share repurchase agreement (“ASR”) entered into with Citibank N.A. (“Citibank”) in August 2022. The total number of shares repurchased under the ASR was 1.0 million at an average price per share upon final settlement of $75.20.</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October 2024, the Company completed a $75.0 million repurchase of its common stock pursuant to an ASR entered into with Citibank in August 2024. The total number of shares repurchased under the ASR was 1.0 million at an average price per share upon final settlement of $74.36.</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April 2025, the Company completed a $150.0 million repurchase of its common stock pursuant to an ASR entered into with Goldman Sachs &amp; Co. (“Goldman Sachs”) in February 2025. The total number of shares repurchased under the ASR was 2,386,131 at an average price per share upon final settlement of $62.86. As of March 29, 2025, the Company had fully funded the $300.0 million authorization under the 2022 share repurchase program.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Share Repurchase Program</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April 2025 the Company’s Board of Directors approved a new share repurchase authorization of up to $500 million of Haemonetics common stock, based on market conditions, through April 2028. Under the 2025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2025 share repurchase program may be suspended, modified or discontinued at any time, and the Company has no obligation to repurchase any amount of its common stock under the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September 2025, the Company completed a $75.0 million repurchase of its common stock pursuant to an ASR entered into with Citibank in August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shares repurchased under the ASR was 1,430,579 at an average price per share upon final settlement of $52.43.</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fourth quarter of fiscal 2026, the Company repurchased $25.0 million of its common stock pursuant to a previously executed Rule 10b5-1 trading plan. The total number of shares repurchased pursuant to the Rule 10b5-1 trading plan was 360,457 at an average price per share upon final settlement of $69.36.</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March 2026, the Company completed a $75.0 million repurchase of its common stock pursuant to an ASR entered into with Goldman Sachs in February 2026. The total number of shares repurchased under the ASR was 1,218,798 at an average price per share upon final settlement of $61.54. As of March 28, 2026, the total remaining authorization for repurchases of the Company’s common stock under the 2025 share repurchase program was $325.0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4"/>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128,574</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221,611</w:t>
            </w:r>
          </w:p>
        </w:tc>
      </w:tr>
      <w:tr>
        <w:trPr>
          <w:trHeight w:val="218"/>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365,141</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fourth quarter of fiscal 2025, the Company completed the divestiture of its Whole Blood product line within its Blood Center business unit and all related assets and liabilities were sold. The inventory related to the divestiture had a value of $26.4 million and has been removed from the consolidated balance sheets.</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fiscal 2024, the Company issued a voluntary recall of certain products within the Whole Blood portion of the Company’s Blood Center business unit sold to customers in the U.S. and certain foreign jurisdictions. The Company has recorded charges of $4.4 million related to inventory.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4"/>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105,079</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181,825</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130,924</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395,152</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22,229</w:t>
            </w:r>
          </w:p>
        </w:tc>
      </w:tr>
      <w:tr>
        <w:trPr>
          <w:trHeight w:val="218"/>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837,194</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(553,142)</w:t>
            </w:r>
          </w:p>
        </w:tc>
      </w:tr>
      <w:tr>
        <w:trPr>
          <w:trHeight w:val="243"/>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$61.2 million, $60.0 million and $55.8 million in fiscal 2026, 2025 and 2024, respectively.</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fourth quarter of fiscal 2025, the Company completed the divestiture of its Whole Blood product line within its Blood Center business unit and all related assets and liabilities were sold. The property, plant and equipment related to the divestiture had a gross value of $40.8 million and a net carrying value of $7.8 million and has been removed from the consolidated balance sheets.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first quarter of fiscal 2025, the Company received $19.9 million of cash upon the sale of a manufacturing facility and related assets that previously met held for sale criteria, which resulted in a gain of $14.1 million that was recorded in selling, general and administrative expenses on the consolidated statements of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operating segment for fiscal 2026 and 2025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Plasma</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Blood Center</w:t>
            </w:r>
          </w:p>
        </w:tc>
        <w:tc>
          <w:tcPr>
            <w:tcW w:w="3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Hospital</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5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March 30, 2024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565,082</w:t>
            </w:r>
          </w:p>
        </w:tc>
      </w:tr>
      <w:tr>
        <w:trPr>
          <w:trHeight w:val="225"/>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Divestitures</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25"/>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w:t>
            </w:r>
          </w:p>
        </w:tc>
      </w:tr>
      <w:tr>
        <w:trPr>
          <w:trHeight w:val="225"/>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w:t>
            </w:r>
          </w:p>
        </w:tc>
      </w:tr>
      <w:tr>
        <w:trPr>
          <w:trHeight w:val="225"/>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1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Carrying amount as of March 29, 2025</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548,259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604,269</w:t>
            </w:r>
          </w:p>
        </w:tc>
      </w:tr>
      <w:tr>
        <w:trPr>
          <w:trHeight w:val="219"/>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r>
      <w:tr>
        <w:trPr>
          <w:trHeight w:val="225"/>
        </w:trPr>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translation</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44"/>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March 28, 2026</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656,368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decrease in goodwill of $19.2 million for purchase accounting adjustments in fiscal 2025 was primarily related to the Company obtaining additional facts and information to finalize the pre-acquisition tax returns and associated analyses for OpSens. This resulted in the Company revising its estimate of the net deferred tax liability recorded as of the acquisition date. Refer to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 for additional information regarding the acquisitions of OpSens, Attune Medical and Vivasure.</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the fourth quarter of fiscal 2025, the Company completed the divestiture of its Whole Blood product line within its Blood Center business unit and all related assets and liabilities were sold. The goodwill related to the divestiture of $6.4 million has been removed from the consolidated balance sheets. Refer to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 for additional information regarding the divestiture of its Whole Blood product line.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fiscal 2026, 2025 and 2024, the results of the annual goodwill impairment test performed indicated that the estimated fair value of all of its reporting units exceeded their respective carrying values, however, in fiscal 2026 the fair value of the Interventional Technologies reporting unit, which is within the Hospital reportable segment, fair value was $867.8 million, which only exceeded its carrying value of $821.6 million by 6%. The fair value of the Interventional Technologies reporting unit was primarily determined using a discounted cash flow approach utilizing a discount rate of 10.5%, which reflects a market-participant weighted average cost of capital based on the risk profile, size, and capital structure of the reporting unit.</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estimation of fair value requires significant judgment and is based primarily on a discounted cash flow approach, supplemented by market-based methods where appropriate. Key assumptions include projected revenue growth rates, operating margins, terminal growth rates, and the discount rate. These inputs are based on management’s expectations of future performance and market conditions and are inherently uncertain.</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Interventional Technologies reporting unit remains sensitive to changes in key assumptions. A decline in projected revenue growth rates, or an increase in the discount rate, could result in the carrying value exceeding fair value.</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monitors for goodwill impairment indicators throughout the year, including changes in macroeconomic conditions, industry trends, and business performance. No interim goodwill impairment indicators were identified during fiscal 2026 that required an additional recoverability test.</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Although no goodwill impairment was recorded during fiscal 2026, the Interventional Technologies reporting unit remains at risk of future impairment if actual results differ from current estimates or if market conditions deteriorate.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intangible assets and the related accumulated amortization as of March 28, 2026 and March 29, 2025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0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556,631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193,114</w:t>
            </w:r>
          </w:p>
        </w:tc>
        <w:tc>
          <w:tcPr>
            <w:tcW w:w="80" w:type="dxa"/>
            <w:vAlign w:val="bottom"/>
          </w:tcPr>
          <w:p>
            <w:pPr>
              <w:spacing w:after="0"/>
              <w:rPr>
                <w:sz w:val="19"/>
                <w:szCs w:val="19"/>
                <w:color w:val="auto"/>
              </w:rPr>
            </w:pP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363,517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5"/>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Patents and other</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805,515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363,763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441,752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Non-amortizable: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line="20" w:lineRule="exact"/>
              <w:rPr>
                <w:sz w:val="1"/>
                <w:szCs w:val="1"/>
                <w:color w:val="auto"/>
              </w:rPr>
            </w:pPr>
          </w:p>
        </w:tc>
      </w:tr>
      <w:tr>
        <w:trPr>
          <w:trHeight w:val="384"/>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0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506,144</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156,123</w:t>
            </w:r>
          </w:p>
        </w:tc>
        <w:tc>
          <w:tcPr>
            <w:tcW w:w="80" w:type="dxa"/>
            <w:vAlign w:val="bottom"/>
          </w:tcPr>
          <w:p>
            <w:pPr>
              <w:spacing w:after="0"/>
              <w:rPr>
                <w:sz w:val="19"/>
                <w:szCs w:val="19"/>
                <w:color w:val="auto"/>
              </w:rPr>
            </w:pP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350,021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5"/>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Patents and other</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762,866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446,553</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Non-amortizable: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second quarter of fiscal 2024, the Company recorded an intangible asset impairment charge of $10.4 million related to the intangibles acquired as part of the enicor GmbH acquisition completed in fiscal 2021 within the Hospital business unit.</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During fiscal 2026, the Company recorded total intangible asset impairment charges of $86.5 million. This included a $9.3 million intangible impairment charge in the first half of fiscal 2026 related to the intellectual property associated with the HAS viscoelastic diagnostic devices, related assays and disposables within the Hospital business unit, as acquired from HemoAssay Science and Technology (Suzhou) Co. Ltd., a China-incorporated company, and its affiliates (collectively, “HemoAssay”) in fiscal 2021. The intangible impairment charge was the result of lower revenue projections of the HemoAssay devices and disposables. The fair value as of March 28, 2026 was $0.8 million with a remaining useful life of approximately five years. Additionally, in the fourth quarter of fiscal 2026, the Company recorded an intangible asset impairment charge of $77.2 million related to long-lived intangible assets associated with the acquisition of Attune Medical, which occurred in fiscal 2025 within the Interventional Technologies reporting unit, which is within the Hospital reportable segment. The intangible impairment charge was the result of lower revenue projections, changes in market conditions and declines in operating performance. The fair value as of March 28, 2026 was $11.3 million.</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Significant unobservable inputs used in the Level 3 fair value measurement of the HemoAssay intangible assets included projected revenues, costs and the remaining useful lives of the assets. The Level 3 inputs for the Attune Medical included projected revenues, operating margins, and a discount rate reflecting the estimated weighted average cost of capital of a market participant. The revenue and margin assumptions were based on internal forecasts, which incorporate assumptions about future market conditions, product adoption rates, pricing, and competitive dynamics. The discount rate utilized in the valuation of the Attune Medical asset group was 19.8%, which reflects the higher risk profile, earlier stage of commercialization, and greater uncertainty in projected cash flows relative to the broader Interventional Technologies reporting unit. The discount rate was developed using market-based inputs, including a risk-free rate, equity risk premium, and company-specific risk adjustments.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continues to monitor the HemoAssay and Attune Medical asset group for intangible impairment indicators, including macroeconomic conditions, industry trends, and changes in business performance. While the intangible impairment charge recognized reflects management’s best estimate of fair value as of the testing date, it is reasonably possible that changes in assumptions or future business conditions could result in additional impairment charges in future periods.</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In the fourth quarter of fiscal 2026, the Company acquired Vivasure and recorded $117.1 million of developed technology based on the purchase accounting valuation. Refer to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 for additional information regarding the Vivasure acquisition.</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the fourth quarter of fiscal 2025, the Company completed the divestiture of its Whole Blood product line within its Blood Center business unit and all related assets and liabilities were sold. The related intangible assets are fully amortized and have a net book value of zero. The gross intangible assets value was $185.6 million. Refer to Note 3, </w:t>
      </w:r>
      <w:r>
        <w:rPr>
          <w:rFonts w:ascii="Times New Roman" w:cs="Times New Roman" w:eastAsia="Times New Roman" w:hAnsi="Times New Roman"/>
          <w:sz w:val="18"/>
          <w:szCs w:val="18"/>
          <w:i w:val="1"/>
          <w:iCs w:val="1"/>
          <w:color w:val="auto"/>
        </w:rPr>
        <w:t>Acquisitions, Divestitures and Strategic Investments</w:t>
      </w:r>
      <w:r>
        <w:rPr>
          <w:rFonts w:ascii="Times New Roman" w:cs="Times New Roman" w:eastAsia="Times New Roman" w:hAnsi="Times New Roman"/>
          <w:sz w:val="18"/>
          <w:szCs w:val="18"/>
          <w:color w:val="auto"/>
        </w:rPr>
        <w:t>, for additional information regarding the divestiture.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Intangible assets include the value assigned to license rights and developed technology, patents, customer contracts and relationships and trade names. The estimated useful lives for all of these intangible assets are approximately 5 to 15 years.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Aggregate amortization expense for amortized intangible assets for fiscal 2026, 2025 and 2024 was $50.5 million, $55.6 million and $41.4 million,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on intangible assets for the next five years is estimated to be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
        </w:trPr>
        <w:tc>
          <w:tcPr>
            <w:tcW w:w="9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6"/>
        </w:trPr>
        <w:tc>
          <w:tcPr>
            <w:tcW w:w="9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46,864</w:t>
            </w:r>
          </w:p>
        </w:tc>
      </w:tr>
      <w:tr>
        <w:trPr>
          <w:trHeight w:val="225"/>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44,781</w:t>
            </w:r>
          </w:p>
        </w:tc>
      </w:tr>
      <w:tr>
        <w:trPr>
          <w:trHeight w:val="225"/>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43,105</w:t>
            </w:r>
          </w:p>
        </w:tc>
      </w:tr>
      <w:tr>
        <w:trPr>
          <w:trHeight w:val="225"/>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41,836</w:t>
            </w:r>
          </w:p>
        </w:tc>
      </w:tr>
      <w:tr>
        <w:trPr>
          <w:trHeight w:val="225"/>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 costs incurred related to the development of software to be sold, leased, or otherwise marketed, the Company applies the provisions of ASC Topic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which specifies that costs incurred internally in researching and developing a computer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should be charged to expense until technological feasibility has been established for the product. Once technological feasibility is established, all software costs should be capitalized until the product is available for general release to customers. The costs capitalized for each project are included in intangible assets in the consolidated financial statements.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capitalized $6.7 million and $7.7 million in software development costs for ongoing initiatives during fiscal 2026 and 2025, respectively. As of March 28, 2026 and March 29, 2025, the Company had a total of $101.8 million and $94.7 million, respectively, of software costs capitalized, of which $5.9 million and $9.2 million, respectively, are related to in process software development initiatives and the remaining balance represents in-service assets that are being amortized over their useful lives. Amortization expense for capitalized software was $6.1 million, $6.7 million and $8.6 million for fiscal 2026, 2025 and 2024,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Activity</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operating leases for office space, land, warehouse and manufacturing space, R&amp;D laboratories, vehicles and certain equipment. Leases with an initial term of 12 months or less are not recognized on the consolidated balance sheets and expense for these leases is recognized on a straight-line basis over the lease term.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consolidated balance sheets information related to the Company’s operating leases: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8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6"/>
                <w:szCs w:val="16"/>
                <w:color w:val="auto"/>
              </w:rPr>
            </w:pP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80" w:type="dxa"/>
            <w:vAlign w:val="bottom"/>
          </w:tcPr>
          <w:p>
            <w:pPr>
              <w:spacing w:after="0"/>
              <w:rPr>
                <w:sz w:val="16"/>
                <w:szCs w:val="16"/>
                <w:color w:val="auto"/>
              </w:rPr>
            </w:pPr>
          </w:p>
        </w:tc>
        <w:tc>
          <w:tcPr>
            <w:tcW w:w="13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4"/>
        </w:trPr>
        <w:tc>
          <w:tcPr>
            <w:tcW w:w="41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r>
      <w:tr>
        <w:trPr>
          <w:trHeight w:val="186"/>
        </w:trPr>
        <w:tc>
          <w:tcPr>
            <w:tcW w:w="41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3"/>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5"/>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39,619</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47,492</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9,243</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w:t>
            </w:r>
          </w:p>
        </w:tc>
      </w:tr>
      <w:tr>
        <w:trPr>
          <w:trHeight w:val="225"/>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40,898</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50,454</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 information related to the Company’s operating leases: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8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7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4"/>
        </w:trPr>
        <w:tc>
          <w:tcPr>
            <w:tcW w:w="77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 costs were $10.4 million, $12.1 million and $10.6 million during fiscal 2026,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operating leases: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6"/>
                <w:szCs w:val="16"/>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4"/>
        </w:trPr>
        <w:tc>
          <w:tcPr>
            <w:tcW w:w="6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(Dollars in Thousands)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operating lease liabilities</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11,803</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6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60" w:type="dxa"/>
            <w:vAlign w:val="bottom"/>
            <w:shd w:val="clear" w:color="auto" w:fill="CCEEFF"/>
          </w:tcPr>
          <w:p>
            <w:pPr>
              <w:spacing w:after="0"/>
              <w:rPr>
                <w:sz w:val="19"/>
                <w:szCs w:val="19"/>
                <w:color w:val="auto"/>
              </w:rPr>
            </w:pPr>
          </w:p>
        </w:tc>
      </w:tr>
      <w:tr>
        <w:trPr>
          <w:trHeight w:val="465"/>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maturities of the Company’s operating lease liabilities as of March 28, 2026:</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9"/>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20" w:type="dxa"/>
            <w:vAlign w:val="bottom"/>
            <w:gridSpan w:val="4"/>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6"/>
                <w:szCs w:val="16"/>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60" w:type="dxa"/>
            <w:vAlign w:val="bottom"/>
          </w:tcPr>
          <w:p>
            <w:pPr>
              <w:spacing w:after="0"/>
              <w:rPr>
                <w:sz w:val="20"/>
                <w:szCs w:val="20"/>
                <w:color w:val="auto"/>
              </w:rPr>
            </w:pP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60" w:type="dxa"/>
            <w:vAlign w:val="bottom"/>
          </w:tcPr>
          <w:p>
            <w:pPr>
              <w:spacing w:after="0"/>
              <w:rPr>
                <w:sz w:val="19"/>
                <w:szCs w:val="19"/>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60" w:type="dxa"/>
            <w:vAlign w:val="bottom"/>
          </w:tcPr>
          <w:p>
            <w:pPr>
              <w:spacing w:after="0"/>
              <w:rPr>
                <w:sz w:val="19"/>
                <w:szCs w:val="19"/>
                <w:color w:val="auto"/>
              </w:rPr>
            </w:pP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60" w:type="dxa"/>
            <w:vAlign w:val="bottom"/>
          </w:tcPr>
          <w:p>
            <w:pPr>
              <w:spacing w:after="0"/>
              <w:rPr>
                <w:sz w:val="19"/>
                <w:szCs w:val="19"/>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60" w:type="dxa"/>
            <w:vAlign w:val="bottom"/>
          </w:tcPr>
          <w:p>
            <w:pPr>
              <w:spacing w:after="0"/>
              <w:rPr>
                <w:sz w:val="19"/>
                <w:szCs w:val="19"/>
                <w:color w:val="auto"/>
              </w:rPr>
            </w:pPr>
          </w:p>
        </w:tc>
      </w:tr>
      <w:tr>
        <w:trPr>
          <w:trHeight w:val="22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60" w:type="dxa"/>
            <w:vAlign w:val="bottom"/>
          </w:tcPr>
          <w:p>
            <w:pPr>
              <w:spacing w:after="0"/>
              <w:rPr>
                <w:sz w:val="19"/>
                <w:szCs w:val="19"/>
                <w:color w:val="auto"/>
              </w:rPr>
            </w:pPr>
          </w:p>
        </w:tc>
      </w:tr>
      <w:tr>
        <w:trPr>
          <w:trHeight w:val="21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60,004</w:t>
            </w:r>
          </w:p>
        </w:tc>
        <w:tc>
          <w:tcPr>
            <w:tcW w:w="60" w:type="dxa"/>
            <w:vAlign w:val="bottom"/>
          </w:tcPr>
          <w:p>
            <w:pPr>
              <w:spacing w:after="0"/>
              <w:rPr>
                <w:sz w:val="19"/>
                <w:szCs w:val="19"/>
                <w:color w:val="auto"/>
              </w:rPr>
            </w:pPr>
          </w:p>
        </w:tc>
      </w:tr>
      <w:tr>
        <w:trPr>
          <w:trHeight w:val="22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60" w:type="dxa"/>
            <w:vAlign w:val="bottom"/>
          </w:tcPr>
          <w:p>
            <w:pPr>
              <w:spacing w:after="0"/>
              <w:rPr>
                <w:sz w:val="19"/>
                <w:szCs w:val="19"/>
                <w:color w:val="auto"/>
              </w:rPr>
            </w:pPr>
          </w:p>
        </w:tc>
      </w:tr>
      <w:tr>
        <w:trPr>
          <w:trHeight w:val="243"/>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50,141</w:t>
            </w:r>
          </w:p>
        </w:tc>
        <w:tc>
          <w:tcPr>
            <w:tcW w:w="60" w:type="dxa"/>
            <w:vAlign w:val="bottom"/>
          </w:tcPr>
          <w:p>
            <w:pPr>
              <w:spacing w:after="0"/>
              <w:rPr>
                <w:sz w:val="20"/>
                <w:szCs w:val="20"/>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Activity</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Assets on the Company’s consolidated balance sheets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the Company’s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approximately three percent of the Company’s total net sales.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NOTES PAYABLE AND LONG-TERM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300" w:type="dxa"/>
            <w:vAlign w:val="bottom"/>
          </w:tcPr>
          <w:p>
            <w:pPr>
              <w:spacing w:after="0"/>
              <w:rPr>
                <w:sz w:val="16"/>
                <w:szCs w:val="16"/>
                <w:color w:val="auto"/>
              </w:rPr>
            </w:pP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4"/>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186"/>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688,775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983,951</w:t>
            </w:r>
          </w:p>
        </w:tc>
      </w:tr>
      <w:tr>
        <w:trPr>
          <w:trHeight w:val="225"/>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financing fees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240,028</w:t>
            </w:r>
          </w:p>
        </w:tc>
      </w:tr>
      <w:tr>
        <w:trPr>
          <w:trHeight w:val="22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18"/>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1,224,788</w:t>
            </w:r>
          </w:p>
        </w:tc>
      </w:tr>
      <w:tr>
        <w:trPr>
          <w:trHeight w:val="225"/>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(303,558)</w:t>
            </w:r>
          </w:p>
        </w:tc>
      </w:tr>
      <w:tr>
        <w:trPr>
          <w:trHeight w:val="244"/>
        </w:trPr>
        <w:tc>
          <w:tcPr>
            <w:tcW w:w="7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1,219,565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921,230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Notes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On March 5, 2021, the Company issued $500.0 million aggregate principal amount of 0.0% convertible senior notes due 2026 (the “2026 Notes”). The 2026 Notes are governed by the terms of an Indenture between the Company and U.S. Bank Trust Company,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2025, the Company repurchased $200.0 million of the aggregate principal amount for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which was recorded in interest and other expense, net on the consolidated statements of income.</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or after September 1, 2025, until the close of business on the scheduled trading day immediately preceding the maturity date, holders had the right to convert all or a portion of their 2026 Notes. No holders exercised conversion rights with respect to the 2026 Notes prior to maturity.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related to the 2026 Notes was $1.5 million for fiscal 2026, which is entirely attributable to the amortization of the debt issuance costs.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On March 2, 2026, the Company repaid in full at maturity its 2026 Notes for an aggregate amount of $300.0 million in cash, representing the outstanding principal amount of the 2026 Notes. The repayment was funded with cash on hand and borrowings under the Company’s revolving credit facility. The capped call transactions entered into in connection with the issuance of the 2026 Notes expired in accordance with their terms upon the maturity of the 2026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 Notes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28, 2024, the Company issued $700.0 million aggregate principal amount of 2.5% convertible senior notes due 2029 (the “2029 Notes”). The 2029 Notes are governed by the terms of an Indenture between the Company and U.S. Bank Trust Company, National Association, as trustee. The total net proceeds from the sale of the 2029 Notes, after deducting the initial purchasers’ discounts and debt issuance costs, were $682.8 million, with a portion of funds used to repay the entirety of the balance on the revolving credit facility under the Company’s second amended and restated credit agreement, to repurchase a portion of the Company’s 2026 Notes, to complete capped call transactions in connection with the issuance of the 2029 Notes, as described further below, with the remaining proceeds available for other working capital requirements. The 2029 Notes will mature on June 1, 2029, unless earlier converted, redeemed or repurchased.</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December 1, 2028 only under the following circumstances:</w:t>
      </w:r>
    </w:p>
    <w:p>
      <w:pPr>
        <w:spacing w:after="0" w:line="110" w:lineRule="exact"/>
        <w:rPr>
          <w:sz w:val="20"/>
          <w:szCs w:val="20"/>
          <w:color w:val="auto"/>
        </w:rPr>
      </w:pPr>
    </w:p>
    <w:p>
      <w:pPr>
        <w:jc w:val="both"/>
        <w:ind w:left="640" w:hanging="316"/>
        <w:spacing w:after="0" w:line="25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beginning after September 30,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day of that period, the trading price per $1,000 principal amount of the 2029 Notes for such trading day was less than 98% of the product of the last reported sale price of the Company’s common stock and the applicable conversion rate on such trading day;</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related redemption date if the Company calls the 2029 Notes for redemption.</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or after December 1, 2028, until the close of business on the second scheduled trading day immediately preceding the maturity date, holders may convert all or a portion of their 2029 Notes, in multiples of $1,000 principal amount, at any time, regardless of the foregoing circumstances. The conversion rate for the 2029 Notes is 8.5385 shares of common stock per $1,000 principal amount of notes (which is equal to an initial conversion price of approximately $117.12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2029 Notes in connection with such make-whole adjustment event, such holder may be entitled to an increase in the conversion rate as described in the Indenture.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fiscal 2026, the conditions allowing holders of the 2029 Notes to convert have not been met. The 2029 Notes were therefore not convertible as of March 28, 2026 and were classified as long-term debt on the Company’s consolidated balance sheets.</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2029 Notes will be redeemable, in whole or in part, at the Company’s option at any time, and from time to time, on or after June 5, 2027 and on or before the 50th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2029 Notes to be redeemed, plus accrued and unpaid interest to, but excluding the redemption date. Upon the occurrence of certain fundamental changes involving the Company, holders of the 2029 Notes may require the Company to repurchase for cash all or part of their 2029 Notes at a repurchase price equal to 100% of the principal amount of the 2029 Notes to be repurchased, plus accrued and unpaid interest.</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a result of the issuance of the 2029 Notes, the Company recorded debt issuance costs of $17.2 million, which will be amortized to interest expense over the contractual term of the 2029 Notes at an effective interest rate of 3.0%.</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28, 2026, the $700.0 million principal balance was netted down by $11.2 million of remaining debt issuance costs, resulting in a net convertible note payable of $688.8 million. Interest expense related to the 2029 Notes was $20.8 million for the fiscal year ended March 28, 2026, which includes nominal interest expense and the amortization of the debt issuance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connection with the issuance of the 2026 Notes and the 2029 Notes, the Company entered into capped call transactions with certain counterparties (“Capped Calls”). The 2026 Notes Capped Calls each had an initial strike price of approximately $175.34 per share, and the 2029 Notes Capped Calls each have an initial strike price of approximately $117.12 per share, both are subject to certain adjustments, which correspond to the initial conversion price of the convertible notes. The 2026 Notes Capped Calls had initial cap prices of $250.48 per share, and the 2029 Notes Capped Calls have initial cap prices of $180.18 per share, both subject to certain adjustments. The Capped Calls are expected to partially offset the potential dilution to the Company’s common stock upon any conversion of the 2029 Notes, with such offset subject to a cap based on the cap price. No holders exercised conversion rights with respect to the 2026 Notes prior to maturity, and, in accordance with their terms upon maturity of the 2026 Notes, the Capped Calls related to the 2026 Notes have expired. The 2029 Notes Capped Calls cover approximately 5.98 million shares of the Company’s common stock, and is subject to anti-dilution adjustments. For accounting purposes, the Capped Calls are separate transactions, and not part of the 2029 Notes. As these transactions meet certain accounting criteria, the Capped Calls are recorded in stockholders’ equity and are not accounted for as derivatives. The cost of $88.2 million incurred to purchase the 2029 Notes Capped Calls was recorded as a reduction to additional paid-in capital in fiscal 2025 and will not be remeasured.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its credit facilities initially entered into in 2018 and extended their maturity dates through June 2025. The amended and restated credit agreement provided for a $750.0 million senior unsecured term loan and a $420.0 million senior unsecured revolving credit facility (together the “2022 Revised Credit Facilities”) with applicable interest rates during the period established using an annual rate equal to the Adjusted Term SOFR Rate plus ranging from 1.125% to 1.750% based on the Company’s consolidated net leverage ratio, as specified in the agreement.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April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2024 Revised Credit Facilities, the Company is required to maintain a consolidated leverage ratio not to exceed 4.0:1.0 or, upon two occasions during the term of the facility, 4.5:1.0 for the four consecutive fiscal quarters ended immediately following acquisitions meeting certain criteria specified in the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applied modification accounting for the credit facility refinancing, which resulted in the capitalization of an additional $5.9 million in lender fees and third-party costs. For fiscal 2026, the Company recognized $17.6 million of interest expense and amortization of debt issuance costs related to its credit facilities.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28, 2026, $239.1 million was outstanding under the term loan with an effective interest rate of 5.6%, which was netted down by the $3.9 million of remaining debt discount, resulting in a net note payable of $235.1 million. In connection with the settlement of the 2026 Notes, the Company borrowed $300.0 million under the revolving credit facility, which was outstanding as of March 28, 2026. The Company also had $17.7 million of uncommitted operating lines of credit to fund its global operations under which there were no outstanding borrowings as of March 28, 2026.</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2024 Revised Credit Facilities, the Company is required to maintain certain leverage and interest coverage ratios specified in the second amended and restated credit agreement as well as other customary non-financial affirmative and negative covenants. The Company is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Net Leverage ratio is calculated as consolidated total debt minus liquidity, divided by consolidated EBITDA. Consolidated EBITDA includes EBITDA adjusted by non-recurring and unusual transactions specifically as defined in the 2024 Revised Credit Facilities.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2024 Revised Credit Facilities also contain usual and customary non-financial affirmative and negative covenants that include certain restrictions with respect to subsequent indebtedness, liens, loans and investments (including acquisitions), financial reporting obligations, mergers, consolidations, dispositions, dissolutions or liquidation, asset sales, affiliate transactions, change of its business, capital expenditures, share repurchase and other restricted payments. These covenants are subject to exceptions and qualifications set forth in the second amended and restated credit agreement.</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failure to comply with the financial and operating covenants of the 2024 Revised Credit Facilities would prevent the Company from being able to borrow additional funds and would constitute a default, which could result in, among other things, the amounts outstanding including all accrued interest and unpaid fees, becoming immediately due and payable. In addition, the 2024 Revised Credit Facilities include customary events of default, in certain cases subject to customary cure periods. The Company was in compliance with the consolidated net leverage and interest coverage ratios specified in the 2024 Revised Credit Facilities as well as all other bank covenants as of March 28, 2026.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Fee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2024 Revised Credit Facilities, the Company is required to pay, on the last day of each calendar quarter, a commitment fee on the unused portion of the revolving credit facility. The commitment fee is subject to a pricing grid based on the Company’s consolidated leverage ratio. The commitment fee ranges from 0.125% to 0.250%. The current commitment fee on the undrawn portion of the revolving credit facility is 0.200%.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Interest expense was $19.3 million, $35.9 million and $19.5 million for fiscal 2026, 2025 and 2024, respectively. Accrued interest associated with the outstanding debt is included as a component of other current liabilities in the accompanying consolidated balance sheets. As of both March 28, 2026 and March 29, 2025, the Company had an insignificant amount of accrued interest associated with the outstanding debt.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aggregate amount of debt maturities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Debt Maturities</w:t>
            </w:r>
          </w:p>
        </w:tc>
      </w:tr>
      <w:tr>
        <w:trPr>
          <w:trHeight w:val="24"/>
        </w:trPr>
        <w:tc>
          <w:tcPr>
            <w:tcW w:w="9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6"/>
        </w:trPr>
        <w:tc>
          <w:tcPr>
            <w:tcW w:w="9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r>
      <w:tr>
        <w:trPr>
          <w:trHeight w:val="225"/>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r>
      <w:tr>
        <w:trPr>
          <w:trHeight w:val="225"/>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18,818</w:t>
            </w:r>
          </w:p>
        </w:tc>
      </w:tr>
      <w:tr>
        <w:trPr>
          <w:trHeight w:val="225"/>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1,200,073</w:t>
            </w:r>
          </w:p>
        </w:tc>
      </w:tr>
      <w:tr>
        <w:trPr>
          <w:trHeight w:val="225"/>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5"/>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3"/>
        </w:trPr>
        <w:tc>
          <w:tcPr>
            <w:tcW w:w="9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1,239,807</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 AND FAIR VALUE MEASUREMENTS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manufactures, markets and sells its products globally. For the fiscal years ended March 28, 2026, March 29, 2025 and March 30, 2024 the percent of the Company’s sales generated outside the U.S. in local currencies were 26.4%, 25.7% and 25.9%, respectively. The Company also incurs certain manufacturing, marketing and selling costs in international markets in local currency.</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Mexican Peso and Euro, and to a lesser extent Canadian Dollar, Swiss Franc and Chinese Yuan.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Designated Foreign Currency Hedge Contracts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All of the Company’s designated foreign currency hedge contracts as of March 28, 2026 and March 29, 2025 were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records the effective portion of any change in the fair value of designated foreign currency hedge contracts 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$30.1 million as of March 28, 2026 and $23.6 million as of March 29, 2025. As of March 28, 2026, a gain of $2.5 million, net of tax, will be reclassified to earnings within the next twelve months. Substantially all currency cash flow hedges outstanding as of March 28, 2026 mature within twelve months.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Non-Designated Foreign Currency Contracts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The Company had non-designated foreign currency hedge contracts under ASC Topic 815 outstanding in the contract amount of $75.3 million as of March 28, 2026 and $89.6 million as of March 29, 2025.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mitigate the interest rate risk on the Company’s senior unsecured term loan, in September 2022, the Company entered into four interest rate swaps, two of which expired in June 2023 and the remaining two were amended and extended in September 2024. The amendment and extension of the two interest rate swaps did not have a material impact on the consolidated financial statements.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Loans under the 2024 Revised Credit Facilities bear interest at an annual rate equal to the 1-month USD Term SOFR, plus an applicable rate ranging from 1.125% to 1.750% based on the Company’s consolidated net leverage ratio. As a result of the amendment and extension in September 2024, the two modified interest rate swaps have an average blended fixed interest rate of 3.31% plus the applicable rate on approximately 80% of the notional value of the unsecured term loan, until their maturity in April 2029. The Company has determined both of these interest rate swaps are effective and qualify for hedge accounting treatment.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March 28, 2026: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6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 as</w:t>
            </w:r>
          </w:p>
        </w:tc>
        <w:tc>
          <w:tcPr>
            <w:tcW w:w="1220" w:type="dxa"/>
            <w:vAlign w:val="bottom"/>
            <w:vMerge w:val="restart"/>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Designation Date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02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Fixed Interest</w:t>
            </w:r>
          </w:p>
        </w:tc>
        <w:tc>
          <w:tcPr>
            <w:tcW w:w="140" w:type="dxa"/>
            <w:vAlign w:val="bottom"/>
          </w:tcPr>
          <w:p>
            <w:pPr>
              <w:spacing w:after="0"/>
              <w:rPr>
                <w:sz w:val="13"/>
                <w:szCs w:val="13"/>
                <w:color w:val="auto"/>
              </w:rPr>
            </w:pPr>
          </w:p>
        </w:tc>
        <w:tc>
          <w:tcPr>
            <w:tcW w:w="11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66"/>
        </w:trPr>
        <w:tc>
          <w:tcPr>
            <w:tcW w:w="2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320" w:type="dxa"/>
            <w:vAlign w:val="bottom"/>
            <w:gridSpan w:val="2"/>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of March 28, 2026</w:t>
            </w:r>
          </w:p>
        </w:tc>
        <w:tc>
          <w:tcPr>
            <w:tcW w:w="12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02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40" w:type="dxa"/>
            <w:vAlign w:val="bottom"/>
          </w:tcPr>
          <w:p>
            <w:pPr>
              <w:spacing w:after="0"/>
              <w:rPr>
                <w:sz w:val="6"/>
                <w:szCs w:val="6"/>
                <w:color w:val="auto"/>
              </w:rPr>
            </w:pPr>
          </w:p>
        </w:tc>
        <w:tc>
          <w:tcPr>
            <w:tcW w:w="114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Value Assets</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109,900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100,321</w:t>
            </w:r>
          </w:p>
        </w:tc>
        <w:tc>
          <w:tcPr>
            <w:tcW w:w="122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w w:val="95"/>
              </w:rPr>
              <w:t>9/27/2024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9/30/2024</w:t>
            </w:r>
          </w:p>
        </w:tc>
        <w:tc>
          <w:tcPr>
            <w:tcW w:w="102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8"/>
                <w:szCs w:val="18"/>
                <w:color w:val="auto"/>
                <w:w w:val="98"/>
              </w:rPr>
              <w:t>4/30/2029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25"/>
        </w:trPr>
        <w:tc>
          <w:tcPr>
            <w:tcW w:w="2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109,900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98,966</w:t>
            </w:r>
          </w:p>
        </w:tc>
        <w:tc>
          <w:tcPr>
            <w:tcW w:w="1220" w:type="dxa"/>
            <w:vAlign w:val="bottom"/>
            <w:tcBorders>
              <w:bottom w:val="single" w:sz="8" w:color="CCEEFF"/>
            </w:tcBorders>
          </w:tcPr>
          <w:p>
            <w:pPr>
              <w:jc w:val="center"/>
              <w:ind w:left="38"/>
              <w:spacing w:after="0"/>
              <w:rPr>
                <w:sz w:val="20"/>
                <w:szCs w:val="20"/>
                <w:color w:val="auto"/>
              </w:rPr>
            </w:pPr>
            <w:r>
              <w:rPr>
                <w:rFonts w:ascii="Times New Roman" w:cs="Times New Roman" w:eastAsia="Times New Roman" w:hAnsi="Times New Roman"/>
                <w:sz w:val="18"/>
                <w:szCs w:val="18"/>
                <w:color w:val="auto"/>
                <w:w w:val="95"/>
              </w:rPr>
              <w:t>9/27/2024</w:t>
            </w:r>
          </w:p>
        </w:tc>
        <w:tc>
          <w:tcPr>
            <w:tcW w:w="1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9/30/2024</w:t>
            </w:r>
          </w:p>
        </w:tc>
        <w:tc>
          <w:tcPr>
            <w:tcW w:w="1020" w:type="dxa"/>
            <w:vAlign w:val="bottom"/>
            <w:tcBorders>
              <w:bottom w:val="single" w:sz="8" w:color="CCEEFF"/>
            </w:tcBorders>
          </w:tcPr>
          <w:p>
            <w:pPr>
              <w:jc w:val="center"/>
              <w:ind w:right="61"/>
              <w:spacing w:after="0"/>
              <w:rPr>
                <w:sz w:val="20"/>
                <w:szCs w:val="20"/>
                <w:color w:val="auto"/>
              </w:rPr>
            </w:pPr>
            <w:r>
              <w:rPr>
                <w:rFonts w:ascii="Times New Roman" w:cs="Times New Roman" w:eastAsia="Times New Roman" w:hAnsi="Times New Roman"/>
                <w:sz w:val="18"/>
                <w:szCs w:val="18"/>
                <w:color w:val="auto"/>
                <w:w w:val="98"/>
              </w:rPr>
              <w:t>4/30/2029</w:t>
            </w: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219,800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199,287</w:t>
            </w:r>
          </w:p>
        </w:tc>
        <w:tc>
          <w:tcPr>
            <w:tcW w:w="1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fiscal 2026, the Company recorded a loss of $0.4 million, net of tax, in AOCL within the consolidated balance sheets to recognize the effective portion of the fair value of the swaps that qualify as cash flow hedges.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ordinary course of business, the Company grants trade credit to its customers on normal credit terms. In an effort to reduce its credit risk, the Company</w:t>
      </w:r>
    </w:p>
    <w:p>
      <w:pPr>
        <w:spacing w:after="0" w:line="36" w:lineRule="exact"/>
        <w:rPr>
          <w:sz w:val="20"/>
          <w:szCs w:val="20"/>
          <w:color w:val="auto"/>
        </w:rPr>
      </w:pPr>
    </w:p>
    <w:p>
      <w:pPr>
        <w:ind w:right="20" w:firstLine="6"/>
        <w:spacing w:after="0" w:line="251" w:lineRule="auto"/>
        <w:tabs>
          <w:tab w:leader="none" w:pos="2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The Company has not experienced significant customer payment defaults or identified other significant collectability concerns.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 forward of the allowance for credit losses: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Allowance for Credit Losses (Recoveries)</w:t>
            </w:r>
          </w:p>
        </w:tc>
      </w:tr>
      <w:tr>
        <w:trPr>
          <w:trHeight w:val="24"/>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186"/>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1, 2023</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r>
      <w:tr>
        <w:trPr>
          <w:trHeight w:val="225"/>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 loss</w:t>
            </w:r>
          </w:p>
        </w:tc>
        <w:tc>
          <w:tcPr>
            <w:tcW w:w="32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5"/>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320" w:type="dxa"/>
            <w:vAlign w:val="bottom"/>
            <w:tcBorders>
              <w:bottom w:val="single" w:sz="8" w:color="auto"/>
            </w:tcBorders>
            <w:shd w:val="clear" w:color="auto" w:fill="CCEEFF"/>
          </w:tcPr>
          <w:p>
            <w:pPr>
              <w:spacing w:after="0"/>
              <w:rPr>
                <w:sz w:val="19"/>
                <w:szCs w:val="19"/>
                <w:color w:val="auto"/>
              </w:rPr>
            </w:pP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30, 2024</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w:t>
            </w:r>
          </w:p>
        </w:tc>
      </w:tr>
      <w:tr>
        <w:trPr>
          <w:trHeight w:val="225"/>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 loss</w:t>
            </w:r>
          </w:p>
        </w:tc>
        <w:tc>
          <w:tcPr>
            <w:tcW w:w="32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5"/>
        </w:trPr>
        <w:tc>
          <w:tcPr>
            <w:tcW w:w="7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3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29, 2025</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25"/>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 loss</w:t>
            </w:r>
          </w:p>
        </w:tc>
        <w:tc>
          <w:tcPr>
            <w:tcW w:w="32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5"/>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Write-offs</w:t>
            </w:r>
          </w:p>
        </w:tc>
        <w:tc>
          <w:tcPr>
            <w:tcW w:w="32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25"/>
        </w:trPr>
        <w:tc>
          <w:tcPr>
            <w:tcW w:w="7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3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28, 2026</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Measurements</w:t>
      </w:r>
    </w:p>
    <w:p>
      <w:pPr>
        <w:spacing w:after="0" w:line="1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10"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money market funds carried at fair value are classified within Level 1 of the fair value hierarchy because they are valued using quoted market prices.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effect of the Company’s derivative instruments designated as cash flow hedges and those not designated as hedging instruments under ASC Topic 815 in its consolidated statements of income and consolidated statements of comprehensive income for the fiscal year ended March 28, 2026.</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16992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236" w:lineRule="exact"/>
        <w:rPr>
          <w:sz w:val="20"/>
          <w:szCs w:val="20"/>
          <w:color w:val="auto"/>
        </w:rPr>
      </w:pPr>
    </w:p>
    <w:p>
      <w:pPr>
        <w:ind w:left="20" w:right="160"/>
        <w:spacing w:after="0" w:line="234" w:lineRule="auto"/>
        <w:rPr>
          <w:sz w:val="20"/>
          <w:szCs w:val="20"/>
          <w:color w:val="auto"/>
        </w:rPr>
      </w:pPr>
      <w:r>
        <w:rPr>
          <w:rFonts w:ascii="Times New Roman" w:cs="Times New Roman" w:eastAsia="Times New Roman" w:hAnsi="Times New Roman"/>
          <w:sz w:val="18"/>
          <w:szCs w:val="18"/>
          <w:color w:val="auto"/>
        </w:rPr>
        <w:t>Designated foreign currency hedge contracts, net of tax</w:t>
      </w:r>
    </w:p>
    <w:p>
      <w:pPr>
        <w:spacing w:after="0" w:line="7" w:lineRule="exact"/>
        <w:rPr>
          <w:sz w:val="20"/>
          <w:szCs w:val="20"/>
          <w:color w:val="auto"/>
        </w:rPr>
      </w:pPr>
    </w:p>
    <w:p>
      <w:pPr>
        <w:ind w:left="20" w:right="300"/>
        <w:spacing w:after="0" w:line="234" w:lineRule="auto"/>
        <w:rPr>
          <w:sz w:val="20"/>
          <w:szCs w:val="20"/>
          <w:color w:val="auto"/>
        </w:rPr>
      </w:pPr>
      <w:r>
        <w:rPr>
          <w:rFonts w:ascii="Times New Roman" w:cs="Times New Roman" w:eastAsia="Times New Roman" w:hAnsi="Times New Roman"/>
          <w:sz w:val="18"/>
          <w:szCs w:val="18"/>
          <w:color w:val="auto"/>
        </w:rPr>
        <w:t>Non-designated foreign currency hedge contracts</w:t>
      </w:r>
    </w:p>
    <w:p>
      <w:pPr>
        <w:spacing w:after="0" w:line="7"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Designated interest rate swaps, net of tax</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920" w:type="dxa"/>
            <w:vAlign w:val="bottom"/>
          </w:tcPr>
          <w:p>
            <w:pPr>
              <w:spacing w:after="0"/>
              <w:rPr>
                <w:sz w:val="13"/>
                <w:szCs w:val="13"/>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4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62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160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Excluded from</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Classification in Earnings</w:t>
            </w:r>
          </w:p>
        </w:tc>
        <w:tc>
          <w:tcPr>
            <w:tcW w:w="16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Classification in Earnings</w:t>
            </w:r>
          </w:p>
        </w:tc>
        <w:tc>
          <w:tcPr>
            <w:tcW w:w="0" w:type="dxa"/>
            <w:vAlign w:val="bottom"/>
          </w:tcPr>
          <w:p>
            <w:pPr>
              <w:spacing w:after="0"/>
              <w:rPr>
                <w:sz w:val="1"/>
                <w:szCs w:val="1"/>
                <w:color w:val="auto"/>
              </w:rPr>
            </w:pPr>
          </w:p>
        </w:tc>
      </w:tr>
      <w:tr>
        <w:trPr>
          <w:trHeight w:val="193"/>
        </w:trPr>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Recognized in AOCL</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AOCL into Earnings</w:t>
            </w:r>
          </w:p>
        </w:tc>
        <w:tc>
          <w:tcPr>
            <w:tcW w:w="19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w w:val="94"/>
              </w:rPr>
              <w:t>Testing</w:t>
            </w: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Net revenues, COGS and</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40" w:type="dxa"/>
            <w:vAlign w:val="bottom"/>
          </w:tcPr>
          <w:p>
            <w:pPr>
              <w:ind w:left="80"/>
              <w:spacing w:after="0" w:line="185"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33"/>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1,145</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SG&amp;A</w:t>
            </w:r>
          </w:p>
        </w:tc>
        <w:tc>
          <w:tcPr>
            <w:tcW w:w="104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2,637</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40"/>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Interest and other</w:t>
            </w:r>
          </w:p>
        </w:tc>
        <w:tc>
          <w:tcPr>
            <w:tcW w:w="104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(5,111)</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 net</w:t>
            </w:r>
          </w:p>
        </w:tc>
        <w:tc>
          <w:tcPr>
            <w:tcW w:w="104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-782320</wp:posOffset>
            </wp:positionV>
            <wp:extent cx="7109460" cy="260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9460" cy="26098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-260985</wp:posOffset>
            </wp:positionV>
            <wp:extent cx="7109460" cy="260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9460" cy="260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120"/>
            <w:col w:w="8460"/>
          </w:cols>
          <w:pgMar w:left="320" w:top="124" w:right="339" w:bottom="1440" w:gutter="0" w:footer="0" w:header="0"/>
          <w:type w:val="continuous"/>
        </w:sectPr>
      </w:pPr>
    </w:p>
    <w:p>
      <w:pPr>
        <w:spacing w:after="0" w:line="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did not have fair value hedges or net investment hedges outstanding as of March 28, 2026 or March 29, 2025. As of March 28, 2026, no material deferred taxes were recognized for designated foreign currency hedges.</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ASC Topic 815 requires all derivative instruments to be recognized at their fair values as either assets or liabilities on the consolidated balance sheets. The Company determines the fair value of its derivative instruments using the framework prescribed by ASC Topic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by considering the estimated amount it would receive or pay to sell or transfer these instruments at the reporting date and by taking into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28, 2026, the Company has classified its derivative assets and liabilities within Level 2 of the fair value hierarchy prescribed by ASC Topic 815, as discussed below, because these observable inputs are available for substantially the full term of its derivative instruments.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the fair value of the Company’s derivative instruments as they appear in its consolidated balance sheets as of March 28, 2026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8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4"/>
        </w:trPr>
        <w:tc>
          <w:tcPr>
            <w:tcW w:w="41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186"/>
        </w:trPr>
        <w:tc>
          <w:tcPr>
            <w:tcW w:w="41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5"/>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5"/>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5"/>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25"/>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18"/>
        </w:trPr>
        <w:tc>
          <w:tcPr>
            <w:tcW w:w="4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9"/>
        </w:trPr>
        <w:tc>
          <w:tcPr>
            <w:tcW w:w="412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5"/>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5"/>
        </w:trPr>
        <w:tc>
          <w:tcPr>
            <w:tcW w:w="4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Measured on a Recurring Basis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March 28, 2026 and March 29,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March 28, 2026</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5"/>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90,716</w:t>
            </w:r>
          </w:p>
        </w:tc>
      </w:tr>
      <w:tr>
        <w:trPr>
          <w:trHeight w:val="22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5"/>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19"/>
        </w:trPr>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94,061</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8"/>
        </w:trPr>
        <w:tc>
          <w:tcPr>
            <w:tcW w:w="6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w:t>
            </w:r>
          </w:p>
        </w:tc>
      </w:tr>
      <w:tr>
        <w:trPr>
          <w:trHeight w:val="219"/>
        </w:trPr>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21,176</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March 29, 2025</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5"/>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158,916</w:t>
            </w:r>
          </w:p>
        </w:tc>
      </w:tr>
      <w:tr>
        <w:trPr>
          <w:trHeight w:val="22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5"/>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18"/>
        </w:trPr>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161,519</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8"/>
        </w:trPr>
        <w:tc>
          <w:tcPr>
            <w:tcW w:w="6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5"/>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18"/>
        </w:trPr>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hedge contracts - </w:t>
      </w:r>
      <w:r>
        <w:rPr>
          <w:rFonts w:ascii="Times New Roman" w:cs="Times New Roman" w:eastAsia="Times New Roman" w:hAnsi="Times New Roman"/>
          <w:sz w:val="18"/>
          <w:szCs w:val="18"/>
          <w:color w:val="auto"/>
        </w:rPr>
        <w:t>The fair value of foreign currency hedge contracts was measured using significant other observable inputs and valued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swaps - </w:t>
      </w:r>
      <w:r>
        <w:rPr>
          <w:rFonts w:ascii="Times New Roman" w:cs="Times New Roman" w:eastAsia="Times New Roman" w:hAnsi="Times New Roman"/>
          <w:sz w:val="18"/>
          <w:szCs w:val="18"/>
          <w:color w:val="auto"/>
        </w:rPr>
        <w:t>The fair values of interest rate swaps are measured using the present value of expected future cash flows using market-based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contingent consideration liabilities is based on significant unobservable inputs, including management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assumptions, and is measured based on the probability-weighted present value of the payments expected to be made. Accordingly, the fair value of contingent consideration has been classified as level 3 within the fair value hierarchy.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3 fair value measurements of contingent consideration liabilities include the following significant unobservable inputs: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3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Pr>
          <w:p>
            <w:pPr>
              <w:spacing w:after="0"/>
              <w:rPr>
                <w:sz w:val="18"/>
                <w:szCs w:val="18"/>
                <w:color w:val="auto"/>
              </w:rPr>
            </w:pPr>
          </w:p>
        </w:tc>
        <w:tc>
          <w:tcPr>
            <w:tcW w:w="2060" w:type="dxa"/>
            <w:vAlign w:val="bottom"/>
            <w:gridSpan w:val="2"/>
          </w:tcPr>
          <w:p>
            <w:pPr>
              <w:jc w:val="center"/>
              <w:ind w:right="100"/>
              <w:spacing w:after="0" w:line="192" w:lineRule="exact"/>
              <w:rPr>
                <w:sz w:val="20"/>
                <w:szCs w:val="20"/>
                <w:color w:val="auto"/>
              </w:rPr>
            </w:pPr>
            <w:r>
              <w:rPr>
                <w:rFonts w:ascii="Times New Roman" w:cs="Times New Roman" w:eastAsia="Times New Roman" w:hAnsi="Times New Roman"/>
                <w:sz w:val="18"/>
                <w:szCs w:val="18"/>
                <w:color w:val="auto"/>
                <w:w w:val="98"/>
              </w:rPr>
              <w:t>Monte Carlo Simulation</w:t>
            </w:r>
          </w:p>
        </w:tc>
        <w:tc>
          <w:tcPr>
            <w:tcW w:w="3260" w:type="dxa"/>
            <w:vAlign w:val="bottom"/>
            <w:tcBorders>
              <w:bottom w:val="single" w:sz="8" w:color="CCEEFF"/>
            </w:tcBorders>
            <w:gridSpan w:val="2"/>
            <w:shd w:val="clear" w:color="auto" w:fill="CCEEFF"/>
          </w:tcPr>
          <w:p>
            <w:pPr>
              <w:jc w:val="center"/>
              <w:ind w:right="120"/>
              <w:spacing w:after="0" w:line="192" w:lineRule="exact"/>
              <w:rPr>
                <w:sz w:val="20"/>
                <w:szCs w:val="20"/>
                <w:color w:val="auto"/>
              </w:rPr>
            </w:pPr>
            <w:r>
              <w:rPr>
                <w:rFonts w:ascii="Times New Roman" w:cs="Times New Roman" w:eastAsia="Times New Roman" w:hAnsi="Times New Roman"/>
                <w:sz w:val="18"/>
                <w:szCs w:val="18"/>
                <w:color w:val="auto"/>
                <w:w w:val="97"/>
              </w:rPr>
              <w:t>Discount rate</w:t>
            </w:r>
          </w:p>
        </w:tc>
        <w:tc>
          <w:tcPr>
            <w:tcW w:w="130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07"/>
        </w:trPr>
        <w:tc>
          <w:tcPr>
            <w:tcW w:w="2700" w:type="dxa"/>
            <w:vAlign w:val="bottom"/>
            <w:gridSpan w:val="2"/>
            <w:vMerge w:val="continue"/>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66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jc w:val="center"/>
              <w:ind w:right="120"/>
              <w:spacing w:after="0" w:line="192" w:lineRule="exact"/>
              <w:rPr>
                <w:sz w:val="20"/>
                <w:szCs w:val="20"/>
                <w:color w:val="auto"/>
              </w:rPr>
            </w:pPr>
            <w:r>
              <w:rPr>
                <w:rFonts w:ascii="Times New Roman" w:cs="Times New Roman" w:eastAsia="Times New Roman" w:hAnsi="Times New Roman"/>
                <w:sz w:val="18"/>
                <w:szCs w:val="18"/>
                <w:color w:val="auto"/>
                <w:w w:val="97"/>
              </w:rPr>
              <w:t>Model</w:t>
            </w:r>
          </w:p>
        </w:tc>
        <w:tc>
          <w:tcPr>
            <w:tcW w:w="3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Projected fiscal year of payments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2028 - 2030</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07"/>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Event-based payments</w:t>
            </w:r>
          </w:p>
        </w:tc>
        <w:tc>
          <w:tcPr>
            <w:tcW w:w="1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8"/>
              </w:rPr>
              <w:t>Monte Carlo Simulation</w:t>
            </w:r>
          </w:p>
        </w:tc>
        <w:tc>
          <w:tcPr>
            <w:tcW w:w="3260" w:type="dxa"/>
            <w:vAlign w:val="bottom"/>
            <w:gridSpan w:val="2"/>
            <w:vMerge w:val="restart"/>
          </w:tcPr>
          <w:p>
            <w:pPr>
              <w:jc w:val="center"/>
              <w:ind w:right="100"/>
              <w:spacing w:after="0" w:line="186" w:lineRule="exact"/>
              <w:rPr>
                <w:sz w:val="20"/>
                <w:szCs w:val="20"/>
                <w:color w:val="auto"/>
              </w:rPr>
            </w:pPr>
            <w:r>
              <w:rPr>
                <w:rFonts w:ascii="Times New Roman" w:cs="Times New Roman" w:eastAsia="Times New Roman" w:hAnsi="Times New Roman"/>
                <w:sz w:val="18"/>
                <w:szCs w:val="18"/>
                <w:color w:val="auto"/>
                <w:w w:val="97"/>
              </w:rPr>
              <w:t>Projected fiscal year of payment</w:t>
            </w:r>
          </w:p>
        </w:tc>
        <w:tc>
          <w:tcPr>
            <w:tcW w:w="130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2027 - 2028</w:t>
            </w:r>
          </w:p>
        </w:tc>
        <w:tc>
          <w:tcPr>
            <w:tcW w:w="0" w:type="dxa"/>
            <w:vAlign w:val="bottom"/>
          </w:tcPr>
          <w:p>
            <w:pPr>
              <w:spacing w:after="0"/>
              <w:rPr>
                <w:sz w:val="1"/>
                <w:szCs w:val="1"/>
                <w:color w:val="auto"/>
              </w:rPr>
            </w:pPr>
          </w:p>
        </w:tc>
      </w:tr>
      <w:tr>
        <w:trPr>
          <w:trHeight w:val="78"/>
        </w:trPr>
        <w:tc>
          <w:tcPr>
            <w:tcW w:w="2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gridSpan w:val="2"/>
            <w:vMerge w:val="continue"/>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7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Model</w:t>
            </w:r>
          </w:p>
        </w:tc>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7"/>
        </w:trPr>
        <w:tc>
          <w:tcPr>
            <w:tcW w:w="2700" w:type="dxa"/>
            <w:vAlign w:val="bottom"/>
            <w:gridSpan w:val="2"/>
            <w:vMerge w:val="continue"/>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3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Discount Rate</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3260" w:type="dxa"/>
            <w:vAlign w:val="bottom"/>
            <w:gridSpan w:val="2"/>
            <w:vMerge w:val="continue"/>
            <w:shd w:val="clear" w:color="auto" w:fill="CCEEFF"/>
          </w:tcPr>
          <w:p>
            <w:pPr>
              <w:spacing w:after="0"/>
              <w:rPr>
                <w:sz w:val="10"/>
                <w:szCs w:val="10"/>
                <w:color w:val="auto"/>
              </w:rPr>
            </w:pPr>
          </w:p>
        </w:tc>
        <w:tc>
          <w:tcPr>
            <w:tcW w:w="13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66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Projected fiscal year of payment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2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10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3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8"/>
                <w:szCs w:val="18"/>
                <w:color w:val="auto"/>
              </w:rPr>
            </w:pPr>
          </w:p>
        </w:tc>
        <w:tc>
          <w:tcPr>
            <w:tcW w:w="20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color w:val="auto"/>
                <w:w w:val="98"/>
              </w:rPr>
              <w:t>Monte Carlo Simulation</w:t>
            </w:r>
          </w:p>
        </w:tc>
        <w:tc>
          <w:tcPr>
            <w:tcW w:w="3260" w:type="dxa"/>
            <w:vAlign w:val="bottom"/>
            <w:tcBorders>
              <w:bottom w:val="single" w:sz="8" w:color="CCEEFF"/>
            </w:tcBorders>
            <w:gridSpan w:val="2"/>
            <w:shd w:val="clear" w:color="auto" w:fill="CCEEFF"/>
          </w:tcPr>
          <w:p>
            <w:pPr>
              <w:jc w:val="center"/>
              <w:ind w:right="120"/>
              <w:spacing w:after="0" w:line="200" w:lineRule="exact"/>
              <w:rPr>
                <w:sz w:val="20"/>
                <w:szCs w:val="20"/>
                <w:color w:val="auto"/>
              </w:rPr>
            </w:pPr>
            <w:r>
              <w:rPr>
                <w:rFonts w:ascii="Times New Roman" w:cs="Times New Roman" w:eastAsia="Times New Roman" w:hAnsi="Times New Roman"/>
                <w:sz w:val="18"/>
                <w:szCs w:val="18"/>
                <w:color w:val="auto"/>
                <w:w w:val="97"/>
              </w:rPr>
              <w:t>Discount rate</w:t>
            </w:r>
          </w:p>
        </w:tc>
        <w:tc>
          <w:tcPr>
            <w:tcW w:w="1300" w:type="dxa"/>
            <w:vAlign w:val="bottom"/>
            <w:tcBorders>
              <w:bottom w:val="single" w:sz="8" w:color="CCEEFF"/>
            </w:tcBorders>
            <w:shd w:val="clear" w:color="auto" w:fill="CCEEFF"/>
          </w:tcPr>
          <w:p>
            <w:pPr>
              <w:jc w:val="center"/>
              <w:spacing w:after="0" w:line="200"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07"/>
        </w:trPr>
        <w:tc>
          <w:tcPr>
            <w:tcW w:w="2700" w:type="dxa"/>
            <w:vAlign w:val="bottom"/>
            <w:gridSpan w:val="2"/>
            <w:vMerge w:val="continue"/>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66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Model</w:t>
            </w:r>
          </w:p>
        </w:tc>
        <w:tc>
          <w:tcPr>
            <w:tcW w:w="100" w:type="dxa"/>
            <w:vAlign w:val="bottom"/>
            <w:vMerge w:val="restart"/>
          </w:tcPr>
          <w:p>
            <w:pPr>
              <w:spacing w:after="0"/>
              <w:rPr>
                <w:sz w:val="9"/>
                <w:szCs w:val="9"/>
                <w:color w:val="auto"/>
              </w:rPr>
            </w:pPr>
          </w:p>
        </w:tc>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Projected fiscal year of payments</w:t>
            </w:r>
          </w:p>
        </w:tc>
        <w:tc>
          <w:tcPr>
            <w:tcW w:w="100" w:type="dxa"/>
            <w:vAlign w:val="bottom"/>
            <w:vMerge w:val="restart"/>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2026 - 2028</w:t>
            </w:r>
          </w:p>
        </w:tc>
        <w:tc>
          <w:tcPr>
            <w:tcW w:w="0" w:type="dxa"/>
            <w:vAlign w:val="bottom"/>
          </w:tcPr>
          <w:p>
            <w:pPr>
              <w:spacing w:after="0"/>
              <w:rPr>
                <w:sz w:val="1"/>
                <w:szCs w:val="1"/>
                <w:color w:val="auto"/>
              </w:rPr>
            </w:pPr>
          </w:p>
        </w:tc>
      </w:tr>
      <w:tr>
        <w:trPr>
          <w:trHeight w:val="118"/>
        </w:trPr>
        <w:tc>
          <w:tcPr>
            <w:tcW w:w="2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1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Event-based payment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7"/>
                <w:szCs w:val="17"/>
                <w:color w:val="auto"/>
              </w:rPr>
            </w:pPr>
          </w:p>
        </w:tc>
        <w:tc>
          <w:tcPr>
            <w:tcW w:w="206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8"/>
              </w:rPr>
              <w:t>Monte Carlo Simulation</w:t>
            </w:r>
          </w:p>
        </w:tc>
        <w:tc>
          <w:tcPr>
            <w:tcW w:w="316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Discount rate</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07"/>
        </w:trPr>
        <w:tc>
          <w:tcPr>
            <w:tcW w:w="27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Model</w:t>
            </w:r>
          </w:p>
        </w:tc>
        <w:tc>
          <w:tcPr>
            <w:tcW w:w="100" w:type="dxa"/>
            <w:vAlign w:val="bottom"/>
            <w:vMerge w:val="restart"/>
          </w:tcPr>
          <w:p>
            <w:pPr>
              <w:spacing w:after="0"/>
              <w:rPr>
                <w:sz w:val="9"/>
                <w:szCs w:val="9"/>
                <w:color w:val="auto"/>
              </w:rPr>
            </w:pPr>
          </w:p>
        </w:tc>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Projected fiscal year of payment</w:t>
            </w:r>
          </w:p>
        </w:tc>
        <w:tc>
          <w:tcPr>
            <w:tcW w:w="100" w:type="dxa"/>
            <w:vAlign w:val="bottom"/>
            <w:vMerge w:val="restart"/>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2026 - 2028</w:t>
            </w:r>
          </w:p>
        </w:tc>
        <w:tc>
          <w:tcPr>
            <w:tcW w:w="0" w:type="dxa"/>
            <w:vAlign w:val="bottom"/>
          </w:tcPr>
          <w:p>
            <w:pPr>
              <w:spacing w:after="0"/>
              <w:rPr>
                <w:sz w:val="1"/>
                <w:szCs w:val="1"/>
                <w:color w:val="auto"/>
              </w:rPr>
            </w:pPr>
          </w:p>
        </w:tc>
      </w:tr>
      <w:tr>
        <w:trPr>
          <w:trHeight w:val="118"/>
        </w:trPr>
        <w:tc>
          <w:tcPr>
            <w:tcW w:w="2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1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fair value of contingent consideration associated with acquisitions was $21.1 million and $2.3 million as of March 28, 2026 and March 29, 2025, respectively. There was $17.6 million included in other current liabilities as of March 28, 2026 and $3.4 million and $2.3 million included in other long-term liabilities as of March 28, 2026 and March 29, 2025,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fair value of contingent consideration is included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0" w:type="dxa"/>
            <w:vAlign w:val="bottom"/>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4"/>
        </w:trPr>
        <w:tc>
          <w:tcPr>
            <w:tcW w:w="7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186"/>
        </w:trPr>
        <w:tc>
          <w:tcPr>
            <w:tcW w:w="7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0" w:type="dxa"/>
            <w:vAlign w:val="bottom"/>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30, 2024</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date fair value of contingent consideration</w:t>
            </w:r>
          </w:p>
        </w:tc>
        <w:tc>
          <w:tcPr>
            <w:tcW w:w="56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5"/>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56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5"/>
        </w:trPr>
        <w:tc>
          <w:tcPr>
            <w:tcW w:w="7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(23,022)</w:t>
            </w:r>
          </w:p>
        </w:tc>
      </w:tr>
      <w:tr>
        <w:trPr>
          <w:trHeight w:val="21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29, 2025</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25"/>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date fair value of contingent consideration</w:t>
            </w:r>
          </w:p>
        </w:tc>
        <w:tc>
          <w:tcPr>
            <w:tcW w:w="56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20,673</w:t>
            </w:r>
          </w:p>
        </w:tc>
      </w:tr>
      <w:tr>
        <w:trPr>
          <w:trHeight w:val="225"/>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56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7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5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28, 2026</w:t>
            </w: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the 2029 Notes was $662.4 million and $668.4 million as of March 28, 2026 and March 29, 2025, respectively, which was determined using the market price on the last trading day of the reporting period and is considered level 2 in the fair value hierarchy.</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senior unsecured term loan (which is carried at amortized cost), the revolving credit facility, accounts receivable and accounts payable approximate fair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RETIREMENT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Savings Plus Plan (the “401k Plan”) that allows its U.S. employees to accumulate savings on a pre-tax basis. In addition, matching contributions are made to the 401k Plan based upon pre-established rates. The Company’s matching contributions amounted to approximately $8.9 million, $8.2 million and $8.1 million in fiscal 2026, 2025 and 2024, respectively. Upon the Company’s Board of Directors’ approval, additional discretionary contributions can also be made. No discretionary contributions were made for the 401k Plan in fiscal 2026, 2025, or 2024.</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Some of the Company’s subsidiaries also have defined contribution plans, to which both the employee and the employer make contributions. The employer contributions to these plans totaled $1.1 million, $1.0 million and $0.7 million in fiscal 2026, 2025 and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ASC Topic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 Accordingly, the Company is required to report changes in its funded status in comprehensive loss on its consolidated statement of stockholders’ equity and consolidated statements of comprehensive income.</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that are subject to change.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Some of the Company’s foreign subsidiaries have defined benefit pension plans covering substantially all full-time employees at those subsidiaries. Net periodic benefit costs for the plans in the aggregate include the following components: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920" w:type="dxa"/>
            <w:vAlign w:val="bottom"/>
            <w:tcBorders>
              <w:bottom w:val="single" w:sz="8" w:color="auto"/>
            </w:tcBorders>
            <w:gridSpan w:val="2"/>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64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60" w:type="dxa"/>
            <w:vAlign w:val="bottom"/>
            <w:gridSpan w:val="3"/>
            <w:shd w:val="clear" w:color="auto" w:fill="CCEEFF"/>
          </w:tcPr>
          <w:p>
            <w:pPr>
              <w:jc w:val="right"/>
              <w:ind w:right="76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prior service cost</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activity under those defined benefit plans are as follows: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7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4"/>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7"/>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9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(30,956)</w:t>
            </w:r>
          </w:p>
        </w:tc>
        <w:tc>
          <w:tcPr>
            <w:tcW w:w="48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and plan participants contribution</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Plan settlements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changes</w:t>
            </w:r>
          </w:p>
        </w:tc>
        <w:tc>
          <w:tcPr>
            <w:tcW w:w="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640" w:type="dxa"/>
            <w:vAlign w:val="bottom"/>
          </w:tcPr>
          <w:p>
            <w:pPr>
              <w:spacing w:after="0"/>
              <w:rPr>
                <w:sz w:val="19"/>
                <w:szCs w:val="19"/>
                <w:color w:val="auto"/>
              </w:rPr>
            </w:pPr>
          </w:p>
        </w:tc>
        <w:tc>
          <w:tcPr>
            <w:tcW w:w="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(34,491)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9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48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 contributions</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plan assets</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and plan participants contribution</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 settlements</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changes</w:t>
            </w:r>
          </w:p>
        </w:tc>
        <w:tc>
          <w:tcPr>
            <w:tcW w:w="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vMerge w:val="restart"/>
          </w:tcPr>
          <w:p>
            <w:pPr>
              <w:ind w:left="20"/>
              <w:spacing w:after="0" w:line="239" w:lineRule="exact"/>
              <w:rPr>
                <w:sz w:val="20"/>
                <w:szCs w:val="20"/>
                <w:color w:val="auto"/>
              </w:rPr>
            </w:pPr>
            <w:r>
              <w:rPr>
                <w:rFonts w:ascii="Times New Roman" w:cs="Times New Roman" w:eastAsia="Times New Roman" w:hAnsi="Times New Roman"/>
                <w:sz w:val="18"/>
                <w:szCs w:val="18"/>
                <w:color w:val="auto"/>
              </w:rPr>
              <w:t>Funded Status</w:t>
            </w:r>
            <w:r>
              <w:rPr>
                <w:rFonts w:ascii="Times New Roman" w:cs="Times New Roman" w:eastAsia="Times New Roman" w:hAnsi="Times New Roman"/>
                <w:sz w:val="22"/>
                <w:szCs w:val="22"/>
                <w:color w:val="auto"/>
                <w:vertAlign w:val="superscript"/>
              </w:rPr>
              <w:t>(1)</w:t>
            </w:r>
          </w:p>
        </w:tc>
        <w:tc>
          <w:tcPr>
            <w:tcW w:w="9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60" w:type="dxa"/>
            <w:vAlign w:val="bottom"/>
            <w:tcBorders>
              <w:top w:val="single" w:sz="8" w:color="CCEEFF"/>
            </w:tcBorders>
            <w:vMerge w:val="continue"/>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top w:val="single" w:sz="8" w:color="auto"/>
            </w:tcBorders>
          </w:tcPr>
          <w:p>
            <w:pPr>
              <w:jc w:val="center"/>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(11,181)</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jc w:val="right"/>
              <w:ind w:right="1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(10,118)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net actuarial gain</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amount recognized</w:t>
            </w:r>
          </w:p>
        </w:tc>
        <w:tc>
          <w:tcPr>
            <w:tcW w:w="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0" w:lineRule="exact"/>
        <w:rPr>
          <w:sz w:val="20"/>
          <w:szCs w:val="20"/>
          <w:color w:val="auto"/>
        </w:rPr>
      </w:pPr>
    </w:p>
    <w:p>
      <w:pPr>
        <w:ind w:left="520" w:hanging="196"/>
        <w:spacing w:after="0"/>
        <w:tabs>
          <w:tab w:leader="none" w:pos="52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Substantially all of the unfunded status is non-current.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of the benefit plans is funded by benefit payments made by the Company through the purchase of reinsurance contracts that do not qualify as plan assets under ASC Topic 715. Accordingly, that plan has no assets included in the information presented above. The total asset value associated with the reinsurance contracts was $7.3 million and $7.0 million as of March 28, 2026 and March 29, 2025, respectively. The total liability for this plan, which is included in the table above, was $7.1 million and $7.4 million as of March 28, 2026 and March 29, 2025, respectively.</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accumulated benefit obligation for all plans was $32.0 million and $29.1 million for fiscal 2026 and 2025, respectively. There were no plans where the plan assets were greater than the accumulated benefit obligation as of March 28, 2026 and March 29, 2025.</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the change recorded in the Company’s accumulated other comprehensive loss related to its defined benefit plans, net of tax,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w:t>
            </w:r>
          </w:p>
        </w:tc>
      </w:tr>
      <w:tr>
        <w:trPr>
          <w:trHeight w:val="24"/>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186"/>
        </w:trPr>
        <w:tc>
          <w:tcPr>
            <w:tcW w:w="7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2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1, 2023</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18"/>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32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25"/>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Prior service credit</w:t>
            </w:r>
          </w:p>
        </w:tc>
        <w:tc>
          <w:tcPr>
            <w:tcW w:w="320" w:type="dxa"/>
            <w:vAlign w:val="bottom"/>
            <w:tcBorders>
              <w:bottom w:val="single" w:sz="8" w:color="auto"/>
            </w:tcBorders>
            <w:shd w:val="clear" w:color="auto" w:fill="CCEEFF"/>
          </w:tcPr>
          <w:p>
            <w:pPr>
              <w:spacing w:after="0"/>
              <w:rPr>
                <w:sz w:val="19"/>
                <w:szCs w:val="19"/>
                <w:color w:val="auto"/>
              </w:rPr>
            </w:pP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30, 2024</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218"/>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32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5"/>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Prior service credit</w:t>
            </w:r>
          </w:p>
        </w:tc>
        <w:tc>
          <w:tcPr>
            <w:tcW w:w="32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5"/>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 settlements</w:t>
            </w:r>
          </w:p>
        </w:tc>
        <w:tc>
          <w:tcPr>
            <w:tcW w:w="320" w:type="dxa"/>
            <w:vAlign w:val="bottom"/>
            <w:tcBorders>
              <w:bottom w:val="single" w:sz="8" w:color="auto"/>
            </w:tcBorders>
            <w:shd w:val="clear" w:color="auto" w:fill="CCEEFF"/>
          </w:tcPr>
          <w:p>
            <w:pPr>
              <w:spacing w:after="0"/>
              <w:rPr>
                <w:sz w:val="19"/>
                <w:szCs w:val="19"/>
                <w:color w:val="auto"/>
              </w:rPr>
            </w:pP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29, 2025</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18"/>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32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5"/>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Prior service credit</w:t>
            </w:r>
          </w:p>
        </w:tc>
        <w:tc>
          <w:tcPr>
            <w:tcW w:w="32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5"/>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Plan settlements</w:t>
            </w:r>
          </w:p>
        </w:tc>
        <w:tc>
          <w:tcPr>
            <w:tcW w:w="320" w:type="dxa"/>
            <w:vAlign w:val="bottom"/>
            <w:tcBorders>
              <w:bottom w:val="single" w:sz="8" w:color="auto"/>
            </w:tcBorders>
            <w:shd w:val="clear" w:color="auto" w:fill="CCEEFF"/>
          </w:tcPr>
          <w:p>
            <w:pPr>
              <w:spacing w:after="0"/>
              <w:rPr>
                <w:sz w:val="19"/>
                <w:szCs w:val="19"/>
                <w:color w:val="auto"/>
              </w:rPr>
            </w:pP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28, 2026</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amortize $0.3 million from AOCL to net periodic benefit cost during fiscal 2027.</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rates used to determine the net periodic benefit costs and projected benefit obligations were as follows:</w:t>
      </w:r>
    </w:p>
    <w:p>
      <w:pPr>
        <w:spacing w:after="0" w:line="198"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2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increased salary levels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25"/>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0.94 %</w:t>
            </w:r>
          </w:p>
        </w:tc>
      </w:tr>
    </w:tbl>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other material obligation for post-retirement or post-employment benefits.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 policy for pension plans is to balance risk and return through a diversified portfolio to reduce interest rate and market risk.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are managed so that sufficient liquidity exists to meet immediate and future benefit payment requirements.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provides guidance for reporting and measuring the plan assets of the Company’s defined benefit pension plan at fair value as of March 28, 2026. Using the same three-level valuation hierarchy for disclosure of fair value measurements as described in Note 13,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all of the assets of the Company’s plan are classified within Level 2 of the fair value hierarchy because the plan assets are primarily insurance contracts.</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Expected benefit payments for both plans are estimated using the same assumptions used in determining the Company’s benefit obligation as of March 28, 2026.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53"/>
        </w:trPr>
        <w:tc>
          <w:tcPr>
            <w:tcW w:w="1200" w:type="dxa"/>
            <w:vAlign w:val="bottom"/>
            <w:tcBorders>
              <w:top w:val="single" w:sz="8" w:color="0000FF"/>
            </w:tcBorders>
          </w:tcPr>
          <w:p>
            <w:pPr>
              <w:spacing w:after="0"/>
              <w:rPr>
                <w:sz w:val="22"/>
                <w:szCs w:val="22"/>
                <w:color w:val="auto"/>
              </w:rPr>
            </w:pPr>
          </w:p>
        </w:tc>
        <w:tc>
          <w:tcPr>
            <w:tcW w:w="8080" w:type="dxa"/>
            <w:vAlign w:val="bottom"/>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HAEMONETICS CORPORATION AND SUBSIDIARIES</w:t>
            </w:r>
          </w:p>
        </w:tc>
        <w:tc>
          <w:tcPr>
            <w:tcW w:w="1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311"/>
        </w:trPr>
        <w:tc>
          <w:tcPr>
            <w:tcW w:w="1200" w:type="dxa"/>
            <w:vAlign w:val="bottom"/>
          </w:tcPr>
          <w:p>
            <w:pPr>
              <w:spacing w:after="0"/>
              <w:rPr>
                <w:sz w:val="24"/>
                <w:szCs w:val="24"/>
                <w:color w:val="auto"/>
              </w:rPr>
            </w:pPr>
          </w:p>
        </w:tc>
        <w:tc>
          <w:tcPr>
            <w:tcW w:w="8080" w:type="dxa"/>
            <w:vAlign w:val="bottom"/>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 — (Continued)</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58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benefit payments are as follows:</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9"/>
        </w:trPr>
        <w:tc>
          <w:tcPr>
            <w:tcW w:w="12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Estimated Future Benefit</w:t>
            </w:r>
          </w:p>
        </w:tc>
      </w:tr>
      <w:tr>
        <w:trPr>
          <w:trHeight w:val="191"/>
        </w:trPr>
        <w:tc>
          <w:tcPr>
            <w:tcW w:w="120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191"/>
        </w:trPr>
        <w:tc>
          <w:tcPr>
            <w:tcW w:w="120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2"/>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5"/>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25"/>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25"/>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25"/>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31"/>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2032-2036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contributions for fiscal 2027 are expected to be consistent with fiscal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all matters. Legal costs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 Biometric Information Privacy Act</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fourth quarter of fiscal 2021, a putative class action complaint was filed against the Company in the Circuit Court of Cook County, Illinois by Mary Crumpton, on behalf of herself and similarly situated individuals. The Company removed the case to the United States District Court for the Northern District Illinois. See Mary Crumpton v. Haemonetics Corporation, Case No. 1:21-cv-1402. In her complaint, the plaintiff asserted that between June 2017 and August 2018 she donated plasma at a center operated by one of the Company’s customers, that the center required her to scan her fingerprint on a finger scanner that stored her fingerprint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sought statutory damages, attorneys’ fees and injunctive and equitable relief. During the second quarter of fiscal 2024, the Company entered into a Memorandum of Understanding providing terms that would resolve the litigation and recorded an additional loss contingency related to this matter. In the third quarter of fiscal 2024, the parties requested preliminary court approval of a final settlement agreement, which was granted in February 2024, and the Company recorded an immaterial additional loss contingency related to settlement administration, resulting in an accrual of $8.7 million within other current liabilities in its consolidated balance sheets. In March 2024, administration of the settlement through the third-party administrator commenced and, in April 2025, the administrator notified the parties that distribution of the final settlement funds was underway and that administration would formally close 90 days thereafter. In the first quarter of fiscal 2025, the Company issued payment of the $8.7 million settlement amount following the court’s final approval of the settlement agreement and dismissal of the matter with prejudice.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Sensor-Guided Technologies Patent Litigation</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During the fourth quarter of fiscal 2024, a complaint was filed in the U.S. District Court for the District of Delaware by Knoninklijke Philips N.V. and IP2IPO Innovations, Ltd. (together, the “Plaintiffs”) against OpSens, OpSens Medical, Inc., a wholly-owned subsidiary of Haemonetics, and Haemonetics (1:24-cv-00206-CFC). The complaint alleged, inter alia, that OpSens’ interventional cardiology systems, including its OptoWire and OptoMonitor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infringed a single patent held by the Plaintiffs and sought both injunctive relief and damages. The Company recorded loss contingencies related to this matter in the first and fourth quarters of fiscal 2025 and in the first quarter of fiscal 2026, which did not have a material impact on its consolidated financial statements. In the second quarter of fiscal 2026, the parties entered into a final confidential settlement agreement to resolve the matter, which the court approved, and the Company recorded an immaterial additional loss contingency relating to final settlement of the matter.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 Patent Litigation</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During the first quarter of fiscal 2026, the Company filed a complaint against Terumo BCT in U.S. District Court for the District of Colorado (1:25-cv-01409). The complaint alleges that Terumo BCT infringes the Company’s intellectual property rights with respect to its donor-centric blood plasma collection patents, as embodied in the Company’s NexSys PCS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with YES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technology and NexSys PCS with Persona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technology. On June 26, 2025, Terumo filed a motion to dismiss. On July 17, 2025 and August 12, 2025, the Company filed amended complaints adding recently issued patents. On September 2, 2025, Terumo filed a partial motion to dismiss with prejudice claiming that the Company’s asserted patents were invalid under 35 U.S.C. section 101. Terumo has also filed inter partes and post-grant review petitions with the U.S. Patent and Trademark Office (PTO) seeking to invalidate the asserted patents. In October 2025, Terumo filed a motion to stay the district court proceedings pending resolution of the PTO petitions. The Company filed responses opposing Terumo’s motions in November 2025. Two of the nine PTO petitions have been instituted for further review, and seven of the PTO petitions were denied by the PTO.</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second quarter of fiscal 2026, the Company filed a complaint against Fresenius Kabi USA LLC in U.S. District Court for the Northern District of Illinois (1:25-cv-08680). The complaint alleges that Fresenius Kabi infringes the Company’s intellectual property rights with respect to its donor-centric blood plasma collection patents, as embodied in the Company’s NexSys PCS with YES technology and NexSys PCS with Persona technology. In October 2025, the Company filed an amended complaint to add Fenwal Inc. and Fresenius Kabi AG as parties to the matter. In December 2025, Fenwal filed its answer and counterclaims, alleging non-infringement and invalidity of the Company’s asserted patents and alleging infringement by the Company of certain of Fenwal’s U.S. patents.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While the Company will incur costs in the course of pursuing these claims, and the outcome of litigation is inherently uncertain, the Company believes this is a necessary and appropriate action to safeguard its innovations, protect its intellectual property, and further the growth and development of its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CAPITAL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Haemonetics Corporation 2019 Long-Term Incentive Compensation Plan (the “2019 Equity Plan”) was approved and became effective on July 25, 2019 (the “Effective Date”). The 2019 Equity Plan permits the award of incentive stock options, non-qualified stock options, stock appreciation rights (“SARs”), restricted stock, restricted stock units (including performance-based restricted stock units) and other awards to the Company’s key employees, non-employee directors and certain consultants and advisors of the Company and its subsidiaries. The 2019 Equity Plan is administered by the Compensation Committee of the Board of Directors (the “Committee”), which consists of four independent members of the Company’s Board of Directors, and is the successor to the Haemonetics Corporation 2005 Long-Term Incentive Compensation Plan, as amended (the “2005 Equity Plan”). Upon the Effective Date, no further awards were granted under the 2005 Equity Plan; however, each outstanding award under the 2005 Equity Plan will remain outstanding under that plan and continue to be governed under its terms and any applicable award agreement.</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2019 Equity Plan initially had a share reserve of 2,700,000 new shares of common stock, plus the number of shares of common stock reserved for issuance under the 2005 Plan that remained available for grant under the 2005 Plan as of July 25, 2019, an aggregate of 5,759,433 shares as of the Effective Date.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August 4, 2023, the 2019 Equity Plan was amended and restated to increase the number of shares available for issuance under the Plan by 2,966,231 additional shares, from 1,975,970 shares to 4,942,201 shares of common stock, subject to adjustment as provided by the terms of the 2019 Equity Plan, as amended and restated.</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2019 Equity Plan, as amended and restated, any shares that are subject to the award of stock options or SARs will be counted against the authorized share reserve as one share for every one share issued and any shares that are subject to awards other than stock options, SARs or cash awards will be counted against the authorized share reserve as 2.76 shares for every one share granted. Shares of common stock subject to outstanding grants under the 2005 Equity Plan as of the Effective Date that terminate, expire, or are otherwise canceled without having been exercised will be added to the share reserve at the applicable 2019 Equity Plan ratios. The total shares available for future grant under the 2019 Equity Plan, as amended and restated and giving effect to the applicable adjustment provisions, were 3,108,477 as of March 28, 2026.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Compensation cost related to share-based transactions is recognized in the consolidated financial statements based on fair value. The total amount of share-based compensation expense, which is recorded on a straight-line basis,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29,511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18"/>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33,827</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28,332</w:t>
            </w:r>
          </w:p>
        </w:tc>
      </w:tr>
      <w:tr>
        <w:trPr>
          <w:trHeight w:val="20"/>
        </w:trPr>
        <w:tc>
          <w:tcPr>
            <w:tcW w:w="6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Options are granted to purchase common stock at prices as determined by the Committee, but in no event shall such exercise price be less than the fair market value of the common stock at the time of the grant. Options generally vest in equal installments over a four-year period for employees and one year from grant for non-employee directors. Options expire not more than seven years from the date of the grant. The grant-date fair value of options, adjusted for estimated forfeitures, is recognized as expense on a straight-line basis over the requisite service period, which is generally the vesting period. Forfeitures are estimated based on historical experience.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fiscal year ended March 28, 2026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116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46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2"/>
                <w:szCs w:val="12"/>
                <w:color w:val="auto"/>
              </w:rPr>
            </w:pPr>
          </w:p>
        </w:tc>
        <w:tc>
          <w:tcPr>
            <w:tcW w:w="1440" w:type="dxa"/>
            <w:vAlign w:val="bottom"/>
          </w:tcPr>
          <w:p>
            <w:pPr>
              <w:jc w:val="center"/>
              <w:ind w:right="318"/>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40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jc w:val="center"/>
              <w:ind w:right="318"/>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0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2"/>
                <w:szCs w:val="12"/>
                <w:color w:val="auto"/>
              </w:rPr>
            </w:pPr>
          </w:p>
        </w:tc>
        <w:tc>
          <w:tcPr>
            <w:tcW w:w="1160" w:type="dxa"/>
            <w:vAlign w:val="bottom"/>
          </w:tcPr>
          <w:p>
            <w:pPr>
              <w:jc w:val="center"/>
              <w:ind w:right="199"/>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1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494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29,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993,587</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81.75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25"/>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227,425</w:t>
            </w:r>
          </w:p>
        </w:tc>
        <w:tc>
          <w:tcPr>
            <w:tcW w:w="300" w:type="dxa"/>
            <w:vAlign w:val="bottom"/>
          </w:tcPr>
          <w:p>
            <w:pPr>
              <w:spacing w:after="0"/>
              <w:rPr>
                <w:sz w:val="19"/>
                <w:szCs w:val="19"/>
                <w:color w:val="auto"/>
              </w:rPr>
            </w:pPr>
          </w:p>
        </w:tc>
        <w:tc>
          <w:tcPr>
            <w:tcW w:w="144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70.05</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57.90</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Forfeited/Canceled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(166,850)</w:t>
            </w:r>
          </w:p>
        </w:tc>
        <w:tc>
          <w:tcPr>
            <w:tcW w:w="3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178"/>
              <w:spacing w:after="0"/>
              <w:rPr>
                <w:sz w:val="20"/>
                <w:szCs w:val="20"/>
                <w:color w:val="auto"/>
              </w:rPr>
            </w:pPr>
            <w:r>
              <w:rPr>
                <w:rFonts w:ascii="Times New Roman" w:cs="Times New Roman" w:eastAsia="Times New Roman" w:hAnsi="Times New Roman"/>
                <w:sz w:val="18"/>
                <w:szCs w:val="18"/>
                <w:color w:val="auto"/>
              </w:rPr>
              <w:t>89.42</w:t>
            </w:r>
          </w:p>
        </w:tc>
        <w:tc>
          <w:tcPr>
            <w:tcW w:w="14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28,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1,017,895</w:t>
            </w:r>
          </w:p>
        </w:tc>
        <w:tc>
          <w:tcPr>
            <w:tcW w:w="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78.74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March 28, 2026</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bottom w:val="single" w:sz="8" w:color="CCEEFF"/>
            </w:tcBorders>
            <w:vMerge w:val="restart"/>
          </w:tcPr>
          <w:p>
            <w:pPr>
              <w:jc w:val="right"/>
              <w:ind w:right="178"/>
              <w:spacing w:after="0"/>
              <w:rPr>
                <w:sz w:val="20"/>
                <w:szCs w:val="20"/>
                <w:color w:val="auto"/>
              </w:rPr>
            </w:pPr>
            <w:r>
              <w:rPr>
                <w:rFonts w:ascii="Times New Roman" w:cs="Times New Roman" w:eastAsia="Times New Roman" w:hAnsi="Times New Roman"/>
                <w:sz w:val="18"/>
                <w:szCs w:val="18"/>
                <w:color w:val="auto"/>
              </w:rPr>
              <w:t>79.67</w:t>
            </w: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top w:val="single" w:sz="8" w:color="CCEEFF"/>
              <w:bottom w:val="single" w:sz="8" w:color="CCEEFF"/>
            </w:tcBorders>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line="20" w:lineRule="exact"/>
              <w:rPr>
                <w:sz w:val="1"/>
                <w:szCs w:val="1"/>
                <w:color w:val="auto"/>
              </w:rPr>
            </w:pPr>
          </w:p>
        </w:tc>
      </w:tr>
      <w:tr>
        <w:trPr>
          <w:trHeight w:val="198"/>
        </w:trPr>
        <w:tc>
          <w:tcPr>
            <w:tcW w:w="5100" w:type="dxa"/>
            <w:vAlign w:val="bottom"/>
            <w:vMerge w:val="continue"/>
          </w:tcPr>
          <w:p>
            <w:pPr>
              <w:spacing w:after="0"/>
              <w:rPr>
                <w:sz w:val="17"/>
                <w:szCs w:val="17"/>
                <w:color w:val="auto"/>
              </w:rPr>
            </w:pPr>
          </w:p>
        </w:tc>
        <w:tc>
          <w:tcPr>
            <w:tcW w:w="1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599,839</w:t>
            </w:r>
          </w:p>
        </w:tc>
        <w:tc>
          <w:tcPr>
            <w:tcW w:w="30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as of March 28, 2026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945,805</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78.87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$0.6 million, $6.4 million and $12.4 million during fiscal 2026, 2025 and 2024, respectively.</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28, 2026, there was $10.1 million of total unrecognized compensation cost related to non-vested stock options. This cost is expected to be recognized over a weighted average period of 2.5 years.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fair value was estimated using the Black-Scholes option-pricing model based on the closing stock price at the grant date and the weighted average assumptions specific to the underlying options. Expected volatility assumptions are based on the historical volatility of the Company’s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utilized for option grants during the periods presented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4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4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option</w:t>
            </w:r>
          </w:p>
        </w:tc>
        <w:tc>
          <w:tcPr>
            <w:tcW w:w="96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39.46</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 Units (“RSUs”) generally vest in equal installments over a three or four-year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for the fiscal year ended March 28, 2026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ind w:right="377"/>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4"/>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29, 2025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(41,633)</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28, 2026</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329,818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The weighted-average grant-date fair value of RSUs granted and total fair value of RSUs vested are as follows:</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2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RSU</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RSUs vested</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8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3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28, 2026, there was $13.8 million of total unrecognized compensation cost related to non-vested restricted stock units. This cost is expected to be recognized over a weighted average period of 1.7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grant date fair value of Performance Share Units (“PSUs”), adjusted for estimated forfeitures, is recognized as expense on a straight-line basis from the grant date through the end of the performance period. The value of these PSUs is generally based on (i) rTSR, which equals the total shareholder return for the Company as compared with the total shareholder return of a PSU comparison group and; (ii) the AAGR of the Company, both of which are measured over a three-year performance period. For outstanding rTSR-based PSUs, the comparison group for awards granted prior to fiscal 2026 consists of the components of the Standard and Poor’s (“S&amp;P”) MidCap 400 Index and for awards granted in fiscal 2026 consists of the components of the S&amp;P Health Care Equipment Select Industry Index. For outstanding AAGR-based PSUs, the Company recognizes expense based on the number of awards expected to vest, which requires management to assess the probability of achieving the performance conditions. This assessment is based on internal revenue forecasts, historical performance, and current market conditions, and is reassessed at each reporting date. Depending on the Company’s performance under the above-mentioned PSU awards during the performance period, a recipient of the award is entitled to receive a number of ordinary shares equal to a percentage, ranging from 0% to 200% of the award granted. If the Company’s total shareholder return for the performance period is negative, then any share payout for rTSR-based PSU awards will be capped at 100% of the target award, regardless of the Company’s performance relative to the comparison group. As a result, the Company may issue up to 715,262 shares related to outstanding performance-based awards.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for the fiscal year ended March 28, 2026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380" w:type="dxa"/>
            <w:vAlign w:val="bottom"/>
          </w:tcPr>
          <w:p>
            <w:pPr>
              <w:spacing w:after="0"/>
              <w:rPr>
                <w:sz w:val="12"/>
                <w:szCs w:val="12"/>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2"/>
        </w:trPr>
        <w:tc>
          <w:tcPr>
            <w:tcW w:w="83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29, 2025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0" w:type="dxa"/>
            <w:vAlign w:val="bottom"/>
          </w:tcPr>
          <w:p>
            <w:pPr>
              <w:spacing w:after="0"/>
              <w:rPr>
                <w:sz w:val="1"/>
                <w:szCs w:val="1"/>
                <w:color w:val="auto"/>
              </w:rPr>
            </w:pPr>
          </w:p>
        </w:tc>
      </w:tr>
      <w:tr>
        <w:trPr>
          <w:trHeight w:val="225"/>
        </w:trPr>
        <w:tc>
          <w:tcPr>
            <w:tcW w:w="838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2"/>
                <w:szCs w:val="22"/>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0" w:type="dxa"/>
            <w:vAlign w:val="bottom"/>
          </w:tcPr>
          <w:p>
            <w:pPr>
              <w:spacing w:after="0"/>
              <w:rPr>
                <w:sz w:val="1"/>
                <w:szCs w:val="1"/>
                <w:color w:val="auto"/>
              </w:rPr>
            </w:pPr>
          </w:p>
        </w:tc>
      </w:tr>
      <w:tr>
        <w:trPr>
          <w:trHeight w:val="225"/>
        </w:trPr>
        <w:tc>
          <w:tcPr>
            <w:tcW w:w="8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0" w:type="dxa"/>
            <w:vAlign w:val="bottom"/>
          </w:tcPr>
          <w:p>
            <w:pPr>
              <w:spacing w:after="0"/>
              <w:rPr>
                <w:sz w:val="1"/>
                <w:szCs w:val="1"/>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28, 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79" w:lineRule="exact"/>
        <w:rPr>
          <w:sz w:val="20"/>
          <w:szCs w:val="20"/>
          <w:color w:val="auto"/>
        </w:rPr>
      </w:pPr>
    </w:p>
    <w:p>
      <w:pPr>
        <w:ind w:left="580" w:hanging="256"/>
        <w:spacing w:after="0"/>
        <w:tabs>
          <w:tab w:leader="none" w:pos="58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35,443 shares issued for awards vested during fiscal 2026 based on achievement of performance metrics.</w:t>
      </w:r>
    </w:p>
    <w:p>
      <w:pPr>
        <w:spacing w:after="0" w:line="44" w:lineRule="exact"/>
        <w:rPr>
          <w:rFonts w:ascii="Times New Roman" w:cs="Times New Roman" w:eastAsia="Times New Roman" w:hAnsi="Times New Roman"/>
          <w:sz w:val="23"/>
          <w:szCs w:val="23"/>
          <w:color w:val="auto"/>
          <w:vertAlign w:val="superscript"/>
        </w:rPr>
      </w:pPr>
    </w:p>
    <w:p>
      <w:pPr>
        <w:ind w:left="640" w:hanging="316"/>
        <w:spacing w:after="0" w:line="191" w:lineRule="auto"/>
        <w:tabs>
          <w:tab w:leader="none" w:pos="597"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vesting of 162,066 shares that were earned for TSR-based PSU awards granted in fiscal 2023 for performance periods ending during fiscal 2026, representing 128% of the target award.</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uses the Monte Carlo model to estimate the probability of satisfying the performance criteria and the resulting fair value of PSU awards with market conditions. The assumptions used in the Monte Carlo model for PSUs granted during each fiscal year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
        </w:trPr>
        <w:tc>
          <w:tcPr>
            <w:tcW w:w="6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9"/>
              </w:rPr>
              <w:t>48.20 %</w:t>
            </w:r>
          </w:p>
        </w:tc>
      </w:tr>
      <w:tr>
        <w:trPr>
          <w:trHeight w:val="225"/>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 stock price volatility</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center"/>
              <w:ind w:left="397"/>
              <w:spacing w:after="0"/>
              <w:rPr>
                <w:sz w:val="20"/>
                <w:szCs w:val="20"/>
                <w:color w:val="auto"/>
              </w:rPr>
            </w:pPr>
            <w:r>
              <w:rPr>
                <w:rFonts w:ascii="Times New Roman" w:cs="Times New Roman" w:eastAsia="Times New Roman" w:hAnsi="Times New Roman"/>
                <w:sz w:val="18"/>
                <w:szCs w:val="18"/>
                <w:color w:val="auto"/>
                <w:w w:val="99"/>
              </w:rPr>
              <w:t>40.29 %</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Correlation of returns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9"/>
              </w:rPr>
              <w:t>59.93 %</w:t>
            </w:r>
          </w:p>
        </w:tc>
      </w:tr>
      <w:tr>
        <w:trPr>
          <w:trHeight w:val="465"/>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The weighted-average grant-date fair value of PSUs granted is as follows: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9"/>
        </w:trPr>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4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 per PSU</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128.83</w:t>
            </w:r>
          </w:p>
        </w:tc>
      </w:tr>
      <w:tr>
        <w:trPr>
          <w:trHeight w:val="231"/>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PSUs vested</w:t>
            </w:r>
          </w:p>
        </w:tc>
        <w:tc>
          <w:tcPr>
            <w:tcW w:w="5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84.96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72.35</w:t>
            </w:r>
          </w:p>
        </w:tc>
        <w:tc>
          <w:tcPr>
            <w:tcW w:w="42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28, 2026, there was $18.7 million of total unrecognized compensation cost related to non-vested performance share units. This cost is expected to be recognized over a weighted average period of 1.8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an Employee Stock Purchase Plan (the “Purchase Plan”) under which a maximum of 3,200,000 shares (subject to adjustment for stock splits and similar changes) of common stock may be purchased by eligible employees. Substantially all of its full-time employees are eligible to participate in the Purchase Plan.</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Purchase Plan provides for two “purchase periods” within each of its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fair values of shares purchased under the Employee Stock Purchase Plan are estimated using the Black-Scholes single option-pricing model with the following weighted average assumptions:</w:t>
      </w:r>
    </w:p>
    <w:p>
      <w:pPr>
        <w:spacing w:after="0" w:line="144"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2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(months)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1"/>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weighted average grant date fair value of the six-month option inherent in the Purchase Plan was approximately $15.98, $19.13 and $20.27 during fiscal 2026, 2025 and 2024,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ACCUMULATED OTHER COMPREHENSIVE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roll-forward of the components of AOCL, net of tax, for the years ended March 28, 2026 and March 29,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100" w:type="dxa"/>
            <w:vAlign w:val="bottom"/>
          </w:tcPr>
          <w:p>
            <w:pPr>
              <w:spacing w:after="0"/>
              <w:rPr>
                <w:sz w:val="13"/>
                <w:szCs w:val="13"/>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360" w:type="dxa"/>
            <w:vAlign w:val="bottom"/>
          </w:tcPr>
          <w:p>
            <w:pPr>
              <w:spacing w:after="0"/>
              <w:rPr>
                <w:sz w:val="13"/>
                <w:szCs w:val="13"/>
                <w:color w:val="auto"/>
              </w:rPr>
            </w:pPr>
          </w:p>
        </w:tc>
        <w:tc>
          <w:tcPr>
            <w:tcW w:w="114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(Loss) on Derivatives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30,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(35,632)</w:t>
            </w:r>
          </w:p>
        </w:tc>
        <w:tc>
          <w:tcPr>
            <w:tcW w:w="0" w:type="dxa"/>
            <w:vAlign w:val="bottom"/>
          </w:tcPr>
          <w:p>
            <w:pPr>
              <w:spacing w:after="0"/>
              <w:rPr>
                <w:sz w:val="1"/>
                <w:szCs w:val="1"/>
                <w:color w:val="auto"/>
              </w:rPr>
            </w:pPr>
          </w:p>
        </w:tc>
      </w:tr>
      <w:tr>
        <w:trPr>
          <w:trHeight w:val="225"/>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(19,508)</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Amounts reclassified from AOCL</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29,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(56,248)</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(55,084)</w:t>
            </w: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0" w:type="dxa"/>
            <w:vAlign w:val="bottom"/>
          </w:tcPr>
          <w:p>
            <w:pPr>
              <w:spacing w:after="0"/>
              <w:rPr>
                <w:sz w:val="1"/>
                <w:szCs w:val="1"/>
                <w:color w:val="auto"/>
              </w:rPr>
            </w:pPr>
          </w:p>
        </w:tc>
      </w:tr>
      <w:tr>
        <w:trPr>
          <w:trHeight w:val="225"/>
        </w:trPr>
        <w:tc>
          <w:tcPr>
            <w:tcW w:w="500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Amounts reclassified from AOCL</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44"/>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28,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79" w:lineRule="exact"/>
        <w:rPr>
          <w:sz w:val="20"/>
          <w:szCs w:val="20"/>
          <w:color w:val="auto"/>
        </w:rPr>
      </w:pPr>
    </w:p>
    <w:p>
      <w:pPr>
        <w:ind w:left="580" w:hanging="256"/>
        <w:spacing w:after="0"/>
        <w:tabs>
          <w:tab w:leader="none" w:pos="580" w:val="left"/>
        </w:tabs>
        <w:numPr>
          <w:ilvl w:val="1"/>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Presented net of income taxes, the amounts of which are insignificant.</w:t>
      </w:r>
    </w:p>
    <w:p>
      <w:pPr>
        <w:spacing w:after="0" w:line="149" w:lineRule="exact"/>
        <w:rPr>
          <w:rFonts w:ascii="Times New Roman" w:cs="Times New Roman" w:eastAsia="Times New Roman" w:hAnsi="Times New Roman"/>
          <w:sz w:val="23"/>
          <w:szCs w:val="23"/>
          <w:color w:val="auto"/>
          <w:vertAlign w:val="superscript"/>
        </w:rPr>
      </w:pPr>
    </w:p>
    <w:p>
      <w:pPr>
        <w:ind w:left="280" w:hanging="274"/>
        <w:spacing w:after="0"/>
        <w:tabs>
          <w:tab w:leader="none" w:pos="2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ENTERPRISE-WIDE INFORMATION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 (“CODM”), identified as the Company’s Chief Executive Officer.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and operating segments are as follows:</w:t>
      </w:r>
    </w:p>
    <w:p>
      <w:pPr>
        <w:spacing w:after="0" w:line="164"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Center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CODM measures and evaluates the operating segments based on operating income for purposes of assessing business performance and allocating resources. Certain corporate expenses and amounts considered to be non-recurring or non-operational are excluded from segment operating income. These items include acquisition, integration and divestiture related costs, amortization of acquired assets, restructuring costs, restructuring related costs, a provision for pre-acquisition inventory and inventory purchase commitments transferred from the Attune Medical acquisition that was deemed not recoverable, digital transformation costs related to the upgrade of the Company’s enterprise resource planning system, impairments and write downs, costs related to compliance with the European Union Medical Device Regulation (“EU MDR”) and In Vitro Diagnostic Regulation (“EU IVDR”), unusual or infrequent and material litigation-related charges and gains, losses on dispositions and sale of assets, remeasurement of the contingent consideration and unusual or infrequent gains such as on repurchases of convertible notes or divestitures. Although these amounts are excluded from segment operating income, as applicable, they are included in the reconciliations that follow. During the fourth quarter of fiscal 2025, the CODM began reviewing financial information including allocations of certain corporate costs including global functional support and overhead costs determined to benefit the segments. The prior period segment disclosures have been recast to reflect the new presentation.</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does not track its assets by segment, and as a result it is not practical to show assets or depreciation by segment. Consequently, the Company’s CODM does not review assets by segment when assessing business performance and allocating resources.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Plasma</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524,456</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535,431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569,535</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Blood Center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283,231</w:t>
            </w: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Hospital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588,304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456,289</w:t>
            </w:r>
          </w:p>
        </w:tc>
      </w:tr>
      <w:tr>
        <w:trPr>
          <w:trHeight w:val="218"/>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net revenues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1,309,055</w:t>
            </w:r>
          </w:p>
        </w:tc>
      </w:tr>
      <w:tr>
        <w:trPr>
          <w:trHeight w:val="212"/>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 and operating performance: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264,042</w:t>
            </w:r>
          </w:p>
        </w:tc>
      </w:tr>
      <w:tr>
        <w:trPr>
          <w:trHeight w:val="225"/>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109,729</w:t>
            </w:r>
          </w:p>
        </w:tc>
      </w:tr>
      <w:tr>
        <w:trPr>
          <w:trHeight w:val="225"/>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r>
      <w:tr>
        <w:trPr>
          <w:trHeight w:val="218"/>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 operating income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184,795</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184,510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181,967</w:t>
            </w:r>
          </w:p>
        </w:tc>
      </w:tr>
      <w:tr>
        <w:trPr>
          <w:trHeight w:val="225"/>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112,666</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142,512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165,564</w:t>
            </w:r>
          </w:p>
        </w:tc>
      </w:tr>
      <w:tr>
        <w:trPr>
          <w:trHeight w:val="225"/>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67,339</w:t>
            </w:r>
          </w:p>
        </w:tc>
      </w:tr>
      <w:tr>
        <w:trPr>
          <w:trHeight w:val="225"/>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w:t>
            </w:r>
          </w:p>
        </w:tc>
      </w:tr>
      <w:tr>
        <w:trPr>
          <w:trHeight w:val="218"/>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 operating income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42,372</w:t>
            </w:r>
          </w:p>
        </w:tc>
      </w:tr>
      <w:tr>
        <w:trPr>
          <w:trHeight w:val="225"/>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5"/>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167,172</w:t>
            </w:r>
          </w:p>
        </w:tc>
      </w:tr>
      <w:tr>
        <w:trPr>
          <w:trHeight w:val="225"/>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209,680</w:t>
            </w:r>
          </w:p>
        </w:tc>
      </w:tr>
      <w:tr>
        <w:trPr>
          <w:trHeight w:val="225"/>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27,239</w:t>
            </w:r>
          </w:p>
        </w:tc>
      </w:tr>
      <w:tr>
        <w:trPr>
          <w:trHeight w:val="218"/>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Hospital operating income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103,735</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52,198</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unallocated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assets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(49,812)</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(35,378)</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integration and divestiture 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and restructuring related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transformation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(15,667)</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r>
      <w:tr>
        <w:trPr>
          <w:trHeight w:val="225"/>
        </w:trPr>
        <w:tc>
          <w:tcPr>
            <w:tcW w:w="6760" w:type="dxa"/>
            <w:vAlign w:val="bottom"/>
            <w:tcBorders>
              <w:bottom w:val="single" w:sz="8" w:color="CCEEFF"/>
            </w:tcBorders>
          </w:tcPr>
          <w:p>
            <w:pPr>
              <w:ind w:left="240"/>
              <w:spacing w:after="0" w:line="225"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(15,353)</w:t>
            </w: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164,883</w:t>
            </w: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(13,018)</w:t>
            </w: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0" w:lineRule="exact"/>
        <w:rPr>
          <w:sz w:val="20"/>
          <w:szCs w:val="20"/>
          <w:color w:val="auto"/>
        </w:rPr>
      </w:pPr>
    </w:p>
    <w:p>
      <w:pPr>
        <w:jc w:val="both"/>
        <w:ind w:left="640" w:hanging="316"/>
        <w:spacing w:after="0" w:line="210" w:lineRule="auto"/>
        <w:tabs>
          <w:tab w:leader="none" w:pos="65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Comprised of write downs of certain assets, EU MDR and EU IVDR costs, Litigation-related charges, gain on repurchase of convertible notes, gain on sale of property, plant and equipment, PCS2</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related charges, gain on divestiture, and a provision for pre-acquisition inventory and inventory purchase commitments transferred from the Attune Medical acquisition that was deemed not recoverable.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business unit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Plasma net revenues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524,456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535,431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220,861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47,990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Blood Center net revenues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283,231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Interventional Technologies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234,007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255,019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Blood Management Technologies</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Hospital net revenues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588,304</w:t>
            </w:r>
          </w:p>
        </w:tc>
        <w:tc>
          <w:tcPr>
            <w:tcW w:w="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564,269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1,334,027</w:t>
            </w:r>
          </w:p>
        </w:tc>
        <w:tc>
          <w:tcPr>
            <w:tcW w:w="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1,360,824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1,309,055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Depreciation and amortization, excluding impairment charges, by business unit are as follows:</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6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Plasma</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Blood Center</w:t>
            </w:r>
          </w:p>
        </w:tc>
        <w:tc>
          <w:tcPr>
            <w:tcW w:w="4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Hospital</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depreciation and amortization (excluding impairment charges)</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111,717</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115,586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Long-lived assets, comprised of property, plant and equipment, by business unit are as follows:</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20" w:type="dxa"/>
            <w:vAlign w:val="bottom"/>
            <w:gridSpan w:val="7"/>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Plasma</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Blood Center</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Hospital</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long-lived assets</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305,761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Long-lived assets, comprised of property, plant and equipment, by operating regions are as follows:</w:t>
            </w: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1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20" w:type="dxa"/>
            <w:vAlign w:val="bottom"/>
            <w:gridSpan w:val="7"/>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Asia</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long-lived assets</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305,761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operating regions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982,176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970,007</w:t>
            </w:r>
          </w:p>
        </w:tc>
      </w:tr>
      <w:tr>
        <w:trPr>
          <w:trHeight w:val="225"/>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58,087</w:t>
            </w:r>
          </w:p>
        </w:tc>
      </w:tr>
      <w:tr>
        <w:trPr>
          <w:trHeight w:val="225"/>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160,142</w:t>
            </w:r>
          </w:p>
        </w:tc>
      </w:tr>
      <w:tr>
        <w:trPr>
          <w:trHeight w:val="225"/>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Asia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107,536</w:t>
            </w:r>
          </w:p>
        </w:tc>
      </w:tr>
      <w:tr>
        <w:trPr>
          <w:trHeight w:val="225"/>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r>
      <w:tr>
        <w:trPr>
          <w:trHeight w:val="218"/>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revenues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1,334,027</w:t>
            </w:r>
          </w:p>
        </w:tc>
        <w:tc>
          <w:tcPr>
            <w:tcW w:w="8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1,360,824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1,309,055</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Companyy conducted an evaluation under the supervision and with the participation of the Company’s management, including its Chief Executive Officer and Chief Financial Officer (the Company’s principal executive officer and principal financial officer, respectively) regarding the effectiveness of the design and operation of the Company’s disclosure controls and procedures as defined in Rule 13a-15 under the Securities Exchange Act of 1934, as amended. Based upon that evaluation, the Chief Executive Officer and Chief Financial Officer concluded that, as of that date, the Company’s disclosure controls and procedures were effective.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on Internal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Annual Report on Internal Control over Financial Reporting</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management of the Company is responsible for establishing and maintaining adequate internal control over financial reporting, as such term is defined in Rules 13a-15(f) and 15d-15(f) under the Securities Exchange Act of 1934, as amended. The Company’s internal control system was designed to provide reasonable assurance to the Company’s management and Board of Directors regarding the preparation and fair presentation of published financial statements.</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assessed the effectiveness of its internal control over financial reporting as of March 28, 2026. In making this assessment, the management used the criteria set forth by the Committee of Sponsoring Organizations of the Treadway Commission (“COSO”) in Internal Control-Integrated Framework (2013 framework). Based on the Company’s assessment, the Company’s management believes that its internal controls over financial reporting were effective as of March 28,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Acquisition of Vivasure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9, 2026, the Company completed its acquisition of Vivasure. In accordance with the SEC Staff’s interpretative guidance for newly acquired businesses, the Company is permitted to omit an assessment of an acquired business’s internal control over financial reporting from the Company’s assessment of internal control for up to one year from the acquisition date. Vivasure represented a nominal amount of both the Company’s total net revenues in fiscal 2026 and total assets as of March 28, 2026. As such, the Company has excluded Vivasure from its annual assessment of internal control over financial reporting as of March 28, 2026.</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issued an attestation report on the effectiveness of the Company’s internal control over financial reporting. This report, in which they expressed an unqualified opinion, is included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March 28, 2026 that have materially affected, or are likely to materially affect, the Company’s internal control over financial reporting.</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second quarter of fiscal 2024, the Company implemented the first phase of a new global enterprise resource planning (“ERP”) system, which the Company expects will continue to be implemented in phases through fiscal 2027. The ERP will replace existing financial systems the Company has historically relied on. As each phase of the implementation occurs, the Company will reassess its processes and procedures, which may result in changes to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0" w:firstLine="3407"/>
        <w:spacing w:after="0" w:line="43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Haemonetics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Haemonetics Corporation and subsidiaries’ internal control over financial reporting as of March 28, 2026, based on criteria established in Internal Control—Integrated Framework issued by the Committee of Sponsoring Organizations of the Treadway Commission (2013 framework) (the COSO criteria). In our opinion, Haemonetics Corporation and subsidiaries (the Company) maintained, in all material respects, effective internal control over financial reporting as of March 28, 2026, based on the COSO criteria</w:t>
      </w:r>
      <w:r>
        <w:rPr>
          <w:rFonts w:ascii="Times New Roman" w:cs="Times New Roman" w:eastAsia="Times New Roman" w:hAnsi="Times New Roman"/>
          <w:sz w:val="18"/>
          <w:szCs w:val="18"/>
          <w:b w:val="1"/>
          <w:bCs w:val="1"/>
          <w:color w:val="auto"/>
        </w:rPr>
        <w:t>.</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Vivasure Medical Limited, which is included in the 2026 consolidated financial statements of the Company and constituted 1% of total assets as of March 28, 2026 and 0% of net revenues for the year then ended. Our audit of internal control over financial reporting of the Company also did not include an evaluation of the internal control over financial reporting of Vivasure Medical Limited.</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2026 consolidated financial statements of the Company and our report dated May 20, 2026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28, 2026, none of our directors or officers (as defined under Rule 16a-1(f) under the Securities Exchange Act of 1934) adopted or terminated trading arrangements for the sale of shares of our common stock.</w:t>
      </w:r>
    </w:p>
    <w:p>
      <w:pPr>
        <w:spacing w:after="0" w:line="108" w:lineRule="exact"/>
        <w:rPr>
          <w:sz w:val="20"/>
          <w:szCs w:val="20"/>
          <w:color w:val="auto"/>
        </w:rPr>
      </w:pPr>
    </w:p>
    <w:p>
      <w:pPr>
        <w:ind w:right="3160"/>
        <w:spacing w:after="0" w:line="43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our Chief Executive Officer, Chief Financial Officer and senior financial officers. The Code of Ethics is incorporated into the Company’s Code of Conduct located on the Company’s website at </w:t>
      </w:r>
      <w:r>
        <w:rPr>
          <w:rFonts w:ascii="Times New Roman" w:cs="Times New Roman" w:eastAsia="Times New Roman" w:hAnsi="Times New Roman"/>
          <w:sz w:val="18"/>
          <w:szCs w:val="18"/>
          <w:i w:val="1"/>
          <w:iCs w:val="1"/>
          <w:color w:val="auto"/>
        </w:rPr>
        <w:t>www.haemonetics.com</w:t>
      </w:r>
      <w:r>
        <w:rPr>
          <w:rFonts w:ascii="Times New Roman" w:cs="Times New Roman" w:eastAsia="Times New Roman" w:hAnsi="Times New Roman"/>
          <w:sz w:val="18"/>
          <w:szCs w:val="18"/>
          <w:color w:val="auto"/>
        </w:rPr>
        <w:t>, under the “Investor Relations” caption and under the “Corporate Governance” sub-caption. A copy of the Code of Conduct will be provided free of charge by making a written request and mailing it to our corporate headquarters offices to the attention of our Investor Relations Department. Any amendments to, or waivers from, a provision of our Code of Ethics that applies to our Chief Executive Officer, Chief Financial Officer or senior financial officers will be disclosed on the Company’s website promptly following the date of such amendment or waiver.</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also adopted a Securities Trading Policy that applies to our directors, officers and other employees. The Securities Trading Policy is designed to facilitate compliance with insider trading laws and governs transactions in our common stock and related derivative securities. The policy designates certain regular periods each quarter in which we restrict trading in Haemonetics securities for directors, officers and other individuals presumed to hold information-sensitive positions in connection with our release of financial results (these individuals must also seek mandatory pre-clearance from our General Counsel in order to trade during permitted trading windows). The Chief Financial Officer and General Counsel may impose additional periods of trading restriction for directors, officers and other employees as warranted by business developments. Our Securities Trading Policy further prohibits directors, officers and other employees from engaging in pledging, hedging or similarly speculative transactions with respect to Haemonetics securities, including, without limitation, same day or short-term trading (i.e., day trading), short sales, and buying, selling or writing puts, calls or other derivatives denominated in Haemonetics securities. A copy of the Securities Trading Policy is included as Exhibit 19.1 to this Annual Report on Form 10-K.</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additional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 Notwithstanding the foregoing, the Compensation Committee Report included within the Proxy Statement is only being “furnished” hereunder and shall not be deemed “filed” for purposes of Section 18 of the Securities Exchange Act of 1934.</w:t>
      </w:r>
    </w:p>
    <w:p>
      <w:pPr>
        <w:spacing w:after="0" w:line="12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annual meeting of shareholders to be filed with the Securities and Exchange Commission within 120 days after the close of our fiscal year.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162" w:lineRule="exact"/>
        <w:rPr>
          <w:sz w:val="20"/>
          <w:szCs w:val="20"/>
          <w:color w:val="auto"/>
        </w:rPr>
      </w:pPr>
    </w:p>
    <w:p>
      <w:pPr>
        <w:ind w:left="620" w:hanging="614"/>
        <w:spacing w:after="0"/>
        <w:tabs>
          <w:tab w:leader="none" w:pos="6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are included in Part II of this report</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Statements required by Item 8 of this Form</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(PCAOB ID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42</w:t>
      </w:r>
      <w:r>
        <w:rPr>
          <w:rFonts w:ascii="Times New Roman" w:cs="Times New Roman" w:eastAsia="Times New Roman" w:hAnsi="Times New Roman"/>
          <w:sz w:val="18"/>
          <w:szCs w:val="18"/>
          <w:u w:val="single" w:color="auto"/>
          <w:color w:val="0000FF"/>
        </w:rPr>
        <w:t>)</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not required.</w:t>
      </w:r>
    </w:p>
    <w:p>
      <w:pPr>
        <w:spacing w:after="0" w:line="162" w:lineRule="exact"/>
        <w:rPr>
          <w:sz w:val="20"/>
          <w:szCs w:val="20"/>
          <w:color w:val="auto"/>
        </w:rPr>
      </w:pPr>
    </w:p>
    <w:p>
      <w:pPr>
        <w:ind w:firstLine="6"/>
        <w:spacing w:after="0" w:line="276" w:lineRule="auto"/>
        <w:tabs>
          <w:tab w:leader="none" w:pos="627"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required by Item 601 of Regulation S-K are listed in the Exhibit Index beginning at page 119,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EXHIBITS FILED WITH SECURITIES AND EXCHANGE COMMISSION</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340" w:type="dxa"/>
            <w:vAlign w:val="bottom"/>
            <w:vMerge w:val="restart"/>
          </w:tcPr>
          <w:p>
            <w:pPr>
              <w:ind w:left="4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gridSpan w:val="3"/>
            <w:shd w:val="clear" w:color="auto" w:fill="CCEEFF"/>
          </w:tcPr>
          <w:p>
            <w:pPr>
              <w:ind w:left="20"/>
              <w:spacing w:after="0" w:line="180"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34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w w:val="98"/>
              </w:rPr>
              <w:t>Arrangement Agreement, dated as of October 10, 2023, by and among the Company, OpSens Inc. and 9500-7704 Quebec Inc. (filed as Exhibit</w:t>
            </w: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340" w:type="dxa"/>
            <w:vAlign w:val="bottom"/>
            <w:tcBorders>
              <w:top w:val="single" w:sz="8" w:color="CCEEFF"/>
            </w:tcBorders>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2.1 to the Company’s Form 8-K/A dated October 12, 2023 and incorporated herein by reference) (1).</w:t>
            </w:r>
          </w:p>
        </w:tc>
        <w:tc>
          <w:tcPr>
            <w:tcW w:w="0" w:type="dxa"/>
            <w:vAlign w:val="bottom"/>
          </w:tcPr>
          <w:p>
            <w:pPr>
              <w:spacing w:after="0"/>
              <w:rPr>
                <w:sz w:val="1"/>
                <w:szCs w:val="1"/>
                <w:color w:val="auto"/>
              </w:rPr>
            </w:pPr>
          </w:p>
        </w:tc>
      </w:tr>
      <w:tr>
        <w:trPr>
          <w:trHeight w:val="186"/>
        </w:trPr>
        <w:tc>
          <w:tcPr>
            <w:tcW w:w="34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34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rPr>
              <w:t>Restated Articles of Organization of Haemonetics Corporation, reflecting Articles of Amendment dated August 23, 1993, August 21, 2006,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3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July 26, 2018 and July 25, 2019 (filed as Exhibit 3.1 to the Company’s Form 8-K dated July 29, 2019 and incorporated herein by reference).</w:t>
            </w:r>
          </w:p>
        </w:tc>
        <w:tc>
          <w:tcPr>
            <w:tcW w:w="0" w:type="dxa"/>
            <w:vAlign w:val="bottom"/>
          </w:tcPr>
          <w:p>
            <w:pPr>
              <w:spacing w:after="0"/>
              <w:rPr>
                <w:sz w:val="1"/>
                <w:szCs w:val="1"/>
                <w:color w:val="auto"/>
              </w:rPr>
            </w:pPr>
          </w:p>
        </w:tc>
      </w:tr>
      <w:tr>
        <w:trPr>
          <w:trHeight w:val="185"/>
        </w:trPr>
        <w:tc>
          <w:tcPr>
            <w:tcW w:w="340" w:type="dxa"/>
            <w:vAlign w:val="bottom"/>
            <w:gridSpan w:val="3"/>
            <w:shd w:val="clear" w:color="auto" w:fill="CCEEFF"/>
          </w:tcPr>
          <w:p>
            <w:pPr>
              <w:ind w:left="20"/>
              <w:spacing w:after="0" w:line="18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340" w:type="dxa"/>
            <w:vAlign w:val="bottom"/>
            <w:shd w:val="clear" w:color="auto" w:fill="CCEEFF"/>
          </w:tcPr>
          <w:p>
            <w:pPr>
              <w:ind w:left="140"/>
              <w:spacing w:after="0" w:line="186" w:lineRule="exact"/>
              <w:rPr>
                <w:sz w:val="20"/>
                <w:szCs w:val="20"/>
                <w:color w:val="auto"/>
              </w:rPr>
            </w:pPr>
            <w:r>
              <w:rPr>
                <w:rFonts w:ascii="Times New Roman" w:cs="Times New Roman" w:eastAsia="Times New Roman" w:hAnsi="Times New Roman"/>
                <w:sz w:val="18"/>
                <w:szCs w:val="18"/>
                <w:color w:val="auto"/>
              </w:rPr>
              <w:t>By-Laws of the Company, as amended through June 29, 2020 (filed as Exhibit 3.1 to the Company’s Form 8-K dated June 30, 2020 and</w:t>
            </w: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340" w:type="dxa"/>
            <w:vAlign w:val="bottom"/>
            <w:tcBorders>
              <w:top w:val="single" w:sz="8" w:color="CCEEFF"/>
            </w:tcBorders>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72"/>
        </w:trPr>
        <w:tc>
          <w:tcPr>
            <w:tcW w:w="34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34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Specimen certificate for shares of common stock (filed as Exhibit 4B to the Company’s Amendment No. 1 to Form S-1 No. 33-39490 and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3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Description of Common Stock (filed as Exhibit 4B to the Company’s Form 10-K for the fiscal year ended March 28, 2020 and incorporated</w:t>
            </w: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340" w:type="dxa"/>
            <w:vAlign w:val="bottom"/>
            <w:tcBorders>
              <w:top w:val="single" w:sz="8" w:color="CCEEFF"/>
            </w:tcBorders>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185"/>
        </w:trPr>
        <w:tc>
          <w:tcPr>
            <w:tcW w:w="34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34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w w:val="98"/>
              </w:rPr>
              <w:t>Indenture, dated as of May 28, 2024, between Haemonetics Corporation and U.S. Bank National Trust Company, Association, as trustee. (filed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3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as Exhibit 4.1 to the Company’s Form 8-K dated May 29, 2024 and incorporated herein by reference).</w:t>
            </w:r>
          </w:p>
        </w:tc>
        <w:tc>
          <w:tcPr>
            <w:tcW w:w="0" w:type="dxa"/>
            <w:vAlign w:val="bottom"/>
          </w:tcPr>
          <w:p>
            <w:pPr>
              <w:spacing w:after="0"/>
              <w:rPr>
                <w:sz w:val="1"/>
                <w:szCs w:val="1"/>
                <w:color w:val="auto"/>
              </w:rPr>
            </w:pPr>
          </w:p>
        </w:tc>
      </w:tr>
      <w:tr>
        <w:trPr>
          <w:trHeight w:val="186"/>
        </w:trPr>
        <w:tc>
          <w:tcPr>
            <w:tcW w:w="340" w:type="dxa"/>
            <w:vAlign w:val="bottom"/>
            <w:gridSpan w:val="3"/>
            <w:shd w:val="clear" w:color="auto" w:fill="CCEEFF"/>
          </w:tcPr>
          <w:p>
            <w:pPr>
              <w:ind w:left="20"/>
              <w:spacing w:after="0" w:line="18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340" w:type="dxa"/>
            <w:vAlign w:val="bottom"/>
            <w:shd w:val="clear" w:color="auto" w:fill="CCEEFF"/>
          </w:tcPr>
          <w:p>
            <w:pPr>
              <w:ind w:left="140"/>
              <w:spacing w:after="0" w:line="186" w:lineRule="exact"/>
              <w:rPr>
                <w:sz w:val="20"/>
                <w:szCs w:val="20"/>
                <w:color w:val="auto"/>
              </w:rPr>
            </w:pPr>
            <w:r>
              <w:rPr>
                <w:rFonts w:ascii="Times New Roman" w:cs="Times New Roman" w:eastAsia="Times New Roman" w:hAnsi="Times New Roman"/>
                <w:sz w:val="18"/>
                <w:szCs w:val="18"/>
                <w:color w:val="auto"/>
                <w:w w:val="98"/>
              </w:rPr>
              <w:t>Form of certificate representing the 2.50% Convertible Senior Notes due 2029 (included as Exhibit A to Exhibit 4.1) (filed as Exhibit 4.2 to the</w:t>
            </w: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340" w:type="dxa"/>
            <w:vAlign w:val="bottom"/>
            <w:tcBorders>
              <w:top w:val="single" w:sz="8" w:color="CCEEFF"/>
            </w:tcBorders>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Company’s Form 8-K dated May 29, 2024 and incorporated herein by reference).</w:t>
            </w:r>
          </w:p>
        </w:tc>
        <w:tc>
          <w:tcPr>
            <w:tcW w:w="0" w:type="dxa"/>
            <w:vAlign w:val="bottom"/>
          </w:tcPr>
          <w:p>
            <w:pPr>
              <w:spacing w:after="0"/>
              <w:rPr>
                <w:sz w:val="1"/>
                <w:szCs w:val="1"/>
                <w:color w:val="auto"/>
              </w:rPr>
            </w:pPr>
          </w:p>
        </w:tc>
      </w:tr>
      <w:tr>
        <w:trPr>
          <w:trHeight w:val="185"/>
        </w:trPr>
        <w:tc>
          <w:tcPr>
            <w:tcW w:w="42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80" w:type="dxa"/>
            <w:vAlign w:val="bottom"/>
          </w:tcPr>
          <w:p>
            <w:pPr>
              <w:spacing w:after="0"/>
              <w:rPr>
                <w:sz w:val="16"/>
                <w:szCs w:val="16"/>
                <w:color w:val="auto"/>
              </w:rPr>
            </w:pPr>
          </w:p>
        </w:tc>
        <w:tc>
          <w:tcPr>
            <w:tcW w:w="1034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rPr>
              <w:t>Haemonetics Corporation Amended and Restated 2019 Long-Term Incentive Compensation Plan (filed as Exhibit 10.1 to the Company’s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Report on Form 8-K dated August 7, 2023 and incorporated herein by reference)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0" w:type="dxa"/>
            <w:vAlign w:val="bottom"/>
            <w:gridSpan w:val="4"/>
            <w:shd w:val="clear" w:color="auto" w:fill="CCEEFF"/>
          </w:tcPr>
          <w:p>
            <w:pPr>
              <w:ind w:left="20"/>
              <w:spacing w:after="0" w:line="18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480" w:type="dxa"/>
            <w:vAlign w:val="bottom"/>
            <w:shd w:val="clear" w:color="auto" w:fill="CCEEFF"/>
          </w:tcPr>
          <w:p>
            <w:pPr>
              <w:spacing w:after="0"/>
              <w:rPr>
                <w:sz w:val="16"/>
                <w:szCs w:val="16"/>
                <w:color w:val="auto"/>
              </w:rPr>
            </w:pPr>
          </w:p>
        </w:tc>
        <w:tc>
          <w:tcPr>
            <w:tcW w:w="10340" w:type="dxa"/>
            <w:vAlign w:val="bottom"/>
            <w:shd w:val="clear" w:color="auto" w:fill="CCEEFF"/>
          </w:tcPr>
          <w:p>
            <w:pPr>
              <w:ind w:left="140"/>
              <w:spacing w:after="0" w:line="186" w:lineRule="exact"/>
              <w:rPr>
                <w:sz w:val="20"/>
                <w:szCs w:val="20"/>
                <w:color w:val="auto"/>
              </w:rPr>
            </w:pPr>
            <w:r>
              <w:rPr>
                <w:rFonts w:ascii="Times New Roman" w:cs="Times New Roman" w:eastAsia="Times New Roman" w:hAnsi="Times New Roman"/>
                <w:sz w:val="18"/>
                <w:szCs w:val="18"/>
                <w:color w:val="auto"/>
              </w:rPr>
              <w:t>Form of Non-Qualified Stock Option Award Agreement under 2019 Long-Term Incentive Compensation Plan (adopted fiscal 2020) (filed as</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0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Exhibit 10.4 to the Company’s Form 10-Q for the quarter ended September 28, 2019 and incorporated herein by reference) (2).</w:t>
            </w:r>
          </w:p>
        </w:tc>
        <w:tc>
          <w:tcPr>
            <w:tcW w:w="0" w:type="dxa"/>
            <w:vAlign w:val="bottom"/>
          </w:tcPr>
          <w:p>
            <w:pPr>
              <w:spacing w:after="0"/>
              <w:rPr>
                <w:sz w:val="1"/>
                <w:szCs w:val="1"/>
                <w:color w:val="auto"/>
              </w:rPr>
            </w:pPr>
          </w:p>
        </w:tc>
      </w:tr>
      <w:tr>
        <w:trPr>
          <w:trHeight w:val="186"/>
        </w:trPr>
        <w:tc>
          <w:tcPr>
            <w:tcW w:w="42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80" w:type="dxa"/>
            <w:vAlign w:val="bottom"/>
          </w:tcPr>
          <w:p>
            <w:pPr>
              <w:spacing w:after="0"/>
              <w:rPr>
                <w:sz w:val="16"/>
                <w:szCs w:val="16"/>
                <w:color w:val="auto"/>
              </w:rPr>
            </w:pPr>
          </w:p>
        </w:tc>
        <w:tc>
          <w:tcPr>
            <w:tcW w:w="1034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rPr>
              <w:t>Form of Nonqualified Stock Option Award Agreement under 2019 Long-Term Incentive Compensation Plan (adopted fiscal 2024) (filed as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 10.3 to the Company’s Form 10-Q for the quarter ended July 1, 2023 and incorporated herein by reference)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0" w:type="dxa"/>
            <w:vAlign w:val="bottom"/>
            <w:gridSpan w:val="4"/>
            <w:shd w:val="clear" w:color="auto" w:fill="CCEEFF"/>
          </w:tcPr>
          <w:p>
            <w:pPr>
              <w:ind w:left="20"/>
              <w:spacing w:after="0" w:line="18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480" w:type="dxa"/>
            <w:vAlign w:val="bottom"/>
            <w:shd w:val="clear" w:color="auto" w:fill="CCEEFF"/>
          </w:tcPr>
          <w:p>
            <w:pPr>
              <w:spacing w:after="0"/>
              <w:rPr>
                <w:sz w:val="16"/>
                <w:szCs w:val="16"/>
                <w:color w:val="auto"/>
              </w:rPr>
            </w:pPr>
          </w:p>
        </w:tc>
        <w:tc>
          <w:tcPr>
            <w:tcW w:w="10340" w:type="dxa"/>
            <w:vAlign w:val="bottom"/>
            <w:shd w:val="clear" w:color="auto" w:fill="CCEEFF"/>
          </w:tcPr>
          <w:p>
            <w:pPr>
              <w:ind w:left="140"/>
              <w:spacing w:after="0" w:line="186" w:lineRule="exact"/>
              <w:rPr>
                <w:sz w:val="20"/>
                <w:szCs w:val="20"/>
                <w:color w:val="auto"/>
              </w:rPr>
            </w:pPr>
            <w:r>
              <w:rPr>
                <w:rFonts w:ascii="Times New Roman" w:cs="Times New Roman" w:eastAsia="Times New Roman" w:hAnsi="Times New Roman"/>
                <w:sz w:val="18"/>
                <w:szCs w:val="18"/>
                <w:color w:val="auto"/>
              </w:rPr>
              <w:t>Form of Restricted Stock Unit Award Agreement with Non-Employee Directors under 2019 Long-Term Incentive Compensation Plan (fiscal</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0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2020) (filed as Exhibit 10.2 to the Company’s Form 10-Q for the quarter ended September 28, 2019 and incorporated herein by reference) (2).</w:t>
            </w:r>
          </w:p>
        </w:tc>
        <w:tc>
          <w:tcPr>
            <w:tcW w:w="0" w:type="dxa"/>
            <w:vAlign w:val="bottom"/>
          </w:tcPr>
          <w:p>
            <w:pPr>
              <w:spacing w:after="0"/>
              <w:rPr>
                <w:sz w:val="1"/>
                <w:szCs w:val="1"/>
                <w:color w:val="auto"/>
              </w:rPr>
            </w:pPr>
          </w:p>
        </w:tc>
      </w:tr>
      <w:tr>
        <w:trPr>
          <w:trHeight w:val="185"/>
        </w:trPr>
        <w:tc>
          <w:tcPr>
            <w:tcW w:w="42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480" w:type="dxa"/>
            <w:vAlign w:val="bottom"/>
          </w:tcPr>
          <w:p>
            <w:pPr>
              <w:spacing w:after="0"/>
              <w:rPr>
                <w:sz w:val="16"/>
                <w:szCs w:val="16"/>
                <w:color w:val="auto"/>
              </w:rPr>
            </w:pPr>
          </w:p>
        </w:tc>
        <w:tc>
          <w:tcPr>
            <w:tcW w:w="1034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w w:val="99"/>
              </w:rPr>
              <w:t>Form of Restricted Stock Unit Award Agreement with Employees under 2019 Long-Term Incentive Compensation Plan (adopted fiscal 2020)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as Exhibit 10.3 to the Company’s Form 10-Q for the quarter ended September 28, 2019 and incorporated herein by reference)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0" w:type="dxa"/>
            <w:vAlign w:val="bottom"/>
            <w:gridSpan w:val="4"/>
            <w:shd w:val="clear" w:color="auto" w:fill="CCEEFF"/>
          </w:tcPr>
          <w:p>
            <w:pPr>
              <w:ind w:left="20"/>
              <w:spacing w:after="0" w:line="18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80" w:type="dxa"/>
            <w:vAlign w:val="bottom"/>
            <w:shd w:val="clear" w:color="auto" w:fill="CCEEFF"/>
          </w:tcPr>
          <w:p>
            <w:pPr>
              <w:spacing w:after="0"/>
              <w:rPr>
                <w:sz w:val="16"/>
                <w:szCs w:val="16"/>
                <w:color w:val="auto"/>
              </w:rPr>
            </w:pPr>
          </w:p>
        </w:tc>
        <w:tc>
          <w:tcPr>
            <w:tcW w:w="10340" w:type="dxa"/>
            <w:vAlign w:val="bottom"/>
            <w:shd w:val="clear" w:color="auto" w:fill="CCEEFF"/>
          </w:tcPr>
          <w:p>
            <w:pPr>
              <w:ind w:left="140"/>
              <w:spacing w:after="0" w:line="186" w:lineRule="exact"/>
              <w:rPr>
                <w:sz w:val="20"/>
                <w:szCs w:val="20"/>
                <w:color w:val="auto"/>
              </w:rPr>
            </w:pPr>
            <w:r>
              <w:rPr>
                <w:rFonts w:ascii="Times New Roman" w:cs="Times New Roman" w:eastAsia="Times New Roman" w:hAnsi="Times New Roman"/>
                <w:sz w:val="18"/>
                <w:szCs w:val="18"/>
                <w:color w:val="auto"/>
                <w:w w:val="99"/>
              </w:rPr>
              <w:t>Form of Restricted Stock Unit Award Agreement with Employees under 2019 Long-Term Incentive Compensation Plan (adopted fiscal 2024)</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0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(filed as Exhibit 10.2 to the Company’s Form 10-Q for the quarter ended July 1, 2023 and incorporated herein by reference) (2).</w:t>
            </w:r>
          </w:p>
        </w:tc>
        <w:tc>
          <w:tcPr>
            <w:tcW w:w="0" w:type="dxa"/>
            <w:vAlign w:val="bottom"/>
          </w:tcPr>
          <w:p>
            <w:pPr>
              <w:spacing w:after="0"/>
              <w:rPr>
                <w:sz w:val="1"/>
                <w:szCs w:val="1"/>
                <w:color w:val="auto"/>
              </w:rPr>
            </w:pPr>
          </w:p>
        </w:tc>
      </w:tr>
      <w:tr>
        <w:trPr>
          <w:trHeight w:val="185"/>
        </w:trPr>
        <w:tc>
          <w:tcPr>
            <w:tcW w:w="42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480" w:type="dxa"/>
            <w:vAlign w:val="bottom"/>
          </w:tcPr>
          <w:p>
            <w:pPr>
              <w:spacing w:after="0"/>
              <w:rPr>
                <w:sz w:val="16"/>
                <w:szCs w:val="16"/>
                <w:color w:val="auto"/>
              </w:rPr>
            </w:pPr>
          </w:p>
        </w:tc>
        <w:tc>
          <w:tcPr>
            <w:tcW w:w="1034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w w:val="99"/>
              </w:rPr>
              <w:t>Form of Performance Share Unit Award Agreement under 2019 Long-Term Incentive Compensation Plan (adopted fiscal 2024) (rTSR) (filed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Exhibit 10.4 to the Company’s Form 10-Q for the quarter ended July 1, 2023 and incorporated herein by reference)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0" w:type="dxa"/>
            <w:vAlign w:val="bottom"/>
            <w:gridSpan w:val="4"/>
            <w:shd w:val="clear" w:color="auto" w:fill="CCEEFF"/>
          </w:tcPr>
          <w:p>
            <w:pPr>
              <w:ind w:left="20"/>
              <w:spacing w:after="0" w:line="18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480" w:type="dxa"/>
            <w:vAlign w:val="bottom"/>
            <w:shd w:val="clear" w:color="auto" w:fill="CCEEFF"/>
          </w:tcPr>
          <w:p>
            <w:pPr>
              <w:spacing w:after="0"/>
              <w:rPr>
                <w:sz w:val="16"/>
                <w:szCs w:val="16"/>
                <w:color w:val="auto"/>
              </w:rPr>
            </w:pPr>
          </w:p>
        </w:tc>
        <w:tc>
          <w:tcPr>
            <w:tcW w:w="10340" w:type="dxa"/>
            <w:vAlign w:val="bottom"/>
            <w:shd w:val="clear" w:color="auto" w:fill="CCEEFF"/>
          </w:tcPr>
          <w:p>
            <w:pPr>
              <w:ind w:left="140"/>
              <w:spacing w:after="0" w:line="186" w:lineRule="exact"/>
              <w:rPr>
                <w:sz w:val="20"/>
                <w:szCs w:val="20"/>
                <w:color w:val="auto"/>
              </w:rPr>
            </w:pPr>
            <w:r>
              <w:rPr>
                <w:rFonts w:ascii="Times New Roman" w:cs="Times New Roman" w:eastAsia="Times New Roman" w:hAnsi="Times New Roman"/>
                <w:sz w:val="18"/>
                <w:szCs w:val="18"/>
                <w:color w:val="auto"/>
                <w:w w:val="98"/>
              </w:rPr>
              <w:t>Form of Performance Share Unit Award Agreement under 2019 Long-Term Incentive Compensation Plan (adopted fiscal 2026) (AAGR) (filed</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0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 Exhibit 10.1 to the Company’s Form 10-Q for the quarter ended June 28, 2025 and incorporated herein by reference) (2)</w:t>
            </w:r>
          </w:p>
        </w:tc>
        <w:tc>
          <w:tcPr>
            <w:tcW w:w="0" w:type="dxa"/>
            <w:vAlign w:val="bottom"/>
          </w:tcPr>
          <w:p>
            <w:pPr>
              <w:spacing w:after="0"/>
              <w:rPr>
                <w:sz w:val="1"/>
                <w:szCs w:val="1"/>
                <w:color w:val="auto"/>
              </w:rPr>
            </w:pPr>
          </w:p>
        </w:tc>
      </w:tr>
      <w:tr>
        <w:trPr>
          <w:trHeight w:val="186"/>
        </w:trPr>
        <w:tc>
          <w:tcPr>
            <w:tcW w:w="42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480" w:type="dxa"/>
            <w:vAlign w:val="bottom"/>
          </w:tcPr>
          <w:p>
            <w:pPr>
              <w:spacing w:after="0"/>
              <w:rPr>
                <w:sz w:val="16"/>
                <w:szCs w:val="16"/>
                <w:color w:val="auto"/>
              </w:rPr>
            </w:pPr>
          </w:p>
        </w:tc>
        <w:tc>
          <w:tcPr>
            <w:tcW w:w="1034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rPr>
              <w:t>Amended and Restated 2007 Employee Stock Purchase Plan (filed as Exhibit 10.2 to the Company’s Form 10-Q for the quarter ended July 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2016 and incorporated herein by reference)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00" w:type="dxa"/>
            <w:vAlign w:val="bottom"/>
            <w:gridSpan w:val="5"/>
            <w:shd w:val="clear" w:color="auto" w:fill="CCEEFF"/>
          </w:tcPr>
          <w:p>
            <w:pPr>
              <w:ind w:left="20"/>
              <w:spacing w:after="0" w:line="18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340" w:type="dxa"/>
            <w:vAlign w:val="bottom"/>
            <w:shd w:val="clear" w:color="auto" w:fill="CCEEFF"/>
          </w:tcPr>
          <w:p>
            <w:pPr>
              <w:ind w:left="140"/>
              <w:spacing w:after="0" w:line="186" w:lineRule="exact"/>
              <w:rPr>
                <w:sz w:val="20"/>
                <w:szCs w:val="20"/>
                <w:color w:val="auto"/>
              </w:rPr>
            </w:pPr>
            <w:r>
              <w:rPr>
                <w:rFonts w:ascii="Times New Roman" w:cs="Times New Roman" w:eastAsia="Times New Roman" w:hAnsi="Times New Roman"/>
                <w:sz w:val="18"/>
                <w:szCs w:val="18"/>
                <w:color w:val="auto"/>
                <w:w w:val="98"/>
              </w:rPr>
              <w:t>Employment Agreement effective as of May 16, 2016 between the Company and Christopher A. Simon (filed as Exhibit 10.1 to the Company’s</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0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8-K dated May 10, 2016 and incorporated herein by reference) (2).</w:t>
            </w:r>
          </w:p>
        </w:tc>
        <w:tc>
          <w:tcPr>
            <w:tcW w:w="0" w:type="dxa"/>
            <w:vAlign w:val="bottom"/>
          </w:tcPr>
          <w:p>
            <w:pPr>
              <w:spacing w:after="0"/>
              <w:rPr>
                <w:sz w:val="1"/>
                <w:szCs w:val="1"/>
                <w:color w:val="auto"/>
              </w:rPr>
            </w:pPr>
          </w:p>
        </w:tc>
      </w:tr>
      <w:tr>
        <w:trPr>
          <w:trHeight w:val="185"/>
        </w:trPr>
        <w:tc>
          <w:tcPr>
            <w:tcW w:w="420" w:type="dxa"/>
            <w:vAlign w:val="bottom"/>
            <w:gridSpan w:val="4"/>
          </w:tcPr>
          <w:p>
            <w:pPr>
              <w:ind w:left="20"/>
              <w:spacing w:after="0" w:line="186" w:lineRule="exact"/>
              <w:rPr>
                <w:rFonts w:ascii="Times New Roman" w:cs="Times New Roman" w:eastAsia="Times New Roman" w:hAnsi="Times New Roman"/>
                <w:sz w:val="18"/>
                <w:szCs w:val="18"/>
                <w:color w:val="0000FF"/>
                <w:w w:val="93"/>
              </w:rPr>
            </w:pPr>
            <w:hyperlink r:id="rId14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480" w:type="dxa"/>
            <w:vAlign w:val="bottom"/>
          </w:tcPr>
          <w:p>
            <w:pPr>
              <w:spacing w:after="0"/>
              <w:rPr>
                <w:sz w:val="16"/>
                <w:szCs w:val="16"/>
                <w:color w:val="auto"/>
              </w:rPr>
            </w:pPr>
          </w:p>
        </w:tc>
        <w:tc>
          <w:tcPr>
            <w:tcW w:w="1034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rPr>
              <w:t>Executive Severance Agreement between the Company and Christopher A. Simon dated as of November 7, 2017 (filed as Exhibit 10.4 to the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Form 10-Q dated for the quarter ended September 30, 2017 and incorporated herein by reference)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00" w:type="dxa"/>
            <w:vAlign w:val="bottom"/>
            <w:gridSpan w:val="5"/>
            <w:shd w:val="clear" w:color="auto" w:fill="CCEEFF"/>
          </w:tcPr>
          <w:p>
            <w:pPr>
              <w:ind w:left="20"/>
              <w:spacing w:after="0" w:line="18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340" w:type="dxa"/>
            <w:vAlign w:val="bottom"/>
            <w:shd w:val="clear" w:color="auto" w:fill="CCEEFF"/>
          </w:tcPr>
          <w:p>
            <w:pPr>
              <w:ind w:left="140"/>
              <w:spacing w:after="0" w:line="186" w:lineRule="exact"/>
              <w:rPr>
                <w:sz w:val="20"/>
                <w:szCs w:val="20"/>
                <w:color w:val="auto"/>
              </w:rPr>
            </w:pPr>
            <w:r>
              <w:rPr>
                <w:rFonts w:ascii="Times New Roman" w:cs="Times New Roman" w:eastAsia="Times New Roman" w:hAnsi="Times New Roman"/>
                <w:sz w:val="18"/>
                <w:szCs w:val="18"/>
                <w:color w:val="auto"/>
              </w:rPr>
              <w:t>Change in Control Agreement between the Company and Christopher A. Simon dated as of November 7, 2017 (filed as Exhibit 10.5 to the</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0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Company’s Form 10-Q dated for the quarter ended September 30, 2017 and incorporated herein by reference) (2).</w:t>
            </w:r>
          </w:p>
        </w:tc>
        <w:tc>
          <w:tcPr>
            <w:tcW w:w="0" w:type="dxa"/>
            <w:vAlign w:val="bottom"/>
          </w:tcPr>
          <w:p>
            <w:pPr>
              <w:spacing w:after="0"/>
              <w:rPr>
                <w:sz w:val="1"/>
                <w:szCs w:val="1"/>
                <w:color w:val="auto"/>
              </w:rPr>
            </w:pPr>
          </w:p>
        </w:tc>
      </w:tr>
      <w:tr>
        <w:trPr>
          <w:trHeight w:val="185"/>
        </w:trPr>
        <w:tc>
          <w:tcPr>
            <w:tcW w:w="900" w:type="dxa"/>
            <w:vAlign w:val="bottom"/>
            <w:gridSpan w:val="5"/>
          </w:tcPr>
          <w:p>
            <w:pPr>
              <w:ind w:left="20"/>
              <w:spacing w:after="0" w:line="18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340" w:type="dxa"/>
            <w:vAlign w:val="bottom"/>
          </w:tcPr>
          <w:p>
            <w:pPr>
              <w:ind w:left="140"/>
              <w:spacing w:after="0" w:line="186" w:lineRule="exact"/>
              <w:rPr>
                <w:sz w:val="20"/>
                <w:szCs w:val="20"/>
                <w:color w:val="auto"/>
              </w:rPr>
            </w:pPr>
            <w:r>
              <w:rPr>
                <w:rFonts w:ascii="Times New Roman" w:cs="Times New Roman" w:eastAsia="Times New Roman" w:hAnsi="Times New Roman"/>
                <w:sz w:val="18"/>
                <w:szCs w:val="18"/>
                <w:color w:val="auto"/>
                <w:w w:val="99"/>
              </w:rPr>
              <w:t>Form of Executive Severance Agreement between the Company and executive officers other than Christopher A. Simon (filed as Exhibit 10.2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the Company’s Form 10-Q for the quarter ended September 30, 2017 and incorporated herein by reference) (2).</w:t>
            </w:r>
          </w:p>
        </w:tc>
        <w:tc>
          <w:tcPr>
            <w:tcW w:w="0" w:type="dxa"/>
            <w:vAlign w:val="bottom"/>
          </w:tcPr>
          <w:p>
            <w:pPr>
              <w:spacing w:after="0"/>
              <w:rPr>
                <w:sz w:val="1"/>
                <w:szCs w:val="1"/>
                <w:color w:val="auto"/>
              </w:rPr>
            </w:pPr>
          </w:p>
        </w:tc>
      </w:tr>
      <w:tr>
        <w:trPr>
          <w:trHeight w:val="90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34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740" w:type="dxa"/>
            <w:vAlign w:val="bottom"/>
            <w:gridSpan w:val="3"/>
            <w:shd w:val="clear" w:color="auto" w:fill="CCEEFF"/>
          </w:tcPr>
          <w:p>
            <w:pPr>
              <w:jc w:val="right"/>
              <w:ind w:right="320"/>
              <w:spacing w:after="0"/>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10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Form of Change in Control Agreement between the Company and executive officers other than Christopher A. Simon (filed as Exhibit 10.3 to</w:t>
            </w: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0000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5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 Company’s Form 10-Q for the quarter ended September 30, 2017 and incorporated herein by reference) (2).</w:t>
            </w:r>
          </w:p>
        </w:tc>
      </w:tr>
      <w:tr>
        <w:trPr>
          <w:trHeight w:val="185"/>
        </w:trPr>
        <w:tc>
          <w:tcPr>
            <w:tcW w:w="740" w:type="dxa"/>
            <w:vAlign w:val="bottom"/>
            <w:gridSpan w:val="3"/>
          </w:tcPr>
          <w:p>
            <w:pPr>
              <w:jc w:val="right"/>
              <w:ind w:right="320"/>
              <w:spacing w:after="0" w:line="18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105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rPr>
              <w:t>Haemonetics Corporation Worldwide Employee Bonus Plan (as amended and restated effective May 13, 2023) (filed as Exhibit 10.1 to the</w:t>
            </w:r>
          </w:p>
        </w:tc>
      </w:tr>
      <w:tr>
        <w:trPr>
          <w:trHeight w:val="211"/>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Company’s Form 10-Q for the quarter ended July 1, 2023 and incorporated herein by reference) (2).</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r>
      <w:tr>
        <w:trPr>
          <w:trHeight w:val="185"/>
        </w:trPr>
        <w:tc>
          <w:tcPr>
            <w:tcW w:w="740" w:type="dxa"/>
            <w:vAlign w:val="bottom"/>
            <w:gridSpan w:val="3"/>
            <w:shd w:val="clear" w:color="auto" w:fill="CCEEFF"/>
          </w:tcPr>
          <w:p>
            <w:pPr>
              <w:jc w:val="right"/>
              <w:ind w:right="320"/>
              <w:spacing w:after="0" w:line="186"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10500" w:type="dxa"/>
            <w:vAlign w:val="bottom"/>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auto"/>
              </w:rPr>
              <w:t>Form of Indemnification Agreement (as executed with each director and executive officer of the Company) (filed as Exhibit 10.1 to the</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500" w:type="dxa"/>
            <w:vAlign w:val="bottom"/>
            <w:tcBorders>
              <w:top w:val="single" w:sz="8" w:color="CCEEFF"/>
            </w:tcBorders>
            <w:shd w:val="clear" w:color="auto" w:fill="CCEEFF"/>
          </w:tcPr>
          <w:p>
            <w:pPr>
              <w:ind w:left="300"/>
              <w:spacing w:after="0" w:line="205" w:lineRule="exact"/>
              <w:rPr>
                <w:sz w:val="20"/>
                <w:szCs w:val="20"/>
                <w:color w:val="auto"/>
              </w:rPr>
            </w:pPr>
            <w:r>
              <w:rPr>
                <w:rFonts w:ascii="Times New Roman" w:cs="Times New Roman" w:eastAsia="Times New Roman" w:hAnsi="Times New Roman"/>
                <w:sz w:val="18"/>
                <w:szCs w:val="18"/>
                <w:color w:val="auto"/>
              </w:rPr>
              <w:t>Company’s Form 10-Q for the quarter ended September 29, 2018 and incorporated herein by reference).</w:t>
            </w:r>
          </w:p>
        </w:tc>
      </w:tr>
      <w:tr>
        <w:trPr>
          <w:trHeight w:val="186"/>
        </w:trPr>
        <w:tc>
          <w:tcPr>
            <w:tcW w:w="740" w:type="dxa"/>
            <w:vAlign w:val="bottom"/>
            <w:gridSpan w:val="3"/>
          </w:tcPr>
          <w:p>
            <w:pPr>
              <w:jc w:val="right"/>
              <w:ind w:right="320"/>
              <w:spacing w:after="0" w:line="186"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105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rPr>
              <w:t>Office Lease Agreement, dated as of December 18, 2018, by and between OPG 125 Summer Owner (DE) LLC and the Company (filed as</w:t>
            </w:r>
          </w:p>
        </w:tc>
      </w:tr>
      <w:tr>
        <w:trPr>
          <w:trHeight w:val="205"/>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Exhibit 10.4 to the Company’s Form 10-Q for the quarter ended December 30, 2023 and incorporated herein by reference) (1).</w:t>
            </w:r>
          </w:p>
        </w:tc>
      </w:tr>
      <w:tr>
        <w:trPr>
          <w:trHeight w:val="186"/>
        </w:trPr>
        <w:tc>
          <w:tcPr>
            <w:tcW w:w="740" w:type="dxa"/>
            <w:vAlign w:val="bottom"/>
            <w:gridSpan w:val="3"/>
            <w:shd w:val="clear" w:color="auto" w:fill="CCEEFF"/>
          </w:tcPr>
          <w:p>
            <w:pPr>
              <w:jc w:val="right"/>
              <w:ind w:right="320"/>
              <w:spacing w:after="0" w:line="18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10500" w:type="dxa"/>
            <w:vAlign w:val="bottom"/>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auto"/>
                <w:w w:val="99"/>
              </w:rPr>
              <w:t>Industrial Lease Agreement, dated as of May 22, 2020, by and between Clinton Commerce III, LLC and the Company (filed as Exhibit 10.1 to</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500" w:type="dxa"/>
            <w:vAlign w:val="bottom"/>
            <w:tcBorders>
              <w:top w:val="single" w:sz="8" w:color="CCEEFF"/>
            </w:tcBorders>
            <w:shd w:val="clear" w:color="auto" w:fill="CCEEFF"/>
          </w:tcPr>
          <w:p>
            <w:pPr>
              <w:ind w:left="300"/>
              <w:spacing w:after="0" w:line="205" w:lineRule="exact"/>
              <w:rPr>
                <w:sz w:val="20"/>
                <w:szCs w:val="20"/>
                <w:color w:val="auto"/>
              </w:rPr>
            </w:pPr>
            <w:r>
              <w:rPr>
                <w:rFonts w:ascii="Times New Roman" w:cs="Times New Roman" w:eastAsia="Times New Roman" w:hAnsi="Times New Roman"/>
                <w:sz w:val="18"/>
                <w:szCs w:val="18"/>
                <w:color w:val="auto"/>
              </w:rPr>
              <w:t>the Company’s Form 10-Q for the quarter ended June 27, 2020 and incorporated herein by reference) (1).</w:t>
            </w:r>
          </w:p>
        </w:tc>
      </w:tr>
      <w:tr>
        <w:trPr>
          <w:trHeight w:val="185"/>
        </w:trPr>
        <w:tc>
          <w:tcPr>
            <w:tcW w:w="740" w:type="dxa"/>
            <w:vAlign w:val="bottom"/>
            <w:gridSpan w:val="3"/>
          </w:tcPr>
          <w:p>
            <w:pPr>
              <w:jc w:val="right"/>
              <w:ind w:right="320"/>
              <w:spacing w:after="0" w:line="186"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105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w w:val="99"/>
              </w:rPr>
              <w:t>First Amendment to Industrial Lease Agreement, dated as of October 1, 2020, by and between Clinton Commerce III, LLC and the Company</w:t>
            </w:r>
          </w:p>
        </w:tc>
      </w:tr>
      <w:tr>
        <w:trPr>
          <w:trHeight w:val="205"/>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(filed as Exhibit 10.1 to the Company’s Form 10-Q for the quarter ended December 26, 2020 and incorporated herein by reference).</w:t>
            </w:r>
          </w:p>
        </w:tc>
      </w:tr>
      <w:tr>
        <w:trPr>
          <w:trHeight w:val="186"/>
        </w:trPr>
        <w:tc>
          <w:tcPr>
            <w:tcW w:w="740" w:type="dxa"/>
            <w:vAlign w:val="bottom"/>
            <w:gridSpan w:val="3"/>
            <w:shd w:val="clear" w:color="auto" w:fill="CCEEFF"/>
          </w:tcPr>
          <w:p>
            <w:pPr>
              <w:jc w:val="right"/>
              <w:ind w:right="320"/>
              <w:spacing w:after="0" w:line="18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hyperlink>
          </w:p>
        </w:tc>
        <w:tc>
          <w:tcPr>
            <w:tcW w:w="10500" w:type="dxa"/>
            <w:vAlign w:val="bottom"/>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auto"/>
                <w:w w:val="98"/>
              </w:rPr>
              <w:t>Lease dated February 21, 2000 between BBVA Bancomer Servicios, S.A., as Trustee of the “Submetropoli de Tijuana” Trust and Haemonetics</w:t>
            </w:r>
          </w:p>
        </w:tc>
      </w:tr>
      <w:tr>
        <w:trPr>
          <w:trHeight w:val="139"/>
        </w:trPr>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500" w:type="dxa"/>
            <w:vAlign w:val="bottom"/>
            <w:tcBorders>
              <w:top w:val="single" w:sz="8" w:color="CCEEFF"/>
            </w:tcBorders>
            <w:shd w:val="clear" w:color="auto" w:fill="CCEEFF"/>
          </w:tcPr>
          <w:p>
            <w:pPr>
              <w:ind w:left="300"/>
              <w:spacing w:after="0" w:line="139" w:lineRule="exact"/>
              <w:rPr>
                <w:sz w:val="20"/>
                <w:szCs w:val="20"/>
                <w:color w:val="auto"/>
              </w:rPr>
            </w:pPr>
            <w:r>
              <w:rPr>
                <w:rFonts w:ascii="Times New Roman" w:cs="Times New Roman" w:eastAsia="Times New Roman" w:hAnsi="Times New Roman"/>
                <w:sz w:val="15"/>
                <w:szCs w:val="15"/>
                <w:color w:val="auto"/>
              </w:rPr>
              <w:t>Mexico Manufacturing, S. de R.L. de C.V., as successor in interest to Ensatec, S.A. de C.V. with authorization of El Florido California, S.A. de</w:t>
            </w:r>
          </w:p>
        </w:tc>
      </w:tr>
      <w:tr>
        <w:trPr>
          <w:trHeight w:val="180"/>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500" w:type="dxa"/>
            <w:vAlign w:val="bottom"/>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C.V., for property located in Tijuana, Mexico (filed as Exhibit 10J to the Company’s Form 10-K for the year ended March 30, 2013 and</w:t>
            </w:r>
          </w:p>
        </w:tc>
      </w:tr>
      <w:tr>
        <w:trPr>
          <w:trHeight w:val="230"/>
        </w:trPr>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6"/>
        </w:trPr>
        <w:tc>
          <w:tcPr>
            <w:tcW w:w="740" w:type="dxa"/>
            <w:vAlign w:val="bottom"/>
            <w:gridSpan w:val="3"/>
          </w:tcPr>
          <w:p>
            <w:pPr>
              <w:jc w:val="right"/>
              <w:ind w:right="320"/>
              <w:spacing w:after="0" w:line="186"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105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rPr>
              <w:t>Amendment to Lease dated February 21, 2000 made as of July 25, 2008 between BBVA Bancomer Servicios, S.A., as Trustee of the</w:t>
            </w: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500" w:type="dxa"/>
            <w:vAlign w:val="bottom"/>
          </w:tcPr>
          <w:p>
            <w:pPr>
              <w:ind w:left="300"/>
              <w:spacing w:after="0" w:line="139" w:lineRule="exact"/>
              <w:rPr>
                <w:sz w:val="20"/>
                <w:szCs w:val="20"/>
                <w:color w:val="auto"/>
              </w:rPr>
            </w:pPr>
            <w:r>
              <w:rPr>
                <w:rFonts w:ascii="Times New Roman" w:cs="Times New Roman" w:eastAsia="Times New Roman" w:hAnsi="Times New Roman"/>
                <w:sz w:val="15"/>
                <w:szCs w:val="15"/>
                <w:color w:val="auto"/>
              </w:rPr>
              <w:t>“Submetropoli de Tijuana” Trust Haemonetics Mexico Manufacturing, S. de R.L. de C.V., as successor in interest to Ensatec, S.A. de C.V., for</w:t>
            </w: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0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property located in Tijuana, Mexico (filed as Exhibit 10K to the Company’s Form 10-K for the year ended March 30, 2013 and incorporated</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85"/>
        </w:trPr>
        <w:tc>
          <w:tcPr>
            <w:tcW w:w="740" w:type="dxa"/>
            <w:vAlign w:val="bottom"/>
            <w:gridSpan w:val="3"/>
            <w:shd w:val="clear" w:color="auto" w:fill="CCEEFF"/>
          </w:tcPr>
          <w:p>
            <w:pPr>
              <w:jc w:val="right"/>
              <w:ind w:right="320"/>
              <w:spacing w:after="0" w:line="186"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hyperlink>
          </w:p>
        </w:tc>
        <w:tc>
          <w:tcPr>
            <w:tcW w:w="10500" w:type="dxa"/>
            <w:vAlign w:val="bottom"/>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auto"/>
                <w:w w:val="99"/>
              </w:rPr>
              <w:t>Extension to Lease dated February 21, 2000, made as of August 14, 2011 between PROCADEF 1, S.A.P.I. de C.V. and Haemonetics Mexico</w:t>
            </w:r>
          </w:p>
        </w:tc>
      </w:tr>
      <w:tr>
        <w:trPr>
          <w:trHeight w:val="139"/>
        </w:trPr>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500" w:type="dxa"/>
            <w:vAlign w:val="bottom"/>
            <w:tcBorders>
              <w:top w:val="single" w:sz="8" w:color="CCEEFF"/>
            </w:tcBorders>
            <w:shd w:val="clear" w:color="auto" w:fill="CCEEFF"/>
          </w:tcPr>
          <w:p>
            <w:pPr>
              <w:ind w:left="300"/>
              <w:spacing w:after="0" w:line="139" w:lineRule="exact"/>
              <w:rPr>
                <w:sz w:val="20"/>
                <w:szCs w:val="20"/>
                <w:color w:val="auto"/>
              </w:rPr>
            </w:pPr>
            <w:r>
              <w:rPr>
                <w:rFonts w:ascii="Times New Roman" w:cs="Times New Roman" w:eastAsia="Times New Roman" w:hAnsi="Times New Roman"/>
                <w:sz w:val="15"/>
                <w:szCs w:val="15"/>
                <w:color w:val="auto"/>
              </w:rPr>
              <w:t>Manufacturing, S. de R.L. de C.V., as successor in interest to Ensatec, S.A. de C.V., for property located in Tijuana, Mexico (Spanish to English</w:t>
            </w:r>
          </w:p>
        </w:tc>
      </w:tr>
      <w:tr>
        <w:trPr>
          <w:trHeight w:val="238"/>
        </w:trPr>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translation filed as Exhibit 10L to the Company’s Form 10-K for the year ended March 30, 2013 and incorporated herein by reference).</w:t>
            </w:r>
          </w:p>
        </w:tc>
      </w:tr>
      <w:tr>
        <w:trPr>
          <w:trHeight w:val="186"/>
        </w:trPr>
        <w:tc>
          <w:tcPr>
            <w:tcW w:w="740" w:type="dxa"/>
            <w:vAlign w:val="bottom"/>
            <w:gridSpan w:val="3"/>
          </w:tcPr>
          <w:p>
            <w:pPr>
              <w:jc w:val="right"/>
              <w:ind w:right="320"/>
              <w:spacing w:after="0" w:line="186"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hyperlink>
          </w:p>
        </w:tc>
        <w:tc>
          <w:tcPr>
            <w:tcW w:w="105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w w:val="98"/>
              </w:rPr>
              <w:t>Amendment Letter to Lease dated February 21, 2000, made as of August 14, 2011 between BBVA Bancomer Servicios, S.A., as Trustee of the</w:t>
            </w: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500" w:type="dxa"/>
            <w:vAlign w:val="bottom"/>
          </w:tcPr>
          <w:p>
            <w:pPr>
              <w:ind w:left="300"/>
              <w:spacing w:after="0" w:line="139" w:lineRule="exact"/>
              <w:rPr>
                <w:sz w:val="20"/>
                <w:szCs w:val="20"/>
                <w:color w:val="auto"/>
              </w:rPr>
            </w:pPr>
            <w:r>
              <w:rPr>
                <w:rFonts w:ascii="Times New Roman" w:cs="Times New Roman" w:eastAsia="Times New Roman" w:hAnsi="Times New Roman"/>
                <w:sz w:val="15"/>
                <w:szCs w:val="15"/>
                <w:color w:val="auto"/>
              </w:rPr>
              <w:t>“Submetropoli de Tijuana” Trust and Haemonetics Mexico Manufacturing, S. de R.L. de C.V., as successor in interest to Ensatec, S.A. de C.V.,</w:t>
            </w: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0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for property located in Tijuana, Mexico (filed as Exhibit 10M to the Company’s Form 10-K for the year ended March 30, 2013 and</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5"/>
        </w:trPr>
        <w:tc>
          <w:tcPr>
            <w:tcW w:w="740" w:type="dxa"/>
            <w:vAlign w:val="bottom"/>
            <w:gridSpan w:val="3"/>
            <w:shd w:val="clear" w:color="auto" w:fill="CCEEFF"/>
          </w:tcPr>
          <w:p>
            <w:pPr>
              <w:jc w:val="right"/>
              <w:ind w:right="320"/>
              <w:spacing w:after="0" w:line="186" w:lineRule="exact"/>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24</w:t>
              </w:r>
            </w:hyperlink>
          </w:p>
        </w:tc>
        <w:tc>
          <w:tcPr>
            <w:tcW w:w="10500" w:type="dxa"/>
            <w:vAlign w:val="bottom"/>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auto"/>
                <w:w w:val="97"/>
              </w:rPr>
              <w:t>Notice of Assignment to Lease dated February 21, 2000, made as of February 23, 2012 between BBVA Bancomer Servicios, S.A., as Trustee of</w:t>
            </w:r>
          </w:p>
        </w:tc>
      </w:tr>
      <w:tr>
        <w:trPr>
          <w:trHeight w:val="139"/>
        </w:trPr>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500" w:type="dxa"/>
            <w:vAlign w:val="bottom"/>
            <w:tcBorders>
              <w:top w:val="single" w:sz="8" w:color="CCEEFF"/>
            </w:tcBorders>
            <w:shd w:val="clear" w:color="auto" w:fill="CCEEFF"/>
          </w:tcPr>
          <w:p>
            <w:pPr>
              <w:ind w:left="300"/>
              <w:spacing w:after="0" w:line="139" w:lineRule="exact"/>
              <w:rPr>
                <w:sz w:val="20"/>
                <w:szCs w:val="20"/>
                <w:color w:val="auto"/>
              </w:rPr>
            </w:pPr>
            <w:r>
              <w:rPr>
                <w:rFonts w:ascii="Times New Roman" w:cs="Times New Roman" w:eastAsia="Times New Roman" w:hAnsi="Times New Roman"/>
                <w:sz w:val="15"/>
                <w:szCs w:val="15"/>
                <w:color w:val="auto"/>
              </w:rPr>
              <w:t>the “Submetropoli de Tijuana” Trust and Haemonetics Mexico Manufacturing, S. de R.L. de C.V., as successor in interest to Ensatec, S.A. de</w:t>
            </w:r>
          </w:p>
        </w:tc>
      </w:tr>
      <w:tr>
        <w:trPr>
          <w:trHeight w:val="180"/>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500" w:type="dxa"/>
            <w:vAlign w:val="bottom"/>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C.V. for property located in Tijuana, Mexico (Spanish to English translation filed as Exhibit 10N to the Company’s Form 10-K for the year</w:t>
            </w:r>
          </w:p>
        </w:tc>
      </w:tr>
      <w:tr>
        <w:trPr>
          <w:trHeight w:val="230"/>
        </w:trPr>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ended March 30, 2013 and incorporated herein by reference).</w:t>
            </w:r>
          </w:p>
        </w:tc>
      </w:tr>
      <w:tr>
        <w:trPr>
          <w:trHeight w:val="186"/>
        </w:trPr>
        <w:tc>
          <w:tcPr>
            <w:tcW w:w="20" w:type="dxa"/>
            <w:vAlign w:val="bottom"/>
          </w:tcPr>
          <w:p>
            <w:pPr>
              <w:spacing w:after="0"/>
              <w:rPr>
                <w:sz w:val="16"/>
                <w:szCs w:val="16"/>
                <w:color w:val="auto"/>
              </w:rPr>
            </w:pPr>
          </w:p>
        </w:tc>
        <w:tc>
          <w:tcPr>
            <w:tcW w:w="400" w:type="dxa"/>
            <w:vAlign w:val="bottom"/>
            <w:tcBorders>
              <w:bottom w:val="single" w:sz="8" w:color="0000FF"/>
            </w:tcBorders>
          </w:tcPr>
          <w:p>
            <w:pPr>
              <w:jc w:val="right"/>
              <w:spacing w:after="0" w:line="165" w:lineRule="exact"/>
              <w:rPr>
                <w:rFonts w:ascii="Times New Roman" w:cs="Times New Roman" w:eastAsia="Times New Roman" w:hAnsi="Times New Roman"/>
                <w:sz w:val="18"/>
                <w:szCs w:val="18"/>
                <w:color w:val="0000FF"/>
                <w:w w:val="93"/>
              </w:rPr>
            </w:pPr>
            <w:hyperlink r:id="rId163">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25</w:t>
              </w:r>
            </w:hyperlink>
          </w:p>
        </w:tc>
        <w:tc>
          <w:tcPr>
            <w:tcW w:w="320" w:type="dxa"/>
            <w:vAlign w:val="bottom"/>
          </w:tcPr>
          <w:p>
            <w:pPr>
              <w:spacing w:after="0"/>
              <w:rPr>
                <w:sz w:val="16"/>
                <w:szCs w:val="16"/>
                <w:color w:val="auto"/>
              </w:rPr>
            </w:pPr>
          </w:p>
        </w:tc>
        <w:tc>
          <w:tcPr>
            <w:tcW w:w="10500" w:type="dxa"/>
            <w:vAlign w:val="bottom"/>
          </w:tcPr>
          <w:p>
            <w:pPr>
              <w:ind w:left="300"/>
              <w:spacing w:after="0" w:line="179" w:lineRule="exact"/>
              <w:rPr>
                <w:sz w:val="20"/>
                <w:szCs w:val="20"/>
                <w:color w:val="auto"/>
              </w:rPr>
            </w:pPr>
            <w:r>
              <w:rPr>
                <w:rFonts w:ascii="Times New Roman" w:cs="Times New Roman" w:eastAsia="Times New Roman" w:hAnsi="Times New Roman"/>
                <w:sz w:val="18"/>
                <w:szCs w:val="18"/>
                <w:color w:val="auto"/>
              </w:rPr>
              <w:t>Amendment to Lease dated February 21, 2000 made as of January 1, 2018 between MEGA2013, S.A.P.I. de CV (as successor in interest to</w:t>
            </w:r>
          </w:p>
        </w:tc>
      </w:tr>
      <w:tr>
        <w:trPr>
          <w:trHeight w:val="179"/>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00" w:type="dxa"/>
            <w:vAlign w:val="bottom"/>
          </w:tcPr>
          <w:p>
            <w:pPr>
              <w:ind w:left="300"/>
              <w:spacing w:after="0" w:line="179" w:lineRule="exact"/>
              <w:rPr>
                <w:sz w:val="20"/>
                <w:szCs w:val="20"/>
                <w:color w:val="auto"/>
              </w:rPr>
            </w:pPr>
            <w:r>
              <w:rPr>
                <w:rFonts w:ascii="Times New Roman" w:cs="Times New Roman" w:eastAsia="Times New Roman" w:hAnsi="Times New Roman"/>
                <w:sz w:val="18"/>
                <w:szCs w:val="18"/>
                <w:color w:val="auto"/>
                <w:w w:val="99"/>
              </w:rPr>
              <w:t>BBVA Bancomer Servicios, S.A., as Trustee of the “Submetropoli de Tijuana” Trust) and Haemonetics Mexico Manufacturing, S. de R.L. de</w:t>
            </w: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500" w:type="dxa"/>
            <w:vAlign w:val="bottom"/>
          </w:tcPr>
          <w:p>
            <w:pPr>
              <w:ind w:left="300"/>
              <w:spacing w:after="0" w:line="172" w:lineRule="exact"/>
              <w:rPr>
                <w:sz w:val="20"/>
                <w:szCs w:val="20"/>
                <w:color w:val="auto"/>
              </w:rPr>
            </w:pPr>
            <w:r>
              <w:rPr>
                <w:rFonts w:ascii="Times New Roman" w:cs="Times New Roman" w:eastAsia="Times New Roman" w:hAnsi="Times New Roman"/>
                <w:sz w:val="18"/>
                <w:szCs w:val="18"/>
                <w:color w:val="auto"/>
                <w:w w:val="97"/>
              </w:rPr>
              <w:t>C.V., as successor in interest to Ensatec, S.A. de C.V., for property located in Tijuana, Mexico (filed as Exhibit 10R to the Company’s Form 10-</w:t>
            </w: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 for the year ended March 31, 2018 and incorporated herein by reference).</w:t>
            </w:r>
          </w:p>
        </w:tc>
      </w:tr>
      <w:tr>
        <w:trPr>
          <w:trHeight w:val="47"/>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500" w:type="dxa"/>
            <w:vAlign w:val="bottom"/>
          </w:tcPr>
          <w:p>
            <w:pPr>
              <w:spacing w:after="0"/>
              <w:rPr>
                <w:sz w:val="4"/>
                <w:szCs w:val="4"/>
                <w:color w:val="auto"/>
              </w:rPr>
            </w:pPr>
          </w:p>
        </w:tc>
      </w:tr>
      <w:tr>
        <w:trPr>
          <w:trHeight w:val="185"/>
        </w:trPr>
        <w:tc>
          <w:tcPr>
            <w:tcW w:w="740" w:type="dxa"/>
            <w:vAlign w:val="bottom"/>
            <w:gridSpan w:val="3"/>
            <w:shd w:val="clear" w:color="auto" w:fill="CCEEFF"/>
          </w:tcPr>
          <w:p>
            <w:pPr>
              <w:jc w:val="right"/>
              <w:ind w:right="320"/>
              <w:spacing w:after="0" w:line="186"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hyperlink>
          </w:p>
        </w:tc>
        <w:tc>
          <w:tcPr>
            <w:tcW w:w="10500" w:type="dxa"/>
            <w:vAlign w:val="bottom"/>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auto"/>
                <w:w w:val="99"/>
              </w:rPr>
              <w:t>Sixth Amendment to Lease dated February 21, 2000, made as of December 13, 2023, by and between Santa Maria Industrial Partners, L.P. (as</w:t>
            </w:r>
          </w:p>
        </w:tc>
      </w:tr>
      <w:tr>
        <w:trPr>
          <w:trHeight w:val="139"/>
        </w:trPr>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500" w:type="dxa"/>
            <w:vAlign w:val="bottom"/>
            <w:tcBorders>
              <w:top w:val="single" w:sz="8" w:color="CCEEFF"/>
            </w:tcBorders>
            <w:shd w:val="clear" w:color="auto" w:fill="CCEEFF"/>
          </w:tcPr>
          <w:p>
            <w:pPr>
              <w:ind w:left="300"/>
              <w:spacing w:after="0" w:line="139" w:lineRule="exact"/>
              <w:rPr>
                <w:sz w:val="20"/>
                <w:szCs w:val="20"/>
                <w:color w:val="auto"/>
              </w:rPr>
            </w:pPr>
            <w:r>
              <w:rPr>
                <w:rFonts w:ascii="Times New Roman" w:cs="Times New Roman" w:eastAsia="Times New Roman" w:hAnsi="Times New Roman"/>
                <w:sz w:val="15"/>
                <w:szCs w:val="15"/>
                <w:color w:val="auto"/>
              </w:rPr>
              <w:t>successor to the lease), Haemonetics Mexico Manufacturing, S. de R.L. de C.V. and the Company, in its capacity as guarantor, for property</w:t>
            </w:r>
          </w:p>
        </w:tc>
      </w:tr>
      <w:tr>
        <w:trPr>
          <w:trHeight w:val="180"/>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500" w:type="dxa"/>
            <w:vAlign w:val="bottom"/>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located in Tijuana, Mexico (filed as Exhibit 10.3 to the Company’s Form 10-Q for the quarter ended December 30, 2023 and incorporated</w:t>
            </w:r>
          </w:p>
        </w:tc>
      </w:tr>
      <w:tr>
        <w:trPr>
          <w:trHeight w:val="230"/>
        </w:trPr>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herein by reference) (1).</w:t>
            </w:r>
          </w:p>
        </w:tc>
      </w:tr>
      <w:tr>
        <w:trPr>
          <w:trHeight w:val="185"/>
        </w:trPr>
        <w:tc>
          <w:tcPr>
            <w:tcW w:w="740" w:type="dxa"/>
            <w:vAlign w:val="bottom"/>
            <w:gridSpan w:val="3"/>
          </w:tcPr>
          <w:p>
            <w:pPr>
              <w:jc w:val="right"/>
              <w:ind w:right="320"/>
              <w:spacing w:after="0" w:line="18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27</w:t>
              </w:r>
            </w:hyperlink>
          </w:p>
        </w:tc>
        <w:tc>
          <w:tcPr>
            <w:tcW w:w="10500" w:type="dxa"/>
            <w:vAlign w:val="bottom"/>
          </w:tcPr>
          <w:p>
            <w:pPr>
              <w:ind w:left="300"/>
              <w:spacing w:after="0" w:line="186" w:lineRule="exact"/>
              <w:rPr>
                <w:sz w:val="20"/>
                <w:szCs w:val="20"/>
                <w:color w:val="auto"/>
              </w:rPr>
            </w:pPr>
            <w:r>
              <w:rPr>
                <w:rFonts w:ascii="Times New Roman" w:cs="Times New Roman" w:eastAsia="Times New Roman" w:hAnsi="Times New Roman"/>
                <w:sz w:val="18"/>
                <w:szCs w:val="18"/>
                <w:color w:val="auto"/>
              </w:rPr>
              <w:t>Lease Agreement effective December 3, 2007 between Mrs. Blanca Estela Colunga Santelices, by her own right, and Pall Life Sciences</w:t>
            </w:r>
          </w:p>
        </w:tc>
      </w:tr>
      <w:tr>
        <w:trPr>
          <w:trHeight w:val="139"/>
        </w:trPr>
        <w:tc>
          <w:tcPr>
            <w:tcW w:w="2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10500" w:type="dxa"/>
            <w:vAlign w:val="bottom"/>
          </w:tcPr>
          <w:p>
            <w:pPr>
              <w:ind w:left="300"/>
              <w:spacing w:after="0" w:line="139" w:lineRule="exact"/>
              <w:rPr>
                <w:sz w:val="20"/>
                <w:szCs w:val="20"/>
                <w:color w:val="auto"/>
              </w:rPr>
            </w:pPr>
            <w:r>
              <w:rPr>
                <w:rFonts w:ascii="Times New Roman" w:cs="Times New Roman" w:eastAsia="Times New Roman" w:hAnsi="Times New Roman"/>
                <w:sz w:val="15"/>
                <w:szCs w:val="15"/>
                <w:color w:val="auto"/>
              </w:rPr>
              <w:t>Mexico, S.de R.L. de C.V. for the property located in Tijuana, Mexico (Spanish to English translation filed as Exhibit 10W to the Company’s</w:t>
            </w: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10-K for the year ended March 30, 2013 and incorporated herein by reference).</w:t>
            </w:r>
          </w:p>
        </w:tc>
      </w:tr>
      <w:tr>
        <w:trPr>
          <w:trHeight w:val="194"/>
        </w:trPr>
        <w:tc>
          <w:tcPr>
            <w:tcW w:w="740" w:type="dxa"/>
            <w:vAlign w:val="bottom"/>
            <w:gridSpan w:val="3"/>
          </w:tcPr>
          <w:p>
            <w:pPr>
              <w:jc w:val="right"/>
              <w:ind w:right="320"/>
              <w:spacing w:after="0" w:line="195" w:lineRule="exact"/>
              <w:rPr>
                <w:rFonts w:ascii="Times New Roman" w:cs="Times New Roman" w:eastAsia="Times New Roman" w:hAnsi="Times New Roman"/>
                <w:sz w:val="18"/>
                <w:szCs w:val="18"/>
                <w:u w:val="single" w:color="auto"/>
                <w:color w:val="0000FF"/>
                <w:w w:val="98"/>
              </w:rPr>
            </w:pPr>
            <w:hyperlink r:id="rId166">
              <w:r>
                <w:rPr>
                  <w:rFonts w:ascii="Times New Roman" w:cs="Times New Roman" w:eastAsia="Times New Roman" w:hAnsi="Times New Roman"/>
                  <w:sz w:val="18"/>
                  <w:szCs w:val="18"/>
                  <w:u w:val="single" w:color="auto"/>
                  <w:color w:val="0000FF"/>
                  <w:w w:val="98"/>
                </w:rPr>
                <w:t>10.28</w:t>
              </w:r>
            </w:hyperlink>
          </w:p>
        </w:tc>
        <w:tc>
          <w:tcPr>
            <w:tcW w:w="10500" w:type="dxa"/>
            <w:vAlign w:val="bottom"/>
          </w:tcPr>
          <w:p>
            <w:pPr>
              <w:ind w:left="300"/>
              <w:spacing w:after="0" w:line="195" w:lineRule="exact"/>
              <w:rPr>
                <w:sz w:val="20"/>
                <w:szCs w:val="20"/>
                <w:color w:val="auto"/>
              </w:rPr>
            </w:pPr>
            <w:r>
              <w:rPr>
                <w:rFonts w:ascii="Times New Roman" w:cs="Times New Roman" w:eastAsia="Times New Roman" w:hAnsi="Times New Roman"/>
                <w:sz w:val="18"/>
                <w:szCs w:val="18"/>
                <w:color w:val="auto"/>
              </w:rPr>
              <w:t>Assignment to Lease Agreement effective December 3, 2007, made as of December 2, 2011 between Mrs. Blanca Estela Colunga Santelices,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4794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34860" cy="479425"/>
                    </a:xfrm>
                    <a:prstGeom prst="rect">
                      <a:avLst/>
                    </a:prstGeom>
                    <a:noFill/>
                  </pic:spPr>
                </pic:pic>
              </a:graphicData>
            </a:graphic>
          </wp:anchor>
        </w:drawing>
      </w:r>
    </w:p>
    <w:p>
      <w:pPr>
        <w:ind w:left="1040" w:right="300"/>
        <w:spacing w:after="0" w:line="219" w:lineRule="auto"/>
        <w:rPr>
          <w:sz w:val="20"/>
          <w:szCs w:val="20"/>
          <w:color w:val="auto"/>
        </w:rPr>
      </w:pPr>
      <w:r>
        <w:rPr>
          <w:rFonts w:ascii="Times New Roman" w:cs="Times New Roman" w:eastAsia="Times New Roman" w:hAnsi="Times New Roman"/>
          <w:sz w:val="17"/>
          <w:szCs w:val="17"/>
          <w:color w:val="auto"/>
        </w:rPr>
        <w:t>by her own right, Pall Life Sciences Mexico, S.de R.L. de C.V., (“Assignor”) and Haemonetics Mexico Manufacturing, S. de R.L. de C.V.as successor in interest to Pall Mexico Manufacturing S. de R.L. de C.V., (“Assignee”) assigned in favor of the property located in Tijuana,</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Mexico (filed as Exhibit 10X to the Company’s Form 10-K for the year ended March 30, 2013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3"/>
              </w:rPr>
            </w:pPr>
            <w:hyperlink r:id="rId169">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29</w:t>
              </w:r>
            </w:hyperlink>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Amendment to Lease Agreement effective December 3, 2007, made in 2017 between Mrs. Blanca Estela Colunga Santelices, by her own right,</w:t>
            </w: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60" w:type="dxa"/>
            <w:vAlign w:val="bottom"/>
          </w:tcPr>
          <w:p>
            <w:pPr>
              <w:ind w:left="260"/>
              <w:spacing w:after="0" w:line="179" w:lineRule="exact"/>
              <w:rPr>
                <w:sz w:val="20"/>
                <w:szCs w:val="20"/>
                <w:color w:val="auto"/>
              </w:rPr>
            </w:pPr>
            <w:r>
              <w:rPr>
                <w:rFonts w:ascii="Times New Roman" w:cs="Times New Roman" w:eastAsia="Times New Roman" w:hAnsi="Times New Roman"/>
                <w:sz w:val="18"/>
                <w:szCs w:val="18"/>
                <w:color w:val="auto"/>
                <w:w w:val="98"/>
              </w:rPr>
              <w:t>Pall Life Sciences Mexico, S.de R.L. de C.V. (“Assignor”) and Haemonetics Mexico Manufacturing, S. de R.L. de C.V. as successor in interest</w:t>
            </w: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6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to Pall Mexico Manufacturing S. de R.L. de C.V., (“Assignee”) assigned in favor of the property located in Tijuana, Mexico (filed as Exhibit</w:t>
            </w: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10U to the Company’s Form 10-K for the year ended March 31, 2018 and incorporated herein by reference).</w:t>
            </w:r>
          </w:p>
        </w:tc>
      </w:tr>
      <w:tr>
        <w:trPr>
          <w:trHeight w:val="47"/>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60" w:type="dxa"/>
            <w:vAlign w:val="bottom"/>
          </w:tcPr>
          <w:p>
            <w:pPr>
              <w:spacing w:after="0"/>
              <w:rPr>
                <w:sz w:val="4"/>
                <w:szCs w:val="4"/>
                <w:color w:val="auto"/>
              </w:rPr>
            </w:pPr>
          </w:p>
        </w:tc>
      </w:tr>
      <w:tr>
        <w:trPr>
          <w:trHeight w:val="186"/>
        </w:trPr>
        <w:tc>
          <w:tcPr>
            <w:tcW w:w="500" w:type="dxa"/>
            <w:vAlign w:val="bottom"/>
            <w:gridSpan w:val="4"/>
            <w:shd w:val="clear" w:color="auto" w:fill="CCEEFF"/>
          </w:tcPr>
          <w:p>
            <w:pPr>
              <w:ind w:left="20"/>
              <w:spacing w:after="0" w:line="18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30</w:t>
              </w:r>
            </w:hyperlink>
          </w:p>
        </w:tc>
        <w:tc>
          <w:tcPr>
            <w:tcW w:w="280" w:type="dxa"/>
            <w:vAlign w:val="bottom"/>
            <w:shd w:val="clear" w:color="auto" w:fill="CCEEFF"/>
          </w:tcPr>
          <w:p>
            <w:pPr>
              <w:spacing w:after="0"/>
              <w:rPr>
                <w:sz w:val="16"/>
                <w:szCs w:val="16"/>
                <w:color w:val="auto"/>
              </w:rPr>
            </w:pPr>
          </w:p>
        </w:tc>
        <w:tc>
          <w:tcPr>
            <w:tcW w:w="10460" w:type="dxa"/>
            <w:vAlign w:val="bottom"/>
            <w:shd w:val="clear" w:color="auto" w:fill="CCEEFF"/>
          </w:tcPr>
          <w:p>
            <w:pPr>
              <w:ind w:left="260"/>
              <w:spacing w:after="0" w:line="186" w:lineRule="exact"/>
              <w:rPr>
                <w:sz w:val="20"/>
                <w:szCs w:val="20"/>
                <w:color w:val="auto"/>
              </w:rPr>
            </w:pPr>
            <w:r>
              <w:rPr>
                <w:rFonts w:ascii="Times New Roman" w:cs="Times New Roman" w:eastAsia="Times New Roman" w:hAnsi="Times New Roman"/>
                <w:sz w:val="18"/>
                <w:szCs w:val="18"/>
                <w:color w:val="auto"/>
              </w:rPr>
              <w:t>Second Amendment to Lease Agreement effective December 3, 2007, made as of June 17, 2022 between Mrs. Blanca Estela Colunga</w:t>
            </w:r>
          </w:p>
        </w:tc>
      </w:tr>
      <w:tr>
        <w:trPr>
          <w:trHeight w:val="139"/>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460" w:type="dxa"/>
            <w:vAlign w:val="bottom"/>
            <w:tcBorders>
              <w:top w:val="single" w:sz="8" w:color="CCEEFF"/>
            </w:tcBorders>
            <w:shd w:val="clear" w:color="auto" w:fill="CCEEFF"/>
          </w:tcPr>
          <w:p>
            <w:pPr>
              <w:ind w:left="260"/>
              <w:spacing w:after="0" w:line="139" w:lineRule="exact"/>
              <w:rPr>
                <w:sz w:val="20"/>
                <w:szCs w:val="20"/>
                <w:color w:val="auto"/>
              </w:rPr>
            </w:pPr>
            <w:r>
              <w:rPr>
                <w:rFonts w:ascii="Times New Roman" w:cs="Times New Roman" w:eastAsia="Times New Roman" w:hAnsi="Times New Roman"/>
                <w:sz w:val="15"/>
                <w:szCs w:val="15"/>
                <w:color w:val="auto"/>
              </w:rPr>
              <w:t>Santelices and Haemonetics Mexico Manufacturing, S. de R.L. de C.V. (filed as Exhibit 10.1 to the Company’s Form 10-Q for the quarter</w:t>
            </w:r>
          </w:p>
        </w:tc>
      </w:tr>
      <w:tr>
        <w:trPr>
          <w:trHeight w:val="238"/>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ended July 2, 2022 and incorporated herein by reference) (1).</w:t>
            </w:r>
          </w:p>
        </w:tc>
      </w:tr>
      <w:tr>
        <w:trPr>
          <w:trHeight w:val="185"/>
        </w:trPr>
        <w:tc>
          <w:tcPr>
            <w:tcW w:w="50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hyperlink>
          </w:p>
        </w:tc>
        <w:tc>
          <w:tcPr>
            <w:tcW w:w="280" w:type="dxa"/>
            <w:vAlign w:val="bottom"/>
          </w:tcPr>
          <w:p>
            <w:pPr>
              <w:spacing w:after="0"/>
              <w:rPr>
                <w:sz w:val="16"/>
                <w:szCs w:val="16"/>
                <w:color w:val="auto"/>
              </w:rPr>
            </w:pP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w w:val="98"/>
              </w:rPr>
              <w:t>Lease dated September 19, 2013 between the Penang Development Corporation and Haemonetics Malaysia Sdn Bhd of the property located in</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Penang, Malaysia (filed as Exhibit 10D to the Company’s 10-Q for the quarter ended June 28, 2014 and incorporated herein by reference).</w:t>
            </w:r>
          </w:p>
        </w:tc>
      </w:tr>
      <w:tr>
        <w:trPr>
          <w:trHeight w:val="186"/>
        </w:trPr>
        <w:tc>
          <w:tcPr>
            <w:tcW w:w="500" w:type="dxa"/>
            <w:vAlign w:val="bottom"/>
            <w:gridSpan w:val="4"/>
            <w:shd w:val="clear" w:color="auto" w:fill="CCEEFF"/>
          </w:tcPr>
          <w:p>
            <w:pPr>
              <w:ind w:left="20"/>
              <w:spacing w:after="0" w:line="18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32</w:t>
              </w:r>
            </w:hyperlink>
          </w:p>
        </w:tc>
        <w:tc>
          <w:tcPr>
            <w:tcW w:w="280" w:type="dxa"/>
            <w:vAlign w:val="bottom"/>
            <w:shd w:val="clear" w:color="auto" w:fill="CCEEFF"/>
          </w:tcPr>
          <w:p>
            <w:pPr>
              <w:spacing w:after="0"/>
              <w:rPr>
                <w:sz w:val="16"/>
                <w:szCs w:val="16"/>
                <w:color w:val="auto"/>
              </w:rPr>
            </w:pPr>
          </w:p>
        </w:tc>
        <w:tc>
          <w:tcPr>
            <w:tcW w:w="10460" w:type="dxa"/>
            <w:vAlign w:val="bottom"/>
            <w:shd w:val="clear" w:color="auto" w:fill="CCEEFF"/>
          </w:tcPr>
          <w:p>
            <w:pPr>
              <w:ind w:left="260"/>
              <w:spacing w:after="0" w:line="186" w:lineRule="exact"/>
              <w:rPr>
                <w:sz w:val="20"/>
                <w:szCs w:val="20"/>
                <w:color w:val="auto"/>
              </w:rPr>
            </w:pPr>
            <w:r>
              <w:rPr>
                <w:rFonts w:ascii="Times New Roman" w:cs="Times New Roman" w:eastAsia="Times New Roman" w:hAnsi="Times New Roman"/>
                <w:sz w:val="18"/>
                <w:szCs w:val="18"/>
                <w:color w:val="auto"/>
                <w:w w:val="99"/>
              </w:rPr>
              <w:t>Shelter Plan Service Agreement, dated June 10, 2014, by and between Cardiva Medical, Inc. and Offshore International, Incorporated (filed as</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260"/>
              <w:spacing w:after="0" w:line="205" w:lineRule="exact"/>
              <w:rPr>
                <w:sz w:val="20"/>
                <w:szCs w:val="20"/>
                <w:color w:val="auto"/>
              </w:rPr>
            </w:pPr>
            <w:r>
              <w:rPr>
                <w:rFonts w:ascii="Times New Roman" w:cs="Times New Roman" w:eastAsia="Times New Roman" w:hAnsi="Times New Roman"/>
                <w:sz w:val="18"/>
                <w:szCs w:val="18"/>
                <w:color w:val="auto"/>
              </w:rPr>
              <w:t>Exhibit 10.23 to Cardiva Medical, Inc.’s Form S-1 (File No. 333-251885) dated January 4, 2021 and incorporated herein by reference) (1).</w:t>
            </w:r>
          </w:p>
        </w:tc>
      </w:tr>
      <w:tr>
        <w:trPr>
          <w:trHeight w:val="185"/>
        </w:trPr>
        <w:tc>
          <w:tcPr>
            <w:tcW w:w="50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33</w:t>
              </w:r>
            </w:hyperlink>
          </w:p>
        </w:tc>
        <w:tc>
          <w:tcPr>
            <w:tcW w:w="280" w:type="dxa"/>
            <w:vAlign w:val="bottom"/>
          </w:tcPr>
          <w:p>
            <w:pPr>
              <w:spacing w:after="0"/>
              <w:rPr>
                <w:sz w:val="16"/>
                <w:szCs w:val="16"/>
                <w:color w:val="auto"/>
              </w:rPr>
            </w:pP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w w:val="99"/>
              </w:rPr>
              <w:t>Amendment No. 1 to Shelter Plan Service Agreement dated June 10, 2014, by and between Cardiva Medical, Inc. and Offshore International,</w:t>
            </w:r>
          </w:p>
        </w:tc>
      </w:tr>
      <w:tr>
        <w:trPr>
          <w:trHeight w:val="139"/>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Incorporated, dated as of October 30, 2019 (filed as Exhibit 10.23 to Cardiva Medical, Inc.’s Form S-1 (File No. 333-251885) dated January 4,</w:t>
            </w:r>
          </w:p>
        </w:tc>
      </w:tr>
      <w:tr>
        <w:trPr>
          <w:trHeight w:val="235"/>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2021 and incorporated herein by reference) (1).</w:t>
            </w:r>
          </w:p>
        </w:tc>
      </w:tr>
      <w:tr>
        <w:trPr>
          <w:trHeight w:val="189"/>
        </w:trPr>
        <w:tc>
          <w:tcPr>
            <w:tcW w:w="50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34</w:t>
              </w:r>
            </w:hyperlink>
          </w:p>
        </w:tc>
        <w:tc>
          <w:tcPr>
            <w:tcW w:w="280" w:type="dxa"/>
            <w:vAlign w:val="bottom"/>
            <w:shd w:val="clear" w:color="auto" w:fill="CCEEFF"/>
          </w:tcPr>
          <w:p>
            <w:pPr>
              <w:spacing w:after="0"/>
              <w:rPr>
                <w:sz w:val="16"/>
                <w:szCs w:val="16"/>
                <w:color w:val="auto"/>
              </w:rPr>
            </w:pPr>
          </w:p>
        </w:tc>
        <w:tc>
          <w:tcPr>
            <w:tcW w:w="1046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w w:val="99"/>
              </w:rPr>
              <w:t>Amendment No. 2 to Shelter Plan Service Agreement dated June 10, 2014, by and between Cardiva Medical, Inc. and Offshore International,</w:t>
            </w:r>
          </w:p>
        </w:tc>
      </w:tr>
      <w:tr>
        <w:trPr>
          <w:trHeight w:val="139"/>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460" w:type="dxa"/>
            <w:vAlign w:val="bottom"/>
            <w:tcBorders>
              <w:top w:val="single" w:sz="8" w:color="CCEEFF"/>
            </w:tcBorders>
            <w:shd w:val="clear" w:color="auto" w:fill="CCEEFF"/>
          </w:tcPr>
          <w:p>
            <w:pPr>
              <w:ind w:left="260"/>
              <w:spacing w:after="0" w:line="139" w:lineRule="exact"/>
              <w:rPr>
                <w:sz w:val="20"/>
                <w:szCs w:val="20"/>
                <w:color w:val="auto"/>
              </w:rPr>
            </w:pPr>
            <w:r>
              <w:rPr>
                <w:rFonts w:ascii="Times New Roman" w:cs="Times New Roman" w:eastAsia="Times New Roman" w:hAnsi="Times New Roman"/>
                <w:sz w:val="15"/>
                <w:szCs w:val="15"/>
                <w:color w:val="auto"/>
              </w:rPr>
              <w:t>Incorporated, dated as of August 3, 2022 (filed as Exhibit 10.2 to the Company’s Form 10-Q for the quarter ended October 1, 2022 and</w:t>
            </w:r>
          </w:p>
        </w:tc>
      </w:tr>
      <w:tr>
        <w:trPr>
          <w:trHeight w:val="238"/>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incorporated herein by reference) (1).</w:t>
            </w:r>
          </w:p>
        </w:tc>
      </w:tr>
      <w:tr>
        <w:trPr>
          <w:trHeight w:val="185"/>
        </w:trPr>
        <w:tc>
          <w:tcPr>
            <w:tcW w:w="50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hyperlink>
          </w:p>
        </w:tc>
        <w:tc>
          <w:tcPr>
            <w:tcW w:w="280" w:type="dxa"/>
            <w:vAlign w:val="bottom"/>
          </w:tcPr>
          <w:p>
            <w:pPr>
              <w:spacing w:after="0"/>
              <w:rPr>
                <w:sz w:val="16"/>
                <w:szCs w:val="16"/>
                <w:color w:val="auto"/>
              </w:rPr>
            </w:pP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rPr>
              <w:t>Lease, dated April 15, 2015, by and between OpSens Inc. and 1405 PTQM S.E.C., for property located at 750, Boulevard du Technologique,</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Quebec (filed as Exhibit 10.39 to the Company’s Form 10-K for the fiscal year ended March 30, 2024 and incorporated herein by reference).</w:t>
            </w:r>
          </w:p>
        </w:tc>
      </w:tr>
      <w:tr>
        <w:trPr>
          <w:trHeight w:val="186"/>
        </w:trPr>
        <w:tc>
          <w:tcPr>
            <w:tcW w:w="500" w:type="dxa"/>
            <w:vAlign w:val="bottom"/>
            <w:gridSpan w:val="4"/>
            <w:shd w:val="clear" w:color="auto" w:fill="CCEEFF"/>
          </w:tcPr>
          <w:p>
            <w:pPr>
              <w:ind w:left="20"/>
              <w:spacing w:after="0" w:line="18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36</w:t>
              </w:r>
            </w:hyperlink>
          </w:p>
        </w:tc>
        <w:tc>
          <w:tcPr>
            <w:tcW w:w="280" w:type="dxa"/>
            <w:vAlign w:val="bottom"/>
            <w:shd w:val="clear" w:color="auto" w:fill="CCEEFF"/>
          </w:tcPr>
          <w:p>
            <w:pPr>
              <w:spacing w:after="0"/>
              <w:rPr>
                <w:sz w:val="16"/>
                <w:szCs w:val="16"/>
                <w:color w:val="auto"/>
              </w:rPr>
            </w:pPr>
          </w:p>
        </w:tc>
        <w:tc>
          <w:tcPr>
            <w:tcW w:w="10460" w:type="dxa"/>
            <w:vAlign w:val="bottom"/>
            <w:shd w:val="clear" w:color="auto" w:fill="CCEEFF"/>
          </w:tcPr>
          <w:p>
            <w:pPr>
              <w:ind w:left="260"/>
              <w:spacing w:after="0" w:line="186" w:lineRule="exact"/>
              <w:rPr>
                <w:sz w:val="20"/>
                <w:szCs w:val="20"/>
                <w:color w:val="auto"/>
              </w:rPr>
            </w:pPr>
            <w:r>
              <w:rPr>
                <w:rFonts w:ascii="Times New Roman" w:cs="Times New Roman" w:eastAsia="Times New Roman" w:hAnsi="Times New Roman"/>
                <w:sz w:val="18"/>
                <w:szCs w:val="18"/>
                <w:color w:val="auto"/>
              </w:rPr>
              <w:t>Addendum No. 1 to Lease, dated December 5, 2022, by and between OpSens Inc. and 1405 PTQM S.E.C, for property located at 750,</w:t>
            </w:r>
          </w:p>
        </w:tc>
      </w:tr>
      <w:tr>
        <w:trPr>
          <w:trHeight w:val="139"/>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460" w:type="dxa"/>
            <w:vAlign w:val="bottom"/>
            <w:tcBorders>
              <w:top w:val="single" w:sz="8" w:color="CCEEFF"/>
            </w:tcBorders>
            <w:shd w:val="clear" w:color="auto" w:fill="CCEEFF"/>
          </w:tcPr>
          <w:p>
            <w:pPr>
              <w:ind w:left="260"/>
              <w:spacing w:after="0" w:line="139" w:lineRule="exact"/>
              <w:rPr>
                <w:sz w:val="20"/>
                <w:szCs w:val="20"/>
                <w:color w:val="auto"/>
              </w:rPr>
            </w:pPr>
            <w:r>
              <w:rPr>
                <w:rFonts w:ascii="Times New Roman" w:cs="Times New Roman" w:eastAsia="Times New Roman" w:hAnsi="Times New Roman"/>
                <w:sz w:val="15"/>
                <w:szCs w:val="15"/>
                <w:color w:val="auto"/>
              </w:rPr>
              <w:t>Boulevard du Technologique, Quebec (filed as Exhibit 10.40 to the Company’s Form 10-K for the fiscal year ended March 30, 2024 and</w:t>
            </w:r>
          </w:p>
        </w:tc>
      </w:tr>
      <w:tr>
        <w:trPr>
          <w:trHeight w:val="239"/>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5"/>
        </w:trPr>
        <w:tc>
          <w:tcPr>
            <w:tcW w:w="50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37</w:t>
              </w:r>
            </w:hyperlink>
          </w:p>
        </w:tc>
        <w:tc>
          <w:tcPr>
            <w:tcW w:w="280" w:type="dxa"/>
            <w:vAlign w:val="bottom"/>
          </w:tcPr>
          <w:p>
            <w:pPr>
              <w:spacing w:after="0"/>
              <w:rPr>
                <w:sz w:val="16"/>
                <w:szCs w:val="16"/>
                <w:color w:val="auto"/>
              </w:rPr>
            </w:pP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w w:val="99"/>
              </w:rPr>
              <w:t>Addendum No. 2 to Lease, dated May 1, 2023, by and between OpSens Inc. and 1405 PTQM S.E.C, for property located at 750, Boulevard du</w:t>
            </w:r>
          </w:p>
        </w:tc>
      </w:tr>
      <w:tr>
        <w:trPr>
          <w:trHeight w:val="139"/>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Technologique, Quebec (filed as Exhibit 10.41 to the Company’s Form 10-K for the fiscal year ended March 30, 2024 and incorporated herein</w:t>
            </w:r>
          </w:p>
        </w:tc>
      </w:tr>
      <w:tr>
        <w:trPr>
          <w:trHeight w:val="235"/>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 reference).</w:t>
            </w:r>
          </w:p>
        </w:tc>
      </w:tr>
      <w:tr>
        <w:trPr>
          <w:trHeight w:val="189"/>
        </w:trPr>
        <w:tc>
          <w:tcPr>
            <w:tcW w:w="7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38*</w:t>
            </w:r>
          </w:p>
        </w:tc>
        <w:tc>
          <w:tcPr>
            <w:tcW w:w="1046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w w:val="98"/>
              </w:rPr>
              <w:t>Memorandum of Agreement, dated as of January 8, 2026, by and between Qualprop Limited, M. &amp; M, Qualtech Limited and Vivasure Medical</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260"/>
              <w:spacing w:after="0" w:line="205" w:lineRule="exact"/>
              <w:rPr>
                <w:sz w:val="20"/>
                <w:szCs w:val="20"/>
                <w:color w:val="auto"/>
              </w:rPr>
            </w:pPr>
            <w:r>
              <w:rPr>
                <w:rFonts w:ascii="Times New Roman" w:cs="Times New Roman" w:eastAsia="Times New Roman" w:hAnsi="Times New Roman"/>
                <w:sz w:val="18"/>
                <w:szCs w:val="18"/>
                <w:color w:val="auto"/>
              </w:rPr>
              <w:t>Limited (1)</w:t>
            </w:r>
          </w:p>
        </w:tc>
      </w:tr>
      <w:tr>
        <w:trPr>
          <w:trHeight w:val="185"/>
        </w:trPr>
        <w:tc>
          <w:tcPr>
            <w:tcW w:w="50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hyperlink>
          </w:p>
        </w:tc>
        <w:tc>
          <w:tcPr>
            <w:tcW w:w="280" w:type="dxa"/>
            <w:vAlign w:val="bottom"/>
          </w:tcPr>
          <w:p>
            <w:pPr>
              <w:spacing w:after="0"/>
              <w:rPr>
                <w:sz w:val="16"/>
                <w:szCs w:val="16"/>
                <w:color w:val="auto"/>
              </w:rPr>
            </w:pP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w w:val="99"/>
              </w:rPr>
              <w:t>Second Amended and Restated Credit Agreement, dated as of April 30, 2024, by and among the Company, the lenders from time to time party</w:t>
            </w:r>
          </w:p>
        </w:tc>
      </w:tr>
      <w:tr>
        <w:trPr>
          <w:trHeight w:val="139"/>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60" w:type="dxa"/>
            <w:vAlign w:val="bottom"/>
          </w:tcPr>
          <w:p>
            <w:pPr>
              <w:ind w:left="260"/>
              <w:spacing w:after="0" w:line="139" w:lineRule="exact"/>
              <w:rPr>
                <w:sz w:val="20"/>
                <w:szCs w:val="20"/>
                <w:color w:val="auto"/>
              </w:rPr>
            </w:pPr>
            <w:r>
              <w:rPr>
                <w:rFonts w:ascii="Times New Roman" w:cs="Times New Roman" w:eastAsia="Times New Roman" w:hAnsi="Times New Roman"/>
                <w:sz w:val="15"/>
                <w:szCs w:val="15"/>
                <w:color w:val="auto"/>
              </w:rPr>
              <w:t>thereto and JPMorgan Chase Bank, N.A., as administrative agent (filed as Exhibit 10.1 to the Company’s Form 8-K dated May 1, 2024 and</w:t>
            </w:r>
          </w:p>
        </w:tc>
      </w:tr>
      <w:tr>
        <w:trPr>
          <w:trHeight w:val="235"/>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9"/>
        </w:trPr>
        <w:tc>
          <w:tcPr>
            <w:tcW w:w="50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40</w:t>
              </w:r>
            </w:hyperlink>
          </w:p>
        </w:tc>
        <w:tc>
          <w:tcPr>
            <w:tcW w:w="280" w:type="dxa"/>
            <w:vAlign w:val="bottom"/>
            <w:shd w:val="clear" w:color="auto" w:fill="CCEEFF"/>
          </w:tcPr>
          <w:p>
            <w:pPr>
              <w:spacing w:after="0"/>
              <w:rPr>
                <w:sz w:val="16"/>
                <w:szCs w:val="16"/>
                <w:color w:val="auto"/>
              </w:rPr>
            </w:pPr>
          </w:p>
        </w:tc>
        <w:tc>
          <w:tcPr>
            <w:tcW w:w="1046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w w:val="98"/>
              </w:rPr>
              <w:t>Form of Confirmation of Base Call Option Transaction (filed as Exhibit 10.1 to the Company’s Form 8-K dated May 29, 2024 and incorporated</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260"/>
              <w:spacing w:after="0" w:line="205" w:lineRule="exact"/>
              <w:rPr>
                <w:sz w:val="20"/>
                <w:szCs w:val="20"/>
                <w:color w:val="auto"/>
              </w:rPr>
            </w:pPr>
            <w:r>
              <w:rPr>
                <w:rFonts w:ascii="Times New Roman" w:cs="Times New Roman" w:eastAsia="Times New Roman" w:hAnsi="Times New Roman"/>
                <w:sz w:val="18"/>
                <w:szCs w:val="18"/>
                <w:color w:val="auto"/>
              </w:rPr>
              <w:t>herein by reference).</w:t>
            </w:r>
          </w:p>
        </w:tc>
      </w:tr>
      <w:tr>
        <w:trPr>
          <w:trHeight w:val="185"/>
        </w:trPr>
        <w:tc>
          <w:tcPr>
            <w:tcW w:w="500" w:type="dxa"/>
            <w:vAlign w:val="bottom"/>
            <w:gridSpan w:val="4"/>
          </w:tcPr>
          <w:p>
            <w:pPr>
              <w:ind w:left="20"/>
              <w:spacing w:after="0" w:line="18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41</w:t>
              </w:r>
            </w:hyperlink>
          </w:p>
        </w:tc>
        <w:tc>
          <w:tcPr>
            <w:tcW w:w="280" w:type="dxa"/>
            <w:vAlign w:val="bottom"/>
          </w:tcPr>
          <w:p>
            <w:pPr>
              <w:spacing w:after="0"/>
              <w:rPr>
                <w:sz w:val="16"/>
                <w:szCs w:val="16"/>
                <w:color w:val="auto"/>
              </w:rPr>
            </w:pP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rPr>
              <w:t>Form of Confirmation of Additional Call Option Transaction (filed as Exhibit 10.2 to the Company’s Form 8-K dated May 29, 2024 and</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5"/>
        </w:trPr>
        <w:tc>
          <w:tcPr>
            <w:tcW w:w="420" w:type="dxa"/>
            <w:vAlign w:val="bottom"/>
            <w:gridSpan w:val="3"/>
            <w:shd w:val="clear" w:color="auto" w:fill="CCEEFF"/>
          </w:tcPr>
          <w:p>
            <w:pPr>
              <w:ind w:left="20"/>
              <w:spacing w:after="0" w:line="18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60" w:type="dxa"/>
            <w:vAlign w:val="bottom"/>
            <w:shd w:val="clear" w:color="auto" w:fill="CCEEFF"/>
          </w:tcPr>
          <w:p>
            <w:pPr>
              <w:ind w:left="260"/>
              <w:spacing w:after="0" w:line="186" w:lineRule="exact"/>
              <w:rPr>
                <w:sz w:val="20"/>
                <w:szCs w:val="20"/>
                <w:color w:val="auto"/>
              </w:rPr>
            </w:pPr>
            <w:r>
              <w:rPr>
                <w:rFonts w:ascii="Times New Roman" w:cs="Times New Roman" w:eastAsia="Times New Roman" w:hAnsi="Times New Roman"/>
                <w:sz w:val="18"/>
                <w:szCs w:val="18"/>
                <w:color w:val="auto"/>
                <w:w w:val="98"/>
              </w:rPr>
              <w:t>Securities Trading Policy (filed as Exhibit 19.1 to the Company’s Form 10-K for the fiscal year ended March 30, 2024 and incorporated herein</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260"/>
              <w:spacing w:after="0" w:line="205" w:lineRule="exact"/>
              <w:rPr>
                <w:sz w:val="20"/>
                <w:szCs w:val="20"/>
                <w:color w:val="auto"/>
              </w:rPr>
            </w:pPr>
            <w:r>
              <w:rPr>
                <w:rFonts w:ascii="Times New Roman" w:cs="Times New Roman" w:eastAsia="Times New Roman" w:hAnsi="Times New Roman"/>
                <w:sz w:val="18"/>
                <w:szCs w:val="18"/>
                <w:color w:val="auto"/>
              </w:rPr>
              <w:t>by reference) (2).</w:t>
            </w:r>
          </w:p>
        </w:tc>
      </w:tr>
      <w:tr>
        <w:trPr>
          <w:trHeight w:val="186"/>
        </w:trPr>
        <w:tc>
          <w:tcPr>
            <w:tcW w:w="20" w:type="dxa"/>
            <w:vAlign w:val="bottom"/>
          </w:tcPr>
          <w:p>
            <w:pPr>
              <w:spacing w:after="0"/>
              <w:rPr>
                <w:sz w:val="16"/>
                <w:szCs w:val="16"/>
                <w:color w:val="auto"/>
              </w:rPr>
            </w:pPr>
          </w:p>
        </w:tc>
        <w:tc>
          <w:tcPr>
            <w:tcW w:w="48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280" w:type="dxa"/>
            <w:vAlign w:val="bottom"/>
          </w:tcPr>
          <w:p>
            <w:pPr>
              <w:spacing w:after="0"/>
              <w:rPr>
                <w:sz w:val="16"/>
                <w:szCs w:val="16"/>
                <w:color w:val="auto"/>
              </w:rPr>
            </w:pP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rPr>
              <w:t>Subsidiaries of the Company.</w:t>
            </w: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6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280" w:type="dxa"/>
            <w:vAlign w:val="bottom"/>
            <w:shd w:val="clear" w:color="auto" w:fill="CCEEFF"/>
          </w:tcPr>
          <w:p>
            <w:pPr>
              <w:spacing w:after="0"/>
              <w:rPr>
                <w:sz w:val="16"/>
                <w:szCs w:val="16"/>
                <w:color w:val="auto"/>
              </w:rPr>
            </w:pPr>
          </w:p>
        </w:tc>
        <w:tc>
          <w:tcPr>
            <w:tcW w:w="10460" w:type="dxa"/>
            <w:vAlign w:val="bottom"/>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Consent of the Independent Registered Public Accounting Firm.</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46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8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80" w:type="dxa"/>
            <w:vAlign w:val="bottom"/>
          </w:tcPr>
          <w:p>
            <w:pPr>
              <w:spacing w:after="0"/>
              <w:rPr>
                <w:sz w:val="16"/>
                <w:szCs w:val="16"/>
                <w:color w:val="auto"/>
              </w:rPr>
            </w:pP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rPr>
              <w:t>Certification pursuant to Section 302 of Sarbanes-Oxley Act of 2002, of Christopher A. Simon, President and Chief Executive Officer of the</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Company.</w:t>
            </w:r>
          </w:p>
        </w:tc>
      </w:tr>
      <w:tr>
        <w:trPr>
          <w:trHeight w:val="185"/>
        </w:trPr>
        <w:tc>
          <w:tcPr>
            <w:tcW w:w="500" w:type="dxa"/>
            <w:vAlign w:val="bottom"/>
            <w:gridSpan w:val="4"/>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80" w:type="dxa"/>
            <w:vAlign w:val="bottom"/>
            <w:shd w:val="clear" w:color="auto" w:fill="CCEEFF"/>
          </w:tcPr>
          <w:p>
            <w:pPr>
              <w:spacing w:after="0"/>
              <w:rPr>
                <w:sz w:val="16"/>
                <w:szCs w:val="16"/>
                <w:color w:val="auto"/>
              </w:rPr>
            </w:pPr>
          </w:p>
        </w:tc>
        <w:tc>
          <w:tcPr>
            <w:tcW w:w="10460" w:type="dxa"/>
            <w:vAlign w:val="bottom"/>
            <w:shd w:val="clear" w:color="auto" w:fill="CCEEFF"/>
          </w:tcPr>
          <w:p>
            <w:pPr>
              <w:ind w:left="260"/>
              <w:spacing w:after="0" w:line="186" w:lineRule="exact"/>
              <w:rPr>
                <w:sz w:val="20"/>
                <w:szCs w:val="20"/>
                <w:color w:val="auto"/>
              </w:rPr>
            </w:pPr>
            <w:r>
              <w:rPr>
                <w:rFonts w:ascii="Times New Roman" w:cs="Times New Roman" w:eastAsia="Times New Roman" w:hAnsi="Times New Roman"/>
                <w:sz w:val="18"/>
                <w:szCs w:val="18"/>
                <w:color w:val="auto"/>
                <w:w w:val="99"/>
              </w:rPr>
              <w:t>Certification pursuant to Section 302 of Sarbanes-Oxley of 2002 of James D’Arecca, Executive Vice President, Chief Financial Officer of the</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260"/>
              <w:spacing w:after="0" w:line="205" w:lineRule="exact"/>
              <w:rPr>
                <w:sz w:val="20"/>
                <w:szCs w:val="20"/>
                <w:color w:val="auto"/>
              </w:rPr>
            </w:pPr>
            <w:r>
              <w:rPr>
                <w:rFonts w:ascii="Times New Roman" w:cs="Times New Roman" w:eastAsia="Times New Roman" w:hAnsi="Times New Roman"/>
                <w:sz w:val="18"/>
                <w:szCs w:val="18"/>
                <w:color w:val="auto"/>
              </w:rPr>
              <w:t>Company.</w:t>
            </w:r>
          </w:p>
        </w:tc>
      </w:tr>
      <w:tr>
        <w:trPr>
          <w:trHeight w:val="185"/>
        </w:trPr>
        <w:tc>
          <w:tcPr>
            <w:tcW w:w="780" w:type="dxa"/>
            <w:vAlign w:val="bottom"/>
            <w:gridSpan w:val="5"/>
          </w:tcPr>
          <w:p>
            <w:pPr>
              <w:ind w:left="20"/>
              <w:spacing w:after="0" w:line="186"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4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Christopher A. Simon, President and Chief Executive Officer of the Company.</w:t>
            </w:r>
          </w:p>
        </w:tc>
      </w:tr>
      <w:tr>
        <w:trPr>
          <w:trHeight w:val="185"/>
        </w:trPr>
        <w:tc>
          <w:tcPr>
            <w:tcW w:w="780" w:type="dxa"/>
            <w:vAlign w:val="bottom"/>
            <w:gridSpan w:val="5"/>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460" w:type="dxa"/>
            <w:vAlign w:val="bottom"/>
            <w:shd w:val="clear" w:color="auto" w:fill="CCEEFF"/>
          </w:tcPr>
          <w:p>
            <w:pPr>
              <w:ind w:left="260"/>
              <w:spacing w:after="0" w:line="186" w:lineRule="exact"/>
              <w:rPr>
                <w:sz w:val="20"/>
                <w:szCs w:val="20"/>
                <w:color w:val="auto"/>
              </w:rPr>
            </w:pPr>
            <w:r>
              <w:rPr>
                <w:rFonts w:ascii="Times New Roman" w:cs="Times New Roman" w:eastAsia="Times New Roman" w:hAnsi="Times New Roman"/>
                <w:sz w:val="18"/>
                <w:szCs w:val="18"/>
                <w:color w:val="auto"/>
                <w:w w:val="98"/>
              </w:rPr>
              <w:t>Certification Pursuant to 18 United States Code Section 1350, as adopted Pursuant to Section 906 of the Sarbanes-Oxley Act of 2002, of James</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260"/>
              <w:spacing w:after="0" w:line="205" w:lineRule="exact"/>
              <w:rPr>
                <w:sz w:val="20"/>
                <w:szCs w:val="20"/>
                <w:color w:val="auto"/>
              </w:rPr>
            </w:pPr>
            <w:r>
              <w:rPr>
                <w:rFonts w:ascii="Times New Roman" w:cs="Times New Roman" w:eastAsia="Times New Roman" w:hAnsi="Times New Roman"/>
                <w:sz w:val="18"/>
                <w:szCs w:val="18"/>
                <w:color w:val="auto"/>
              </w:rPr>
              <w:t>D’Arecca, Executive Vice President, Chief Financial Officer of the Company.</w:t>
            </w:r>
          </w:p>
        </w:tc>
      </w:tr>
      <w:tr>
        <w:trPr>
          <w:trHeight w:val="186"/>
        </w:trPr>
        <w:tc>
          <w:tcPr>
            <w:tcW w:w="420" w:type="dxa"/>
            <w:vAlign w:val="bottom"/>
            <w:gridSpan w:val="3"/>
          </w:tcPr>
          <w:p>
            <w:pPr>
              <w:ind w:left="20"/>
              <w:spacing w:after="0" w:line="18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60" w:type="dxa"/>
            <w:vAlign w:val="bottom"/>
          </w:tcPr>
          <w:p>
            <w:pPr>
              <w:ind w:left="260"/>
              <w:spacing w:after="0" w:line="186" w:lineRule="exact"/>
              <w:rPr>
                <w:sz w:val="20"/>
                <w:szCs w:val="20"/>
                <w:color w:val="auto"/>
              </w:rPr>
            </w:pPr>
            <w:r>
              <w:rPr>
                <w:rFonts w:ascii="Times New Roman" w:cs="Times New Roman" w:eastAsia="Times New Roman" w:hAnsi="Times New Roman"/>
                <w:sz w:val="18"/>
                <w:szCs w:val="18"/>
                <w:color w:val="auto"/>
                <w:w w:val="99"/>
              </w:rPr>
              <w:t>Compensation Recovery Policy (filed as Exhibit 97.1 to the Company’s Form 10-K for the fiscal year ended March 30, 2024 and incorporated</w:t>
            </w:r>
          </w:p>
        </w:tc>
      </w:tr>
      <w:tr>
        <w:trPr>
          <w:trHeight w:val="211"/>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herein by reference). (2).</w:t>
            </w:r>
          </w:p>
        </w:tc>
      </w:tr>
      <w:tr>
        <w:trPr>
          <w:trHeight w:val="86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121</w:t>
            </w:r>
          </w:p>
        </w:tc>
      </w:tr>
      <w:tr>
        <w:trPr>
          <w:trHeight w:val="111"/>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7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99"/>
              </w:rPr>
              <w:t>101*</w:t>
            </w:r>
          </w:p>
        </w:tc>
        <w:tc>
          <w:tcPr>
            <w:tcW w:w="10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following materials from Haemonetics Corporation on Form 10-K for the year ended March 28, 2026, formatted in inline Extensible</w:t>
            </w:r>
          </w:p>
        </w:tc>
      </w:tr>
      <w:tr>
        <w:trPr>
          <w:trHeight w:val="172"/>
        </w:trPr>
        <w:tc>
          <w:tcPr>
            <w:tcW w:w="720" w:type="dxa"/>
            <w:vAlign w:val="bottom"/>
            <w:shd w:val="clear" w:color="auto" w:fill="CCEEFF"/>
          </w:tcPr>
          <w:p>
            <w:pPr>
              <w:spacing w:after="0"/>
              <w:rPr>
                <w:sz w:val="14"/>
                <w:szCs w:val="14"/>
                <w:color w:val="auto"/>
              </w:rPr>
            </w:pPr>
          </w:p>
        </w:tc>
        <w:tc>
          <w:tcPr>
            <w:tcW w:w="10520" w:type="dxa"/>
            <w:vAlign w:val="bottom"/>
            <w:shd w:val="clear" w:color="auto" w:fill="CCEEFF"/>
          </w:tcPr>
          <w:p>
            <w:pPr>
              <w:ind w:left="320"/>
              <w:spacing w:after="0" w:line="172" w:lineRule="exact"/>
              <w:rPr>
                <w:sz w:val="20"/>
                <w:szCs w:val="20"/>
                <w:color w:val="auto"/>
              </w:rPr>
            </w:pPr>
            <w:r>
              <w:rPr>
                <w:rFonts w:ascii="Times New Roman" w:cs="Times New Roman" w:eastAsia="Times New Roman" w:hAnsi="Times New Roman"/>
                <w:sz w:val="18"/>
                <w:szCs w:val="18"/>
                <w:color w:val="auto"/>
              </w:rPr>
              <w:t>Business Reporting Language (XBRL) includes: (i) Consolidated Statements of Income, (ii) Consolidated Statements of Comprehensive</w:t>
            </w:r>
          </w:p>
        </w:tc>
      </w:tr>
      <w:tr>
        <w:trPr>
          <w:trHeight w:val="180"/>
        </w:trPr>
        <w:tc>
          <w:tcPr>
            <w:tcW w:w="720" w:type="dxa"/>
            <w:vAlign w:val="bottom"/>
            <w:shd w:val="clear" w:color="auto" w:fill="CCEEFF"/>
          </w:tcPr>
          <w:p>
            <w:pPr>
              <w:spacing w:after="0"/>
              <w:rPr>
                <w:sz w:val="15"/>
                <w:szCs w:val="15"/>
                <w:color w:val="auto"/>
              </w:rPr>
            </w:pPr>
          </w:p>
        </w:tc>
        <w:tc>
          <w:tcPr>
            <w:tcW w:w="1052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8"/>
                <w:szCs w:val="18"/>
                <w:color w:val="auto"/>
              </w:rPr>
              <w:t>Income, (iii) Consolidated Balance Sheets, (iv) Consolidated Statement of Stockholders' Equity, (v) Consolidated Statements of Cash Flows,</w:t>
            </w:r>
          </w:p>
        </w:tc>
      </w:tr>
      <w:tr>
        <w:trPr>
          <w:trHeight w:val="230"/>
        </w:trPr>
        <w:tc>
          <w:tcPr>
            <w:tcW w:w="720" w:type="dxa"/>
            <w:vAlign w:val="bottom"/>
            <w:shd w:val="clear" w:color="auto" w:fill="CCEEFF"/>
          </w:tcPr>
          <w:p>
            <w:pPr>
              <w:spacing w:after="0"/>
              <w:rPr>
                <w:sz w:val="20"/>
                <w:szCs w:val="20"/>
                <w:color w:val="auto"/>
              </w:rPr>
            </w:pPr>
          </w:p>
        </w:tc>
        <w:tc>
          <w:tcPr>
            <w:tcW w:w="10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and (vi) Notes to Consolidated Financial Statements.</w:t>
            </w:r>
          </w:p>
        </w:tc>
      </w:tr>
      <w:tr>
        <w:trPr>
          <w:trHeight w:val="231"/>
        </w:trPr>
        <w:tc>
          <w:tcPr>
            <w:tcW w:w="7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9"/>
              </w:rPr>
              <w:t>104*</w:t>
            </w:r>
          </w:p>
        </w:tc>
        <w:tc>
          <w:tcPr>
            <w:tcW w:w="10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tc>
      </w:tr>
    </w:tbl>
    <w:p>
      <w:pPr>
        <w:spacing w:after="0" w:line="188" w:lineRule="exact"/>
        <w:rPr>
          <w:sz w:val="20"/>
          <w:szCs w:val="20"/>
          <w:color w:val="auto"/>
        </w:rPr>
      </w:pPr>
    </w:p>
    <w:p>
      <w:pPr>
        <w:ind w:left="480" w:hanging="456"/>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with this report.</w:t>
      </w:r>
    </w:p>
    <w:p>
      <w:pPr>
        <w:spacing w:after="0" w:line="24" w:lineRule="exact"/>
        <w:rPr>
          <w:sz w:val="20"/>
          <w:szCs w:val="20"/>
          <w:color w:val="auto"/>
        </w:rPr>
      </w:pPr>
    </w:p>
    <w:p>
      <w:pPr>
        <w:ind w:left="480" w:hanging="456"/>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furnished with this report.</w:t>
      </w:r>
    </w:p>
    <w:p>
      <w:pPr>
        <w:spacing w:after="0" w:line="18" w:lineRule="exact"/>
        <w:rPr>
          <w:sz w:val="20"/>
          <w:szCs w:val="20"/>
          <w:color w:val="auto"/>
        </w:rPr>
      </w:pPr>
    </w:p>
    <w:p>
      <w:pPr>
        <w:ind w:left="480" w:right="240" w:hanging="456"/>
        <w:spacing w:after="0" w:line="225"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considered confidential and have been omitted as permitted under Securities and Exchange Commission rules and regulations. The Company agrees to furnish supplementally a copy of any omitted portions to the U.S. Securities and Exchange Commission upon request.</w:t>
      </w:r>
    </w:p>
    <w:p>
      <w:pPr>
        <w:ind w:left="480" w:hanging="456"/>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plan, or arrangement related to the compensation of officers or directors.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24" w:name="page125"/>
    <w:bookmarkEnd w:id="12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270" w:lineRule="exact"/>
        <w:rPr>
          <w:sz w:val="20"/>
          <w:szCs w:val="20"/>
          <w:color w:val="auto"/>
        </w:rPr>
      </w:pPr>
    </w:p>
    <w:p>
      <w:pPr>
        <w:ind w:left="5540"/>
        <w:spacing w:after="0"/>
        <w:tabs>
          <w:tab w:leader="none" w:pos="5980" w:val="left"/>
        </w:tabs>
        <w:rPr>
          <w:sz w:val="20"/>
          <w:szCs w:val="20"/>
          <w:color w:val="auto"/>
        </w:rPr>
      </w:pPr>
      <w:r>
        <w:rPr>
          <w:rFonts w:ascii="Times New Roman" w:cs="Times New Roman" w:eastAsia="Times New Roman" w:hAnsi="Times New Roman"/>
          <w:sz w:val="18"/>
          <w:szCs w:val="18"/>
          <w:color w:val="auto"/>
        </w:rPr>
        <w:t>By:</w:t>
        <w:tab/>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14605</wp:posOffset>
            </wp:positionV>
            <wp:extent cx="33064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1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Chief Executive Officer and a Director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p>
      <w:pPr>
        <w:ind w:left="1080"/>
        <w:spacing w:after="0"/>
        <w:tabs>
          <w:tab w:leader="none" w:pos="5080" w:val="left"/>
          <w:tab w:leader="none" w:pos="82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ectPr>
          <w:pgSz w:w="11900" w:h="16838" w:orient="portrait"/>
          <w:cols w:equalWidth="0" w:num="1">
            <w:col w:w="11020"/>
          </w:cols>
          <w:pgMar w:left="320" w:top="994" w:right="559" w:bottom="1440" w:gutter="0" w:footer="0" w:header="0"/>
        </w:sect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James C. D’Arecca</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Maryanne E. Farris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Maryanne E. Farris</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Robert E. Abernathy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Robert E. Abernathy</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Diane M.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Diane M. Bryant</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J.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Michael J. Coyle</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 Charles J. Dockendorff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7246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Charles J. Dockendorff</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Lloyd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Lloyd E. Johnson</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Mark W.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Mark W. Kroll</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Claire Pomeroy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Claire Pomeroy</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Ellen M. Zane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7246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Ellen M. Zane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President, Chief Executive Officer and a 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265"/>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440" w:type="dxa"/>
            <w:vAlign w:val="bottom"/>
          </w:tcPr>
          <w:p>
            <w:pPr>
              <w:spacing w:after="0"/>
              <w:rPr>
                <w:sz w:val="23"/>
                <w:szCs w:val="23"/>
                <w:color w:val="auto"/>
              </w:rPr>
            </w:pPr>
          </w:p>
        </w:tc>
      </w:tr>
      <w:tr>
        <w:trPr>
          <w:trHeight w:val="464"/>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Executive Vice President, Chief Financial Officer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265"/>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440" w:type="dxa"/>
            <w:vAlign w:val="bottom"/>
          </w:tcPr>
          <w:p>
            <w:pPr>
              <w:spacing w:after="0"/>
              <w:rPr>
                <w:sz w:val="23"/>
                <w:szCs w:val="23"/>
                <w:color w:val="auto"/>
              </w:rPr>
            </w:pPr>
          </w:p>
        </w:tc>
      </w:tr>
      <w:tr>
        <w:trPr>
          <w:trHeight w:val="424"/>
        </w:trPr>
        <w:tc>
          <w:tcPr>
            <w:tcW w:w="396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7"/>
              </w:rPr>
              <w:t>Vice President, Chief Accounting Officer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265"/>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440" w:type="dxa"/>
            <w:vAlign w:val="bottom"/>
          </w:tcPr>
          <w:p>
            <w:pPr>
              <w:spacing w:after="0"/>
              <w:rPr>
                <w:sz w:val="23"/>
                <w:szCs w:val="23"/>
                <w:color w:val="auto"/>
              </w:rPr>
            </w:pPr>
          </w:p>
        </w:tc>
      </w:tr>
      <w:tr>
        <w:trPr>
          <w:trHeight w:val="384"/>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636"/>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636"/>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689"/>
        </w:trPr>
        <w:tc>
          <w:tcPr>
            <w:tcW w:w="3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6"/>
              </w:rPr>
              <w:t>Director</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5"/>
              </w:rPr>
              <w:t>May 20, 2026</w:t>
            </w:r>
          </w:p>
        </w:tc>
      </w:tr>
    </w:tbl>
    <w:p>
      <w:pPr>
        <w:spacing w:after="0" w:line="480" w:lineRule="exact"/>
        <w:rPr>
          <w:sz w:val="20"/>
          <w:szCs w:val="20"/>
          <w:color w:val="auto"/>
        </w:rPr>
      </w:pPr>
    </w:p>
    <w:p>
      <w:pPr>
        <w:sectPr>
          <w:pgSz w:w="11900" w:h="16838" w:orient="portrait"/>
          <w:cols w:equalWidth="0" w:num="2">
            <w:col w:w="2760" w:space="720"/>
            <w:col w:w="7540"/>
          </w:cols>
          <w:pgMar w:left="320" w:top="994" w:right="5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1020"/>
          </w:cols>
          <w:pgMar w:left="320" w:top="994" w:right="559" w:bottom="1440" w:gutter="0" w:footer="0" w:header="0"/>
          <w:type w:val="continuous"/>
        </w:sectPr>
      </w:pPr>
    </w:p>
    <w:bookmarkStart w:id="125" w:name="page126"/>
    <w:bookmarkEnd w:id="125"/>
    <w:p>
      <w:pPr>
        <w:spacing w:after="0" w:line="232" w:lineRule="exact"/>
        <w:rPr>
          <w:sz w:val="20"/>
          <w:szCs w:val="20"/>
          <w:color w:val="auto"/>
        </w:rPr>
      </w:pPr>
    </w:p>
    <w:p>
      <w:pPr>
        <w:spacing w:after="0" w:line="238" w:lineRule="auto"/>
        <w:rPr>
          <w:sz w:val="20"/>
          <w:szCs w:val="20"/>
          <w:color w:val="auto"/>
        </w:rPr>
      </w:pPr>
      <w:r>
        <w:rPr>
          <w:rFonts w:ascii="Verdana" w:cs="Verdana" w:eastAsia="Verdana" w:hAnsi="Verdana"/>
          <w:sz w:val="18"/>
          <w:szCs w:val="18"/>
          <w:b w:val="1"/>
          <w:bCs w:val="1"/>
          <w:color w:val="auto"/>
        </w:rPr>
        <w:t>CERTAIN INFORMATION HAS BEEN OMITTED FROM THIS DOCUMENT BECAUSE IT IS NOT MATERIAL, IS THE TYPE THAT HAEMONETICS CORPORATION TREATS AS CONFIDENTIAL AND WOULD BE COMPETITIVELY HARMFUL IF PUBLICLY DISCLOSED. OMISSIONS ARE MARKED [***].</w:t>
      </w:r>
    </w:p>
    <w:p>
      <w:pPr>
        <w:spacing w:after="0" w:line="193"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Dated this 8</w:t>
      </w:r>
      <w:r>
        <w:rPr>
          <w:rFonts w:ascii="Verdana" w:cs="Verdana" w:eastAsia="Verdana" w:hAnsi="Verdana"/>
          <w:sz w:val="22"/>
          <w:szCs w:val="22"/>
          <w:color w:val="auto"/>
          <w:vertAlign w:val="superscript"/>
        </w:rPr>
        <w:t>th</w:t>
      </w:r>
      <w:r>
        <w:rPr>
          <w:rFonts w:ascii="Verdana" w:cs="Verdana" w:eastAsia="Verdana" w:hAnsi="Verdana"/>
          <w:sz w:val="18"/>
          <w:szCs w:val="18"/>
          <w:color w:val="auto"/>
        </w:rPr>
        <w:t xml:space="preserve"> day of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QUALPROP LIMITED</w:t>
      </w:r>
    </w:p>
    <w:p>
      <w:pPr>
        <w:spacing w:after="0" w:line="324" w:lineRule="exact"/>
        <w:rPr>
          <w:sz w:val="20"/>
          <w:szCs w:val="20"/>
          <w:color w:val="auto"/>
        </w:rPr>
      </w:pPr>
    </w:p>
    <w:p>
      <w:pPr>
        <w:ind w:left="9500"/>
        <w:spacing w:after="0"/>
        <w:rPr>
          <w:sz w:val="20"/>
          <w:szCs w:val="20"/>
          <w:color w:val="auto"/>
        </w:rPr>
      </w:pPr>
      <w:r>
        <w:rPr>
          <w:rFonts w:ascii="Verdana" w:cs="Verdana" w:eastAsia="Verdana" w:hAnsi="Verdana"/>
          <w:sz w:val="18"/>
          <w:szCs w:val="18"/>
          <w:b w:val="1"/>
          <w:bCs w:val="1"/>
          <w:color w:val="auto"/>
        </w:rPr>
        <w:t>(the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00"/>
        <w:spacing w:after="0"/>
        <w:rPr>
          <w:sz w:val="20"/>
          <w:szCs w:val="20"/>
          <w:color w:val="auto"/>
        </w:rPr>
      </w:pPr>
      <w:r>
        <w:rPr>
          <w:rFonts w:ascii="Verdana" w:cs="Verdana" w:eastAsia="Verdana" w:hAnsi="Verdana"/>
          <w:sz w:val="18"/>
          <w:szCs w:val="18"/>
          <w:b w:val="1"/>
          <w:bCs w:val="1"/>
          <w:color w:val="auto"/>
        </w:rPr>
        <w:t>M. &amp; M. QUALTECH LIMITED</w:t>
      </w:r>
    </w:p>
    <w:p>
      <w:pPr>
        <w:spacing w:after="0" w:line="324" w:lineRule="exact"/>
        <w:rPr>
          <w:sz w:val="20"/>
          <w:szCs w:val="20"/>
          <w:color w:val="auto"/>
        </w:rPr>
      </w:pPr>
    </w:p>
    <w:p>
      <w:pPr>
        <w:ind w:left="10380"/>
        <w:spacing w:after="0"/>
        <w:rPr>
          <w:sz w:val="20"/>
          <w:szCs w:val="20"/>
          <w:color w:val="auto"/>
        </w:rPr>
      </w:pPr>
      <w:r>
        <w:rPr>
          <w:rFonts w:ascii="Verdana" w:cs="Verdana" w:eastAsia="Verdana" w:hAnsi="Verdana"/>
          <w:sz w:val="18"/>
          <w:szCs w:val="18"/>
          <w:b w:val="1"/>
          <w:bCs w:val="1"/>
          <w:color w:val="auto"/>
        </w:rPr>
        <w:t>(MMQ”)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20"/>
        <w:spacing w:after="0"/>
        <w:rPr>
          <w:sz w:val="20"/>
          <w:szCs w:val="20"/>
          <w:color w:val="auto"/>
        </w:rPr>
      </w:pPr>
      <w:r>
        <w:rPr>
          <w:rFonts w:ascii="Verdana" w:cs="Verdana" w:eastAsia="Verdana" w:hAnsi="Verdana"/>
          <w:sz w:val="18"/>
          <w:szCs w:val="18"/>
          <w:b w:val="1"/>
          <w:bCs w:val="1"/>
          <w:color w:val="auto"/>
        </w:rPr>
        <w:t>VIVASURE MEDICAL LIMITED</w:t>
      </w:r>
    </w:p>
    <w:p>
      <w:pPr>
        <w:spacing w:after="0" w:line="20" w:lineRule="exact"/>
        <w:rPr>
          <w:sz w:val="20"/>
          <w:szCs w:val="20"/>
          <w:color w:val="auto"/>
        </w:rPr>
      </w:pPr>
    </w:p>
    <w:p>
      <w:pPr>
        <w:ind w:left="9680"/>
        <w:spacing w:after="0"/>
        <w:rPr>
          <w:sz w:val="20"/>
          <w:szCs w:val="20"/>
          <w:color w:val="auto"/>
        </w:rPr>
      </w:pPr>
      <w:r>
        <w:rPr>
          <w:rFonts w:ascii="Verdana" w:cs="Verdana" w:eastAsia="Verdana" w:hAnsi="Verdana"/>
          <w:sz w:val="18"/>
          <w:szCs w:val="18"/>
          <w:b w:val="1"/>
          <w:bCs w:val="1"/>
          <w:color w:val="auto"/>
        </w:rPr>
        <w:t>(the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BUSINESS LETTING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80"/>
        <w:spacing w:after="0"/>
        <w:rPr>
          <w:sz w:val="20"/>
          <w:szCs w:val="20"/>
          <w:color w:val="auto"/>
        </w:rPr>
      </w:pPr>
      <w:r>
        <w:rPr>
          <w:rFonts w:ascii="Verdana" w:cs="Verdana" w:eastAsia="Verdana" w:hAnsi="Verdana"/>
          <w:sz w:val="18"/>
          <w:szCs w:val="18"/>
          <w:color w:val="auto"/>
        </w:rPr>
        <w:t>MG Ryan Kieran Murphy LLP Solicitors,</w:t>
      </w:r>
    </w:p>
    <w:p>
      <w:pPr>
        <w:spacing w:after="0" w:line="20" w:lineRule="exact"/>
        <w:rPr>
          <w:sz w:val="20"/>
          <w:szCs w:val="20"/>
          <w:color w:val="auto"/>
        </w:rPr>
      </w:pPr>
    </w:p>
    <w:p>
      <w:pPr>
        <w:ind w:left="4580"/>
        <w:spacing w:after="0"/>
        <w:rPr>
          <w:sz w:val="20"/>
          <w:szCs w:val="20"/>
          <w:color w:val="auto"/>
        </w:rPr>
      </w:pPr>
      <w:r>
        <w:rPr>
          <w:rFonts w:ascii="Verdana" w:cs="Verdana" w:eastAsia="Verdana" w:hAnsi="Verdana"/>
          <w:sz w:val="18"/>
          <w:szCs w:val="18"/>
          <w:color w:val="auto"/>
        </w:rPr>
        <w:t>Abbeygate House,</w:t>
      </w:r>
    </w:p>
    <w:p>
      <w:pPr>
        <w:spacing w:after="0" w:line="6"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34/36 Upper Abbeygate Street, Galway</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7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MEMORANDUM OF AGREEMENT </w:t>
      </w:r>
      <w:r>
        <w:rPr>
          <w:rFonts w:ascii="Verdana" w:cs="Verdana" w:eastAsia="Verdana" w:hAnsi="Verdana"/>
          <w:sz w:val="18"/>
          <w:szCs w:val="18"/>
          <w:color w:val="auto"/>
        </w:rPr>
        <w:t>made the 8</w:t>
      </w:r>
      <w:r>
        <w:rPr>
          <w:rFonts w:ascii="Verdana" w:cs="Verdana" w:eastAsia="Verdana" w:hAnsi="Verdana"/>
          <w:sz w:val="22"/>
          <w:szCs w:val="22"/>
          <w:color w:val="auto"/>
          <w:vertAlign w:val="superscript"/>
        </w:rPr>
        <w:t>th</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day of January, 2026</w:t>
      </w:r>
    </w:p>
    <w:p>
      <w:pPr>
        <w:spacing w:after="0" w:line="187" w:lineRule="exact"/>
        <w:rPr>
          <w:sz w:val="20"/>
          <w:szCs w:val="20"/>
          <w:color w:val="auto"/>
        </w:rPr>
      </w:pPr>
    </w:p>
    <w:p>
      <w:pPr>
        <w:ind w:left="100"/>
        <w:spacing w:after="0"/>
        <w:rPr>
          <w:sz w:val="20"/>
          <w:szCs w:val="20"/>
          <w:color w:val="auto"/>
        </w:rPr>
      </w:pPr>
      <w:r>
        <w:rPr>
          <w:rFonts w:ascii="Verdana" w:cs="Verdana" w:eastAsia="Verdana" w:hAnsi="Verdana"/>
          <w:sz w:val="18"/>
          <w:szCs w:val="18"/>
          <w:b w:val="1"/>
          <w:bCs w:val="1"/>
          <w:color w:val="auto"/>
        </w:rPr>
        <w:t>BETWEEN</w:t>
      </w:r>
    </w:p>
    <w:p>
      <w:pPr>
        <w:spacing w:after="0" w:line="232" w:lineRule="exact"/>
        <w:rPr>
          <w:sz w:val="20"/>
          <w:szCs w:val="20"/>
          <w:color w:val="auto"/>
        </w:rPr>
      </w:pPr>
    </w:p>
    <w:p>
      <w:pPr>
        <w:ind w:left="740" w:right="20" w:hanging="646"/>
        <w:spacing w:after="0" w:line="258" w:lineRule="auto"/>
        <w:tabs>
          <w:tab w:leader="none" w:pos="736" w:val="left"/>
        </w:tabs>
        <w:numPr>
          <w:ilvl w:val="0"/>
          <w:numId w:val="41"/>
        </w:numPr>
        <w:rPr>
          <w:rFonts w:ascii="Verdana" w:cs="Verdana" w:eastAsia="Verdana" w:hAnsi="Verdana"/>
          <w:sz w:val="18"/>
          <w:szCs w:val="18"/>
          <w:color w:val="auto"/>
        </w:rPr>
      </w:pPr>
      <w:r>
        <w:rPr>
          <w:rFonts w:ascii="Verdana" w:cs="Verdana" w:eastAsia="Verdana" w:hAnsi="Verdana"/>
          <w:sz w:val="18"/>
          <w:szCs w:val="18"/>
          <w:b w:val="1"/>
          <w:bCs w:val="1"/>
          <w:color w:val="auto"/>
        </w:rPr>
        <w:t xml:space="preserve">QUALPROP LIMITED </w:t>
      </w:r>
      <w:r>
        <w:rPr>
          <w:rFonts w:ascii="Verdana" w:cs="Verdana" w:eastAsia="Verdana" w:hAnsi="Verdana"/>
          <w:sz w:val="18"/>
          <w:szCs w:val="18"/>
          <w:color w:val="auto"/>
        </w:rPr>
        <w:t>having its registered office at Parkmore Industrial Estate, Galway and the expression the</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“Landlord” shall where the context so admits or requires include its successors and assigns; and</w:t>
      </w:r>
    </w:p>
    <w:p>
      <w:pPr>
        <w:spacing w:after="0" w:line="231" w:lineRule="exact"/>
        <w:rPr>
          <w:rFonts w:ascii="Verdana" w:cs="Verdana" w:eastAsia="Verdana" w:hAnsi="Verdana"/>
          <w:sz w:val="18"/>
          <w:szCs w:val="18"/>
          <w:color w:val="auto"/>
        </w:rPr>
      </w:pPr>
    </w:p>
    <w:p>
      <w:pPr>
        <w:ind w:left="740" w:right="20" w:hanging="646"/>
        <w:spacing w:after="0" w:line="273" w:lineRule="auto"/>
        <w:tabs>
          <w:tab w:leader="none" w:pos="569" w:val="left"/>
        </w:tabs>
        <w:numPr>
          <w:ilvl w:val="0"/>
          <w:numId w:val="41"/>
        </w:numPr>
        <w:rPr>
          <w:rFonts w:ascii="Verdana" w:cs="Verdana" w:eastAsia="Verdana" w:hAnsi="Verdana"/>
          <w:sz w:val="18"/>
          <w:szCs w:val="18"/>
          <w:color w:val="auto"/>
        </w:rPr>
      </w:pPr>
      <w:r>
        <w:rPr>
          <w:rFonts w:ascii="Verdana" w:cs="Verdana" w:eastAsia="Verdana" w:hAnsi="Verdana"/>
          <w:sz w:val="18"/>
          <w:szCs w:val="18"/>
          <w:b w:val="1"/>
          <w:bCs w:val="1"/>
          <w:color w:val="auto"/>
        </w:rPr>
        <w:t xml:space="preserve">M. &amp; M. QUALTECH LIMITED </w:t>
      </w:r>
      <w:r>
        <w:rPr>
          <w:rFonts w:ascii="Verdana" w:cs="Verdana" w:eastAsia="Verdana" w:hAnsi="Verdana"/>
          <w:sz w:val="18"/>
          <w:szCs w:val="18"/>
          <w:color w:val="auto"/>
        </w:rPr>
        <w:t>having its registered office at Parkmore Industrial Estate, Galway and the expression</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“MMQ” shall where the context so admits or requires include its’ successors and assigns; and</w:t>
      </w:r>
    </w:p>
    <w:p>
      <w:pPr>
        <w:spacing w:after="0" w:line="217" w:lineRule="exact"/>
        <w:rPr>
          <w:rFonts w:ascii="Verdana" w:cs="Verdana" w:eastAsia="Verdana" w:hAnsi="Verdana"/>
          <w:sz w:val="18"/>
          <w:szCs w:val="18"/>
          <w:color w:val="auto"/>
        </w:rPr>
      </w:pPr>
    </w:p>
    <w:p>
      <w:pPr>
        <w:ind w:left="740" w:right="20" w:hanging="646"/>
        <w:spacing w:after="0" w:line="273" w:lineRule="auto"/>
        <w:tabs>
          <w:tab w:leader="none" w:pos="789" w:val="left"/>
        </w:tabs>
        <w:numPr>
          <w:ilvl w:val="0"/>
          <w:numId w:val="41"/>
        </w:numPr>
        <w:rPr>
          <w:rFonts w:ascii="Verdana" w:cs="Verdana" w:eastAsia="Verdana" w:hAnsi="Verdana"/>
          <w:sz w:val="18"/>
          <w:szCs w:val="18"/>
          <w:color w:val="auto"/>
        </w:rPr>
      </w:pPr>
      <w:r>
        <w:rPr>
          <w:rFonts w:ascii="Verdana" w:cs="Verdana" w:eastAsia="Verdana" w:hAnsi="Verdana"/>
          <w:sz w:val="18"/>
          <w:szCs w:val="18"/>
          <w:b w:val="1"/>
          <w:bCs w:val="1"/>
          <w:color w:val="auto"/>
        </w:rPr>
        <w:t xml:space="preserve">VIVASURE MEDICAL LIMITED </w:t>
      </w:r>
      <w:r>
        <w:rPr>
          <w:rFonts w:ascii="Verdana" w:cs="Verdana" w:eastAsia="Verdana" w:hAnsi="Verdana"/>
          <w:sz w:val="18"/>
          <w:szCs w:val="18"/>
          <w:color w:val="auto"/>
        </w:rPr>
        <w:t>having its registered office at Parkmore Business Park West, Galway and the</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expression the “Tenant” shall include its successors and permitted assigns.</w:t>
      </w:r>
    </w:p>
    <w:p>
      <w:pPr>
        <w:spacing w:after="0" w:line="231" w:lineRule="exact"/>
        <w:rPr>
          <w:sz w:val="20"/>
          <w:szCs w:val="20"/>
          <w:color w:val="auto"/>
        </w:rPr>
      </w:pPr>
    </w:p>
    <w:p>
      <w:pPr>
        <w:ind w:left="460" w:hanging="366"/>
        <w:spacing w:after="0"/>
        <w:tabs>
          <w:tab w:leader="none" w:pos="460" w:val="left"/>
        </w:tabs>
        <w:numPr>
          <w:ilvl w:val="0"/>
          <w:numId w:val="4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DEFINITIONS:</w:t>
      </w:r>
    </w:p>
    <w:p>
      <w:pPr>
        <w:spacing w:after="0" w:line="232" w:lineRule="exact"/>
        <w:rPr>
          <w:sz w:val="20"/>
          <w:szCs w:val="20"/>
          <w:color w:val="auto"/>
        </w:rPr>
      </w:pPr>
    </w:p>
    <w:p>
      <w:pPr>
        <w:ind w:left="820"/>
        <w:spacing w:after="0"/>
        <w:tabs>
          <w:tab w:leader="none" w:pos="2340" w:val="left"/>
        </w:tabs>
        <w:rPr>
          <w:sz w:val="20"/>
          <w:szCs w:val="20"/>
          <w:color w:val="auto"/>
        </w:rPr>
      </w:pPr>
      <w:r>
        <w:rPr>
          <w:rFonts w:ascii="Verdana" w:cs="Verdana" w:eastAsia="Verdana" w:hAnsi="Verdana"/>
          <w:sz w:val="18"/>
          <w:szCs w:val="18"/>
          <w:b w:val="1"/>
          <w:bCs w:val="1"/>
          <w:color w:val="auto"/>
        </w:rPr>
        <w:t>“Agreement”</w:t>
      </w:r>
      <w:r>
        <w:rPr>
          <w:sz w:val="20"/>
          <w:szCs w:val="20"/>
          <w:color w:val="auto"/>
        </w:rPr>
        <w:tab/>
      </w:r>
      <w:r>
        <w:rPr>
          <w:rFonts w:ascii="Verdana" w:cs="Verdana" w:eastAsia="Verdana" w:hAnsi="Verdana"/>
          <w:sz w:val="18"/>
          <w:szCs w:val="18"/>
          <w:color w:val="auto"/>
        </w:rPr>
        <w:t>means this Business Letting Agreement and any schedules annexed thereto;</w:t>
      </w:r>
    </w:p>
    <w:p>
      <w:pPr>
        <w:spacing w:after="0" w:line="232" w:lineRule="exact"/>
        <w:rPr>
          <w:sz w:val="20"/>
          <w:szCs w:val="20"/>
          <w:color w:val="auto"/>
        </w:rPr>
      </w:pPr>
    </w:p>
    <w:p>
      <w:pPr>
        <w:ind w:left="820"/>
        <w:spacing w:after="0"/>
        <w:tabs>
          <w:tab w:leader="none" w:pos="2440" w:val="left"/>
        </w:tabs>
        <w:rPr>
          <w:sz w:val="20"/>
          <w:szCs w:val="20"/>
          <w:color w:val="auto"/>
        </w:rPr>
      </w:pPr>
      <w:r>
        <w:rPr>
          <w:rFonts w:ascii="Verdana" w:cs="Verdana" w:eastAsia="Verdana" w:hAnsi="Verdana"/>
          <w:sz w:val="18"/>
          <w:szCs w:val="18"/>
          <w:b w:val="1"/>
          <w:bCs w:val="1"/>
          <w:color w:val="auto"/>
        </w:rPr>
        <w:t>The Premises:</w:t>
      </w:r>
      <w:r>
        <w:rPr>
          <w:sz w:val="20"/>
          <w:szCs w:val="20"/>
          <w:color w:val="auto"/>
        </w:rPr>
        <w:tab/>
      </w:r>
      <w:r>
        <w:rPr>
          <w:rFonts w:ascii="Verdana" w:cs="Verdana" w:eastAsia="Verdana" w:hAnsi="Verdana"/>
          <w:sz w:val="17"/>
          <w:szCs w:val="17"/>
          <w:b w:val="1"/>
          <w:bCs w:val="1"/>
          <w:color w:val="auto"/>
        </w:rPr>
        <w:t>PART 1</w:t>
      </w:r>
    </w:p>
    <w:p>
      <w:pPr>
        <w:spacing w:after="0" w:line="33" w:lineRule="exact"/>
        <w:rPr>
          <w:sz w:val="20"/>
          <w:szCs w:val="20"/>
          <w:color w:val="auto"/>
        </w:rPr>
      </w:pPr>
    </w:p>
    <w:p>
      <w:pPr>
        <w:jc w:val="both"/>
        <w:ind w:left="3200"/>
        <w:spacing w:after="0" w:line="268" w:lineRule="auto"/>
        <w:rPr>
          <w:sz w:val="20"/>
          <w:szCs w:val="20"/>
          <w:color w:val="auto"/>
        </w:rPr>
      </w:pPr>
      <w:r>
        <w:rPr>
          <w:rFonts w:ascii="Verdana" w:cs="Verdana" w:eastAsia="Verdana" w:hAnsi="Verdana"/>
          <w:sz w:val="17"/>
          <w:szCs w:val="17"/>
          <w:b w:val="1"/>
          <w:bCs w:val="1"/>
          <w:color w:val="auto"/>
        </w:rPr>
        <w:t xml:space="preserve">ALL THAT AND THOSE </w:t>
      </w:r>
      <w:r>
        <w:rPr>
          <w:rFonts w:ascii="Verdana" w:cs="Verdana" w:eastAsia="Verdana" w:hAnsi="Verdana"/>
          <w:sz w:val="17"/>
          <w:szCs w:val="17"/>
          <w:color w:val="auto"/>
        </w:rPr>
        <w:t>portion of the Building (as hereinafter defined) situate at</w:t>
      </w:r>
      <w:r>
        <w:rPr>
          <w:rFonts w:ascii="Verdana" w:cs="Verdana" w:eastAsia="Verdana" w:hAnsi="Verdana"/>
          <w:sz w:val="17"/>
          <w:szCs w:val="17"/>
          <w:b w:val="1"/>
          <w:bCs w:val="1"/>
          <w:color w:val="auto"/>
        </w:rPr>
        <w:t xml:space="preserve"> </w:t>
      </w:r>
      <w:r>
        <w:rPr>
          <w:rFonts w:ascii="Verdana" w:cs="Verdana" w:eastAsia="Verdana" w:hAnsi="Verdana"/>
          <w:sz w:val="17"/>
          <w:szCs w:val="17"/>
          <w:color w:val="auto"/>
        </w:rPr>
        <w:t>Parkmore Business Park West, Parkmore, Galway which is shown for the purpose of identification only on the floor plan(s) annexed hereto at the First Schedule and thereon delineated in red (the “</w:t>
      </w:r>
      <w:r>
        <w:rPr>
          <w:rFonts w:ascii="Verdana" w:cs="Verdana" w:eastAsia="Verdana" w:hAnsi="Verdana"/>
          <w:sz w:val="17"/>
          <w:szCs w:val="17"/>
          <w:b w:val="1"/>
          <w:bCs w:val="1"/>
          <w:color w:val="auto"/>
        </w:rPr>
        <w:t>Plans</w:t>
      </w:r>
      <w:r>
        <w:rPr>
          <w:rFonts w:ascii="Verdana" w:cs="Verdana" w:eastAsia="Verdana" w:hAnsi="Verdana"/>
          <w:sz w:val="17"/>
          <w:szCs w:val="17"/>
          <w:color w:val="auto"/>
        </w:rPr>
        <w:t>”) TOGETHER WITH the interior faces only of all internal structural or load bearing walls or walls separating the unit with the remaining part of the Building AND TOGETHER WITH all cisterns, tanks, radiators, sewers, drains, pipes wires ducts and conduits situate in and used exclusively for the purposes of the said unit</w:t>
      </w:r>
    </w:p>
    <w:p>
      <w:pPr>
        <w:spacing w:after="0" w:line="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PART 2</w:t>
      </w:r>
    </w:p>
    <w:p>
      <w:pPr>
        <w:ind w:left="3200"/>
        <w:spacing w:after="0"/>
        <w:rPr>
          <w:sz w:val="20"/>
          <w:szCs w:val="20"/>
          <w:color w:val="auto"/>
        </w:rPr>
      </w:pPr>
      <w:r>
        <w:rPr>
          <w:rFonts w:ascii="Verdana" w:cs="Verdana" w:eastAsia="Verdana" w:hAnsi="Verdana"/>
          <w:sz w:val="18"/>
          <w:szCs w:val="18"/>
          <w:color w:val="auto"/>
        </w:rPr>
        <w:t>TOGETHER WITH the right to use the Car Parking Spaces (as hereinafter defined);</w:t>
      </w:r>
    </w:p>
    <w:p>
      <w:pPr>
        <w:spacing w:after="0"/>
        <w:rPr>
          <w:sz w:val="20"/>
          <w:szCs w:val="20"/>
          <w:color w:val="auto"/>
        </w:rPr>
      </w:pPr>
      <w:r>
        <w:rPr>
          <w:rFonts w:ascii="Verdana" w:cs="Verdana" w:eastAsia="Verdana" w:hAnsi="Verdana"/>
          <w:sz w:val="18"/>
          <w:szCs w:val="18"/>
          <w:b w:val="1"/>
          <w:bCs w:val="1"/>
          <w:color w:val="auto"/>
        </w:rPr>
        <w:t>PART 3</w:t>
      </w:r>
    </w:p>
    <w:p>
      <w:pPr>
        <w:spacing w:after="0" w:line="20" w:lineRule="exact"/>
        <w:rPr>
          <w:sz w:val="20"/>
          <w:szCs w:val="20"/>
          <w:color w:val="auto"/>
        </w:rPr>
      </w:pPr>
    </w:p>
    <w:p>
      <w:pPr>
        <w:jc w:val="both"/>
        <w:ind w:left="3200" w:right="20"/>
        <w:spacing w:after="0" w:line="250" w:lineRule="auto"/>
        <w:rPr>
          <w:sz w:val="20"/>
          <w:szCs w:val="20"/>
          <w:color w:val="auto"/>
        </w:rPr>
      </w:pPr>
      <w:r>
        <w:rPr>
          <w:rFonts w:ascii="Verdana" w:cs="Verdana" w:eastAsia="Verdana" w:hAnsi="Verdana"/>
          <w:sz w:val="18"/>
          <w:szCs w:val="18"/>
          <w:color w:val="auto"/>
        </w:rPr>
        <w:t>ALL THAT AND THOSE the workshop area more particularly described on the plans attached hereto and thereon coloured yellow (hereinafter called “the Workshop Area”), together with the right to pass and repass to and from the workshop over the area shaded yellow on the plans.</w:t>
      </w:r>
    </w:p>
    <w:p>
      <w:pPr>
        <w:spacing w:after="0" w:line="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PART 4</w:t>
      </w:r>
    </w:p>
    <w:p>
      <w:pPr>
        <w:spacing w:after="0" w:line="20" w:lineRule="exact"/>
        <w:rPr>
          <w:sz w:val="20"/>
          <w:szCs w:val="20"/>
          <w:color w:val="auto"/>
        </w:rPr>
      </w:pPr>
    </w:p>
    <w:p>
      <w:pPr>
        <w:ind w:left="3200"/>
        <w:spacing w:after="0"/>
        <w:rPr>
          <w:sz w:val="20"/>
          <w:szCs w:val="20"/>
          <w:color w:val="auto"/>
        </w:rPr>
      </w:pPr>
      <w:r>
        <w:rPr>
          <w:rFonts w:ascii="Verdana" w:cs="Verdana" w:eastAsia="Verdana" w:hAnsi="Verdana"/>
          <w:sz w:val="18"/>
          <w:szCs w:val="18"/>
          <w:color w:val="auto"/>
        </w:rPr>
        <w:t>The right to place goods in the Landlord’s/MMQ’s store reserved for such goods.</w:t>
      </w:r>
    </w:p>
    <w:p>
      <w:pPr>
        <w:spacing w:after="0" w:line="258" w:lineRule="exact"/>
        <w:rPr>
          <w:sz w:val="20"/>
          <w:szCs w:val="20"/>
          <w:color w:val="auto"/>
        </w:rPr>
      </w:pPr>
    </w:p>
    <w:p>
      <w:pPr>
        <w:ind w:right="3820" w:firstLine="809"/>
        <w:spacing w:after="0" w:line="244" w:lineRule="auto"/>
        <w:rPr>
          <w:sz w:val="20"/>
          <w:szCs w:val="20"/>
          <w:color w:val="auto"/>
        </w:rPr>
      </w:pPr>
      <w:r>
        <w:rPr>
          <w:rFonts w:ascii="Verdana" w:cs="Verdana" w:eastAsia="Verdana" w:hAnsi="Verdana"/>
          <w:sz w:val="18"/>
          <w:szCs w:val="18"/>
          <w:b w:val="1"/>
          <w:bCs w:val="1"/>
          <w:color w:val="auto"/>
        </w:rPr>
        <w:t xml:space="preserve">Permitted Use: </w:t>
      </w:r>
      <w:r>
        <w:rPr>
          <w:rFonts w:ascii="Verdana" w:cs="Verdana" w:eastAsia="Verdana" w:hAnsi="Verdana"/>
          <w:sz w:val="18"/>
          <w:szCs w:val="18"/>
          <w:color w:val="auto"/>
        </w:rPr>
        <w:t>Medical device research, development, administration</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and manufacturing.</w:t>
      </w:r>
    </w:p>
    <w:p>
      <w:pPr>
        <w:sectPr>
          <w:pgSz w:w="11900" w:h="16838" w:orient="portrait"/>
          <w:cols w:equalWidth="0" w:num="1">
            <w:col w:w="11140"/>
          </w:cols>
          <w:pgMar w:left="320" w:top="1440" w:right="439" w:bottom="1440" w:gutter="0" w:footer="0" w:header="0"/>
        </w:sectPr>
      </w:pPr>
    </w:p>
    <w:bookmarkStart w:id="127" w:name="page128"/>
    <w:bookmarkEnd w:id="127"/>
    <w:p>
      <w:pPr>
        <w:spacing w:after="0" w:line="200" w:lineRule="exact"/>
        <w:rPr>
          <w:sz w:val="20"/>
          <w:szCs w:val="20"/>
          <w:color w:val="auto"/>
        </w:rPr>
      </w:pPr>
    </w:p>
    <w:p>
      <w:pPr>
        <w:spacing w:after="0" w:line="372" w:lineRule="exact"/>
        <w:rPr>
          <w:sz w:val="20"/>
          <w:szCs w:val="20"/>
          <w:color w:val="auto"/>
        </w:rPr>
      </w:pPr>
    </w:p>
    <w:p>
      <w:pPr>
        <w:jc w:val="both"/>
        <w:ind w:left="1700" w:right="100" w:hanging="2380"/>
        <w:spacing w:after="0" w:line="226" w:lineRule="auto"/>
        <w:tabs>
          <w:tab w:leader="none" w:pos="1680" w:val="left"/>
        </w:tabs>
        <w:rPr>
          <w:sz w:val="20"/>
          <w:szCs w:val="20"/>
          <w:color w:val="auto"/>
        </w:rPr>
      </w:pPr>
      <w:r>
        <w:rPr>
          <w:rFonts w:ascii="Verdana" w:cs="Verdana" w:eastAsia="Verdana" w:hAnsi="Verdana"/>
          <w:sz w:val="18"/>
          <w:szCs w:val="18"/>
          <w:b w:val="1"/>
          <w:bCs w:val="1"/>
          <w:color w:val="auto"/>
        </w:rPr>
        <w:t>Term:</w:t>
      </w:r>
      <w:r>
        <w:rPr>
          <w:sz w:val="20"/>
          <w:szCs w:val="20"/>
          <w:color w:val="auto"/>
        </w:rPr>
        <w:tab/>
      </w:r>
      <w:r>
        <w:rPr>
          <w:rFonts w:ascii="Verdana" w:cs="Verdana" w:eastAsia="Verdana" w:hAnsi="Verdana"/>
          <w:sz w:val="18"/>
          <w:szCs w:val="18"/>
          <w:color w:val="auto"/>
        </w:rPr>
        <w:t>the period from the 1</w:t>
      </w:r>
      <w:r>
        <w:rPr>
          <w:rFonts w:ascii="Verdana" w:cs="Verdana" w:eastAsia="Verdana" w:hAnsi="Verdana"/>
          <w:sz w:val="22"/>
          <w:szCs w:val="22"/>
          <w:color w:val="auto"/>
          <w:vertAlign w:val="superscript"/>
        </w:rPr>
        <w:t>st</w:t>
      </w:r>
      <w:r>
        <w:rPr>
          <w:rFonts w:ascii="Verdana" w:cs="Verdana" w:eastAsia="Verdana" w:hAnsi="Verdana"/>
          <w:sz w:val="18"/>
          <w:szCs w:val="18"/>
          <w:color w:val="auto"/>
        </w:rPr>
        <w:t xml:space="preserve"> day of December 2025 to the 31</w:t>
      </w:r>
      <w:r>
        <w:rPr>
          <w:rFonts w:ascii="Verdana" w:cs="Verdana" w:eastAsia="Verdana" w:hAnsi="Verdana"/>
          <w:sz w:val="22"/>
          <w:szCs w:val="22"/>
          <w:color w:val="auto"/>
          <w:vertAlign w:val="superscript"/>
        </w:rPr>
        <w:t>st</w:t>
      </w:r>
      <w:r>
        <w:rPr>
          <w:rFonts w:ascii="Verdana" w:cs="Verdana" w:eastAsia="Verdana" w:hAnsi="Verdana"/>
          <w:sz w:val="18"/>
          <w:szCs w:val="18"/>
          <w:color w:val="auto"/>
        </w:rPr>
        <w:t xml:space="preserve"> day of December 2028 subject always to the termination rights of the Landlord and the Tenant specified in this Agreement.</w:t>
      </w:r>
    </w:p>
    <w:p>
      <w:pPr>
        <w:spacing w:after="0" w:line="34" w:lineRule="exact"/>
        <w:rPr>
          <w:sz w:val="20"/>
          <w:szCs w:val="20"/>
          <w:color w:val="auto"/>
        </w:rPr>
      </w:pPr>
    </w:p>
    <w:p>
      <w:pPr>
        <w:ind w:left="820"/>
        <w:spacing w:after="0"/>
        <w:rPr>
          <w:sz w:val="20"/>
          <w:szCs w:val="20"/>
          <w:color w:val="auto"/>
        </w:rPr>
      </w:pPr>
      <w:r>
        <w:rPr>
          <w:rFonts w:ascii="Verdana" w:cs="Verdana" w:eastAsia="Verdana" w:hAnsi="Verdana"/>
          <w:sz w:val="18"/>
          <w:szCs w:val="18"/>
          <w:b w:val="1"/>
          <w:bCs w:val="1"/>
          <w:color w:val="auto"/>
        </w:rPr>
        <w:t xml:space="preserve">Term Commencement </w:t>
      </w:r>
      <w:r>
        <w:rPr>
          <w:rFonts w:ascii="Verdana" w:cs="Verdana" w:eastAsia="Verdana" w:hAnsi="Verdana"/>
          <w:sz w:val="18"/>
          <w:szCs w:val="18"/>
          <w:color w:val="auto"/>
        </w:rPr>
        <w:t>means 1</w:t>
      </w:r>
      <w:r>
        <w:rPr>
          <w:rFonts w:ascii="Verdana" w:cs="Verdana" w:eastAsia="Verdana" w:hAnsi="Verdana"/>
          <w:sz w:val="22"/>
          <w:szCs w:val="22"/>
          <w:color w:val="auto"/>
          <w:vertAlign w:val="superscript"/>
        </w:rPr>
        <w:t>st</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day of January 2026</w:t>
      </w:r>
    </w:p>
    <w:p>
      <w:pPr>
        <w:spacing w:after="0"/>
        <w:rPr>
          <w:sz w:val="20"/>
          <w:szCs w:val="20"/>
          <w:color w:val="auto"/>
        </w:rPr>
      </w:pPr>
      <w:r>
        <w:rPr>
          <w:rFonts w:ascii="Verdana" w:cs="Verdana" w:eastAsia="Verdana" w:hAnsi="Verdana"/>
          <w:sz w:val="18"/>
          <w:szCs w:val="18"/>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540" w:right="100" w:hanging="2380"/>
        <w:spacing w:after="0" w:line="260" w:lineRule="auto"/>
        <w:tabs>
          <w:tab w:leader="none" w:pos="1520" w:val="left"/>
        </w:tabs>
        <w:rPr>
          <w:sz w:val="20"/>
          <w:szCs w:val="20"/>
          <w:color w:val="auto"/>
        </w:rPr>
      </w:pPr>
      <w:r>
        <w:rPr>
          <w:rFonts w:ascii="Verdana" w:cs="Verdana" w:eastAsia="Verdana" w:hAnsi="Verdana"/>
          <w:sz w:val="18"/>
          <w:szCs w:val="18"/>
          <w:b w:val="1"/>
          <w:bCs w:val="1"/>
          <w:color w:val="auto"/>
        </w:rPr>
        <w:t>Rent</w:t>
      </w:r>
      <w:r>
        <w:rPr>
          <w:sz w:val="20"/>
          <w:szCs w:val="20"/>
          <w:color w:val="auto"/>
        </w:rPr>
        <w:tab/>
      </w:r>
      <w:r>
        <w:rPr>
          <w:rFonts w:ascii="Verdana" w:cs="Verdana" w:eastAsia="Verdana" w:hAnsi="Verdana"/>
          <w:sz w:val="18"/>
          <w:szCs w:val="18"/>
          <w:color w:val="auto"/>
        </w:rPr>
        <w:t>the sum of €[***] per annum or pro rata for any part of a year and, from and including each Review Date (as defined in the Fourth Schedule), such yearly rent as becomes payable under the Fourth Schedule.</w:t>
      </w:r>
    </w:p>
    <w:p>
      <w:pPr>
        <w:spacing w:after="0" w:line="243"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060" w:type="dxa"/>
            <w:vAlign w:val="bottom"/>
            <w:vMerge w:val="restart"/>
          </w:tcPr>
          <w:p>
            <w:pPr>
              <w:spacing w:after="0"/>
              <w:rPr>
                <w:sz w:val="20"/>
                <w:szCs w:val="20"/>
                <w:color w:val="auto"/>
              </w:rPr>
            </w:pPr>
            <w:r>
              <w:rPr>
                <w:rFonts w:ascii="Verdana" w:cs="Verdana" w:eastAsia="Verdana" w:hAnsi="Verdana"/>
                <w:sz w:val="18"/>
                <w:szCs w:val="18"/>
                <w:b w:val="1"/>
                <w:bCs w:val="1"/>
                <w:color w:val="auto"/>
              </w:rPr>
              <w:t>Rent Commencement Date</w:t>
            </w:r>
          </w:p>
        </w:tc>
        <w:tc>
          <w:tcPr>
            <w:tcW w:w="3840" w:type="dxa"/>
            <w:vAlign w:val="bottom"/>
          </w:tcPr>
          <w:p>
            <w:pPr>
              <w:ind w:left="400"/>
              <w:spacing w:after="0"/>
              <w:rPr>
                <w:sz w:val="20"/>
                <w:szCs w:val="20"/>
                <w:color w:val="auto"/>
              </w:rPr>
            </w:pPr>
            <w:r>
              <w:rPr>
                <w:rFonts w:ascii="Verdana" w:cs="Verdana" w:eastAsia="Verdana" w:hAnsi="Verdana"/>
                <w:sz w:val="18"/>
                <w:szCs w:val="18"/>
                <w:color w:val="auto"/>
                <w:w w:val="97"/>
              </w:rPr>
              <w:t>means the Term Commencement Date</w:t>
            </w:r>
          </w:p>
        </w:tc>
        <w:tc>
          <w:tcPr>
            <w:tcW w:w="0" w:type="dxa"/>
            <w:vAlign w:val="bottom"/>
          </w:tcPr>
          <w:p>
            <w:pPr>
              <w:spacing w:after="0"/>
              <w:rPr>
                <w:sz w:val="1"/>
                <w:szCs w:val="1"/>
                <w:color w:val="auto"/>
              </w:rPr>
            </w:pPr>
          </w:p>
        </w:tc>
      </w:tr>
      <w:tr>
        <w:trPr>
          <w:trHeight w:val="79"/>
        </w:trPr>
        <w:tc>
          <w:tcPr>
            <w:tcW w:w="3060" w:type="dxa"/>
            <w:vAlign w:val="bottom"/>
            <w:vMerge w:val="continue"/>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ind w:left="3180" w:hanging="2543"/>
        <w:spacing w:after="0" w:line="244" w:lineRule="auto"/>
        <w:rPr>
          <w:sz w:val="20"/>
          <w:szCs w:val="20"/>
          <w:color w:val="auto"/>
        </w:rPr>
      </w:pPr>
      <w:r>
        <w:rPr>
          <w:rFonts w:ascii="Verdana" w:cs="Verdana" w:eastAsia="Verdana" w:hAnsi="Verdana"/>
          <w:sz w:val="18"/>
          <w:szCs w:val="18"/>
          <w:b w:val="1"/>
          <w:bCs w:val="1"/>
          <w:color w:val="auto"/>
        </w:rPr>
        <w:t xml:space="preserve">Manner Payable </w:t>
      </w:r>
      <w:r>
        <w:rPr>
          <w:rFonts w:ascii="Verdana" w:cs="Verdana" w:eastAsia="Verdana" w:hAnsi="Verdana"/>
          <w:sz w:val="18"/>
          <w:szCs w:val="18"/>
          <w:color w:val="auto"/>
        </w:rPr>
        <w:t>Bi-Monthly in arrears on the first day of each subsequent month, subject to the Landlord providing a</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VAT Invoice</w:t>
      </w:r>
    </w:p>
    <w:p>
      <w:pPr>
        <w:spacing w:after="0" w:line="200" w:lineRule="exact"/>
        <w:rPr>
          <w:sz w:val="20"/>
          <w:szCs w:val="20"/>
          <w:color w:val="auto"/>
        </w:rPr>
      </w:pPr>
    </w:p>
    <w:p>
      <w:pPr>
        <w:spacing w:after="0" w:line="269" w:lineRule="exact"/>
        <w:rPr>
          <w:sz w:val="20"/>
          <w:szCs w:val="20"/>
          <w:color w:val="auto"/>
        </w:rPr>
      </w:pPr>
    </w:p>
    <w:p>
      <w:pPr>
        <w:jc w:val="both"/>
        <w:ind w:left="100" w:right="120"/>
        <w:spacing w:after="0" w:line="260" w:lineRule="auto"/>
        <w:rPr>
          <w:sz w:val="20"/>
          <w:szCs w:val="20"/>
          <w:color w:val="auto"/>
        </w:rPr>
      </w:pPr>
      <w:r>
        <w:rPr>
          <w:rFonts w:ascii="Verdana" w:cs="Verdana" w:eastAsia="Verdana" w:hAnsi="Verdana"/>
          <w:sz w:val="18"/>
          <w:szCs w:val="18"/>
          <w:b w:val="1"/>
          <w:bCs w:val="1"/>
          <w:color w:val="auto"/>
        </w:rPr>
        <w:t xml:space="preserve">WHEREBY </w:t>
      </w:r>
      <w:r>
        <w:rPr>
          <w:rFonts w:ascii="Verdana" w:cs="Verdana" w:eastAsia="Verdana" w:hAnsi="Verdana"/>
          <w:sz w:val="18"/>
          <w:szCs w:val="18"/>
          <w:color w:val="auto"/>
        </w:rPr>
        <w:t>the Landlord agrees to let and the Tenant agrees to take the Premises for the Term and at the Rent details of</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which are as set out above and the Tenant agrees to pay the amount of the Rent and other payments in the manner and at the times described herein and each of the said parties further agree and accept the terms and conditions on their respective parts to be observed and performed and which are set out in the special and general conditions attached to this Agreement.</w:t>
      </w:r>
    </w:p>
    <w:p>
      <w:pPr>
        <w:sectPr>
          <w:pgSz w:w="11900" w:h="16838" w:orient="portrait"/>
          <w:cols w:equalWidth="0" w:num="1">
            <w:col w:w="11240"/>
          </w:cols>
          <w:pgMar w:left="320" w:top="1440" w:right="339" w:bottom="1440" w:gutter="0" w:footer="0" w:header="0"/>
        </w:sectPr>
      </w:pPr>
    </w:p>
    <w:bookmarkStart w:id="128" w:name="page129"/>
    <w:bookmarkEnd w:id="128"/>
    <w:p>
      <w:pPr>
        <w:ind w:left="6"/>
        <w:spacing w:after="0"/>
        <w:rPr>
          <w:sz w:val="20"/>
          <w:szCs w:val="20"/>
          <w:color w:val="auto"/>
        </w:rPr>
      </w:pPr>
      <w:r>
        <w:rPr>
          <w:rFonts w:ascii="Verdana" w:cs="Verdana" w:eastAsia="Verdana" w:hAnsi="Verdana"/>
          <w:sz w:val="18"/>
          <w:szCs w:val="18"/>
          <w:b w:val="1"/>
          <w:bCs w:val="1"/>
          <w:color w:val="auto"/>
        </w:rPr>
        <w:t>PRESENT when the Common Seal of THE LANDLORD</w:t>
      </w:r>
    </w:p>
    <w:p>
      <w:pPr>
        <w:spacing w:after="0" w:line="20" w:lineRule="exact"/>
        <w:rPr>
          <w:sz w:val="20"/>
          <w:szCs w:val="20"/>
          <w:color w:val="auto"/>
        </w:rPr>
      </w:pPr>
    </w:p>
    <w:p>
      <w:pPr>
        <w:ind w:left="6"/>
        <w:spacing w:after="0"/>
        <w:rPr>
          <w:sz w:val="20"/>
          <w:szCs w:val="20"/>
          <w:color w:val="auto"/>
        </w:rPr>
      </w:pPr>
      <w:r>
        <w:rPr>
          <w:rFonts w:ascii="Verdana" w:cs="Verdana" w:eastAsia="Verdana" w:hAnsi="Verdana"/>
          <w:sz w:val="18"/>
          <w:szCs w:val="18"/>
          <w:b w:val="1"/>
          <w:bCs w:val="1"/>
          <w:color w:val="auto"/>
        </w:rPr>
        <w:t>was affixed hereto:</w:t>
      </w:r>
    </w:p>
    <w:p>
      <w:pPr>
        <w:spacing w:after="0" w:line="20"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/s/ Michael Connelly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7620</wp:posOffset>
            </wp:positionV>
            <wp:extent cx="3314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jc w:val="right"/>
        <w:spacing w:after="0"/>
        <w:rPr>
          <w:sz w:val="20"/>
          <w:szCs w:val="20"/>
          <w:color w:val="auto"/>
        </w:rPr>
      </w:pPr>
      <w:r>
        <w:rPr>
          <w:rFonts w:ascii="Verdana" w:cs="Verdana" w:eastAsia="Verdana" w:hAnsi="Verdana"/>
          <w:sz w:val="18"/>
          <w:szCs w:val="18"/>
          <w:b w:val="1"/>
          <w:bCs w:val="1"/>
          <w:color w:val="auto"/>
        </w:rPr>
        <w:t>Director</w:t>
      </w:r>
    </w:p>
    <w:p>
      <w:pPr>
        <w:spacing w:after="0" w:line="271"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/s/ James Elwood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7620</wp:posOffset>
            </wp:positionV>
            <wp:extent cx="3314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jc w:val="right"/>
        <w:spacing w:after="0"/>
        <w:rPr>
          <w:sz w:val="20"/>
          <w:szCs w:val="20"/>
          <w:color w:val="auto"/>
        </w:rPr>
      </w:pPr>
      <w:r>
        <w:rPr>
          <w:rFonts w:ascii="Verdana" w:cs="Verdana" w:eastAsia="Verdana" w:hAnsi="Verdana"/>
          <w:sz w:val="18"/>
          <w:szCs w:val="18"/>
          <w:b w:val="1"/>
          <w:bCs w:val="1"/>
          <w:color w:val="auto"/>
        </w:rPr>
        <w:t>Director/Secretary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
        <w:spacing w:after="0"/>
        <w:rPr>
          <w:sz w:val="20"/>
          <w:szCs w:val="20"/>
          <w:color w:val="auto"/>
        </w:rPr>
      </w:pPr>
      <w:r>
        <w:rPr>
          <w:rFonts w:ascii="Verdana" w:cs="Verdana" w:eastAsia="Verdana" w:hAnsi="Verdana"/>
          <w:sz w:val="18"/>
          <w:szCs w:val="18"/>
          <w:b w:val="1"/>
          <w:bCs w:val="1"/>
          <w:color w:val="auto"/>
        </w:rPr>
        <w:t>PRESENT when the Common Seal of MMQ</w:t>
      </w:r>
    </w:p>
    <w:p>
      <w:pPr>
        <w:spacing w:after="0" w:line="20" w:lineRule="exact"/>
        <w:rPr>
          <w:sz w:val="20"/>
          <w:szCs w:val="20"/>
          <w:color w:val="auto"/>
        </w:rPr>
      </w:pPr>
    </w:p>
    <w:p>
      <w:pPr>
        <w:ind w:left="6"/>
        <w:spacing w:after="0"/>
        <w:rPr>
          <w:sz w:val="20"/>
          <w:szCs w:val="20"/>
          <w:color w:val="auto"/>
        </w:rPr>
      </w:pPr>
      <w:r>
        <w:rPr>
          <w:rFonts w:ascii="Verdana" w:cs="Verdana" w:eastAsia="Verdana" w:hAnsi="Verdana"/>
          <w:sz w:val="18"/>
          <w:szCs w:val="18"/>
          <w:b w:val="1"/>
          <w:bCs w:val="1"/>
          <w:color w:val="auto"/>
        </w:rPr>
        <w:t>was affixed hereto:</w:t>
      </w:r>
    </w:p>
    <w:p>
      <w:pPr>
        <w:spacing w:after="0" w:line="20"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/s/ Michael Connelly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7620</wp:posOffset>
            </wp:positionV>
            <wp:extent cx="32899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jc w:val="right"/>
        <w:spacing w:after="0"/>
        <w:rPr>
          <w:sz w:val="20"/>
          <w:szCs w:val="20"/>
          <w:color w:val="auto"/>
        </w:rPr>
      </w:pPr>
      <w:r>
        <w:rPr>
          <w:rFonts w:ascii="Verdana" w:cs="Verdana" w:eastAsia="Verdana" w:hAnsi="Verdana"/>
          <w:sz w:val="18"/>
          <w:szCs w:val="18"/>
          <w:b w:val="1"/>
          <w:bCs w:val="1"/>
          <w:color w:val="auto"/>
        </w:rPr>
        <w:t>Director</w:t>
      </w:r>
    </w:p>
    <w:p>
      <w:pPr>
        <w:spacing w:after="0" w:line="271"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/s/ James Elwood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7620</wp:posOffset>
            </wp:positionV>
            <wp:extent cx="32899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jc w:val="right"/>
        <w:spacing w:after="0"/>
        <w:rPr>
          <w:sz w:val="20"/>
          <w:szCs w:val="20"/>
          <w:color w:val="auto"/>
        </w:rPr>
      </w:pPr>
      <w:r>
        <w:rPr>
          <w:rFonts w:ascii="Verdana" w:cs="Verdana" w:eastAsia="Verdana" w:hAnsi="Verdana"/>
          <w:sz w:val="18"/>
          <w:szCs w:val="18"/>
          <w:b w:val="1"/>
          <w:bCs w:val="1"/>
          <w:color w:val="auto"/>
        </w:rPr>
        <w:t>Director/Secretary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
        <w:spacing w:after="0"/>
        <w:rPr>
          <w:sz w:val="20"/>
          <w:szCs w:val="20"/>
          <w:color w:val="auto"/>
        </w:rPr>
      </w:pPr>
      <w:r>
        <w:rPr>
          <w:rFonts w:ascii="Verdana" w:cs="Verdana" w:eastAsia="Verdana" w:hAnsi="Verdana"/>
          <w:sz w:val="18"/>
          <w:szCs w:val="18"/>
          <w:b w:val="1"/>
          <w:bCs w:val="1"/>
          <w:color w:val="auto"/>
        </w:rPr>
        <w:t>PRESENT when the Common Seal of THE TENANT</w:t>
      </w:r>
    </w:p>
    <w:p>
      <w:pPr>
        <w:spacing w:after="0" w:line="20" w:lineRule="exact"/>
        <w:rPr>
          <w:sz w:val="20"/>
          <w:szCs w:val="20"/>
          <w:color w:val="auto"/>
        </w:rPr>
      </w:pPr>
    </w:p>
    <w:p>
      <w:pPr>
        <w:ind w:left="6"/>
        <w:spacing w:after="0"/>
        <w:rPr>
          <w:sz w:val="20"/>
          <w:szCs w:val="20"/>
          <w:color w:val="auto"/>
        </w:rPr>
      </w:pPr>
      <w:r>
        <w:rPr>
          <w:rFonts w:ascii="Verdana" w:cs="Verdana" w:eastAsia="Verdana" w:hAnsi="Verdana"/>
          <w:sz w:val="18"/>
          <w:szCs w:val="18"/>
          <w:b w:val="1"/>
          <w:bCs w:val="1"/>
          <w:color w:val="auto"/>
        </w:rPr>
        <w:t>was affixed hereto:</w:t>
      </w:r>
    </w:p>
    <w:p>
      <w:pPr>
        <w:spacing w:after="0" w:line="20"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/s/ David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7620</wp:posOffset>
            </wp:positionV>
            <wp:extent cx="3314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jc w:val="right"/>
        <w:spacing w:after="0"/>
        <w:rPr>
          <w:sz w:val="20"/>
          <w:szCs w:val="20"/>
          <w:color w:val="auto"/>
        </w:rPr>
      </w:pPr>
      <w:r>
        <w:rPr>
          <w:rFonts w:ascii="Verdana" w:cs="Verdana" w:eastAsia="Verdana" w:hAnsi="Verdana"/>
          <w:sz w:val="18"/>
          <w:szCs w:val="18"/>
          <w:b w:val="1"/>
          <w:bCs w:val="1"/>
          <w:color w:val="auto"/>
        </w:rPr>
        <w:t>Director/Secretary</w:t>
      </w:r>
    </w:p>
    <w:p>
      <w:pPr>
        <w:spacing w:after="0" w:line="271"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David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7620</wp:posOffset>
            </wp:positionV>
            <wp:extent cx="3314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jc w:val="right"/>
        <w:spacing w:after="0"/>
        <w:rPr>
          <w:sz w:val="20"/>
          <w:szCs w:val="20"/>
          <w:color w:val="auto"/>
        </w:rPr>
      </w:pPr>
      <w:r>
        <w:rPr>
          <w:rFonts w:ascii="Verdana" w:cs="Verdana" w:eastAsia="Verdana" w:hAnsi="Verdana"/>
          <w:sz w:val="18"/>
          <w:szCs w:val="18"/>
          <w:b w:val="1"/>
          <w:bCs w:val="1"/>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
        <w:spacing w:after="0"/>
        <w:rPr>
          <w:sz w:val="20"/>
          <w:szCs w:val="20"/>
          <w:color w:val="auto"/>
        </w:rPr>
      </w:pPr>
      <w:r>
        <w:rPr>
          <w:rFonts w:ascii="Verdana" w:cs="Verdana" w:eastAsia="Verdana" w:hAnsi="Verdana"/>
          <w:sz w:val="18"/>
          <w:szCs w:val="18"/>
          <w:b w:val="1"/>
          <w:bCs w:val="1"/>
          <w:color w:val="auto"/>
        </w:rPr>
        <w:t>SPECIAL CONDITIONS</w:t>
      </w:r>
    </w:p>
    <w:p>
      <w:pPr>
        <w:spacing w:after="0" w:line="200" w:lineRule="exact"/>
        <w:rPr>
          <w:sz w:val="20"/>
          <w:szCs w:val="20"/>
          <w:color w:val="auto"/>
        </w:rPr>
      </w:pPr>
    </w:p>
    <w:p>
      <w:pPr>
        <w:spacing w:after="0" w:line="283" w:lineRule="exact"/>
        <w:rPr>
          <w:sz w:val="20"/>
          <w:szCs w:val="20"/>
          <w:color w:val="auto"/>
        </w:rPr>
      </w:pPr>
    </w:p>
    <w:p>
      <w:pPr>
        <w:jc w:val="both"/>
        <w:ind w:left="646" w:right="100" w:hanging="646"/>
        <w:spacing w:after="0" w:line="260" w:lineRule="auto"/>
        <w:tabs>
          <w:tab w:leader="none" w:pos="636" w:val="left"/>
        </w:tabs>
        <w:numPr>
          <w:ilvl w:val="0"/>
          <w:numId w:val="43"/>
        </w:numPr>
        <w:rPr>
          <w:rFonts w:ascii="Verdana" w:cs="Verdana" w:eastAsia="Verdana" w:hAnsi="Verdana"/>
          <w:sz w:val="18"/>
          <w:szCs w:val="18"/>
          <w:b w:val="1"/>
          <w:bCs w:val="1"/>
          <w:color w:val="auto"/>
        </w:rPr>
      </w:pPr>
      <w:r>
        <w:rPr>
          <w:rFonts w:ascii="Verdana" w:cs="Verdana" w:eastAsia="Verdana" w:hAnsi="Verdana"/>
          <w:sz w:val="18"/>
          <w:szCs w:val="18"/>
          <w:color w:val="auto"/>
        </w:rPr>
        <w:t>On the termination of this Agreement, the Tenant shall not move or transfer or attempt to remove to transfer any telephone or any electricity, gas or other services from the Premises (except such extra telephone or fax lines or other lines of communication which the Tenant has installed at its own expense) but shall leave the same intact and shall pay all charges in respect of the use of all such services up to date of departure or to the termination of the relevant agreement for hire, whichever is the longer.</w:t>
      </w:r>
    </w:p>
    <w:p>
      <w:pPr>
        <w:spacing w:after="0" w:line="219" w:lineRule="exact"/>
        <w:rPr>
          <w:rFonts w:ascii="Verdana" w:cs="Verdana" w:eastAsia="Verdana" w:hAnsi="Verdana"/>
          <w:sz w:val="18"/>
          <w:szCs w:val="18"/>
          <w:b w:val="1"/>
          <w:bCs w:val="1"/>
          <w:color w:val="auto"/>
        </w:rPr>
      </w:pPr>
    </w:p>
    <w:p>
      <w:pPr>
        <w:jc w:val="both"/>
        <w:ind w:left="646" w:right="80" w:hanging="646"/>
        <w:spacing w:after="0" w:line="267" w:lineRule="auto"/>
        <w:tabs>
          <w:tab w:leader="none" w:pos="636" w:val="left"/>
        </w:tabs>
        <w:numPr>
          <w:ilvl w:val="0"/>
          <w:numId w:val="43"/>
        </w:numPr>
        <w:rPr>
          <w:rFonts w:ascii="Verdana" w:cs="Verdana" w:eastAsia="Verdana" w:hAnsi="Verdana"/>
          <w:sz w:val="18"/>
          <w:szCs w:val="18"/>
          <w:b w:val="1"/>
          <w:bCs w:val="1"/>
          <w:color w:val="auto"/>
        </w:rPr>
      </w:pPr>
      <w:r>
        <w:rPr>
          <w:rFonts w:ascii="Verdana" w:cs="Verdana" w:eastAsia="Verdana" w:hAnsi="Verdana"/>
          <w:sz w:val="18"/>
          <w:szCs w:val="18"/>
          <w:color w:val="auto"/>
        </w:rPr>
        <w:t>Notwithstanding any provision of this Agreement, the Landlord and Tenant agree that all outgoings, including commercial rates, service charge, and water charges are included in the rental figure. In the event of a rate revaluation of the property being carried out the related increase shall be passed on pro rata to the Tenant</w:t>
      </w:r>
    </w:p>
    <w:p>
      <w:pPr>
        <w:spacing w:after="0" w:line="223" w:lineRule="exact"/>
        <w:rPr>
          <w:rFonts w:ascii="Verdana" w:cs="Verdana" w:eastAsia="Verdana" w:hAnsi="Verdana"/>
          <w:sz w:val="18"/>
          <w:szCs w:val="18"/>
          <w:b w:val="1"/>
          <w:bCs w:val="1"/>
          <w:color w:val="auto"/>
        </w:rPr>
      </w:pPr>
    </w:p>
    <w:p>
      <w:pPr>
        <w:ind w:left="646" w:right="100" w:hanging="646"/>
        <w:spacing w:after="0" w:line="258" w:lineRule="auto"/>
        <w:tabs>
          <w:tab w:leader="none" w:pos="636" w:val="left"/>
        </w:tabs>
        <w:numPr>
          <w:ilvl w:val="0"/>
          <w:numId w:val="43"/>
        </w:numPr>
        <w:rPr>
          <w:rFonts w:ascii="Verdana" w:cs="Verdana" w:eastAsia="Verdana" w:hAnsi="Verdana"/>
          <w:sz w:val="18"/>
          <w:szCs w:val="18"/>
          <w:b w:val="1"/>
          <w:bCs w:val="1"/>
          <w:color w:val="auto"/>
        </w:rPr>
      </w:pPr>
      <w:r>
        <w:rPr>
          <w:rFonts w:ascii="Verdana" w:cs="Verdana" w:eastAsia="Verdana" w:hAnsi="Verdana"/>
          <w:sz w:val="18"/>
          <w:szCs w:val="18"/>
          <w:color w:val="auto"/>
        </w:rPr>
        <w:t>The Landlord and the Tenant agree that any charges in respect of the Tenant’s usage of electric current will be invoiced to the Tenant on a monthly basis in</w:t>
      </w:r>
    </w:p>
    <w:p>
      <w:pPr>
        <w:sectPr>
          <w:pgSz w:w="11900" w:h="16838" w:orient="portrait"/>
          <w:cols w:equalWidth="0" w:num="1">
            <w:col w:w="11126"/>
          </w:cols>
          <w:pgMar w:left="414" w:top="1406" w:right="359" w:bottom="1440" w:gutter="0" w:footer="0" w:header="0"/>
        </w:sectPr>
      </w:pPr>
    </w:p>
    <w:bookmarkStart w:id="129" w:name="page130"/>
    <w:bookmarkEnd w:id="129"/>
    <w:p>
      <w:pPr>
        <w:ind w:left="646" w:right="20"/>
        <w:spacing w:after="0" w:line="273" w:lineRule="auto"/>
        <w:rPr>
          <w:sz w:val="20"/>
          <w:szCs w:val="20"/>
          <w:color w:val="auto"/>
        </w:rPr>
      </w:pPr>
      <w:r>
        <w:rPr>
          <w:rFonts w:ascii="Verdana" w:cs="Verdana" w:eastAsia="Verdana" w:hAnsi="Verdana"/>
          <w:sz w:val="18"/>
          <w:szCs w:val="18"/>
          <w:color w:val="auto"/>
        </w:rPr>
        <w:t>arrears. The Landlord shall not be responsible for any interruption, breakdown or shortage of electricity or water supply from third party service providers.</w:t>
      </w:r>
    </w:p>
    <w:p>
      <w:pPr>
        <w:spacing w:after="0" w:line="218" w:lineRule="exact"/>
        <w:rPr>
          <w:sz w:val="20"/>
          <w:szCs w:val="20"/>
          <w:color w:val="auto"/>
        </w:rPr>
      </w:pPr>
    </w:p>
    <w:p>
      <w:pPr>
        <w:jc w:val="both"/>
        <w:ind w:left="646" w:hanging="646"/>
        <w:spacing w:after="0" w:line="267" w:lineRule="auto"/>
        <w:tabs>
          <w:tab w:leader="none" w:pos="636" w:val="left"/>
        </w:tabs>
        <w:numPr>
          <w:ilvl w:val="0"/>
          <w:numId w:val="44"/>
        </w:numPr>
        <w:rPr>
          <w:rFonts w:ascii="Verdana" w:cs="Verdana" w:eastAsia="Verdana" w:hAnsi="Verdana"/>
          <w:sz w:val="18"/>
          <w:szCs w:val="18"/>
          <w:b w:val="1"/>
          <w:bCs w:val="1"/>
          <w:color w:val="auto"/>
        </w:rPr>
      </w:pPr>
      <w:r>
        <w:rPr>
          <w:rFonts w:ascii="Verdana" w:cs="Verdana" w:eastAsia="Verdana" w:hAnsi="Verdana"/>
          <w:sz w:val="18"/>
          <w:szCs w:val="18"/>
          <w:color w:val="auto"/>
        </w:rPr>
        <w:t>Where under the terms of this Agreement the consent or approval of the Landlord is required for any matter of thing then the Landlord covenants with the Tenant that in each case the consent or approval of the Landlord shall not be unreasonably withheld or delayed.</w:t>
      </w:r>
    </w:p>
    <w:p>
      <w:pPr>
        <w:spacing w:after="0" w:line="223" w:lineRule="exact"/>
        <w:rPr>
          <w:rFonts w:ascii="Verdana" w:cs="Verdana" w:eastAsia="Verdana" w:hAnsi="Verdana"/>
          <w:sz w:val="18"/>
          <w:szCs w:val="18"/>
          <w:b w:val="1"/>
          <w:bCs w:val="1"/>
          <w:color w:val="auto"/>
        </w:rPr>
      </w:pPr>
    </w:p>
    <w:p>
      <w:pPr>
        <w:jc w:val="both"/>
        <w:ind w:left="646" w:hanging="646"/>
        <w:spacing w:after="0" w:line="260" w:lineRule="auto"/>
        <w:tabs>
          <w:tab w:leader="none" w:pos="636" w:val="left"/>
        </w:tabs>
        <w:numPr>
          <w:ilvl w:val="0"/>
          <w:numId w:val="44"/>
        </w:numPr>
        <w:rPr>
          <w:rFonts w:ascii="Verdana" w:cs="Verdana" w:eastAsia="Verdana" w:hAnsi="Verdana"/>
          <w:sz w:val="18"/>
          <w:szCs w:val="18"/>
          <w:b w:val="1"/>
          <w:bCs w:val="1"/>
          <w:color w:val="auto"/>
        </w:rPr>
      </w:pPr>
      <w:r>
        <w:rPr>
          <w:rFonts w:ascii="Verdana" w:cs="Verdana" w:eastAsia="Verdana" w:hAnsi="Verdana"/>
          <w:sz w:val="18"/>
          <w:szCs w:val="18"/>
          <w:color w:val="auto"/>
        </w:rPr>
        <w:t>The Tenant shall be entitled to use the Premises 24 hours a day 365 days a year, except in respect of the Workshop Area and/or warehouse pallet area. Access to same shall only be during the hours that same is operated by the Landlord.</w:t>
      </w:r>
    </w:p>
    <w:p>
      <w:pPr>
        <w:spacing w:after="0" w:line="243" w:lineRule="exact"/>
        <w:rPr>
          <w:rFonts w:ascii="Verdana" w:cs="Verdana" w:eastAsia="Verdana" w:hAnsi="Verdana"/>
          <w:sz w:val="18"/>
          <w:szCs w:val="18"/>
          <w:b w:val="1"/>
          <w:bCs w:val="1"/>
          <w:color w:val="auto"/>
        </w:rPr>
      </w:pPr>
    </w:p>
    <w:p>
      <w:pPr>
        <w:jc w:val="both"/>
        <w:ind w:left="646" w:hanging="646"/>
        <w:spacing w:after="0" w:line="260" w:lineRule="auto"/>
        <w:tabs>
          <w:tab w:leader="none" w:pos="636" w:val="left"/>
        </w:tabs>
        <w:numPr>
          <w:ilvl w:val="0"/>
          <w:numId w:val="44"/>
        </w:numPr>
        <w:rPr>
          <w:rFonts w:ascii="Verdana" w:cs="Verdana" w:eastAsia="Verdana" w:hAnsi="Verdana"/>
          <w:sz w:val="18"/>
          <w:szCs w:val="18"/>
          <w:b w:val="1"/>
          <w:bCs w:val="1"/>
          <w:color w:val="auto"/>
        </w:rPr>
      </w:pPr>
      <w:r>
        <w:rPr>
          <w:rFonts w:ascii="Verdana" w:cs="Verdana" w:eastAsia="Verdana" w:hAnsi="Verdana"/>
          <w:sz w:val="18"/>
          <w:szCs w:val="18"/>
          <w:color w:val="auto"/>
        </w:rPr>
        <w:t>The Landlord’s consent will not be required in respect of any internal non- structural additions or internal non-structural alterations (including the erection or installation of temporary demountable partitions and normal office furniture) that do not require planning permission or a fire safety certificate.</w:t>
      </w:r>
    </w:p>
    <w:p>
      <w:pPr>
        <w:spacing w:after="0" w:line="229" w:lineRule="exact"/>
        <w:rPr>
          <w:rFonts w:ascii="Verdana" w:cs="Verdana" w:eastAsia="Verdana" w:hAnsi="Verdana"/>
          <w:sz w:val="18"/>
          <w:szCs w:val="18"/>
          <w:b w:val="1"/>
          <w:bCs w:val="1"/>
          <w:color w:val="auto"/>
        </w:rPr>
      </w:pPr>
    </w:p>
    <w:p>
      <w:pPr>
        <w:jc w:val="both"/>
        <w:ind w:left="646" w:hanging="646"/>
        <w:spacing w:after="0" w:line="261" w:lineRule="auto"/>
        <w:tabs>
          <w:tab w:leader="none" w:pos="636" w:val="left"/>
        </w:tabs>
        <w:numPr>
          <w:ilvl w:val="0"/>
          <w:numId w:val="44"/>
        </w:numPr>
        <w:rPr>
          <w:rFonts w:ascii="Verdana" w:cs="Verdana" w:eastAsia="Verdana" w:hAnsi="Verdana"/>
          <w:sz w:val="18"/>
          <w:szCs w:val="18"/>
          <w:b w:val="1"/>
          <w:bCs w:val="1"/>
          <w:color w:val="auto"/>
        </w:rPr>
      </w:pPr>
      <w:r>
        <w:rPr>
          <w:rFonts w:ascii="Verdana" w:cs="Verdana" w:eastAsia="Verdana" w:hAnsi="Verdana"/>
          <w:sz w:val="18"/>
          <w:szCs w:val="18"/>
          <w:color w:val="auto"/>
        </w:rPr>
        <w:t xml:space="preserve">The Tenant will have no liability or obligation to repair or maintain any latent and inherent defects or to remedy any damage or disrepair caused by any latent or inherent defects and the Tenant shall not be required to put the Premises in any better state of repair than exists at the time of granting of this Agreement </w:t>
      </w:r>
      <w:r>
        <w:rPr>
          <w:rFonts w:ascii="Verdana" w:cs="Verdana" w:eastAsia="Verdana" w:hAnsi="Verdana"/>
          <w:sz w:val="18"/>
          <w:szCs w:val="18"/>
          <w:b w:val="1"/>
          <w:bCs w:val="1"/>
          <w:color w:val="auto"/>
        </w:rPr>
        <w:t>TO THE INTENT</w:t>
      </w:r>
      <w:r>
        <w:rPr>
          <w:rFonts w:ascii="Verdana" w:cs="Verdana" w:eastAsia="Verdana" w:hAnsi="Verdana"/>
          <w:sz w:val="18"/>
          <w:szCs w:val="18"/>
          <w:color w:val="auto"/>
        </w:rPr>
        <w:t xml:space="preserve"> that it is agreed that any repair or maintenance required to the Premises which exceeds the responsibility of the Tenant under this Agreement or which relates to a latent or inherent defects shall be the responsibility of the Landlord and the cost of same shall not be passed to the Tenant.</w:t>
      </w:r>
    </w:p>
    <w:p>
      <w:pPr>
        <w:spacing w:after="0" w:line="215" w:lineRule="exact"/>
        <w:rPr>
          <w:rFonts w:ascii="Verdana" w:cs="Verdana" w:eastAsia="Verdana" w:hAnsi="Verdana"/>
          <w:sz w:val="18"/>
          <w:szCs w:val="18"/>
          <w:b w:val="1"/>
          <w:bCs w:val="1"/>
          <w:color w:val="auto"/>
        </w:rPr>
      </w:pPr>
    </w:p>
    <w:p>
      <w:pPr>
        <w:jc w:val="both"/>
        <w:ind w:left="646" w:hanging="646"/>
        <w:spacing w:after="0" w:line="265" w:lineRule="auto"/>
        <w:tabs>
          <w:tab w:leader="none" w:pos="636" w:val="left"/>
        </w:tabs>
        <w:numPr>
          <w:ilvl w:val="0"/>
          <w:numId w:val="44"/>
        </w:numPr>
        <w:rPr>
          <w:rFonts w:ascii="Verdana" w:cs="Verdana" w:eastAsia="Verdana" w:hAnsi="Verdana"/>
          <w:sz w:val="18"/>
          <w:szCs w:val="18"/>
          <w:b w:val="1"/>
          <w:bCs w:val="1"/>
          <w:color w:val="auto"/>
        </w:rPr>
      </w:pPr>
      <w:r>
        <w:rPr>
          <w:rFonts w:ascii="Verdana" w:cs="Verdana" w:eastAsia="Verdana" w:hAnsi="Verdana"/>
          <w:sz w:val="18"/>
          <w:szCs w:val="18"/>
          <w:color w:val="auto"/>
        </w:rPr>
        <w:t>Notwithstanding any provision of this Agreement, the Tenant shall not be required to yield up the Premises in any better state of repair than exists at the time of granting of this Agreement and the Tenant will, only if requested in writing by the Landlord in good time prior to yield up, remove all Tenant’s or trade fixtures prior to the expiration or sooner determination of the Term.</w:t>
      </w:r>
    </w:p>
    <w:p>
      <w:pPr>
        <w:spacing w:after="0" w:line="213" w:lineRule="exact"/>
        <w:rPr>
          <w:rFonts w:ascii="Verdana" w:cs="Verdana" w:eastAsia="Verdana" w:hAnsi="Verdana"/>
          <w:sz w:val="18"/>
          <w:szCs w:val="18"/>
          <w:b w:val="1"/>
          <w:bCs w:val="1"/>
          <w:color w:val="auto"/>
        </w:rPr>
      </w:pPr>
    </w:p>
    <w:p>
      <w:pPr>
        <w:jc w:val="both"/>
        <w:ind w:left="646" w:hanging="646"/>
        <w:spacing w:after="0" w:line="267" w:lineRule="auto"/>
        <w:tabs>
          <w:tab w:leader="none" w:pos="636" w:val="left"/>
        </w:tabs>
        <w:numPr>
          <w:ilvl w:val="0"/>
          <w:numId w:val="44"/>
        </w:numPr>
        <w:rPr>
          <w:rFonts w:ascii="Verdana" w:cs="Verdana" w:eastAsia="Verdana" w:hAnsi="Verdana"/>
          <w:sz w:val="18"/>
          <w:szCs w:val="18"/>
          <w:b w:val="1"/>
          <w:bCs w:val="1"/>
          <w:color w:val="auto"/>
        </w:rPr>
      </w:pPr>
      <w:r>
        <w:rPr>
          <w:rFonts w:ascii="Verdana" w:cs="Verdana" w:eastAsia="Verdana" w:hAnsi="Verdana"/>
          <w:sz w:val="18"/>
          <w:szCs w:val="18"/>
          <w:color w:val="auto"/>
        </w:rPr>
        <w:t>In exercising any of the Landlord’s rights of entry or other rights in relation to the Premises the Landlord shall (and where any party enters the Premises on the Landlord’s authorisation, the Landlord covenants to enforce these conditions on such party):</w:t>
      </w:r>
    </w:p>
    <w:p>
      <w:pPr>
        <w:spacing w:after="0" w:line="224" w:lineRule="exact"/>
        <w:rPr>
          <w:sz w:val="20"/>
          <w:szCs w:val="20"/>
          <w:color w:val="auto"/>
        </w:rPr>
      </w:pPr>
    </w:p>
    <w:p>
      <w:pPr>
        <w:jc w:val="both"/>
        <w:ind w:left="626" w:hanging="635"/>
        <w:spacing w:after="0" w:line="258" w:lineRule="auto"/>
        <w:tabs>
          <w:tab w:leader="none" w:pos="605" w:val="left"/>
        </w:tabs>
        <w:rPr>
          <w:sz w:val="20"/>
          <w:szCs w:val="20"/>
          <w:color w:val="auto"/>
        </w:rPr>
      </w:pPr>
      <w:r>
        <w:rPr>
          <w:rFonts w:ascii="Verdana" w:cs="Verdana" w:eastAsia="Verdana" w:hAnsi="Verdana"/>
          <w:sz w:val="18"/>
          <w:szCs w:val="18"/>
          <w:color w:val="auto"/>
        </w:rPr>
        <w:t>9.1</w:t>
      </w:r>
      <w:r>
        <w:rPr>
          <w:sz w:val="20"/>
          <w:szCs w:val="20"/>
          <w:color w:val="auto"/>
        </w:rPr>
        <w:tab/>
      </w:r>
      <w:r>
        <w:rPr>
          <w:rFonts w:ascii="Verdana" w:cs="Verdana" w:eastAsia="Verdana" w:hAnsi="Verdana"/>
          <w:sz w:val="18"/>
          <w:szCs w:val="18"/>
          <w:color w:val="auto"/>
        </w:rPr>
        <w:t>To take all necessary steps to ensure that as little damage is done to the Premises and the fixtures, fittings and equipment therein and as little inconvenience is caused to their occupiers as is reasonably practicable;</w:t>
      </w:r>
    </w:p>
    <w:p>
      <w:pPr>
        <w:spacing w:after="0" w:line="232" w:lineRule="exact"/>
        <w:rPr>
          <w:sz w:val="20"/>
          <w:szCs w:val="20"/>
          <w:color w:val="auto"/>
        </w:rPr>
      </w:pPr>
    </w:p>
    <w:p>
      <w:pPr>
        <w:jc w:val="both"/>
        <w:ind w:left="626" w:hanging="635"/>
        <w:spacing w:after="0" w:line="273" w:lineRule="auto"/>
        <w:tabs>
          <w:tab w:leader="none" w:pos="605" w:val="left"/>
        </w:tabs>
        <w:rPr>
          <w:sz w:val="20"/>
          <w:szCs w:val="20"/>
          <w:color w:val="auto"/>
        </w:rPr>
      </w:pPr>
      <w:r>
        <w:rPr>
          <w:rFonts w:ascii="Verdana" w:cs="Verdana" w:eastAsia="Verdana" w:hAnsi="Verdana"/>
          <w:sz w:val="18"/>
          <w:szCs w:val="18"/>
          <w:color w:val="auto"/>
        </w:rPr>
        <w:t>9.2</w:t>
      </w:r>
      <w:r>
        <w:rPr>
          <w:sz w:val="20"/>
          <w:szCs w:val="20"/>
          <w:color w:val="auto"/>
        </w:rPr>
        <w:tab/>
      </w:r>
      <w:r>
        <w:rPr>
          <w:rFonts w:ascii="Verdana" w:cs="Verdana" w:eastAsia="Verdana" w:hAnsi="Verdana"/>
          <w:sz w:val="18"/>
          <w:szCs w:val="18"/>
          <w:color w:val="auto"/>
        </w:rPr>
        <w:t>To make good without delay any damage to the Premises and/or the Tenant’s fixtures and fittings and contents therein which may be caused by such exercise;</w:t>
      </w:r>
    </w:p>
    <w:p>
      <w:pPr>
        <w:spacing w:after="0" w:line="218" w:lineRule="exact"/>
        <w:rPr>
          <w:sz w:val="20"/>
          <w:szCs w:val="20"/>
          <w:color w:val="auto"/>
        </w:rPr>
      </w:pPr>
    </w:p>
    <w:p>
      <w:pPr>
        <w:jc w:val="both"/>
        <w:ind w:left="626" w:hanging="635"/>
        <w:spacing w:after="0" w:line="265" w:lineRule="auto"/>
        <w:tabs>
          <w:tab w:leader="none" w:pos="605" w:val="left"/>
        </w:tabs>
        <w:rPr>
          <w:sz w:val="20"/>
          <w:szCs w:val="20"/>
          <w:color w:val="auto"/>
        </w:rPr>
      </w:pPr>
      <w:r>
        <w:rPr>
          <w:rFonts w:ascii="Verdana" w:cs="Verdana" w:eastAsia="Verdana" w:hAnsi="Verdana"/>
          <w:sz w:val="18"/>
          <w:szCs w:val="18"/>
          <w:color w:val="auto"/>
        </w:rPr>
        <w:t>9.3</w:t>
      </w:r>
      <w:r>
        <w:rPr>
          <w:sz w:val="20"/>
          <w:szCs w:val="20"/>
          <w:color w:val="auto"/>
        </w:rPr>
        <w:tab/>
      </w:r>
      <w:r>
        <w:rPr>
          <w:rFonts w:ascii="Verdana" w:cs="Verdana" w:eastAsia="Verdana" w:hAnsi="Verdana"/>
          <w:sz w:val="18"/>
          <w:szCs w:val="18"/>
          <w:color w:val="auto"/>
        </w:rPr>
        <w:t>To enter by prior appointment at a reasonable time and upon reasonable prior notice or at least seven hours (save in the case of emergency where as much notice as possible will be given) and the Landlord shall prior to any such entry consider all alternatives, and the Landlord shall agree with the Tenant the timetable and method for the carrying out of such works prior to the Landlord’s entry or commencement thereof;</w:t>
      </w:r>
    </w:p>
    <w:p>
      <w:pPr>
        <w:sectPr>
          <w:pgSz w:w="11900" w:h="16838" w:orient="portrait"/>
          <w:cols w:equalWidth="0" w:num="1">
            <w:col w:w="11046"/>
          </w:cols>
          <w:pgMar w:left="414" w:top="1327" w:right="439" w:bottom="1440" w:gutter="0" w:footer="0" w:header="0"/>
        </w:sectPr>
      </w:pPr>
    </w:p>
    <w:bookmarkStart w:id="130" w:name="page131"/>
    <w:bookmarkEnd w:id="130"/>
    <w:p>
      <w:pPr>
        <w:spacing w:after="0" w:line="200" w:lineRule="exact"/>
        <w:rPr>
          <w:sz w:val="20"/>
          <w:szCs w:val="20"/>
          <w:color w:val="auto"/>
        </w:rPr>
      </w:pPr>
    </w:p>
    <w:p>
      <w:pPr>
        <w:spacing w:after="0" w:line="217" w:lineRule="exact"/>
        <w:rPr>
          <w:sz w:val="20"/>
          <w:szCs w:val="20"/>
          <w:color w:val="auto"/>
        </w:rPr>
      </w:pPr>
    </w:p>
    <w:p>
      <w:pPr>
        <w:jc w:val="both"/>
        <w:ind w:left="714" w:right="20" w:hanging="635"/>
        <w:spacing w:after="0" w:line="267" w:lineRule="auto"/>
        <w:tabs>
          <w:tab w:leader="none" w:pos="694" w:val="left"/>
        </w:tabs>
        <w:rPr>
          <w:sz w:val="20"/>
          <w:szCs w:val="20"/>
          <w:color w:val="auto"/>
        </w:rPr>
      </w:pPr>
      <w:r>
        <w:rPr>
          <w:rFonts w:ascii="Verdana" w:cs="Verdana" w:eastAsia="Verdana" w:hAnsi="Verdana"/>
          <w:sz w:val="18"/>
          <w:szCs w:val="18"/>
          <w:color w:val="auto"/>
        </w:rPr>
        <w:t>9.4</w:t>
      </w:r>
      <w:r>
        <w:rPr>
          <w:sz w:val="20"/>
          <w:szCs w:val="20"/>
          <w:color w:val="auto"/>
        </w:rPr>
        <w:tab/>
      </w:r>
      <w:r>
        <w:rPr>
          <w:rFonts w:ascii="Verdana" w:cs="Verdana" w:eastAsia="Verdana" w:hAnsi="Verdana"/>
          <w:sz w:val="18"/>
          <w:szCs w:val="18"/>
          <w:color w:val="auto"/>
        </w:rPr>
        <w:t>To ensure insofar as is reasonably practicable that such rights of entry are exercised outside the Tenant’s hours of business and the Landlord complying with any reasonable requirements of the Tenant (including those relating to confidentiality, security, access, hours of work, noise and methodology for any works);</w:t>
      </w:r>
    </w:p>
    <w:p>
      <w:pPr>
        <w:spacing w:after="0" w:line="211" w:lineRule="exact"/>
        <w:rPr>
          <w:sz w:val="20"/>
          <w:szCs w:val="20"/>
          <w:color w:val="auto"/>
        </w:rPr>
      </w:pPr>
    </w:p>
    <w:p>
      <w:pPr>
        <w:jc w:val="both"/>
        <w:ind w:left="714" w:right="20" w:hanging="635"/>
        <w:spacing w:after="0" w:line="273" w:lineRule="auto"/>
        <w:tabs>
          <w:tab w:leader="none" w:pos="694" w:val="left"/>
        </w:tabs>
        <w:rPr>
          <w:sz w:val="20"/>
          <w:szCs w:val="20"/>
          <w:color w:val="auto"/>
        </w:rPr>
      </w:pPr>
      <w:r>
        <w:rPr>
          <w:rFonts w:ascii="Verdana" w:cs="Verdana" w:eastAsia="Verdana" w:hAnsi="Verdana"/>
          <w:sz w:val="18"/>
          <w:szCs w:val="18"/>
          <w:color w:val="auto"/>
        </w:rPr>
        <w:t>9.5</w:t>
      </w:r>
      <w:r>
        <w:rPr>
          <w:sz w:val="20"/>
          <w:szCs w:val="20"/>
          <w:color w:val="auto"/>
        </w:rPr>
        <w:tab/>
      </w:r>
      <w:r>
        <w:rPr>
          <w:rFonts w:ascii="Verdana" w:cs="Verdana" w:eastAsia="Verdana" w:hAnsi="Verdana"/>
          <w:sz w:val="18"/>
          <w:szCs w:val="18"/>
          <w:color w:val="auto"/>
        </w:rPr>
        <w:t>To have the person as entering accompanied by an authorised member of the Tenant’s staff and to observe the Tenant’s reasonable regulations as to insurance, security and confidentiality; and</w:t>
      </w:r>
    </w:p>
    <w:p>
      <w:pPr>
        <w:spacing w:after="0" w:line="231" w:lineRule="exact"/>
        <w:rPr>
          <w:sz w:val="20"/>
          <w:szCs w:val="20"/>
          <w:color w:val="auto"/>
        </w:rPr>
      </w:pPr>
    </w:p>
    <w:p>
      <w:pPr>
        <w:ind w:left="94"/>
        <w:spacing w:after="0"/>
        <w:rPr>
          <w:sz w:val="20"/>
          <w:szCs w:val="20"/>
          <w:color w:val="auto"/>
        </w:rPr>
      </w:pPr>
      <w:r>
        <w:rPr>
          <w:rFonts w:ascii="Verdana" w:cs="Verdana" w:eastAsia="Verdana" w:hAnsi="Verdana"/>
          <w:sz w:val="18"/>
          <w:szCs w:val="18"/>
          <w:color w:val="auto"/>
        </w:rPr>
        <w:t>9.6 To make good any damage which may be caused by such exercise.</w:t>
      </w:r>
    </w:p>
    <w:p>
      <w:pPr>
        <w:spacing w:after="0" w:line="245" w:lineRule="exact"/>
        <w:rPr>
          <w:sz w:val="20"/>
          <w:szCs w:val="20"/>
          <w:color w:val="auto"/>
        </w:rPr>
      </w:pPr>
    </w:p>
    <w:p>
      <w:pPr>
        <w:ind w:left="634" w:right="20" w:hanging="634"/>
        <w:spacing w:after="0" w:line="258" w:lineRule="auto"/>
        <w:tabs>
          <w:tab w:leader="none" w:pos="900" w:val="left"/>
        </w:tabs>
        <w:numPr>
          <w:ilvl w:val="0"/>
          <w:numId w:val="45"/>
        </w:numPr>
        <w:rPr>
          <w:rFonts w:ascii="Verdana" w:cs="Verdana" w:eastAsia="Verdana" w:hAnsi="Verdana"/>
          <w:sz w:val="18"/>
          <w:szCs w:val="18"/>
          <w:color w:val="auto"/>
        </w:rPr>
      </w:pPr>
      <w:r>
        <w:rPr>
          <w:rFonts w:ascii="Verdana" w:cs="Verdana" w:eastAsia="Verdana" w:hAnsi="Verdana"/>
          <w:sz w:val="18"/>
          <w:szCs w:val="18"/>
          <w:color w:val="auto"/>
        </w:rPr>
        <w:t>In the event of any conflict between these Special Conditions and the General Conditions of this Agreement, the Special Conditions shall prevail.</w:t>
      </w:r>
    </w:p>
    <w:p>
      <w:pPr>
        <w:spacing w:after="0" w:line="245" w:lineRule="exact"/>
        <w:rPr>
          <w:sz w:val="20"/>
          <w:szCs w:val="20"/>
          <w:color w:val="auto"/>
        </w:rPr>
      </w:pPr>
    </w:p>
    <w:p>
      <w:pPr>
        <w:jc w:val="both"/>
        <w:ind w:left="734" w:hanging="646"/>
        <w:spacing w:after="0" w:line="260" w:lineRule="auto"/>
        <w:tabs>
          <w:tab w:leader="none" w:pos="733" w:val="left"/>
        </w:tabs>
        <w:numPr>
          <w:ilvl w:val="0"/>
          <w:numId w:val="46"/>
        </w:numPr>
        <w:rPr>
          <w:rFonts w:ascii="Verdana" w:cs="Verdana" w:eastAsia="Verdana" w:hAnsi="Verdana"/>
          <w:sz w:val="18"/>
          <w:szCs w:val="18"/>
          <w:color w:val="auto"/>
        </w:rPr>
      </w:pPr>
      <w:r>
        <w:rPr>
          <w:rFonts w:ascii="Verdana" w:cs="Verdana" w:eastAsia="Verdana" w:hAnsi="Verdana"/>
          <w:sz w:val="18"/>
          <w:szCs w:val="18"/>
          <w:color w:val="auto"/>
        </w:rPr>
        <w:t>The Car parking spaces will be used for the purpose of parking private motor vehicles belonging to staff or invitees of the Tenant only. The Tenant takes responsibility for their staff and invitees in the same way as MMQ do as regards vehicle movement and carparking. The Tenant shall obey such reasonable regulations as may be applied by the Landlord or MMQ from time to time in relation to the parking of vehicles.</w:t>
      </w:r>
    </w:p>
    <w:p>
      <w:pPr>
        <w:spacing w:after="0" w:line="231" w:lineRule="exact"/>
        <w:rPr>
          <w:rFonts w:ascii="Verdana" w:cs="Verdana" w:eastAsia="Verdana" w:hAnsi="Verdana"/>
          <w:sz w:val="18"/>
          <w:szCs w:val="18"/>
          <w:color w:val="auto"/>
        </w:rPr>
      </w:pPr>
    </w:p>
    <w:p>
      <w:pPr>
        <w:ind w:left="734" w:right="20" w:hanging="646"/>
        <w:spacing w:after="0" w:line="273" w:lineRule="auto"/>
        <w:tabs>
          <w:tab w:leader="none" w:pos="733" w:val="left"/>
        </w:tabs>
        <w:numPr>
          <w:ilvl w:val="0"/>
          <w:numId w:val="46"/>
        </w:numPr>
        <w:rPr>
          <w:rFonts w:ascii="Verdana" w:cs="Verdana" w:eastAsia="Verdana" w:hAnsi="Verdana"/>
          <w:sz w:val="18"/>
          <w:szCs w:val="18"/>
          <w:color w:val="auto"/>
        </w:rPr>
      </w:pPr>
      <w:r>
        <w:rPr>
          <w:rFonts w:ascii="Verdana" w:cs="Verdana" w:eastAsia="Verdana" w:hAnsi="Verdana"/>
          <w:sz w:val="18"/>
          <w:szCs w:val="18"/>
          <w:color w:val="auto"/>
        </w:rPr>
        <w:t>The Tenant shall have the right to store goods in the goods store in accordance with the protocol set out in Schedule 2 attached hereto and pallet capacity is limited to 150 euro pallet spaces.</w:t>
      </w:r>
    </w:p>
    <w:p>
      <w:pPr>
        <w:spacing w:after="0" w:line="200" w:lineRule="exact"/>
        <w:rPr>
          <w:rFonts w:ascii="Verdana" w:cs="Verdana" w:eastAsia="Verdana" w:hAnsi="Verdana"/>
          <w:sz w:val="18"/>
          <w:szCs w:val="18"/>
          <w:color w:val="auto"/>
        </w:rPr>
      </w:pPr>
    </w:p>
    <w:p>
      <w:pPr>
        <w:spacing w:after="0" w:line="256" w:lineRule="exact"/>
        <w:rPr>
          <w:rFonts w:ascii="Verdana" w:cs="Verdana" w:eastAsia="Verdana" w:hAnsi="Verdana"/>
          <w:sz w:val="18"/>
          <w:szCs w:val="18"/>
          <w:color w:val="auto"/>
        </w:rPr>
      </w:pPr>
    </w:p>
    <w:p>
      <w:pPr>
        <w:jc w:val="both"/>
        <w:ind w:left="734" w:right="20" w:hanging="646"/>
        <w:spacing w:after="0" w:line="267" w:lineRule="auto"/>
        <w:tabs>
          <w:tab w:leader="none" w:pos="733" w:val="left"/>
        </w:tabs>
        <w:numPr>
          <w:ilvl w:val="0"/>
          <w:numId w:val="46"/>
        </w:numPr>
        <w:rPr>
          <w:rFonts w:ascii="Verdana" w:cs="Verdana" w:eastAsia="Verdana" w:hAnsi="Verdana"/>
          <w:sz w:val="18"/>
          <w:szCs w:val="18"/>
          <w:color w:val="auto"/>
        </w:rPr>
      </w:pPr>
      <w:r>
        <w:rPr>
          <w:rFonts w:ascii="Verdana" w:cs="Verdana" w:eastAsia="Verdana" w:hAnsi="Verdana"/>
          <w:sz w:val="18"/>
          <w:szCs w:val="18"/>
          <w:color w:val="auto"/>
        </w:rPr>
        <w:t>The Tenant acknowledges that the Premises includes two Class 8 clean rooms, one of which was validated when the Tenant took possession. At the expiration or sooner determination of this Agreement the Tenant shall ensure that one of the clean rooms will be validated and shall produce the necessary documentation in this regard.</w:t>
      </w:r>
    </w:p>
    <w:p>
      <w:pPr>
        <w:sectPr>
          <w:pgSz w:w="11900" w:h="16838" w:orient="portrait"/>
          <w:cols w:equalWidth="0" w:num="1">
            <w:col w:w="11154"/>
          </w:cols>
          <w:pgMar w:left="326" w:top="1440" w:right="419" w:bottom="1440" w:gutter="0" w:footer="0" w:header="0"/>
        </w:sectPr>
      </w:pPr>
    </w:p>
    <w:bookmarkStart w:id="131" w:name="page132"/>
    <w:bookmarkEnd w:id="131"/>
    <w:p>
      <w:pPr>
        <w:spacing w:after="0" w:line="232" w:lineRule="exact"/>
        <w:rPr>
          <w:sz w:val="20"/>
          <w:szCs w:val="20"/>
          <w:color w:val="auto"/>
        </w:rPr>
      </w:pPr>
    </w:p>
    <w:p>
      <w:pPr>
        <w:jc w:val="center"/>
        <w:ind w:right="-9"/>
        <w:spacing w:after="0"/>
        <w:rPr>
          <w:sz w:val="20"/>
          <w:szCs w:val="20"/>
          <w:color w:val="auto"/>
        </w:rPr>
      </w:pPr>
      <w:r>
        <w:rPr>
          <w:rFonts w:ascii="Verdana" w:cs="Verdana" w:eastAsia="Verdana" w:hAnsi="Verdana"/>
          <w:sz w:val="18"/>
          <w:szCs w:val="18"/>
          <w:b w:val="1"/>
          <w:bCs w:val="1"/>
          <w:color w:val="auto"/>
        </w:rPr>
        <w:t>GENERAL CONDITIONS</w:t>
      </w:r>
    </w:p>
    <w:p>
      <w:pPr>
        <w:spacing w:after="0" w:line="200" w:lineRule="exact"/>
        <w:rPr>
          <w:sz w:val="20"/>
          <w:szCs w:val="20"/>
          <w:color w:val="auto"/>
        </w:rPr>
      </w:pPr>
    </w:p>
    <w:p>
      <w:pPr>
        <w:spacing w:after="0" w:line="363" w:lineRule="exact"/>
        <w:rPr>
          <w:sz w:val="20"/>
          <w:szCs w:val="20"/>
          <w:color w:val="auto"/>
        </w:rPr>
      </w:pPr>
    </w:p>
    <w:p>
      <w:pPr>
        <w:ind w:left="630" w:hanging="630"/>
        <w:spacing w:after="0"/>
        <w:tabs>
          <w:tab w:leader="none" w:pos="630" w:val="left"/>
        </w:tabs>
        <w:numPr>
          <w:ilvl w:val="0"/>
          <w:numId w:val="4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DEFINITIONS</w:t>
      </w:r>
    </w:p>
    <w:p>
      <w:pPr>
        <w:spacing w:after="0" w:line="232" w:lineRule="exact"/>
        <w:rPr>
          <w:sz w:val="20"/>
          <w:szCs w:val="20"/>
          <w:color w:val="auto"/>
        </w:rPr>
      </w:pPr>
    </w:p>
    <w:p>
      <w:pPr>
        <w:jc w:val="both"/>
        <w:ind w:left="2110" w:right="20" w:hanging="3363"/>
        <w:spacing w:after="0" w:line="258" w:lineRule="auto"/>
        <w:tabs>
          <w:tab w:leader="none" w:pos="2089" w:val="left"/>
        </w:tabs>
        <w:rPr>
          <w:sz w:val="20"/>
          <w:szCs w:val="20"/>
          <w:color w:val="auto"/>
        </w:rPr>
      </w:pPr>
      <w:r>
        <w:rPr>
          <w:rFonts w:ascii="Verdana" w:cs="Verdana" w:eastAsia="Verdana" w:hAnsi="Verdana"/>
          <w:sz w:val="18"/>
          <w:szCs w:val="18"/>
          <w:b w:val="1"/>
          <w:bCs w:val="1"/>
          <w:color w:val="auto"/>
        </w:rPr>
        <w:t>“Building”</w:t>
      </w:r>
      <w:r>
        <w:rPr>
          <w:sz w:val="20"/>
          <w:szCs w:val="20"/>
          <w:color w:val="auto"/>
        </w:rPr>
        <w:tab/>
      </w:r>
      <w:r>
        <w:rPr>
          <w:rFonts w:ascii="Verdana" w:cs="Verdana" w:eastAsia="Verdana" w:hAnsi="Verdana"/>
          <w:sz w:val="18"/>
          <w:szCs w:val="18"/>
          <w:color w:val="auto"/>
        </w:rPr>
        <w:t xml:space="preserve">means </w:t>
      </w:r>
      <w:r>
        <w:rPr>
          <w:rFonts w:ascii="Verdana" w:cs="Verdana" w:eastAsia="Verdana" w:hAnsi="Verdana"/>
          <w:sz w:val="18"/>
          <w:szCs w:val="18"/>
          <w:b w:val="1"/>
          <w:bCs w:val="1"/>
          <w:color w:val="auto"/>
        </w:rPr>
        <w:t>ALL THAT AND THOSE</w:t>
      </w:r>
      <w:r>
        <w:rPr>
          <w:rFonts w:ascii="Verdana" w:cs="Verdana" w:eastAsia="Verdana" w:hAnsi="Verdana"/>
          <w:sz w:val="18"/>
          <w:szCs w:val="18"/>
          <w:color w:val="auto"/>
        </w:rPr>
        <w:t xml:space="preserve"> that land and hereditaments known as Parkmore Business Park West, Parkmore, Galway.</w:t>
      </w:r>
    </w:p>
    <w:p>
      <w:pPr>
        <w:spacing w:after="0" w:line="232" w:lineRule="exact"/>
        <w:rPr>
          <w:sz w:val="20"/>
          <w:szCs w:val="20"/>
          <w:color w:val="auto"/>
        </w:rPr>
      </w:pPr>
    </w:p>
    <w:p>
      <w:pPr>
        <w:ind w:left="730"/>
        <w:spacing w:after="0"/>
        <w:tabs>
          <w:tab w:leader="none" w:pos="3069" w:val="left"/>
        </w:tabs>
        <w:rPr>
          <w:sz w:val="20"/>
          <w:szCs w:val="20"/>
          <w:color w:val="auto"/>
        </w:rPr>
      </w:pPr>
      <w:r>
        <w:rPr>
          <w:rFonts w:ascii="Verdana" w:cs="Verdana" w:eastAsia="Verdana" w:hAnsi="Verdana"/>
          <w:sz w:val="18"/>
          <w:szCs w:val="18"/>
          <w:b w:val="1"/>
          <w:bCs w:val="1"/>
          <w:color w:val="auto"/>
        </w:rPr>
        <w:t>“Car Parking Spaces”</w:t>
      </w:r>
      <w:r>
        <w:rPr>
          <w:sz w:val="20"/>
          <w:szCs w:val="20"/>
          <w:color w:val="auto"/>
        </w:rPr>
        <w:tab/>
      </w:r>
      <w:r>
        <w:rPr>
          <w:rFonts w:ascii="Verdana" w:cs="Verdana" w:eastAsia="Verdana" w:hAnsi="Verdana"/>
          <w:sz w:val="17"/>
          <w:szCs w:val="17"/>
          <w:color w:val="auto"/>
        </w:rPr>
        <w:t>means 15 marked car parking spaces the</w:t>
      </w:r>
    </w:p>
    <w:p>
      <w:pPr>
        <w:spacing w:after="0" w:line="20" w:lineRule="exact"/>
        <w:rPr>
          <w:sz w:val="20"/>
          <w:szCs w:val="20"/>
          <w:color w:val="auto"/>
        </w:rPr>
      </w:pPr>
    </w:p>
    <w:p>
      <w:pPr>
        <w:ind w:left="4090" w:right="20"/>
        <w:spacing w:after="0" w:line="273" w:lineRule="auto"/>
        <w:rPr>
          <w:sz w:val="20"/>
          <w:szCs w:val="20"/>
          <w:color w:val="auto"/>
        </w:rPr>
      </w:pPr>
      <w:r>
        <w:rPr>
          <w:rFonts w:ascii="Verdana" w:cs="Verdana" w:eastAsia="Verdana" w:hAnsi="Verdana"/>
          <w:sz w:val="18"/>
          <w:szCs w:val="18"/>
          <w:color w:val="auto"/>
        </w:rPr>
        <w:t>initial location of which is shown shaded green for identification purposes only on Plans for the parking of single private motor vehicles only.</w:t>
      </w:r>
    </w:p>
    <w:p>
      <w:pPr>
        <w:spacing w:after="0" w:line="218" w:lineRule="exact"/>
        <w:rPr>
          <w:sz w:val="20"/>
          <w:szCs w:val="20"/>
          <w:color w:val="auto"/>
        </w:rPr>
      </w:pPr>
    </w:p>
    <w:p>
      <w:pPr>
        <w:ind w:left="730"/>
        <w:spacing w:after="0"/>
        <w:tabs>
          <w:tab w:leader="none" w:pos="3109" w:val="left"/>
        </w:tabs>
        <w:rPr>
          <w:sz w:val="20"/>
          <w:szCs w:val="20"/>
          <w:color w:val="auto"/>
        </w:rPr>
      </w:pPr>
      <w:r>
        <w:rPr>
          <w:rFonts w:ascii="Verdana" w:cs="Verdana" w:eastAsia="Verdana" w:hAnsi="Verdana"/>
          <w:sz w:val="18"/>
          <w:szCs w:val="18"/>
          <w:b w:val="1"/>
          <w:bCs w:val="1"/>
          <w:color w:val="auto"/>
        </w:rPr>
        <w:t>“Insurance Premium”</w:t>
      </w:r>
      <w:r>
        <w:rPr>
          <w:sz w:val="20"/>
          <w:szCs w:val="20"/>
          <w:color w:val="auto"/>
        </w:rPr>
        <w:tab/>
      </w:r>
      <w:r>
        <w:rPr>
          <w:rFonts w:ascii="Verdana" w:cs="Verdana" w:eastAsia="Verdana" w:hAnsi="Verdana"/>
          <w:sz w:val="17"/>
          <w:szCs w:val="17"/>
          <w:color w:val="auto"/>
        </w:rPr>
        <w:t>In respect of the Insured Risks included in</w:t>
      </w:r>
    </w:p>
    <w:p>
      <w:pPr>
        <w:spacing w:after="0" w:line="20" w:lineRule="exact"/>
        <w:rPr>
          <w:sz w:val="20"/>
          <w:szCs w:val="20"/>
          <w:color w:val="auto"/>
        </w:rPr>
      </w:pPr>
    </w:p>
    <w:p>
      <w:pPr>
        <w:ind w:left="4090"/>
        <w:spacing w:after="0" w:line="273" w:lineRule="auto"/>
        <w:rPr>
          <w:sz w:val="20"/>
          <w:szCs w:val="20"/>
          <w:color w:val="auto"/>
        </w:rPr>
      </w:pPr>
      <w:r>
        <w:rPr>
          <w:rFonts w:ascii="Verdana" w:cs="Verdana" w:eastAsia="Verdana" w:hAnsi="Verdana"/>
          <w:sz w:val="18"/>
          <w:szCs w:val="18"/>
          <w:color w:val="auto"/>
        </w:rPr>
        <w:t>the Rent. Public liability, Employer’s liability and Tenant’s goods and contents are a matter for the Tenant.</w:t>
      </w:r>
    </w:p>
    <w:p>
      <w:pPr>
        <w:spacing w:after="0" w:line="231" w:lineRule="exact"/>
        <w:rPr>
          <w:sz w:val="20"/>
          <w:szCs w:val="20"/>
          <w:color w:val="auto"/>
        </w:rPr>
      </w:pPr>
    </w:p>
    <w:p>
      <w:pPr>
        <w:jc w:val="both"/>
        <w:ind w:left="2810" w:hanging="3363"/>
        <w:spacing w:after="0" w:line="258" w:lineRule="auto"/>
        <w:tabs>
          <w:tab w:leader="none" w:pos="2789" w:val="left"/>
        </w:tabs>
        <w:rPr>
          <w:sz w:val="20"/>
          <w:szCs w:val="20"/>
          <w:color w:val="auto"/>
        </w:rPr>
      </w:pPr>
      <w:r>
        <w:rPr>
          <w:rFonts w:ascii="Verdana" w:cs="Verdana" w:eastAsia="Verdana" w:hAnsi="Verdana"/>
          <w:sz w:val="18"/>
          <w:szCs w:val="18"/>
          <w:b w:val="1"/>
          <w:bCs w:val="1"/>
          <w:color w:val="auto"/>
        </w:rPr>
        <w:t>“Insured Risks”</w:t>
      </w:r>
      <w:r>
        <w:rPr>
          <w:sz w:val="20"/>
          <w:szCs w:val="20"/>
          <w:color w:val="auto"/>
        </w:rPr>
        <w:tab/>
      </w:r>
      <w:r>
        <w:rPr>
          <w:rFonts w:ascii="Verdana" w:cs="Verdana" w:eastAsia="Verdana" w:hAnsi="Verdana"/>
          <w:sz w:val="18"/>
          <w:szCs w:val="18"/>
          <w:color w:val="auto"/>
        </w:rPr>
        <w:t>means loss or damage by fire lightning explosion storm tempest flood landslip heave subsidence bursting or overflowing of water tanks apparatus or pipes impact aircraft or other aerial devices or articles dropped or falling therefrom riots civil commotion terrorism wrongful arrest cover malicious damage to underground services and such other risks and perils as the Landlord in its absolute discretion shall from time to time reasonably consider necessary including without limitation insurance against third party employers and public liability subject in the case of each and all such risks and perils to the availability of insurance cover against the same and subject to such terms and conditions as insurance cover against each and all such risks and perils is generally available.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3870" w:hanging="3363"/>
        <w:spacing w:after="0" w:line="276" w:lineRule="auto"/>
        <w:tabs>
          <w:tab w:leader="none" w:pos="3849" w:val="left"/>
        </w:tabs>
        <w:rPr>
          <w:sz w:val="20"/>
          <w:szCs w:val="20"/>
          <w:color w:val="auto"/>
        </w:rPr>
      </w:pPr>
      <w:r>
        <w:rPr>
          <w:rFonts w:ascii="Verdana" w:cs="Verdana" w:eastAsia="Verdana" w:hAnsi="Verdana"/>
          <w:sz w:val="18"/>
          <w:szCs w:val="18"/>
          <w:b w:val="1"/>
          <w:bCs w:val="1"/>
          <w:color w:val="auto"/>
        </w:rPr>
        <w:t>“Landlord’s Option to Tax”</w:t>
      </w:r>
      <w:r>
        <w:rPr>
          <w:sz w:val="20"/>
          <w:szCs w:val="20"/>
          <w:color w:val="auto"/>
        </w:rPr>
        <w:tab/>
      </w:r>
      <w:r>
        <w:rPr>
          <w:rFonts w:ascii="Verdana" w:cs="Verdana" w:eastAsia="Verdana" w:hAnsi="Verdana"/>
          <w:sz w:val="18"/>
          <w:szCs w:val="18"/>
          <w:color w:val="auto"/>
        </w:rPr>
        <w:t>means the Landlord’s option to apply VAT to the rent and other consideration payable in respect of the Agreement pursuant to section 97(1) of the VAT Act.</w:t>
      </w:r>
    </w:p>
    <w:p>
      <w:pPr>
        <w:spacing w:after="0" w:line="200" w:lineRule="exact"/>
        <w:rPr>
          <w:sz w:val="20"/>
          <w:szCs w:val="20"/>
          <w:color w:val="auto"/>
        </w:rPr>
      </w:pPr>
    </w:p>
    <w:p>
      <w:pPr>
        <w:spacing w:after="0" w:line="251" w:lineRule="exact"/>
        <w:rPr>
          <w:sz w:val="20"/>
          <w:szCs w:val="20"/>
          <w:color w:val="auto"/>
        </w:rPr>
      </w:pPr>
    </w:p>
    <w:p>
      <w:pPr>
        <w:ind w:left="730"/>
        <w:spacing w:after="0"/>
        <w:tabs>
          <w:tab w:leader="none" w:pos="1769" w:val="left"/>
        </w:tabs>
        <w:rPr>
          <w:sz w:val="20"/>
          <w:szCs w:val="20"/>
          <w:color w:val="auto"/>
        </w:rPr>
      </w:pPr>
      <w:r>
        <w:rPr>
          <w:rFonts w:ascii="Verdana" w:cs="Verdana" w:eastAsia="Verdana" w:hAnsi="Verdana"/>
          <w:sz w:val="18"/>
          <w:szCs w:val="18"/>
          <w:b w:val="1"/>
          <w:bCs w:val="1"/>
          <w:color w:val="auto"/>
        </w:rPr>
        <w:t>“Month”</w:t>
      </w:r>
      <w:r>
        <w:rPr>
          <w:sz w:val="20"/>
          <w:szCs w:val="20"/>
          <w:color w:val="auto"/>
        </w:rPr>
        <w:tab/>
      </w:r>
      <w:r>
        <w:rPr>
          <w:rFonts w:ascii="Verdana" w:cs="Verdana" w:eastAsia="Verdana" w:hAnsi="Verdana"/>
          <w:sz w:val="18"/>
          <w:szCs w:val="18"/>
          <w:color w:val="auto"/>
        </w:rPr>
        <w:t>means calendar month and words derived therefrom shall be construed accordingly.</w:t>
      </w:r>
    </w:p>
    <w:p>
      <w:pPr>
        <w:spacing w:after="0" w:line="258" w:lineRule="exact"/>
        <w:rPr>
          <w:sz w:val="20"/>
          <w:szCs w:val="20"/>
          <w:color w:val="auto"/>
        </w:rPr>
      </w:pPr>
    </w:p>
    <w:p>
      <w:pPr>
        <w:ind w:left="730"/>
        <w:spacing w:after="0"/>
        <w:tabs>
          <w:tab w:leader="none" w:pos="2329" w:val="left"/>
        </w:tabs>
        <w:rPr>
          <w:sz w:val="20"/>
          <w:szCs w:val="20"/>
          <w:color w:val="auto"/>
        </w:rPr>
      </w:pPr>
      <w:r>
        <w:rPr>
          <w:rFonts w:ascii="Verdana" w:cs="Verdana" w:eastAsia="Verdana" w:hAnsi="Verdana"/>
          <w:sz w:val="18"/>
          <w:szCs w:val="18"/>
          <w:b w:val="1"/>
          <w:bCs w:val="1"/>
          <w:color w:val="auto"/>
        </w:rPr>
        <w:t>“Option Date”</w:t>
      </w:r>
      <w:r>
        <w:rPr>
          <w:sz w:val="20"/>
          <w:szCs w:val="20"/>
          <w:color w:val="auto"/>
        </w:rPr>
        <w:tab/>
      </w:r>
      <w:r>
        <w:rPr>
          <w:rFonts w:ascii="Verdana" w:cs="Verdana" w:eastAsia="Verdana" w:hAnsi="Verdana"/>
          <w:sz w:val="17"/>
          <w:szCs w:val="17"/>
          <w:color w:val="auto"/>
        </w:rPr>
        <w:t>has the meaning assigned to that term in clause 5;</w:t>
      </w:r>
    </w:p>
    <w:p>
      <w:pPr>
        <w:sectPr>
          <w:pgSz w:w="11900" w:h="16838" w:orient="portrait"/>
          <w:cols w:equalWidth="0" w:num="1">
            <w:col w:w="11030"/>
          </w:cols>
          <w:pgMar w:left="430" w:top="1440" w:right="439" w:bottom="1440" w:gutter="0" w:footer="0" w:header="0"/>
        </w:sectPr>
      </w:pPr>
    </w:p>
    <w:bookmarkStart w:id="132" w:name="page133"/>
    <w:bookmarkEnd w:id="132"/>
    <w:p>
      <w:pPr>
        <w:spacing w:after="0" w:line="232" w:lineRule="exact"/>
        <w:rPr>
          <w:sz w:val="20"/>
          <w:szCs w:val="20"/>
          <w:color w:val="auto"/>
        </w:rPr>
      </w:pPr>
    </w:p>
    <w:p>
      <w:pPr>
        <w:ind w:left="100"/>
        <w:spacing w:after="0"/>
        <w:tabs>
          <w:tab w:leader="none" w:pos="1880" w:val="left"/>
        </w:tabs>
        <w:rPr>
          <w:sz w:val="20"/>
          <w:szCs w:val="20"/>
          <w:color w:val="auto"/>
        </w:rPr>
      </w:pPr>
      <w:r>
        <w:rPr>
          <w:rFonts w:ascii="Verdana" w:cs="Verdana" w:eastAsia="Verdana" w:hAnsi="Verdana"/>
          <w:sz w:val="18"/>
          <w:szCs w:val="18"/>
          <w:b w:val="1"/>
          <w:bCs w:val="1"/>
          <w:color w:val="auto"/>
        </w:rPr>
        <w:t>“Option Notice”</w:t>
      </w:r>
      <w:r>
        <w:rPr>
          <w:sz w:val="20"/>
          <w:szCs w:val="20"/>
          <w:color w:val="auto"/>
        </w:rPr>
        <w:tab/>
      </w:r>
      <w:r>
        <w:rPr>
          <w:rFonts w:ascii="Verdana" w:cs="Verdana" w:eastAsia="Verdana" w:hAnsi="Verdana"/>
          <w:sz w:val="17"/>
          <w:szCs w:val="17"/>
          <w:color w:val="auto"/>
        </w:rPr>
        <w:t>has the meaning assigned to that term in clause 5;</w:t>
      </w:r>
    </w:p>
    <w:p>
      <w:pPr>
        <w:spacing w:after="0" w:line="245" w:lineRule="exact"/>
        <w:rPr>
          <w:sz w:val="20"/>
          <w:szCs w:val="20"/>
          <w:color w:val="auto"/>
        </w:rPr>
      </w:pPr>
    </w:p>
    <w:p>
      <w:pPr>
        <w:ind w:left="100"/>
        <w:spacing w:after="0"/>
        <w:tabs>
          <w:tab w:leader="none" w:pos="1920" w:val="left"/>
        </w:tabs>
        <w:rPr>
          <w:sz w:val="20"/>
          <w:szCs w:val="20"/>
          <w:color w:val="auto"/>
        </w:rPr>
      </w:pPr>
      <w:r>
        <w:rPr>
          <w:rFonts w:ascii="Verdana" w:cs="Verdana" w:eastAsia="Verdana" w:hAnsi="Verdana"/>
          <w:sz w:val="18"/>
          <w:szCs w:val="18"/>
          <w:b w:val="1"/>
          <w:bCs w:val="1"/>
          <w:color w:val="auto"/>
        </w:rPr>
        <w:t>“Permitted Use”</w:t>
      </w:r>
      <w:r>
        <w:rPr>
          <w:sz w:val="20"/>
          <w:szCs w:val="20"/>
          <w:color w:val="auto"/>
        </w:rPr>
        <w:tab/>
      </w:r>
      <w:r>
        <w:rPr>
          <w:rFonts w:ascii="Verdana" w:cs="Verdana" w:eastAsia="Verdana" w:hAnsi="Verdana"/>
          <w:sz w:val="17"/>
          <w:szCs w:val="17"/>
          <w:color w:val="auto"/>
        </w:rPr>
        <w:t>means the use described in the Memorandum of Agreement.</w:t>
      </w:r>
    </w:p>
    <w:p>
      <w:pPr>
        <w:spacing w:after="0" w:line="258" w:lineRule="exact"/>
        <w:rPr>
          <w:sz w:val="20"/>
          <w:szCs w:val="20"/>
          <w:color w:val="auto"/>
        </w:rPr>
      </w:pPr>
    </w:p>
    <w:p>
      <w:pPr>
        <w:jc w:val="both"/>
        <w:ind w:left="1520" w:right="20" w:hanging="3363"/>
        <w:spacing w:after="0" w:line="273" w:lineRule="auto"/>
        <w:tabs>
          <w:tab w:leader="none" w:pos="1500" w:val="left"/>
        </w:tabs>
        <w:rPr>
          <w:sz w:val="20"/>
          <w:szCs w:val="20"/>
          <w:color w:val="auto"/>
        </w:rPr>
      </w:pPr>
      <w:r>
        <w:rPr>
          <w:rFonts w:ascii="Verdana" w:cs="Verdana" w:eastAsia="Verdana" w:hAnsi="Verdana"/>
          <w:sz w:val="18"/>
          <w:szCs w:val="18"/>
          <w:b w:val="1"/>
          <w:bCs w:val="1"/>
          <w:color w:val="auto"/>
        </w:rPr>
        <w:t>“Premises”</w:t>
      </w:r>
      <w:r>
        <w:rPr>
          <w:sz w:val="20"/>
          <w:szCs w:val="20"/>
          <w:color w:val="auto"/>
        </w:rPr>
        <w:tab/>
      </w:r>
      <w:r>
        <w:rPr>
          <w:rFonts w:ascii="Verdana" w:cs="Verdana" w:eastAsia="Verdana" w:hAnsi="Verdana"/>
          <w:sz w:val="18"/>
          <w:szCs w:val="18"/>
          <w:color w:val="auto"/>
        </w:rPr>
        <w:t>means the premises described in the Memorandum of Agreement with the easements rights and privileges appurtenant thereto, if any,</w:t>
      </w:r>
    </w:p>
    <w:p>
      <w:pPr>
        <w:spacing w:after="0" w:line="218" w:lineRule="exact"/>
        <w:rPr>
          <w:sz w:val="20"/>
          <w:szCs w:val="20"/>
          <w:color w:val="auto"/>
        </w:rPr>
      </w:pPr>
    </w:p>
    <w:p>
      <w:pPr>
        <w:ind w:left="100"/>
        <w:spacing w:after="0"/>
        <w:tabs>
          <w:tab w:leader="none" w:pos="980" w:val="left"/>
        </w:tabs>
        <w:rPr>
          <w:sz w:val="20"/>
          <w:szCs w:val="20"/>
          <w:color w:val="auto"/>
        </w:rPr>
      </w:pPr>
      <w:r>
        <w:rPr>
          <w:rFonts w:ascii="Verdana" w:cs="Verdana" w:eastAsia="Verdana" w:hAnsi="Verdana"/>
          <w:sz w:val="18"/>
          <w:szCs w:val="18"/>
          <w:b w:val="1"/>
          <w:bCs w:val="1"/>
          <w:color w:val="auto"/>
        </w:rPr>
        <w:t>“Rent”</w:t>
      </w:r>
      <w:r>
        <w:rPr>
          <w:sz w:val="20"/>
          <w:szCs w:val="20"/>
          <w:color w:val="auto"/>
        </w:rPr>
        <w:tab/>
      </w:r>
      <w:r>
        <w:rPr>
          <w:rFonts w:ascii="Verdana" w:cs="Verdana" w:eastAsia="Verdana" w:hAnsi="Verdana"/>
          <w:sz w:val="18"/>
          <w:szCs w:val="18"/>
          <w:color w:val="auto"/>
        </w:rPr>
        <w:t>means the amount described in the Memorandum of Agreement.</w:t>
      </w:r>
    </w:p>
    <w:p>
      <w:pPr>
        <w:spacing w:after="0" w:line="258" w:lineRule="exact"/>
        <w:rPr>
          <w:sz w:val="20"/>
          <w:szCs w:val="20"/>
          <w:color w:val="auto"/>
        </w:rPr>
      </w:pPr>
    </w:p>
    <w:p>
      <w:pPr>
        <w:jc w:val="both"/>
        <w:ind w:left="1420" w:right="20" w:hanging="3363"/>
        <w:spacing w:after="0" w:line="262" w:lineRule="auto"/>
        <w:tabs>
          <w:tab w:leader="none" w:pos="1400" w:val="left"/>
        </w:tabs>
        <w:rPr>
          <w:sz w:val="20"/>
          <w:szCs w:val="20"/>
          <w:color w:val="auto"/>
        </w:rPr>
      </w:pPr>
      <w:r>
        <w:rPr>
          <w:rFonts w:ascii="Verdana" w:cs="Verdana" w:eastAsia="Verdana" w:hAnsi="Verdana"/>
          <w:sz w:val="18"/>
          <w:szCs w:val="18"/>
          <w:b w:val="1"/>
          <w:bCs w:val="1"/>
          <w:color w:val="auto"/>
        </w:rPr>
        <w:t>“Services”</w:t>
      </w:r>
      <w:r>
        <w:rPr>
          <w:sz w:val="20"/>
          <w:szCs w:val="20"/>
          <w:color w:val="auto"/>
        </w:rPr>
        <w:tab/>
      </w:r>
      <w:r>
        <w:rPr>
          <w:rFonts w:ascii="Verdana" w:cs="Verdana" w:eastAsia="Verdana" w:hAnsi="Verdana"/>
          <w:sz w:val="18"/>
          <w:szCs w:val="18"/>
          <w:color w:val="auto"/>
        </w:rPr>
        <w:t>means all and any services facilities and other matters provided by the Landlord from time to time for the common or general use or for the benefit of all of the tenants, licensees and occupiers of the Building and any car park and if appropriate to visitors of the Building in each case in accordance with good estate management;</w:t>
      </w:r>
    </w:p>
    <w:p>
      <w:pPr>
        <w:spacing w:after="0" w:line="200" w:lineRule="exact"/>
        <w:rPr>
          <w:sz w:val="20"/>
          <w:szCs w:val="20"/>
          <w:color w:val="auto"/>
        </w:rPr>
      </w:pPr>
    </w:p>
    <w:p>
      <w:pPr>
        <w:spacing w:after="0" w:line="262" w:lineRule="exact"/>
        <w:rPr>
          <w:sz w:val="20"/>
          <w:szCs w:val="20"/>
          <w:color w:val="auto"/>
        </w:rPr>
      </w:pPr>
    </w:p>
    <w:p>
      <w:pPr>
        <w:ind w:left="100"/>
        <w:spacing w:after="0"/>
        <w:tabs>
          <w:tab w:leader="none" w:pos="2000" w:val="left"/>
        </w:tabs>
        <w:rPr>
          <w:sz w:val="20"/>
          <w:szCs w:val="20"/>
          <w:color w:val="auto"/>
        </w:rPr>
      </w:pPr>
      <w:r>
        <w:rPr>
          <w:rFonts w:ascii="Verdana" w:cs="Verdana" w:eastAsia="Verdana" w:hAnsi="Verdana"/>
          <w:sz w:val="18"/>
          <w:szCs w:val="18"/>
          <w:b w:val="1"/>
          <w:bCs w:val="1"/>
          <w:color w:val="auto"/>
        </w:rPr>
        <w:t>“Service Charge”</w:t>
      </w:r>
      <w:r>
        <w:rPr>
          <w:sz w:val="20"/>
          <w:szCs w:val="20"/>
          <w:color w:val="auto"/>
        </w:rPr>
        <w:tab/>
      </w:r>
      <w:r>
        <w:rPr>
          <w:rFonts w:ascii="Verdana" w:cs="Verdana" w:eastAsia="Verdana" w:hAnsi="Verdana"/>
          <w:sz w:val="17"/>
          <w:szCs w:val="17"/>
          <w:color w:val="auto"/>
        </w:rPr>
        <w:t>included in Rent;</w:t>
      </w:r>
    </w:p>
    <w:p>
      <w:pPr>
        <w:spacing w:after="0" w:line="232" w:lineRule="exact"/>
        <w:rPr>
          <w:sz w:val="20"/>
          <w:szCs w:val="20"/>
          <w:color w:val="auto"/>
        </w:rPr>
      </w:pPr>
    </w:p>
    <w:p>
      <w:pPr>
        <w:ind w:left="100"/>
        <w:spacing w:after="0"/>
        <w:tabs>
          <w:tab w:leader="none" w:pos="1040" w:val="left"/>
        </w:tabs>
        <w:rPr>
          <w:sz w:val="20"/>
          <w:szCs w:val="20"/>
          <w:color w:val="auto"/>
        </w:rPr>
      </w:pPr>
      <w:r>
        <w:rPr>
          <w:rFonts w:ascii="Verdana" w:cs="Verdana" w:eastAsia="Verdana" w:hAnsi="Verdana"/>
          <w:sz w:val="18"/>
          <w:szCs w:val="18"/>
          <w:b w:val="1"/>
          <w:bCs w:val="1"/>
          <w:color w:val="auto"/>
        </w:rPr>
        <w:t>“Term”</w:t>
      </w:r>
      <w:r>
        <w:rPr>
          <w:sz w:val="20"/>
          <w:szCs w:val="20"/>
          <w:color w:val="auto"/>
        </w:rPr>
        <w:tab/>
      </w:r>
      <w:r>
        <w:rPr>
          <w:rFonts w:ascii="Verdana" w:cs="Verdana" w:eastAsia="Verdana" w:hAnsi="Verdana"/>
          <w:sz w:val="18"/>
          <w:szCs w:val="18"/>
          <w:color w:val="auto"/>
        </w:rPr>
        <w:t>means the term of the Agreement described in the Memorandum of Agreement;</w:t>
      </w:r>
    </w:p>
    <w:p>
      <w:pPr>
        <w:spacing w:after="0" w:line="258" w:lineRule="exact"/>
        <w:rPr>
          <w:sz w:val="20"/>
          <w:szCs w:val="20"/>
          <w:color w:val="auto"/>
        </w:rPr>
      </w:pPr>
    </w:p>
    <w:p>
      <w:pPr>
        <w:jc w:val="both"/>
        <w:ind w:left="1340" w:right="20" w:hanging="3363"/>
        <w:spacing w:after="0" w:line="273" w:lineRule="auto"/>
        <w:tabs>
          <w:tab w:leader="none" w:pos="1320" w:val="left"/>
        </w:tabs>
        <w:rPr>
          <w:sz w:val="20"/>
          <w:szCs w:val="20"/>
          <w:color w:val="auto"/>
        </w:rPr>
      </w:pPr>
      <w:r>
        <w:rPr>
          <w:rFonts w:ascii="Verdana" w:cs="Verdana" w:eastAsia="Verdana" w:hAnsi="Verdana"/>
          <w:sz w:val="18"/>
          <w:szCs w:val="18"/>
          <w:b w:val="1"/>
          <w:bCs w:val="1"/>
          <w:color w:val="auto"/>
        </w:rPr>
        <w:t>“VAT Act”</w:t>
      </w:r>
      <w:r>
        <w:rPr>
          <w:sz w:val="20"/>
          <w:szCs w:val="20"/>
          <w:color w:val="auto"/>
        </w:rPr>
        <w:tab/>
      </w:r>
      <w:r>
        <w:rPr>
          <w:rFonts w:ascii="Verdana" w:cs="Verdana" w:eastAsia="Verdana" w:hAnsi="Verdana"/>
          <w:sz w:val="18"/>
          <w:szCs w:val="18"/>
          <w:color w:val="auto"/>
        </w:rPr>
        <w:t>means the Value Added Tax Consolidation Act 2010 as amended from time to time and any Act from time to time replacing, re-enacting or consolidating it.</w:t>
      </w:r>
    </w:p>
    <w:p>
      <w:pPr>
        <w:spacing w:after="0" w:line="218" w:lineRule="exact"/>
        <w:rPr>
          <w:sz w:val="20"/>
          <w:szCs w:val="20"/>
          <w:color w:val="auto"/>
        </w:rPr>
      </w:pPr>
    </w:p>
    <w:p>
      <w:pPr>
        <w:jc w:val="both"/>
        <w:ind w:left="1000" w:right="40" w:hanging="3363"/>
        <w:spacing w:after="0" w:line="273" w:lineRule="auto"/>
        <w:tabs>
          <w:tab w:leader="none" w:pos="980" w:val="left"/>
        </w:tabs>
        <w:rPr>
          <w:sz w:val="20"/>
          <w:szCs w:val="20"/>
          <w:color w:val="auto"/>
        </w:rPr>
      </w:pPr>
      <w:r>
        <w:rPr>
          <w:rFonts w:ascii="Verdana" w:cs="Verdana" w:eastAsia="Verdana" w:hAnsi="Verdana"/>
          <w:sz w:val="18"/>
          <w:szCs w:val="18"/>
          <w:b w:val="1"/>
          <w:bCs w:val="1"/>
          <w:color w:val="auto"/>
        </w:rPr>
        <w:t>“VAT”</w:t>
      </w:r>
      <w:r>
        <w:rPr>
          <w:sz w:val="20"/>
          <w:szCs w:val="20"/>
          <w:color w:val="auto"/>
        </w:rPr>
        <w:tab/>
      </w:r>
      <w:r>
        <w:rPr>
          <w:rFonts w:ascii="Verdana" w:cs="Verdana" w:eastAsia="Verdana" w:hAnsi="Verdana"/>
          <w:sz w:val="18"/>
          <w:szCs w:val="18"/>
          <w:color w:val="auto"/>
        </w:rPr>
        <w:t>means Value Added Tax or any similar or other tax from time to time replacing it and/or performing a similar function.</w:t>
      </w:r>
    </w:p>
    <w:p>
      <w:pPr>
        <w:spacing w:after="0" w:line="200" w:lineRule="exact"/>
        <w:rPr>
          <w:sz w:val="20"/>
          <w:szCs w:val="20"/>
          <w:color w:val="auto"/>
        </w:rPr>
      </w:pPr>
    </w:p>
    <w:p>
      <w:pPr>
        <w:spacing w:after="0" w:line="270" w:lineRule="exact"/>
        <w:rPr>
          <w:sz w:val="20"/>
          <w:szCs w:val="20"/>
          <w:color w:val="auto"/>
        </w:rPr>
      </w:pPr>
    </w:p>
    <w:p>
      <w:pPr>
        <w:jc w:val="both"/>
        <w:spacing w:after="0" w:line="260" w:lineRule="auto"/>
        <w:rPr>
          <w:sz w:val="20"/>
          <w:szCs w:val="20"/>
          <w:color w:val="auto"/>
        </w:rPr>
      </w:pPr>
      <w:r>
        <w:rPr>
          <w:rFonts w:ascii="Verdana" w:cs="Verdana" w:eastAsia="Verdana" w:hAnsi="Verdana"/>
          <w:sz w:val="18"/>
          <w:szCs w:val="18"/>
          <w:color w:val="auto"/>
        </w:rPr>
        <w:t>Where the context so admits words importing the neuter gender only shall include the masculine and feminine gender as appropriate and words importing the masculine gender only shall include the feminine gender and words importing the singular number only shall include the plural number and vice versa.</w:t>
      </w:r>
    </w:p>
    <w:p>
      <w:pPr>
        <w:spacing w:after="0" w:line="243" w:lineRule="exact"/>
        <w:rPr>
          <w:sz w:val="20"/>
          <w:szCs w:val="20"/>
          <w:color w:val="auto"/>
        </w:rPr>
      </w:pPr>
    </w:p>
    <w:p>
      <w:pPr>
        <w:jc w:val="both"/>
        <w:ind w:right="20"/>
        <w:spacing w:after="0" w:line="273" w:lineRule="auto"/>
        <w:rPr>
          <w:sz w:val="20"/>
          <w:szCs w:val="20"/>
          <w:color w:val="auto"/>
        </w:rPr>
      </w:pPr>
      <w:r>
        <w:rPr>
          <w:rFonts w:ascii="Verdana" w:cs="Verdana" w:eastAsia="Verdana" w:hAnsi="Verdana"/>
          <w:sz w:val="18"/>
          <w:szCs w:val="18"/>
          <w:color w:val="auto"/>
        </w:rPr>
        <w:t>Where the Tenant shall from time to time be or consist of two or more individuals the covenants and conditions herein expressed to be made by the Tenant shall be deemed to be made by such individuals jointly and severally.</w:t>
      </w:r>
    </w:p>
    <w:p>
      <w:pPr>
        <w:sectPr>
          <w:pgSz w:w="11900" w:h="16838" w:orient="portrait"/>
          <w:cols w:equalWidth="0" w:num="1">
            <w:col w:w="10400"/>
          </w:cols>
          <w:pgMar w:left="1060" w:top="1440" w:right="439" w:bottom="1440" w:gutter="0" w:footer="0" w:header="0"/>
        </w:sectPr>
      </w:pPr>
    </w:p>
    <w:bookmarkStart w:id="133" w:name="page134"/>
    <w:bookmarkEnd w:id="133"/>
    <w:p>
      <w:pPr>
        <w:spacing w:after="0" w:line="232" w:lineRule="exact"/>
        <w:rPr>
          <w:sz w:val="20"/>
          <w:szCs w:val="20"/>
          <w:color w:val="auto"/>
        </w:rPr>
      </w:pPr>
    </w:p>
    <w:p>
      <w:pPr>
        <w:ind w:left="734" w:right="120"/>
        <w:spacing w:after="0" w:line="288" w:lineRule="auto"/>
        <w:rPr>
          <w:sz w:val="20"/>
          <w:szCs w:val="20"/>
          <w:color w:val="auto"/>
        </w:rPr>
      </w:pPr>
      <w:r>
        <w:rPr>
          <w:rFonts w:ascii="Verdana" w:cs="Verdana" w:eastAsia="Verdana" w:hAnsi="Verdana"/>
          <w:sz w:val="17"/>
          <w:szCs w:val="17"/>
          <w:color w:val="auto"/>
        </w:rPr>
        <w:t>Where the Landlord shall from time to time be or consist of two or more individuals the covenants and conditions herein expressed to be made by the Landlord shall be deemed to be made by such individuals jointly and severally.</w:t>
      </w:r>
    </w:p>
    <w:p>
      <w:pPr>
        <w:spacing w:after="0" w:line="220" w:lineRule="exact"/>
        <w:rPr>
          <w:sz w:val="20"/>
          <w:szCs w:val="20"/>
          <w:color w:val="auto"/>
        </w:rPr>
      </w:pPr>
    </w:p>
    <w:p>
      <w:pPr>
        <w:ind w:left="734" w:hanging="630"/>
        <w:spacing w:after="0"/>
        <w:tabs>
          <w:tab w:leader="none" w:pos="734" w:val="left"/>
        </w:tabs>
        <w:numPr>
          <w:ilvl w:val="1"/>
          <w:numId w:val="4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 xml:space="preserve">THE TENANT AGREES WITH THE LANDLORD </w:t>
      </w:r>
      <w:r>
        <w:rPr>
          <w:rFonts w:ascii="Verdana" w:cs="Verdana" w:eastAsia="Verdana" w:hAnsi="Verdana"/>
          <w:sz w:val="18"/>
          <w:szCs w:val="18"/>
          <w:color w:val="auto"/>
        </w:rPr>
        <w:t>as follows:</w:t>
      </w:r>
    </w:p>
    <w:p>
      <w:pPr>
        <w:spacing w:after="0" w:line="231" w:lineRule="exact"/>
        <w:rPr>
          <w:rFonts w:ascii="Verdana" w:cs="Verdana" w:eastAsia="Verdana" w:hAnsi="Verdana"/>
          <w:sz w:val="18"/>
          <w:szCs w:val="18"/>
          <w:b w:val="1"/>
          <w:bCs w:val="1"/>
          <w:color w:val="auto"/>
        </w:rPr>
      </w:pPr>
    </w:p>
    <w:p>
      <w:pPr>
        <w:ind w:left="1354" w:right="120" w:hanging="624"/>
        <w:spacing w:after="0" w:line="273" w:lineRule="auto"/>
        <w:tabs>
          <w:tab w:leader="none" w:pos="1059" w:val="left"/>
        </w:tabs>
        <w:numPr>
          <w:ilvl w:val="2"/>
          <w:numId w:val="48"/>
        </w:numPr>
        <w:rPr>
          <w:rFonts w:ascii="Verdana" w:cs="Verdana" w:eastAsia="Verdana" w:hAnsi="Verdana"/>
          <w:sz w:val="18"/>
          <w:szCs w:val="18"/>
          <w:color w:val="auto"/>
        </w:rPr>
      </w:pPr>
      <w:r>
        <w:rPr>
          <w:rFonts w:ascii="Verdana" w:cs="Verdana" w:eastAsia="Verdana" w:hAnsi="Verdana"/>
          <w:sz w:val="18"/>
          <w:szCs w:val="18"/>
          <w:color w:val="auto"/>
        </w:rPr>
        <w:t>To pay the reserved agreed Rent from the Rent Commencement Date without any deductions whatsoever at the times and in the manner provided for in this Agreement;</w:t>
      </w:r>
    </w:p>
    <w:p>
      <w:pPr>
        <w:spacing w:after="0" w:line="204" w:lineRule="exact"/>
        <w:rPr>
          <w:rFonts w:ascii="Verdana" w:cs="Verdana" w:eastAsia="Verdana" w:hAnsi="Verdana"/>
          <w:sz w:val="18"/>
          <w:szCs w:val="18"/>
          <w:color w:val="auto"/>
        </w:rPr>
      </w:pPr>
    </w:p>
    <w:p>
      <w:pPr>
        <w:ind w:left="1354" w:right="100" w:hanging="624"/>
        <w:spacing w:after="0" w:line="267" w:lineRule="auto"/>
        <w:tabs>
          <w:tab w:leader="none" w:pos="1072" w:val="left"/>
        </w:tabs>
        <w:numPr>
          <w:ilvl w:val="2"/>
          <w:numId w:val="48"/>
        </w:numPr>
        <w:rPr>
          <w:rFonts w:ascii="Verdana" w:cs="Verdana" w:eastAsia="Verdana" w:hAnsi="Verdana"/>
          <w:sz w:val="18"/>
          <w:szCs w:val="18"/>
          <w:color w:val="auto"/>
        </w:rPr>
      </w:pPr>
      <w:r>
        <w:rPr>
          <w:rFonts w:ascii="Verdana" w:cs="Verdana" w:eastAsia="Verdana" w:hAnsi="Verdana"/>
          <w:sz w:val="18"/>
          <w:szCs w:val="18"/>
          <w:color w:val="auto"/>
        </w:rPr>
        <w:t>Not to assign sublet or part with or share the possession of the Premises or any part thereof nor permit any other person company or party to occupy the Premises as a licensee or otherwise without first obtaining the consent in writing of the Landlord;</w:t>
      </w:r>
    </w:p>
    <w:p>
      <w:pPr>
        <w:spacing w:after="0" w:line="223" w:lineRule="exact"/>
        <w:rPr>
          <w:rFonts w:ascii="Verdana" w:cs="Verdana" w:eastAsia="Verdana" w:hAnsi="Verdana"/>
          <w:sz w:val="18"/>
          <w:szCs w:val="18"/>
          <w:color w:val="auto"/>
        </w:rPr>
      </w:pPr>
    </w:p>
    <w:p>
      <w:pPr>
        <w:ind w:left="1354" w:right="120" w:hanging="624"/>
        <w:spacing w:after="0" w:line="260" w:lineRule="auto"/>
        <w:tabs>
          <w:tab w:leader="none" w:pos="1076" w:val="left"/>
        </w:tabs>
        <w:numPr>
          <w:ilvl w:val="2"/>
          <w:numId w:val="48"/>
        </w:numPr>
        <w:rPr>
          <w:rFonts w:ascii="Verdana" w:cs="Verdana" w:eastAsia="Verdana" w:hAnsi="Verdana"/>
          <w:sz w:val="18"/>
          <w:szCs w:val="18"/>
          <w:color w:val="auto"/>
        </w:rPr>
      </w:pPr>
      <w:r>
        <w:rPr>
          <w:rFonts w:ascii="Verdana" w:cs="Verdana" w:eastAsia="Verdana" w:hAnsi="Verdana"/>
          <w:sz w:val="18"/>
          <w:szCs w:val="18"/>
          <w:color w:val="auto"/>
        </w:rPr>
        <w:t>To repair and keep in good and substantial order repair and condition the Premises and every part thereof including without limitation the interior of the Premises and all additions improvements and appurtenances thereto and all fixtures fittings plant machinery and equipment therein or thereon;</w:t>
      </w:r>
    </w:p>
    <w:p>
      <w:pPr>
        <w:spacing w:after="0" w:line="229" w:lineRule="exact"/>
        <w:rPr>
          <w:rFonts w:ascii="Verdana" w:cs="Verdana" w:eastAsia="Verdana" w:hAnsi="Verdana"/>
          <w:sz w:val="18"/>
          <w:szCs w:val="18"/>
          <w:color w:val="auto"/>
        </w:rPr>
      </w:pPr>
    </w:p>
    <w:p>
      <w:pPr>
        <w:ind w:left="1354" w:right="100" w:hanging="624"/>
        <w:spacing w:after="0" w:line="276" w:lineRule="auto"/>
        <w:tabs>
          <w:tab w:leader="none" w:pos="1072" w:val="left"/>
        </w:tabs>
        <w:numPr>
          <w:ilvl w:val="2"/>
          <w:numId w:val="48"/>
        </w:numPr>
        <w:rPr>
          <w:rFonts w:ascii="Verdana" w:cs="Verdana" w:eastAsia="Verdana" w:hAnsi="Verdana"/>
          <w:sz w:val="17"/>
          <w:szCs w:val="17"/>
          <w:color w:val="auto"/>
        </w:rPr>
      </w:pPr>
      <w:r>
        <w:rPr>
          <w:rFonts w:ascii="Verdana" w:cs="Verdana" w:eastAsia="Verdana" w:hAnsi="Verdana"/>
          <w:sz w:val="17"/>
          <w:szCs w:val="17"/>
          <w:color w:val="auto"/>
        </w:rPr>
        <w:t>To keep the Premises clean and tidy and in good order repair and condition from time to time and at all times during the Term hereby created and all additions and alterations thereto and all fixtures and fittings therein but without derogating from the generality of the foregoing all drains water gas and other pipes lights signs electrical installations sanitary and water apparatus and all other apparatus and things within or appertaining to the Premises (damage by any of the Insured Risks excepted if and so long only as the policy or policies of insurance shall not have been vitiated or payment of the policy monies withheld or refused in whole or in part by reason of any act neglect or default of the Tenant) or the servants agents licencees of the tenant and to keep the Landlord effectually indemnified against all reasonable legal claims in respect thereof;</w:t>
      </w:r>
    </w:p>
    <w:p>
      <w:pPr>
        <w:spacing w:after="0" w:line="219" w:lineRule="exact"/>
        <w:rPr>
          <w:rFonts w:ascii="Verdana" w:cs="Verdana" w:eastAsia="Verdana" w:hAnsi="Verdana"/>
          <w:sz w:val="17"/>
          <w:szCs w:val="17"/>
          <w:color w:val="auto"/>
        </w:rPr>
      </w:pPr>
    </w:p>
    <w:p>
      <w:pPr>
        <w:ind w:left="1354" w:right="100" w:hanging="624"/>
        <w:spacing w:after="0" w:line="267" w:lineRule="auto"/>
        <w:tabs>
          <w:tab w:leader="none" w:pos="1054" w:val="left"/>
        </w:tabs>
        <w:numPr>
          <w:ilvl w:val="2"/>
          <w:numId w:val="48"/>
        </w:numPr>
        <w:rPr>
          <w:rFonts w:ascii="Verdana" w:cs="Verdana" w:eastAsia="Verdana" w:hAnsi="Verdana"/>
          <w:sz w:val="18"/>
          <w:szCs w:val="18"/>
          <w:color w:val="auto"/>
        </w:rPr>
      </w:pPr>
      <w:r>
        <w:rPr>
          <w:rFonts w:ascii="Verdana" w:cs="Verdana" w:eastAsia="Verdana" w:hAnsi="Verdana"/>
          <w:sz w:val="18"/>
          <w:szCs w:val="18"/>
          <w:color w:val="auto"/>
        </w:rPr>
        <w:t>To maintain the interior of the Premises in good decorative condition and (in the event of the tenancy continuing for five years or more) to repaint all interior woodwork in a proper and workmanlike manner at least once in every five years;</w:t>
      </w:r>
    </w:p>
    <w:p>
      <w:pPr>
        <w:spacing w:after="0" w:line="223" w:lineRule="exact"/>
        <w:rPr>
          <w:rFonts w:ascii="Verdana" w:cs="Verdana" w:eastAsia="Verdana" w:hAnsi="Verdana"/>
          <w:sz w:val="18"/>
          <w:szCs w:val="18"/>
          <w:color w:val="auto"/>
        </w:rPr>
      </w:pPr>
    </w:p>
    <w:p>
      <w:pPr>
        <w:jc w:val="both"/>
        <w:ind w:left="-6" w:firstLine="6"/>
        <w:spacing w:after="0" w:line="260" w:lineRule="auto"/>
        <w:tabs>
          <w:tab w:leader="none" w:pos="287" w:val="left"/>
        </w:tabs>
        <w:numPr>
          <w:ilvl w:val="0"/>
          <w:numId w:val="49"/>
        </w:numPr>
        <w:rPr>
          <w:rFonts w:ascii="Verdana" w:cs="Verdana" w:eastAsia="Verdana" w:hAnsi="Verdana"/>
          <w:sz w:val="18"/>
          <w:szCs w:val="18"/>
          <w:color w:val="auto"/>
        </w:rPr>
      </w:pPr>
      <w:r>
        <w:rPr>
          <w:rFonts w:ascii="Verdana" w:cs="Verdana" w:eastAsia="Verdana" w:hAnsi="Verdana"/>
          <w:sz w:val="18"/>
          <w:szCs w:val="18"/>
          <w:color w:val="auto"/>
        </w:rPr>
        <w:t>To execute all works and at all times during the Term to provide and maintain all arrangements and do all acts and things on or in respect of the Premises or in respect of the user or occupation thereof (whether required to be done or executed by an owner or by the lessee tenant or occupier) as under or by virtue of any Act or the requirements or directions of any local or other competent authority are or shall be directed or necessary to be executed or provided or maintained or done and to comply with all safety and fire regulations and all provisions relating to conditions of work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-1590040</wp:posOffset>
            </wp:positionV>
            <wp:extent cx="393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39370" cy="8255"/>
                    </a:xfrm>
                    <a:prstGeom prst="rect">
                      <a:avLst/>
                    </a:prstGeom>
                    <a:noFill/>
                  </pic:spPr>
                </pic:pic>
              </a:graphicData>
            </a:graphic>
          </wp:anchor>
        </w:drawing>
      </w:r>
    </w:p>
    <w:p>
      <w:pPr>
        <w:sectPr>
          <w:pgSz w:w="11900" w:h="16838" w:orient="portrait"/>
          <w:cols w:equalWidth="0" w:num="1">
            <w:col w:w="11234"/>
          </w:cols>
          <w:pgMar w:left="326" w:top="1440" w:right="339" w:bottom="1440" w:gutter="0" w:footer="0" w:header="0"/>
        </w:sectPr>
      </w:pPr>
    </w:p>
    <w:bookmarkStart w:id="134" w:name="page135"/>
    <w:bookmarkEnd w:id="134"/>
    <w:p>
      <w:pPr>
        <w:spacing w:after="0" w:line="200" w:lineRule="exact"/>
        <w:rPr>
          <w:sz w:val="20"/>
          <w:szCs w:val="20"/>
          <w:color w:val="auto"/>
        </w:rPr>
      </w:pPr>
    </w:p>
    <w:p>
      <w:pPr>
        <w:spacing w:after="0" w:line="270" w:lineRule="exact"/>
        <w:rPr>
          <w:sz w:val="20"/>
          <w:szCs w:val="20"/>
          <w:color w:val="auto"/>
        </w:rPr>
      </w:pPr>
    </w:p>
    <w:p>
      <w:pPr>
        <w:jc w:val="both"/>
        <w:ind w:left="1354" w:right="100"/>
        <w:spacing w:after="0" w:line="260" w:lineRule="auto"/>
        <w:rPr>
          <w:sz w:val="20"/>
          <w:szCs w:val="20"/>
          <w:color w:val="auto"/>
        </w:rPr>
      </w:pPr>
      <w:r>
        <w:rPr>
          <w:rFonts w:ascii="Verdana" w:cs="Verdana" w:eastAsia="Verdana" w:hAnsi="Verdana"/>
          <w:sz w:val="18"/>
          <w:szCs w:val="18"/>
          <w:color w:val="auto"/>
        </w:rPr>
        <w:t>facilities provided for those working in or resorting to the Premises and at all times to indemnify the Landlord from and against all penalties damages compensation costs claims demands expenses and liability in respect thereof or arising through a failure to comply with this clause;</w:t>
      </w:r>
    </w:p>
    <w:p>
      <w:pPr>
        <w:spacing w:after="0" w:line="230" w:lineRule="exact"/>
        <w:rPr>
          <w:sz w:val="20"/>
          <w:szCs w:val="20"/>
          <w:color w:val="auto"/>
        </w:rPr>
      </w:pPr>
    </w:p>
    <w:p>
      <w:pPr>
        <w:ind w:left="1354" w:right="100" w:hanging="624"/>
        <w:spacing w:after="0" w:line="267" w:lineRule="auto"/>
        <w:tabs>
          <w:tab w:leader="none" w:pos="1060" w:val="left"/>
        </w:tabs>
        <w:numPr>
          <w:ilvl w:val="1"/>
          <w:numId w:val="50"/>
        </w:numPr>
        <w:rPr>
          <w:rFonts w:ascii="Verdana" w:cs="Verdana" w:eastAsia="Verdana" w:hAnsi="Verdana"/>
          <w:sz w:val="18"/>
          <w:szCs w:val="18"/>
          <w:color w:val="auto"/>
        </w:rPr>
      </w:pPr>
      <w:r>
        <w:rPr>
          <w:rFonts w:ascii="Verdana" w:cs="Verdana" w:eastAsia="Verdana" w:hAnsi="Verdana"/>
          <w:sz w:val="18"/>
          <w:szCs w:val="18"/>
          <w:color w:val="auto"/>
        </w:rPr>
        <w:t>To permit the Landlord or its agent at all reasonable times (subject to reasonable prior notice save in the case of emergency) to enter the Premises and examine the state of repair and condition thereof and to repair and make good all defects of which notice in writing shall be given by the Landlord to the Tenant;</w:t>
      </w:r>
    </w:p>
    <w:p>
      <w:pPr>
        <w:spacing w:after="0" w:line="223" w:lineRule="exact"/>
        <w:rPr>
          <w:rFonts w:ascii="Verdana" w:cs="Verdana" w:eastAsia="Verdana" w:hAnsi="Verdana"/>
          <w:sz w:val="18"/>
          <w:szCs w:val="18"/>
          <w:color w:val="auto"/>
        </w:rPr>
      </w:pPr>
    </w:p>
    <w:p>
      <w:pPr>
        <w:ind w:left="1354" w:right="100" w:hanging="624"/>
        <w:spacing w:after="0" w:line="258" w:lineRule="auto"/>
        <w:tabs>
          <w:tab w:leader="none" w:pos="1079" w:val="left"/>
        </w:tabs>
        <w:numPr>
          <w:ilvl w:val="1"/>
          <w:numId w:val="50"/>
        </w:numPr>
        <w:rPr>
          <w:rFonts w:ascii="Verdana" w:cs="Verdana" w:eastAsia="Verdana" w:hAnsi="Verdana"/>
          <w:sz w:val="18"/>
          <w:szCs w:val="18"/>
          <w:color w:val="auto"/>
        </w:rPr>
      </w:pPr>
      <w:r>
        <w:rPr>
          <w:rFonts w:ascii="Verdana" w:cs="Verdana" w:eastAsia="Verdana" w:hAnsi="Verdana"/>
          <w:sz w:val="18"/>
          <w:szCs w:val="18"/>
          <w:color w:val="auto"/>
        </w:rPr>
        <w:t xml:space="preserve">Not to make any structural alterations in the Premises nor to make any alterations whatsoever in the internal arrangements or external appearance of the Premises nor to erect any wireless or television aerial or other equipment for the transmission of electronic signals </w:t>
      </w:r>
      <w:r>
        <w:rPr>
          <w:rFonts w:ascii="Verdana" w:cs="Verdana" w:eastAsia="Verdana" w:hAnsi="Verdana"/>
          <w:sz w:val="18"/>
          <w:szCs w:val="18"/>
          <w:b w:val="1"/>
          <w:bCs w:val="1"/>
          <w:color w:val="auto"/>
        </w:rPr>
        <w:t>PROVIDED THAT</w:t>
      </w:r>
      <w:r>
        <w:rPr>
          <w:rFonts w:ascii="Verdana" w:cs="Verdana" w:eastAsia="Verdana" w:hAnsi="Verdana"/>
          <w:sz w:val="18"/>
          <w:szCs w:val="18"/>
          <w:color w:val="auto"/>
        </w:rPr>
        <w:t xml:space="preserve"> the Tenant shall be permitted to make non-structural alterations to the Premises subject to obtaining and complying with all requisite consents and approvals from the local or competent authorities AND subject to the prior written consent of the Landlord being first obtained;</w:t>
      </w:r>
    </w:p>
    <w:p>
      <w:pPr>
        <w:spacing w:after="0" w:line="245" w:lineRule="exact"/>
        <w:rPr>
          <w:rFonts w:ascii="Verdana" w:cs="Verdana" w:eastAsia="Verdana" w:hAnsi="Verdana"/>
          <w:sz w:val="18"/>
          <w:szCs w:val="18"/>
          <w:color w:val="auto"/>
        </w:rPr>
      </w:pPr>
    </w:p>
    <w:p>
      <w:pPr>
        <w:ind w:left="1354" w:right="100" w:hanging="624"/>
        <w:spacing w:after="0" w:line="260" w:lineRule="auto"/>
        <w:tabs>
          <w:tab w:leader="none" w:pos="1010" w:val="left"/>
        </w:tabs>
        <w:numPr>
          <w:ilvl w:val="1"/>
          <w:numId w:val="50"/>
        </w:numPr>
        <w:rPr>
          <w:rFonts w:ascii="Verdana" w:cs="Verdana" w:eastAsia="Verdana" w:hAnsi="Verdana"/>
          <w:sz w:val="18"/>
          <w:szCs w:val="18"/>
          <w:color w:val="auto"/>
        </w:rPr>
      </w:pPr>
      <w:r>
        <w:rPr>
          <w:rFonts w:ascii="Verdana" w:cs="Verdana" w:eastAsia="Verdana" w:hAnsi="Verdana"/>
          <w:sz w:val="18"/>
          <w:szCs w:val="18"/>
          <w:color w:val="auto"/>
        </w:rPr>
        <w:t>Not to do or permit or suffer to be done on the Premises anything which would be in breach of the user of the Premises permitted under the provisions of the Planning and Development Acts 2000 to 2010 or any Act or Acts amending or replacing same or the regulations made thereunder or render the Landlord liable to proceedings being instituted under such Acts and in the event of any breach of this clause to indemnify the Landlord against all reasonable legal costs claims and expenses resulting from such a breach;</w:t>
      </w:r>
    </w:p>
    <w:p>
      <w:pPr>
        <w:spacing w:after="0" w:line="219" w:lineRule="exact"/>
        <w:rPr>
          <w:rFonts w:ascii="Verdana" w:cs="Verdana" w:eastAsia="Verdana" w:hAnsi="Verdana"/>
          <w:sz w:val="18"/>
          <w:szCs w:val="18"/>
          <w:color w:val="auto"/>
        </w:rPr>
      </w:pPr>
    </w:p>
    <w:p>
      <w:pPr>
        <w:ind w:left="1014" w:hanging="284"/>
        <w:spacing w:after="0"/>
        <w:tabs>
          <w:tab w:leader="none" w:pos="1014" w:val="left"/>
        </w:tabs>
        <w:numPr>
          <w:ilvl w:val="1"/>
          <w:numId w:val="50"/>
        </w:numPr>
        <w:rPr>
          <w:rFonts w:ascii="Verdana" w:cs="Verdana" w:eastAsia="Verdana" w:hAnsi="Verdana"/>
          <w:sz w:val="18"/>
          <w:szCs w:val="18"/>
          <w:color w:val="auto"/>
        </w:rPr>
      </w:pPr>
      <w:r>
        <w:rPr>
          <w:rFonts w:ascii="Verdana" w:cs="Verdana" w:eastAsia="Verdana" w:hAnsi="Verdana"/>
          <w:sz w:val="18"/>
          <w:szCs w:val="18"/>
          <w:color w:val="auto"/>
        </w:rPr>
        <w:t>To clean the insides of the windows of the occupied portion of the Premises as often as reasonably necessary;</w:t>
      </w:r>
    </w:p>
    <w:p>
      <w:pPr>
        <w:spacing w:after="0" w:line="271" w:lineRule="exact"/>
        <w:rPr>
          <w:rFonts w:ascii="Verdana" w:cs="Verdana" w:eastAsia="Verdana" w:hAnsi="Verdana"/>
          <w:sz w:val="18"/>
          <w:szCs w:val="18"/>
          <w:color w:val="auto"/>
        </w:rPr>
      </w:pPr>
    </w:p>
    <w:p>
      <w:pPr>
        <w:ind w:left="1354" w:right="100" w:hanging="624"/>
        <w:spacing w:after="0" w:line="260" w:lineRule="auto"/>
        <w:tabs>
          <w:tab w:leader="none" w:pos="1053" w:val="left"/>
        </w:tabs>
        <w:numPr>
          <w:ilvl w:val="1"/>
          <w:numId w:val="50"/>
        </w:numPr>
        <w:rPr>
          <w:rFonts w:ascii="Verdana" w:cs="Verdana" w:eastAsia="Verdana" w:hAnsi="Verdana"/>
          <w:sz w:val="18"/>
          <w:szCs w:val="18"/>
          <w:color w:val="auto"/>
        </w:rPr>
      </w:pPr>
      <w:r>
        <w:rPr>
          <w:rFonts w:ascii="Verdana" w:cs="Verdana" w:eastAsia="Verdana" w:hAnsi="Verdana"/>
          <w:sz w:val="18"/>
          <w:szCs w:val="18"/>
          <w:color w:val="auto"/>
        </w:rPr>
        <w:t>Not to use or occupy the Premises or permit the same to be used or occupied otherwise than for the Permitted Use or for any purpose or in any manner inconsistent with such user or occupation and not to do, or allow to be done any act or thing which is likely to be, or to become a nuisance danger or annoyance to the Landlord or other occupiers of the Building or to adjoining occupiers;</w:t>
      </w:r>
    </w:p>
    <w:p>
      <w:pPr>
        <w:spacing w:after="0" w:line="231" w:lineRule="exact"/>
        <w:rPr>
          <w:rFonts w:ascii="Verdana" w:cs="Verdana" w:eastAsia="Verdana" w:hAnsi="Verdana"/>
          <w:sz w:val="18"/>
          <w:szCs w:val="18"/>
          <w:color w:val="auto"/>
        </w:rPr>
      </w:pPr>
    </w:p>
    <w:p>
      <w:pPr>
        <w:ind w:left="1354" w:right="100" w:hanging="624"/>
        <w:spacing w:after="0" w:line="258" w:lineRule="auto"/>
        <w:tabs>
          <w:tab w:leader="none" w:pos="1013" w:val="left"/>
        </w:tabs>
        <w:numPr>
          <w:ilvl w:val="1"/>
          <w:numId w:val="50"/>
        </w:numPr>
        <w:rPr>
          <w:rFonts w:ascii="Verdana" w:cs="Verdana" w:eastAsia="Verdana" w:hAnsi="Verdana"/>
          <w:sz w:val="18"/>
          <w:szCs w:val="18"/>
          <w:color w:val="auto"/>
        </w:rPr>
      </w:pPr>
      <w:r>
        <w:rPr>
          <w:rFonts w:ascii="Verdana" w:cs="Verdana" w:eastAsia="Verdana" w:hAnsi="Verdana"/>
          <w:sz w:val="18"/>
          <w:szCs w:val="18"/>
          <w:color w:val="auto"/>
        </w:rPr>
        <w:t>To pay and discharge all charges in respect of the electric current, telephone service used or consumed on the Premises during the Term of this Agreement or any extension thereof;</w:t>
      </w:r>
    </w:p>
    <w:p>
      <w:pPr>
        <w:spacing w:after="0" w:line="231" w:lineRule="exact"/>
        <w:rPr>
          <w:rFonts w:ascii="Verdana" w:cs="Verdana" w:eastAsia="Verdana" w:hAnsi="Verdana"/>
          <w:sz w:val="18"/>
          <w:szCs w:val="18"/>
          <w:color w:val="auto"/>
        </w:rPr>
      </w:pPr>
    </w:p>
    <w:p>
      <w:pPr>
        <w:jc w:val="both"/>
        <w:ind w:left="-6" w:firstLine="6"/>
        <w:spacing w:after="0" w:line="267" w:lineRule="auto"/>
        <w:tabs>
          <w:tab w:leader="none" w:pos="389" w:val="left"/>
        </w:tabs>
        <w:numPr>
          <w:ilvl w:val="0"/>
          <w:numId w:val="51"/>
        </w:numPr>
        <w:rPr>
          <w:rFonts w:ascii="Verdana" w:cs="Verdana" w:eastAsia="Verdana" w:hAnsi="Verdana"/>
          <w:sz w:val="18"/>
          <w:szCs w:val="18"/>
          <w:color w:val="auto"/>
        </w:rPr>
      </w:pPr>
      <w:r>
        <w:rPr>
          <w:rFonts w:ascii="Verdana" w:cs="Verdana" w:eastAsia="Verdana" w:hAnsi="Verdana"/>
          <w:sz w:val="18"/>
          <w:szCs w:val="18"/>
          <w:color w:val="auto"/>
        </w:rPr>
        <w:t>Not to exhibit any signboard poster or advertising matter or any flag or banner outside the Premises or in the windows or doors thereof, but this sub-clause shall not prevent the Tenant from placing at the entrance of the Building company signage and metal nameplate of a type and of</w:t>
      </w:r>
    </w:p>
    <w:p>
      <w:pPr>
        <w:sectPr>
          <w:pgSz w:w="11900" w:h="16838" w:orient="portrait"/>
          <w:cols w:equalWidth="0" w:num="1">
            <w:col w:w="11234"/>
          </w:cols>
          <w:pgMar w:left="326" w:top="1440" w:right="339" w:bottom="1440" w:gutter="0" w:footer="0" w:header="0"/>
        </w:sectPr>
      </w:pPr>
    </w:p>
    <w:bookmarkStart w:id="135" w:name="page136"/>
    <w:bookmarkEnd w:id="135"/>
    <w:p>
      <w:pPr>
        <w:spacing w:after="0" w:line="200" w:lineRule="exact"/>
        <w:rPr>
          <w:sz w:val="20"/>
          <w:szCs w:val="20"/>
          <w:color w:val="auto"/>
        </w:rPr>
      </w:pPr>
    </w:p>
    <w:p>
      <w:pPr>
        <w:spacing w:after="0" w:line="270" w:lineRule="exact"/>
        <w:rPr>
          <w:sz w:val="20"/>
          <w:szCs w:val="20"/>
          <w:color w:val="auto"/>
        </w:rPr>
      </w:pPr>
    </w:p>
    <w:p>
      <w:pPr>
        <w:jc w:val="center"/>
        <w:ind w:right="16"/>
        <w:spacing w:after="0"/>
        <w:rPr>
          <w:sz w:val="20"/>
          <w:szCs w:val="20"/>
          <w:color w:val="auto"/>
        </w:rPr>
      </w:pPr>
      <w:r>
        <w:rPr>
          <w:rFonts w:ascii="Verdana" w:cs="Verdana" w:eastAsia="Verdana" w:hAnsi="Verdana"/>
          <w:sz w:val="18"/>
          <w:szCs w:val="18"/>
          <w:color w:val="auto"/>
        </w:rPr>
        <w:t>dimensions to be approved by the Landlord and in a position to be similarly approved by the Landlord;</w:t>
      </w:r>
    </w:p>
    <w:p>
      <w:pPr>
        <w:spacing w:after="0" w:line="245" w:lineRule="exact"/>
        <w:rPr>
          <w:sz w:val="20"/>
          <w:szCs w:val="20"/>
          <w:color w:val="auto"/>
        </w:rPr>
      </w:pPr>
    </w:p>
    <w:p>
      <w:pPr>
        <w:ind w:left="624" w:right="20" w:hanging="624"/>
        <w:spacing w:after="0" w:line="267" w:lineRule="auto"/>
        <w:tabs>
          <w:tab w:leader="none" w:pos="356"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To comply with the regulations and directions of the Landlord or of any management company in relation to loading, deliveries, storage treatment and best practice disposal of refuse or for the management, control, use and conduct of the Building;</w:t>
      </w:r>
    </w:p>
    <w:p>
      <w:pPr>
        <w:spacing w:after="0" w:line="223" w:lineRule="exact"/>
        <w:rPr>
          <w:rFonts w:ascii="Verdana" w:cs="Verdana" w:eastAsia="Verdana" w:hAnsi="Verdana"/>
          <w:sz w:val="18"/>
          <w:szCs w:val="18"/>
          <w:color w:val="auto"/>
        </w:rPr>
      </w:pPr>
    </w:p>
    <w:p>
      <w:pPr>
        <w:ind w:left="464" w:hanging="464"/>
        <w:spacing w:after="0"/>
        <w:tabs>
          <w:tab w:leader="none" w:pos="464"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Not to hold any auction upon the Premises;</w:t>
      </w:r>
    </w:p>
    <w:p>
      <w:pPr>
        <w:spacing w:after="0" w:line="244" w:lineRule="exact"/>
        <w:rPr>
          <w:rFonts w:ascii="Verdana" w:cs="Verdana" w:eastAsia="Verdana" w:hAnsi="Verdana"/>
          <w:sz w:val="18"/>
          <w:szCs w:val="18"/>
          <w:color w:val="auto"/>
        </w:rPr>
      </w:pPr>
    </w:p>
    <w:p>
      <w:pPr>
        <w:ind w:left="464" w:hanging="464"/>
        <w:spacing w:after="0"/>
        <w:tabs>
          <w:tab w:leader="none" w:pos="464"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Not to keep any dog or other animal in or upon the Premises;</w:t>
      </w:r>
    </w:p>
    <w:p>
      <w:pPr>
        <w:spacing w:after="0" w:line="244" w:lineRule="exact"/>
        <w:rPr>
          <w:rFonts w:ascii="Verdana" w:cs="Verdana" w:eastAsia="Verdana" w:hAnsi="Verdana"/>
          <w:sz w:val="18"/>
          <w:szCs w:val="18"/>
          <w:color w:val="auto"/>
        </w:rPr>
      </w:pPr>
    </w:p>
    <w:p>
      <w:pPr>
        <w:ind w:left="624" w:hanging="624"/>
        <w:spacing w:after="0" w:line="273" w:lineRule="auto"/>
        <w:tabs>
          <w:tab w:leader="none" w:pos="369"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Not to place or permit to be placed any obstruction of any nature or kind in or upon the hall, landings, stairways, paths, or approaches leading to the Premises and/or the Building;</w:t>
      </w:r>
    </w:p>
    <w:p>
      <w:pPr>
        <w:spacing w:after="0" w:line="231" w:lineRule="exact"/>
        <w:rPr>
          <w:rFonts w:ascii="Verdana" w:cs="Verdana" w:eastAsia="Verdana" w:hAnsi="Verdana"/>
          <w:sz w:val="18"/>
          <w:szCs w:val="18"/>
          <w:color w:val="auto"/>
        </w:rPr>
      </w:pPr>
    </w:p>
    <w:p>
      <w:pPr>
        <w:ind w:left="624" w:hanging="624"/>
        <w:spacing w:after="0" w:line="260" w:lineRule="auto"/>
        <w:tabs>
          <w:tab w:leader="none" w:pos="334"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Not to place or leave any dust rubbish or refuse in or about the Premises or the Building. The Tenant is responsible for activating the security system in their part of the Building. An agreed Automatic alarm setting is in place per the Third Schedule.</w:t>
      </w:r>
    </w:p>
    <w:p>
      <w:pPr>
        <w:spacing w:after="0" w:line="243" w:lineRule="exact"/>
        <w:rPr>
          <w:rFonts w:ascii="Verdana" w:cs="Verdana" w:eastAsia="Verdana" w:hAnsi="Verdana"/>
          <w:sz w:val="18"/>
          <w:szCs w:val="18"/>
          <w:color w:val="auto"/>
        </w:rPr>
      </w:pPr>
    </w:p>
    <w:p>
      <w:pPr>
        <w:ind w:left="624" w:right="20" w:hanging="624"/>
        <w:spacing w:after="0" w:line="273" w:lineRule="auto"/>
        <w:tabs>
          <w:tab w:leader="none" w:pos="311"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To notify the Landlord immediately in writing of any loss or damage caused to the Premises or to any property of the Landlord in the Premises;</w:t>
      </w:r>
    </w:p>
    <w:p>
      <w:pPr>
        <w:spacing w:after="0" w:line="217" w:lineRule="exact"/>
        <w:rPr>
          <w:rFonts w:ascii="Verdana" w:cs="Verdana" w:eastAsia="Verdana" w:hAnsi="Verdana"/>
          <w:sz w:val="18"/>
          <w:szCs w:val="18"/>
          <w:color w:val="auto"/>
        </w:rPr>
      </w:pPr>
    </w:p>
    <w:p>
      <w:pPr>
        <w:ind w:left="624" w:hanging="624"/>
        <w:spacing w:after="0" w:line="260" w:lineRule="auto"/>
        <w:tabs>
          <w:tab w:leader="none" w:pos="288"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On the termination of the Term hereby created the Tenant shall furnish to the Landlord a letter addressed to the Tenant’s Communications’ provider, authorising the transfer of the telephone line and number into the name of the Landlord, and the Tenant agrees not to do or allow to be done anything which may cause the said line to be disconnected;</w:t>
      </w:r>
    </w:p>
    <w:p>
      <w:pPr>
        <w:spacing w:after="0" w:line="231" w:lineRule="exact"/>
        <w:rPr>
          <w:rFonts w:ascii="Verdana" w:cs="Verdana" w:eastAsia="Verdana" w:hAnsi="Verdana"/>
          <w:sz w:val="18"/>
          <w:szCs w:val="18"/>
          <w:color w:val="auto"/>
        </w:rPr>
      </w:pPr>
    </w:p>
    <w:p>
      <w:pPr>
        <w:jc w:val="right"/>
        <w:ind w:left="1184" w:hanging="1184"/>
        <w:spacing w:after="0" w:line="261" w:lineRule="auto"/>
        <w:tabs>
          <w:tab w:leader="none" w:pos="340"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(i)   To be responsible for and to indemnify the Landlord against all damage occasioned to the Premises or any adjacent or neighbouring premises within the Facility or to any person and to indemnify the Landlord</w:t>
      </w:r>
    </w:p>
    <w:p>
      <w:pPr>
        <w:spacing w:after="0" w:line="1" w:lineRule="exact"/>
        <w:rPr>
          <w:sz w:val="20"/>
          <w:szCs w:val="20"/>
          <w:color w:val="auto"/>
        </w:rPr>
      </w:pPr>
    </w:p>
    <w:p>
      <w:pPr>
        <w:ind w:left="1184"/>
        <w:spacing w:after="0" w:line="254" w:lineRule="auto"/>
        <w:rPr>
          <w:sz w:val="20"/>
          <w:szCs w:val="20"/>
          <w:color w:val="auto"/>
        </w:rPr>
      </w:pPr>
      <w:r>
        <w:rPr>
          <w:rFonts w:ascii="Verdana" w:cs="Verdana" w:eastAsia="Verdana" w:hAnsi="Verdana"/>
          <w:sz w:val="18"/>
          <w:szCs w:val="18"/>
          <w:color w:val="auto"/>
        </w:rPr>
        <w:t>against all actions, claims, proceedings, costs, expenses and demands made against the Landlord as a result of:-</w:t>
      </w:r>
    </w:p>
    <w:p>
      <w:pPr>
        <w:spacing w:after="0" w:line="1" w:lineRule="exact"/>
        <w:rPr>
          <w:sz w:val="20"/>
          <w:szCs w:val="20"/>
          <w:color w:val="auto"/>
        </w:rPr>
      </w:pPr>
    </w:p>
    <w:p>
      <w:pPr>
        <w:ind w:left="1284" w:right="1540"/>
        <w:spacing w:after="0" w:line="273" w:lineRule="auto"/>
        <w:rPr>
          <w:sz w:val="20"/>
          <w:szCs w:val="20"/>
          <w:color w:val="auto"/>
        </w:rPr>
      </w:pPr>
      <w:r>
        <w:rPr>
          <w:rFonts w:ascii="Verdana" w:cs="Verdana" w:eastAsia="Verdana" w:hAnsi="Verdana"/>
          <w:sz w:val="18"/>
          <w:szCs w:val="18"/>
          <w:color w:val="auto"/>
        </w:rPr>
        <w:t>&lt;a&gt; any act, omission or negligence of the Tenant or the servants or agents of the Tenants; and</w:t>
      </w:r>
    </w:p>
    <w:p>
      <w:pPr>
        <w:spacing w:after="0" w:line="218" w:lineRule="exact"/>
        <w:rPr>
          <w:sz w:val="20"/>
          <w:szCs w:val="20"/>
          <w:color w:val="auto"/>
        </w:rPr>
      </w:pPr>
    </w:p>
    <w:p>
      <w:pPr>
        <w:ind w:left="1284" w:right="660"/>
        <w:spacing w:after="0" w:line="273" w:lineRule="auto"/>
        <w:rPr>
          <w:sz w:val="20"/>
          <w:szCs w:val="20"/>
          <w:color w:val="auto"/>
        </w:rPr>
      </w:pPr>
      <w:r>
        <w:rPr>
          <w:rFonts w:ascii="Verdana" w:cs="Verdana" w:eastAsia="Verdana" w:hAnsi="Verdana"/>
          <w:sz w:val="18"/>
          <w:szCs w:val="18"/>
          <w:color w:val="auto"/>
        </w:rPr>
        <w:t>&lt;b&gt; any breach or non-observance by the Tenant of the Tenant's covenants and other terms hereof.</w:t>
      </w:r>
    </w:p>
    <w:p>
      <w:pPr>
        <w:spacing w:after="0" w:line="231" w:lineRule="exact"/>
        <w:rPr>
          <w:sz w:val="20"/>
          <w:szCs w:val="20"/>
          <w:color w:val="auto"/>
        </w:rPr>
      </w:pPr>
    </w:p>
    <w:p>
      <w:pPr>
        <w:ind w:left="1284" w:hanging="638"/>
        <w:spacing w:after="0" w:line="257" w:lineRule="auto"/>
        <w:tabs>
          <w:tab w:leader="none" w:pos="981" w:val="left"/>
        </w:tabs>
        <w:numPr>
          <w:ilvl w:val="0"/>
          <w:numId w:val="53"/>
        </w:numPr>
        <w:rPr>
          <w:rFonts w:ascii="Verdana" w:cs="Verdana" w:eastAsia="Verdana" w:hAnsi="Verdana"/>
          <w:sz w:val="18"/>
          <w:szCs w:val="18"/>
          <w:color w:val="auto"/>
        </w:rPr>
      </w:pPr>
      <w:r>
        <w:rPr>
          <w:rFonts w:ascii="Verdana" w:cs="Verdana" w:eastAsia="Verdana" w:hAnsi="Verdana"/>
          <w:sz w:val="18"/>
          <w:szCs w:val="18"/>
          <w:color w:val="auto"/>
        </w:rPr>
        <w:t>To take out a policy of public and employers' liability insurance with a reputable Insurance Company to cover amounts up to two million euro in respect of each and every claim in any one year (or such increased amounts as the Landlord may reasonably consider appropriate from time to time) and to pay the annual premium in respect of same and to produce on demand to the Landlord a copy of the policy document relating to same and</w:t>
      </w:r>
    </w:p>
    <w:p>
      <w:pPr>
        <w:sectPr>
          <w:pgSz w:w="11900" w:h="16838" w:orient="portrait"/>
          <w:cols w:equalWidth="0" w:num="1">
            <w:col w:w="10404"/>
          </w:cols>
          <w:pgMar w:left="1056" w:top="1440" w:right="439" w:bottom="1440" w:gutter="0" w:footer="0" w:header="0"/>
        </w:sectPr>
      </w:pPr>
    </w:p>
    <w:bookmarkStart w:id="136" w:name="page137"/>
    <w:bookmarkEnd w:id="136"/>
    <w:p>
      <w:pPr>
        <w:spacing w:after="0" w:line="232" w:lineRule="exact"/>
        <w:rPr>
          <w:sz w:val="20"/>
          <w:szCs w:val="20"/>
          <w:color w:val="auto"/>
        </w:rPr>
      </w:pPr>
    </w:p>
    <w:p>
      <w:pPr>
        <w:ind w:left="1910" w:right="1200"/>
        <w:spacing w:after="0" w:line="258" w:lineRule="auto"/>
        <w:rPr>
          <w:sz w:val="20"/>
          <w:szCs w:val="20"/>
          <w:color w:val="auto"/>
        </w:rPr>
      </w:pPr>
      <w:r>
        <w:rPr>
          <w:rFonts w:ascii="Verdana" w:cs="Verdana" w:eastAsia="Verdana" w:hAnsi="Verdana"/>
          <w:sz w:val="18"/>
          <w:szCs w:val="18"/>
          <w:color w:val="auto"/>
        </w:rPr>
        <w:t>evidence that the premium on the said policy has been paid in full and to carry out the requirements, if any, of the insurance company in relation to the said policy.</w:t>
      </w:r>
    </w:p>
    <w:p>
      <w:pPr>
        <w:spacing w:after="0" w:line="232" w:lineRule="exact"/>
        <w:rPr>
          <w:sz w:val="20"/>
          <w:szCs w:val="20"/>
          <w:color w:val="auto"/>
        </w:rPr>
      </w:pPr>
    </w:p>
    <w:p>
      <w:pPr>
        <w:ind w:left="1250" w:hanging="624"/>
        <w:spacing w:after="0" w:line="261" w:lineRule="auto"/>
        <w:tabs>
          <w:tab w:leader="none" w:pos="949" w:val="left"/>
        </w:tabs>
        <w:numPr>
          <w:ilvl w:val="0"/>
          <w:numId w:val="54"/>
        </w:numPr>
        <w:rPr>
          <w:rFonts w:ascii="Verdana" w:cs="Verdana" w:eastAsia="Verdana" w:hAnsi="Verdana"/>
          <w:sz w:val="18"/>
          <w:szCs w:val="18"/>
          <w:color w:val="auto"/>
        </w:rPr>
      </w:pPr>
      <w:r>
        <w:rPr>
          <w:rFonts w:ascii="Verdana" w:cs="Verdana" w:eastAsia="Verdana" w:hAnsi="Verdana"/>
          <w:sz w:val="18"/>
          <w:szCs w:val="18"/>
          <w:color w:val="auto"/>
        </w:rPr>
        <w:t>That the Tenant will at the expiration or sooner determination of the Term peaceably surrender and yield up unto the Landlord possession of the Premises together with the furniture effects and fittings included in this letting in good and substantial repair and condition in all respects and to remove all tenant's or trade fixtures prior to the expiration or sooner determination of the Term (except such as the Landlord agrees in writing may remain on the Premises) and after such removal to make good all damage to the Premises caused by such removal.</w:t>
      </w:r>
    </w:p>
    <w:p>
      <w:pPr>
        <w:spacing w:after="0" w:line="229" w:lineRule="exact"/>
        <w:rPr>
          <w:sz w:val="20"/>
          <w:szCs w:val="20"/>
          <w:color w:val="auto"/>
        </w:rPr>
      </w:pPr>
    </w:p>
    <w:p>
      <w:pPr>
        <w:jc w:val="both"/>
        <w:ind w:left="1250" w:hanging="624"/>
        <w:spacing w:after="0" w:line="260" w:lineRule="auto"/>
        <w:tabs>
          <w:tab w:leader="none" w:pos="1193" w:val="left"/>
        </w:tabs>
        <w:numPr>
          <w:ilvl w:val="1"/>
          <w:numId w:val="55"/>
        </w:numPr>
        <w:rPr>
          <w:rFonts w:ascii="Verdana" w:cs="Verdana" w:eastAsia="Verdana" w:hAnsi="Verdana"/>
          <w:sz w:val="18"/>
          <w:szCs w:val="18"/>
          <w:color w:val="auto"/>
        </w:rPr>
      </w:pPr>
      <w:r>
        <w:rPr>
          <w:rFonts w:ascii="Verdana" w:cs="Verdana" w:eastAsia="Verdana" w:hAnsi="Verdana"/>
          <w:sz w:val="18"/>
          <w:szCs w:val="18"/>
          <w:color w:val="auto"/>
        </w:rPr>
        <w:t>to be responsible for the safe movement of materials and other items to and from the landlord’s warehouse and the tenant’s production area. The tenant shall be responsible for the lifting devices i.e. (steps and overhead safety gate)</w:t>
      </w:r>
    </w:p>
    <w:p>
      <w:pPr>
        <w:spacing w:after="0" w:line="229" w:lineRule="exact"/>
        <w:rPr>
          <w:rFonts w:ascii="Verdana" w:cs="Verdana" w:eastAsia="Verdana" w:hAnsi="Verdana"/>
          <w:sz w:val="18"/>
          <w:szCs w:val="18"/>
          <w:color w:val="auto"/>
        </w:rPr>
      </w:pPr>
    </w:p>
    <w:p>
      <w:pPr>
        <w:ind w:left="1250" w:hanging="624"/>
        <w:spacing w:after="0" w:line="260" w:lineRule="auto"/>
        <w:tabs>
          <w:tab w:leader="none" w:pos="1140" w:val="left"/>
        </w:tabs>
        <w:numPr>
          <w:ilvl w:val="1"/>
          <w:numId w:val="55"/>
        </w:numPr>
        <w:rPr>
          <w:rFonts w:ascii="Verdana" w:cs="Verdana" w:eastAsia="Verdana" w:hAnsi="Verdana"/>
          <w:sz w:val="18"/>
          <w:szCs w:val="18"/>
          <w:color w:val="auto"/>
        </w:rPr>
      </w:pPr>
      <w:r>
        <w:rPr>
          <w:rFonts w:ascii="Verdana" w:cs="Verdana" w:eastAsia="Verdana" w:hAnsi="Verdana"/>
          <w:sz w:val="18"/>
          <w:szCs w:val="18"/>
          <w:color w:val="auto"/>
        </w:rPr>
        <w:t>In pursuance of the Landlord’s Option to Tax which the Tenant acknowledges applies to this Agreement, to pay VAT where exigible on all sums required to be paid by the Tenant to the Landlord in pursuance of or in connection with this Agreement and to pay the VAT and the related sums together as one amount IT BEING ACKNOWLEDGED THAT all sums specified to be paid by the Tenant to the Landlord under this Agreement shall be treated (save as may otherwise expressly appear) as being the VAT exclusive amount.</w:t>
      </w:r>
    </w:p>
    <w:p>
      <w:pPr>
        <w:spacing w:after="0" w:line="232" w:lineRule="exact"/>
        <w:rPr>
          <w:rFonts w:ascii="Verdana" w:cs="Verdana" w:eastAsia="Verdana" w:hAnsi="Verdana"/>
          <w:sz w:val="18"/>
          <w:szCs w:val="18"/>
          <w:color w:val="auto"/>
        </w:rPr>
      </w:pPr>
    </w:p>
    <w:p>
      <w:pPr>
        <w:ind w:left="630" w:hanging="630"/>
        <w:spacing w:after="0"/>
        <w:tabs>
          <w:tab w:leader="none" w:pos="630" w:val="left"/>
        </w:tabs>
        <w:numPr>
          <w:ilvl w:val="0"/>
          <w:numId w:val="5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 xml:space="preserve">THE LANDLORD AGREES WITH THE TENANT </w:t>
      </w:r>
      <w:r>
        <w:rPr>
          <w:rFonts w:ascii="Verdana" w:cs="Verdana" w:eastAsia="Verdana" w:hAnsi="Verdana"/>
          <w:sz w:val="18"/>
          <w:szCs w:val="18"/>
          <w:color w:val="auto"/>
        </w:rPr>
        <w:t>as follows:-</w:t>
      </w:r>
    </w:p>
    <w:p>
      <w:pPr>
        <w:spacing w:after="0" w:line="200" w:lineRule="exact"/>
        <w:rPr>
          <w:rFonts w:ascii="Verdana" w:cs="Verdana" w:eastAsia="Verdana" w:hAnsi="Verdana"/>
          <w:sz w:val="18"/>
          <w:szCs w:val="18"/>
          <w:b w:val="1"/>
          <w:bCs w:val="1"/>
          <w:color w:val="auto"/>
        </w:rPr>
      </w:pPr>
    </w:p>
    <w:p>
      <w:pPr>
        <w:spacing w:after="0" w:line="270" w:lineRule="exact"/>
        <w:rPr>
          <w:rFonts w:ascii="Verdana" w:cs="Verdana" w:eastAsia="Verdana" w:hAnsi="Verdana"/>
          <w:sz w:val="18"/>
          <w:szCs w:val="18"/>
          <w:b w:val="1"/>
          <w:bCs w:val="1"/>
          <w:color w:val="auto"/>
        </w:rPr>
      </w:pPr>
    </w:p>
    <w:p>
      <w:pPr>
        <w:ind w:left="1250" w:hanging="624"/>
        <w:spacing w:after="0" w:line="260" w:lineRule="auto"/>
        <w:tabs>
          <w:tab w:leader="none" w:pos="950"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That the Tenant paying the rent and performing and observing the agreements on the Tenant's part hereinbefore contained may peaceably hold the Premises during the Term of this letting without any disturbance by the Landlord or any person lawfully claiming under or in trust for the Landlord;</w:t>
      </w:r>
    </w:p>
    <w:p>
      <w:pPr>
        <w:spacing w:after="0" w:line="229" w:lineRule="exact"/>
        <w:rPr>
          <w:rFonts w:ascii="Verdana" w:cs="Verdana" w:eastAsia="Verdana" w:hAnsi="Verdana"/>
          <w:sz w:val="18"/>
          <w:szCs w:val="18"/>
          <w:color w:val="auto"/>
        </w:rPr>
      </w:pPr>
    </w:p>
    <w:p>
      <w:pPr>
        <w:ind w:left="1250" w:hanging="624"/>
        <w:spacing w:after="0" w:line="260" w:lineRule="auto"/>
        <w:tabs>
          <w:tab w:leader="none" w:pos="968"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If in the event of destruction or damage to the Premises which renders them unfit for use and occupation, the rent payable under this Agreement shall be suspended until the Premises are again rendered fit for use and occupation. The rent suspended shall be the whole rent or such proportion as is fair according to the nature and extent of the damage to the Premises; and</w:t>
      </w:r>
    </w:p>
    <w:p>
      <w:pPr>
        <w:spacing w:after="0" w:line="231" w:lineRule="exact"/>
        <w:rPr>
          <w:rFonts w:ascii="Verdana" w:cs="Verdana" w:eastAsia="Verdana" w:hAnsi="Verdana"/>
          <w:sz w:val="18"/>
          <w:szCs w:val="18"/>
          <w:color w:val="auto"/>
        </w:rPr>
      </w:pPr>
    </w:p>
    <w:p>
      <w:pPr>
        <w:ind w:left="950" w:hanging="324"/>
        <w:spacing w:after="0"/>
        <w:tabs>
          <w:tab w:leader="none" w:pos="950"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To clean the outsides of the windows of the occupied portion of the Premises as often as reasonably necessary</w:t>
      </w:r>
    </w:p>
    <w:p>
      <w:pPr>
        <w:spacing w:after="0" w:line="258" w:lineRule="exact"/>
        <w:rPr>
          <w:rFonts w:ascii="Verdana" w:cs="Verdana" w:eastAsia="Verdana" w:hAnsi="Verdana"/>
          <w:sz w:val="18"/>
          <w:szCs w:val="18"/>
          <w:color w:val="auto"/>
        </w:rPr>
      </w:pPr>
    </w:p>
    <w:p>
      <w:pPr>
        <w:ind w:left="950" w:hanging="324"/>
        <w:spacing w:after="0"/>
        <w:tabs>
          <w:tab w:leader="none" w:pos="950"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To maintain the outside entrance door and entrance area in good working order and condition.</w:t>
      </w:r>
    </w:p>
    <w:p>
      <w:pPr>
        <w:sectPr>
          <w:pgSz w:w="11900" w:h="16838" w:orient="portrait"/>
          <w:cols w:equalWidth="0" w:num="1">
            <w:col w:w="11030"/>
          </w:cols>
          <w:pgMar w:left="430" w:top="1440" w:right="439" w:bottom="1440" w:gutter="0" w:footer="0" w:header="0"/>
        </w:sectPr>
      </w:pPr>
    </w:p>
    <w:bookmarkStart w:id="137" w:name="page138"/>
    <w:bookmarkEnd w:id="137"/>
    <w:p>
      <w:pPr>
        <w:spacing w:after="0" w:line="99" w:lineRule="exact"/>
        <w:rPr>
          <w:sz w:val="20"/>
          <w:szCs w:val="20"/>
          <w:color w:val="auto"/>
        </w:rPr>
      </w:pPr>
    </w:p>
    <w:p>
      <w:pPr>
        <w:ind w:left="630" w:hanging="630"/>
        <w:spacing w:after="0"/>
        <w:tabs>
          <w:tab w:leader="none" w:pos="630" w:val="left"/>
        </w:tabs>
        <w:numPr>
          <w:ilvl w:val="0"/>
          <w:numId w:val="5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 xml:space="preserve">IT IS HEREBY MUTUALLY AGREED BETWEEN THE LANDLORD AND THE TENANT </w:t>
      </w:r>
      <w:r>
        <w:rPr>
          <w:rFonts w:ascii="Verdana" w:cs="Verdana" w:eastAsia="Verdana" w:hAnsi="Verdana"/>
          <w:sz w:val="18"/>
          <w:szCs w:val="18"/>
          <w:color w:val="auto"/>
        </w:rPr>
        <w:t>as follows:</w:t>
      </w:r>
    </w:p>
    <w:p>
      <w:pPr>
        <w:spacing w:after="0" w:line="258" w:lineRule="exact"/>
        <w:rPr>
          <w:rFonts w:ascii="Verdana" w:cs="Verdana" w:eastAsia="Verdana" w:hAnsi="Verdana"/>
          <w:sz w:val="18"/>
          <w:szCs w:val="18"/>
          <w:b w:val="1"/>
          <w:bCs w:val="1"/>
          <w:color w:val="auto"/>
        </w:rPr>
      </w:pPr>
    </w:p>
    <w:p>
      <w:pPr>
        <w:ind w:left="1250" w:hanging="624"/>
        <w:spacing w:after="0" w:line="258" w:lineRule="auto"/>
        <w:tabs>
          <w:tab w:leader="none" w:pos="985" w:val="left"/>
        </w:tabs>
        <w:numPr>
          <w:ilvl w:val="1"/>
          <w:numId w:val="57"/>
        </w:numPr>
        <w:rPr>
          <w:rFonts w:ascii="Verdana" w:cs="Verdana" w:eastAsia="Verdana" w:hAnsi="Verdana"/>
          <w:sz w:val="18"/>
          <w:szCs w:val="18"/>
          <w:color w:val="auto"/>
        </w:rPr>
      </w:pPr>
      <w:r>
        <w:rPr>
          <w:rFonts w:ascii="Verdana" w:cs="Verdana" w:eastAsia="Verdana" w:hAnsi="Verdana"/>
          <w:sz w:val="18"/>
          <w:szCs w:val="18"/>
          <w:color w:val="auto"/>
        </w:rPr>
        <w:t xml:space="preserve">That in the event of the rent hereby reserved or any part thereof being in arrear for </w:t>
      </w:r>
      <w:r>
        <w:rPr>
          <w:rFonts w:ascii="Verdana" w:cs="Verdana" w:eastAsia="Verdana" w:hAnsi="Verdana"/>
          <w:sz w:val="18"/>
          <w:szCs w:val="18"/>
          <w:u w:val="single" w:color="auto"/>
          <w:color w:val="auto"/>
        </w:rPr>
        <w:t>sixty (60</w:t>
      </w:r>
      <w:r>
        <w:rPr>
          <w:rFonts w:ascii="Verdana" w:cs="Verdana" w:eastAsia="Verdana" w:hAnsi="Verdana"/>
          <w:sz w:val="18"/>
          <w:szCs w:val="18"/>
          <w:color w:val="auto"/>
        </w:rPr>
        <w:t>) days after becoming due or if there shall be any breach or non-performance or non-observance by the Tenant of any of the provisions herein contained or if the Tenant shall become bankrupt or make any arrangement or composition with his creditors or shall suffer execution to be levied on the premises or if the Tenant (being a Company) shall pass a Resolution to wind-up (other than for the purpose of a re- organisation) or have a winding-up Order made in respect thereof by the Court the Landlord shall be entitled to re-enter upon the Premises</w:t>
      </w:r>
    </w:p>
    <w:p>
      <w:pPr>
        <w:spacing w:after="0" w:line="129" w:lineRule="exact"/>
        <w:rPr>
          <w:sz w:val="20"/>
          <w:szCs w:val="20"/>
          <w:color w:val="auto"/>
        </w:rPr>
      </w:pPr>
    </w:p>
    <w:p>
      <w:pPr>
        <w:jc w:val="both"/>
        <w:ind w:left="1250" w:right="20"/>
        <w:spacing w:after="0" w:line="260" w:lineRule="auto"/>
        <w:rPr>
          <w:sz w:val="20"/>
          <w:szCs w:val="20"/>
          <w:color w:val="auto"/>
        </w:rPr>
      </w:pPr>
      <w:r>
        <w:rPr>
          <w:rFonts w:ascii="Verdana" w:cs="Verdana" w:eastAsia="Verdana" w:hAnsi="Verdana"/>
          <w:sz w:val="18"/>
          <w:szCs w:val="18"/>
          <w:color w:val="auto"/>
        </w:rPr>
        <w:t>whereupon this Agreement shall determine but shall do so without prejudice to any claim which the Landlord may have against the Tenant in respect of any antecedent breach of the Tenant's covenants agreements or stipulations herein contained.</w:t>
      </w:r>
    </w:p>
    <w:p>
      <w:pPr>
        <w:spacing w:after="0" w:line="243" w:lineRule="exact"/>
        <w:rPr>
          <w:sz w:val="20"/>
          <w:szCs w:val="20"/>
          <w:color w:val="auto"/>
        </w:rPr>
      </w:pPr>
    </w:p>
    <w:p>
      <w:pPr>
        <w:ind w:left="1250" w:hanging="624"/>
        <w:spacing w:after="0" w:line="260" w:lineRule="auto"/>
        <w:tabs>
          <w:tab w:leader="none" w:pos="956" w:val="left"/>
        </w:tabs>
        <w:numPr>
          <w:ilvl w:val="1"/>
          <w:numId w:val="58"/>
        </w:numPr>
        <w:rPr>
          <w:rFonts w:ascii="Verdana" w:cs="Verdana" w:eastAsia="Verdana" w:hAnsi="Verdana"/>
          <w:sz w:val="18"/>
          <w:szCs w:val="18"/>
          <w:color w:val="auto"/>
        </w:rPr>
      </w:pPr>
      <w:r>
        <w:rPr>
          <w:rFonts w:ascii="Verdana" w:cs="Verdana" w:eastAsia="Verdana" w:hAnsi="Verdana"/>
          <w:sz w:val="18"/>
          <w:szCs w:val="18"/>
          <w:color w:val="auto"/>
        </w:rPr>
        <w:t>That if the Tenancy hereby created should continue beyond the Term herein specified it shall in the absence of a new Agreement be deemed to be a tenancy determinable by six (6) calendar months’ notice in writing to be given by either party to the other and expiring on any day whether or not a Payment Day.</w:t>
      </w:r>
    </w:p>
    <w:p>
      <w:pPr>
        <w:spacing w:after="0" w:line="225" w:lineRule="exact"/>
        <w:rPr>
          <w:rFonts w:ascii="Verdana" w:cs="Verdana" w:eastAsia="Verdana" w:hAnsi="Verdana"/>
          <w:sz w:val="18"/>
          <w:szCs w:val="18"/>
          <w:color w:val="auto"/>
        </w:rPr>
      </w:pPr>
    </w:p>
    <w:p>
      <w:pPr>
        <w:ind w:left="1250" w:hanging="624"/>
        <w:spacing w:after="0" w:line="233" w:lineRule="auto"/>
        <w:tabs>
          <w:tab w:leader="none" w:pos="963" w:val="left"/>
        </w:tabs>
        <w:numPr>
          <w:ilvl w:val="1"/>
          <w:numId w:val="58"/>
        </w:numPr>
        <w:rPr>
          <w:rFonts w:ascii="Verdana" w:cs="Verdana" w:eastAsia="Verdana" w:hAnsi="Verdana"/>
          <w:sz w:val="18"/>
          <w:szCs w:val="18"/>
          <w:color w:val="auto"/>
        </w:rPr>
      </w:pPr>
      <w:r>
        <w:rPr>
          <w:rFonts w:ascii="Verdana" w:cs="Verdana" w:eastAsia="Verdana" w:hAnsi="Verdana"/>
          <w:sz w:val="18"/>
          <w:szCs w:val="18"/>
          <w:color w:val="auto"/>
        </w:rPr>
        <w:t>That the next rent review will be on the 1</w:t>
      </w:r>
      <w:r>
        <w:rPr>
          <w:rFonts w:ascii="Verdana" w:cs="Verdana" w:eastAsia="Verdana" w:hAnsi="Verdana"/>
          <w:sz w:val="22"/>
          <w:szCs w:val="22"/>
          <w:color w:val="auto"/>
          <w:vertAlign w:val="superscript"/>
        </w:rPr>
        <w:t>st</w:t>
      </w:r>
      <w:r>
        <w:rPr>
          <w:rFonts w:ascii="Verdana" w:cs="Verdana" w:eastAsia="Verdana" w:hAnsi="Verdana"/>
          <w:sz w:val="18"/>
          <w:szCs w:val="18"/>
          <w:color w:val="auto"/>
        </w:rPr>
        <w:t xml:space="preserve"> January 2027 in accordance with the provisions of the Fourth Schedule</w:t>
      </w:r>
    </w:p>
    <w:p>
      <w:pPr>
        <w:spacing w:after="0" w:line="234" w:lineRule="exact"/>
        <w:rPr>
          <w:rFonts w:ascii="Verdana" w:cs="Verdana" w:eastAsia="Verdana" w:hAnsi="Verdana"/>
          <w:sz w:val="18"/>
          <w:szCs w:val="18"/>
          <w:color w:val="auto"/>
        </w:rPr>
      </w:pPr>
    </w:p>
    <w:p>
      <w:pPr>
        <w:jc w:val="both"/>
        <w:ind w:left="1250" w:hanging="624"/>
        <w:spacing w:after="0" w:line="265" w:lineRule="auto"/>
        <w:tabs>
          <w:tab w:leader="none" w:pos="1186" w:val="left"/>
        </w:tabs>
        <w:numPr>
          <w:ilvl w:val="1"/>
          <w:numId w:val="58"/>
        </w:numPr>
        <w:rPr>
          <w:rFonts w:ascii="Verdana" w:cs="Verdana" w:eastAsia="Verdana" w:hAnsi="Verdana"/>
          <w:sz w:val="18"/>
          <w:szCs w:val="18"/>
          <w:color w:val="auto"/>
        </w:rPr>
      </w:pPr>
      <w:r>
        <w:rPr>
          <w:rFonts w:ascii="Verdana" w:cs="Verdana" w:eastAsia="Verdana" w:hAnsi="Verdana"/>
          <w:sz w:val="18"/>
          <w:szCs w:val="18"/>
          <w:color w:val="auto"/>
        </w:rPr>
        <w:t>That MMQ currently occupies the Building and is entitled to an Agreement of the Building from the Landlord. In the event, that the Landlord grants an Agreement of the Building to MMQ, such Agreement will be granted subject to and with the benefit of this Agreement and MMQ joins in this Agreement to affirm and agree this condition.</w:t>
      </w:r>
    </w:p>
    <w:p>
      <w:pPr>
        <w:spacing w:after="0" w:line="213" w:lineRule="exact"/>
        <w:rPr>
          <w:rFonts w:ascii="Verdana" w:cs="Verdana" w:eastAsia="Verdana" w:hAnsi="Verdana"/>
          <w:sz w:val="18"/>
          <w:szCs w:val="18"/>
          <w:color w:val="auto"/>
        </w:rPr>
      </w:pPr>
    </w:p>
    <w:p>
      <w:pPr>
        <w:ind w:left="630" w:hanging="630"/>
        <w:spacing w:after="0"/>
        <w:tabs>
          <w:tab w:leader="none" w:pos="630" w:val="left"/>
        </w:tabs>
        <w:numPr>
          <w:ilvl w:val="0"/>
          <w:numId w:val="5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TENANT’S BREAK OPTION</w:t>
      </w:r>
    </w:p>
    <w:p>
      <w:pPr>
        <w:spacing w:after="0" w:line="245" w:lineRule="exact"/>
        <w:rPr>
          <w:sz w:val="20"/>
          <w:szCs w:val="20"/>
          <w:color w:val="auto"/>
        </w:rPr>
      </w:pPr>
    </w:p>
    <w:p>
      <w:pPr>
        <w:jc w:val="both"/>
        <w:ind w:left="630" w:hanging="635"/>
        <w:spacing w:after="0" w:line="260" w:lineRule="auto"/>
        <w:tabs>
          <w:tab w:leader="none" w:pos="609" w:val="left"/>
        </w:tabs>
        <w:rPr>
          <w:sz w:val="20"/>
          <w:szCs w:val="20"/>
          <w:color w:val="auto"/>
        </w:rPr>
      </w:pPr>
      <w:r>
        <w:rPr>
          <w:rFonts w:ascii="Verdana" w:cs="Verdana" w:eastAsia="Verdana" w:hAnsi="Verdana"/>
          <w:sz w:val="18"/>
          <w:szCs w:val="18"/>
          <w:color w:val="auto"/>
        </w:rPr>
        <w:t>5.1</w:t>
      </w:r>
      <w:r>
        <w:rPr>
          <w:sz w:val="20"/>
          <w:szCs w:val="20"/>
          <w:color w:val="auto"/>
        </w:rPr>
        <w:tab/>
      </w:r>
      <w:r>
        <w:rPr>
          <w:rFonts w:ascii="Verdana" w:cs="Verdana" w:eastAsia="Verdana" w:hAnsi="Verdana"/>
          <w:sz w:val="18"/>
          <w:szCs w:val="18"/>
          <w:color w:val="auto"/>
        </w:rPr>
        <w:t>Notwithstanding anything to the contrary in this Agreement, the Tenant may terminate this Agreement at any time during the Term (the “</w:t>
      </w:r>
      <w:r>
        <w:rPr>
          <w:rFonts w:ascii="Verdana" w:cs="Verdana" w:eastAsia="Verdana" w:hAnsi="Verdana"/>
          <w:sz w:val="18"/>
          <w:szCs w:val="18"/>
          <w:b w:val="1"/>
          <w:bCs w:val="1"/>
          <w:color w:val="auto"/>
        </w:rPr>
        <w:t>Option Date</w:t>
      </w:r>
      <w:r>
        <w:rPr>
          <w:rFonts w:ascii="Verdana" w:cs="Verdana" w:eastAsia="Verdana" w:hAnsi="Verdana"/>
          <w:sz w:val="18"/>
          <w:szCs w:val="18"/>
          <w:color w:val="auto"/>
        </w:rPr>
        <w:t>”) by giving to the Landlord a notice in writing exercising the said right to terminate this Agreement (“</w:t>
      </w:r>
      <w:r>
        <w:rPr>
          <w:rFonts w:ascii="Verdana" w:cs="Verdana" w:eastAsia="Verdana" w:hAnsi="Verdana"/>
          <w:sz w:val="18"/>
          <w:szCs w:val="18"/>
          <w:b w:val="1"/>
          <w:bCs w:val="1"/>
          <w:color w:val="auto"/>
        </w:rPr>
        <w:t>Option Notice</w:t>
      </w:r>
      <w:r>
        <w:rPr>
          <w:rFonts w:ascii="Verdana" w:cs="Verdana" w:eastAsia="Verdana" w:hAnsi="Verdana"/>
          <w:sz w:val="18"/>
          <w:szCs w:val="18"/>
          <w:color w:val="auto"/>
        </w:rPr>
        <w:t>”) served on the Landlord not less than six (6) calendar months prior to an Option Date on which termination of this Agreement is to take effect.</w:t>
      </w:r>
    </w:p>
    <w:p>
      <w:pPr>
        <w:spacing w:after="0" w:line="231" w:lineRule="exact"/>
        <w:rPr>
          <w:sz w:val="20"/>
          <w:szCs w:val="20"/>
          <w:color w:val="auto"/>
        </w:rPr>
      </w:pPr>
    </w:p>
    <w:p>
      <w:pPr>
        <w:ind w:left="10"/>
        <w:spacing w:after="0"/>
        <w:tabs>
          <w:tab w:leader="none" w:pos="509" w:val="left"/>
        </w:tabs>
        <w:rPr>
          <w:sz w:val="20"/>
          <w:szCs w:val="20"/>
          <w:color w:val="auto"/>
        </w:rPr>
      </w:pPr>
      <w:r>
        <w:rPr>
          <w:rFonts w:ascii="Verdana" w:cs="Verdana" w:eastAsia="Verdana" w:hAnsi="Verdana"/>
          <w:sz w:val="18"/>
          <w:szCs w:val="18"/>
          <w:color w:val="auto"/>
        </w:rPr>
        <w:t>5.2</w:t>
      </w:r>
      <w:r>
        <w:rPr>
          <w:sz w:val="20"/>
          <w:szCs w:val="20"/>
          <w:color w:val="auto"/>
        </w:rPr>
        <w:tab/>
      </w:r>
      <w:r>
        <w:rPr>
          <w:rFonts w:ascii="Verdana" w:cs="Verdana" w:eastAsia="Verdana" w:hAnsi="Verdana"/>
          <w:sz w:val="17"/>
          <w:szCs w:val="17"/>
          <w:color w:val="auto"/>
        </w:rPr>
        <w:t>Notwithstanding the service of the Notice, the Tenant covenants to:</w:t>
      </w:r>
    </w:p>
    <w:p>
      <w:pPr>
        <w:spacing w:after="0" w:line="258" w:lineRule="exact"/>
        <w:rPr>
          <w:sz w:val="20"/>
          <w:szCs w:val="20"/>
          <w:color w:val="auto"/>
        </w:rPr>
      </w:pPr>
    </w:p>
    <w:p>
      <w:pPr>
        <w:ind w:left="1270" w:right="20" w:hanging="635"/>
        <w:spacing w:after="0" w:line="273" w:lineRule="auto"/>
        <w:tabs>
          <w:tab w:leader="none" w:pos="1249" w:val="left"/>
        </w:tabs>
        <w:rPr>
          <w:sz w:val="20"/>
          <w:szCs w:val="20"/>
          <w:color w:val="auto"/>
        </w:rPr>
      </w:pPr>
      <w:r>
        <w:rPr>
          <w:rFonts w:ascii="Verdana" w:cs="Verdana" w:eastAsia="Verdana" w:hAnsi="Verdana"/>
          <w:sz w:val="18"/>
          <w:szCs w:val="18"/>
          <w:color w:val="auto"/>
        </w:rPr>
        <w:t>5.2.1</w:t>
        <w:tab/>
        <w:t>pay the Rent and all outgoings payable under or by virtue of this Agreement have been paid in full up to the Option Date;</w:t>
      </w:r>
    </w:p>
    <w:p>
      <w:pPr>
        <w:spacing w:after="0" w:line="218" w:lineRule="exact"/>
        <w:rPr>
          <w:sz w:val="20"/>
          <w:szCs w:val="20"/>
          <w:color w:val="auto"/>
        </w:rPr>
      </w:pPr>
    </w:p>
    <w:p>
      <w:pPr>
        <w:ind w:left="1270" w:hanging="635"/>
        <w:spacing w:after="0" w:line="273" w:lineRule="auto"/>
        <w:tabs>
          <w:tab w:leader="none" w:pos="1249" w:val="left"/>
        </w:tabs>
        <w:rPr>
          <w:sz w:val="20"/>
          <w:szCs w:val="20"/>
          <w:color w:val="auto"/>
        </w:rPr>
      </w:pPr>
      <w:r>
        <w:rPr>
          <w:rFonts w:ascii="Verdana" w:cs="Verdana" w:eastAsia="Verdana" w:hAnsi="Verdana"/>
          <w:sz w:val="18"/>
          <w:szCs w:val="18"/>
          <w:color w:val="auto"/>
        </w:rPr>
        <w:t>5.2.2</w:t>
        <w:tab/>
        <w:t>That vacant possession of the entire of the Premises and the Car Parking Spaces is given to the Landlord on the Option Date free from</w:t>
      </w:r>
    </w:p>
    <w:p>
      <w:pPr>
        <w:sectPr>
          <w:pgSz w:w="11900" w:h="16838" w:orient="portrait"/>
          <w:cols w:equalWidth="0" w:num="1">
            <w:col w:w="11030"/>
          </w:cols>
          <w:pgMar w:left="430" w:top="1440" w:right="439" w:bottom="1440" w:gutter="0" w:footer="0" w:header="0"/>
        </w:sectPr>
      </w:pPr>
    </w:p>
    <w:bookmarkStart w:id="138" w:name="page139"/>
    <w:bookmarkEnd w:id="138"/>
    <w:p>
      <w:pPr>
        <w:spacing w:after="0" w:line="99" w:lineRule="exact"/>
        <w:rPr>
          <w:sz w:val="20"/>
          <w:szCs w:val="20"/>
          <w:color w:val="auto"/>
        </w:rPr>
      </w:pPr>
    </w:p>
    <w:p>
      <w:pPr>
        <w:ind w:left="1270" w:right="40"/>
        <w:spacing w:after="0" w:line="258" w:lineRule="auto"/>
        <w:rPr>
          <w:sz w:val="20"/>
          <w:szCs w:val="20"/>
          <w:color w:val="auto"/>
        </w:rPr>
      </w:pPr>
      <w:r>
        <w:rPr>
          <w:rFonts w:ascii="Verdana" w:cs="Verdana" w:eastAsia="Verdana" w:hAnsi="Verdana"/>
          <w:sz w:val="18"/>
          <w:szCs w:val="18"/>
          <w:color w:val="auto"/>
        </w:rPr>
        <w:t>encumbrances and free from any claims or potential claims under the Landlord and Tenant Acts 1967 to 2010;</w:t>
      </w:r>
    </w:p>
    <w:p>
      <w:pPr>
        <w:spacing w:after="0" w:line="232" w:lineRule="exact"/>
        <w:rPr>
          <w:sz w:val="20"/>
          <w:szCs w:val="20"/>
          <w:color w:val="auto"/>
        </w:rPr>
      </w:pPr>
    </w:p>
    <w:p>
      <w:pPr>
        <w:jc w:val="both"/>
        <w:ind w:left="1270" w:right="20" w:hanging="635"/>
        <w:spacing w:after="0" w:line="260" w:lineRule="auto"/>
        <w:tabs>
          <w:tab w:leader="none" w:pos="1249" w:val="left"/>
        </w:tabs>
        <w:rPr>
          <w:sz w:val="20"/>
          <w:szCs w:val="20"/>
          <w:color w:val="auto"/>
        </w:rPr>
      </w:pPr>
      <w:r>
        <w:rPr>
          <w:rFonts w:ascii="Verdana" w:cs="Verdana" w:eastAsia="Verdana" w:hAnsi="Verdana"/>
          <w:sz w:val="18"/>
          <w:szCs w:val="18"/>
          <w:color w:val="auto"/>
        </w:rPr>
        <w:t>5.2.3</w:t>
        <w:tab/>
        <w:t>That the original of this Agreement and, as applicable, a duly executed Agreement and discharge of any mortgage, charge or other encumbrance over or affecting either this Agreement or the Premises and any other documents in the Tenant’s possession or control in relation to the are delivered to the Landlord on or prior to the Option Date;</w:t>
      </w:r>
    </w:p>
    <w:p>
      <w:pPr>
        <w:spacing w:after="0" w:line="231" w:lineRule="exact"/>
        <w:rPr>
          <w:sz w:val="20"/>
          <w:szCs w:val="20"/>
          <w:color w:val="auto"/>
        </w:rPr>
      </w:pPr>
    </w:p>
    <w:p>
      <w:pPr>
        <w:jc w:val="both"/>
        <w:ind w:left="1270" w:right="20" w:hanging="635"/>
        <w:spacing w:after="0" w:line="267" w:lineRule="auto"/>
        <w:tabs>
          <w:tab w:leader="none" w:pos="1249" w:val="left"/>
        </w:tabs>
        <w:rPr>
          <w:sz w:val="20"/>
          <w:szCs w:val="20"/>
          <w:color w:val="auto"/>
        </w:rPr>
      </w:pPr>
      <w:r>
        <w:rPr>
          <w:rFonts w:ascii="Verdana" w:cs="Verdana" w:eastAsia="Verdana" w:hAnsi="Verdana"/>
          <w:sz w:val="18"/>
          <w:szCs w:val="18"/>
          <w:color w:val="auto"/>
        </w:rPr>
        <w:t>5.2.4</w:t>
        <w:tab/>
        <w:t>An amount equal to any stamp duty and VAT arising in connection with the surrender or determination of this Agreement by the exercise of the right set forth in this Clause 5 to terminate this Agreement have been paid in full to the Landlord on or prior to the Option Date; and</w:t>
      </w:r>
    </w:p>
    <w:p>
      <w:pPr>
        <w:spacing w:after="0" w:line="224" w:lineRule="exact"/>
        <w:rPr>
          <w:sz w:val="20"/>
          <w:szCs w:val="20"/>
          <w:color w:val="auto"/>
        </w:rPr>
      </w:pPr>
    </w:p>
    <w:p>
      <w:pPr>
        <w:jc w:val="both"/>
        <w:ind w:left="1270" w:right="40" w:hanging="635"/>
        <w:spacing w:after="0" w:line="267" w:lineRule="auto"/>
        <w:tabs>
          <w:tab w:leader="none" w:pos="1249" w:val="left"/>
        </w:tabs>
        <w:rPr>
          <w:sz w:val="20"/>
          <w:szCs w:val="20"/>
          <w:color w:val="auto"/>
        </w:rPr>
      </w:pPr>
      <w:r>
        <w:rPr>
          <w:rFonts w:ascii="Verdana" w:cs="Verdana" w:eastAsia="Verdana" w:hAnsi="Verdana"/>
          <w:sz w:val="18"/>
          <w:szCs w:val="18"/>
          <w:color w:val="auto"/>
        </w:rPr>
        <w:t>5.2.5</w:t>
        <w:tab/>
        <w:t>On or prior to the Option Date the Tenant shall as beneficial owner duly execute and deliver to the Landlord or as it directs an assignment or surrender of this Agreement together with all documents and declarations reasonably required in connection with the same or the registration of the same.</w:t>
      </w:r>
    </w:p>
    <w:p>
      <w:pPr>
        <w:spacing w:after="0" w:line="105" w:lineRule="exact"/>
        <w:rPr>
          <w:sz w:val="20"/>
          <w:szCs w:val="20"/>
          <w:color w:val="auto"/>
        </w:rPr>
      </w:pPr>
    </w:p>
    <w:p>
      <w:pPr>
        <w:ind w:left="630" w:right="20" w:hanging="635"/>
        <w:spacing w:after="0" w:line="273" w:lineRule="auto"/>
        <w:tabs>
          <w:tab w:leader="none" w:pos="609" w:val="left"/>
        </w:tabs>
        <w:rPr>
          <w:sz w:val="20"/>
          <w:szCs w:val="20"/>
          <w:color w:val="auto"/>
        </w:rPr>
      </w:pPr>
      <w:r>
        <w:rPr>
          <w:rFonts w:ascii="Verdana" w:cs="Verdana" w:eastAsia="Verdana" w:hAnsi="Verdana"/>
          <w:sz w:val="18"/>
          <w:szCs w:val="18"/>
          <w:color w:val="auto"/>
        </w:rPr>
        <w:t>5.3</w:t>
      </w:r>
      <w:r>
        <w:rPr>
          <w:sz w:val="20"/>
          <w:szCs w:val="20"/>
          <w:color w:val="auto"/>
        </w:rPr>
        <w:tab/>
      </w:r>
      <w:r>
        <w:rPr>
          <w:rFonts w:ascii="Verdana" w:cs="Verdana" w:eastAsia="Verdana" w:hAnsi="Verdana"/>
          <w:sz w:val="18"/>
          <w:szCs w:val="18"/>
          <w:color w:val="auto"/>
        </w:rPr>
        <w:t>Any such termination of this Agreement shall be without prejudice to any antecedent breach by either the Landlord or the Tenant of any of their respective covenants or obligations herein contained.</w:t>
      </w:r>
    </w:p>
    <w:p>
      <w:pPr>
        <w:spacing w:after="0" w:line="211" w:lineRule="exact"/>
        <w:rPr>
          <w:sz w:val="20"/>
          <w:szCs w:val="20"/>
          <w:color w:val="auto"/>
        </w:rPr>
      </w:pPr>
    </w:p>
    <w:p>
      <w:pPr>
        <w:ind w:left="630" w:hanging="630"/>
        <w:spacing w:after="0"/>
        <w:tabs>
          <w:tab w:leader="none" w:pos="630" w:val="left"/>
        </w:tabs>
        <w:numPr>
          <w:ilvl w:val="0"/>
          <w:numId w:val="6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LANDLORD’S BREAK OPTION</w:t>
      </w:r>
    </w:p>
    <w:p>
      <w:pPr>
        <w:jc w:val="both"/>
        <w:ind w:left="630" w:right="20" w:hanging="635"/>
        <w:spacing w:after="0" w:line="267" w:lineRule="auto"/>
        <w:tabs>
          <w:tab w:leader="none" w:pos="609" w:val="left"/>
        </w:tabs>
        <w:rPr>
          <w:sz w:val="20"/>
          <w:szCs w:val="20"/>
          <w:color w:val="auto"/>
        </w:rPr>
      </w:pPr>
      <w:r>
        <w:rPr>
          <w:rFonts w:ascii="Verdana" w:cs="Verdana" w:eastAsia="Verdana" w:hAnsi="Verdana"/>
          <w:sz w:val="18"/>
          <w:szCs w:val="18"/>
          <w:color w:val="auto"/>
        </w:rPr>
        <w:t>6.1</w:t>
      </w:r>
      <w:r>
        <w:rPr>
          <w:sz w:val="20"/>
          <w:szCs w:val="20"/>
          <w:color w:val="auto"/>
        </w:rPr>
        <w:tab/>
      </w:r>
      <w:r>
        <w:rPr>
          <w:rFonts w:ascii="Verdana" w:cs="Verdana" w:eastAsia="Verdana" w:hAnsi="Verdana"/>
          <w:sz w:val="18"/>
          <w:szCs w:val="18"/>
          <w:color w:val="auto"/>
        </w:rPr>
        <w:t>From the Term Commencement Date notwithstanding anything to the contrary in this Agreement the Landlord may terminate this Agreement on an Option Date by giving the Tenant not less than six (6) months prior written notice of termination.</w:t>
      </w:r>
    </w:p>
    <w:p>
      <w:pPr>
        <w:spacing w:after="0" w:line="224" w:lineRule="exact"/>
        <w:rPr>
          <w:sz w:val="20"/>
          <w:szCs w:val="20"/>
          <w:color w:val="auto"/>
        </w:rPr>
      </w:pPr>
    </w:p>
    <w:p>
      <w:pPr>
        <w:jc w:val="both"/>
        <w:ind w:left="630" w:hanging="635"/>
        <w:spacing w:after="0" w:line="260" w:lineRule="auto"/>
        <w:tabs>
          <w:tab w:leader="none" w:pos="609" w:val="left"/>
        </w:tabs>
        <w:rPr>
          <w:sz w:val="20"/>
          <w:szCs w:val="20"/>
          <w:color w:val="auto"/>
        </w:rPr>
      </w:pPr>
      <w:r>
        <w:rPr>
          <w:rFonts w:ascii="Verdana" w:cs="Verdana" w:eastAsia="Verdana" w:hAnsi="Verdana"/>
          <w:sz w:val="18"/>
          <w:szCs w:val="18"/>
          <w:color w:val="auto"/>
        </w:rPr>
        <w:t>6.2</w:t>
      </w:r>
      <w:r>
        <w:rPr>
          <w:sz w:val="20"/>
          <w:szCs w:val="20"/>
          <w:color w:val="auto"/>
        </w:rPr>
        <w:tab/>
      </w:r>
      <w:r>
        <w:rPr>
          <w:rFonts w:ascii="Verdana" w:cs="Verdana" w:eastAsia="Verdana" w:hAnsi="Verdana"/>
          <w:sz w:val="18"/>
          <w:szCs w:val="18"/>
          <w:color w:val="auto"/>
        </w:rPr>
        <w:t>If notice of termination is given pursuant to clause 6.1 this Agreement will determine on the relevant Option Date but without prejudice to the remedies of either party against the other in respect of any antecedent breach of any of the covenants or conditions contained in this Agreement up to and including the relevant Option Date.</w:t>
      </w:r>
    </w:p>
    <w:p>
      <w:pPr>
        <w:spacing w:after="0" w:line="230" w:lineRule="exact"/>
        <w:rPr>
          <w:sz w:val="20"/>
          <w:szCs w:val="20"/>
          <w:color w:val="auto"/>
        </w:rPr>
      </w:pPr>
    </w:p>
    <w:p>
      <w:pPr>
        <w:jc w:val="both"/>
        <w:ind w:left="630" w:right="20" w:hanging="635"/>
        <w:spacing w:after="0" w:line="279" w:lineRule="auto"/>
        <w:tabs>
          <w:tab w:leader="none" w:pos="609" w:val="left"/>
        </w:tabs>
        <w:rPr>
          <w:sz w:val="20"/>
          <w:szCs w:val="20"/>
          <w:color w:val="auto"/>
        </w:rPr>
      </w:pPr>
      <w:r>
        <w:rPr>
          <w:rFonts w:ascii="Verdana" w:cs="Verdana" w:eastAsia="Verdana" w:hAnsi="Verdana"/>
          <w:sz w:val="18"/>
          <w:szCs w:val="18"/>
          <w:color w:val="auto"/>
        </w:rPr>
        <w:t>6.3</w:t>
      </w:r>
      <w:r>
        <w:rPr>
          <w:sz w:val="20"/>
          <w:szCs w:val="20"/>
          <w:color w:val="auto"/>
        </w:rPr>
        <w:tab/>
      </w:r>
      <w:r>
        <w:rPr>
          <w:rFonts w:ascii="Verdana" w:cs="Verdana" w:eastAsia="Verdana" w:hAnsi="Verdana"/>
          <w:sz w:val="17"/>
          <w:szCs w:val="17"/>
          <w:color w:val="auto"/>
        </w:rPr>
        <w:t>The Tenant shall upon the date of such termination hand over vacant possession of the entire of the Premises and the Car Parking Spaces to the Landlord free from encumbrances and free from any claims under the Landlord and Tenant Acts, 1967 to 2019 as amended and upon the date of termination of this Agreement deliver to the Landlord or as it may direct the original of the Agreement and any other documents in the Tenant’s possession or control in relation to the Agreement or the Premises, together with an assignment or surrender of this Agreement.</w:t>
      </w:r>
    </w:p>
    <w:p>
      <w:pPr>
        <w:spacing w:after="0" w:line="217" w:lineRule="exact"/>
        <w:rPr>
          <w:sz w:val="20"/>
          <w:szCs w:val="20"/>
          <w:color w:val="auto"/>
        </w:rPr>
      </w:pPr>
    </w:p>
    <w:p>
      <w:pPr>
        <w:ind w:left="630" w:hanging="630"/>
        <w:spacing w:after="0"/>
        <w:tabs>
          <w:tab w:leader="none" w:pos="630" w:val="left"/>
        </w:tabs>
        <w:numPr>
          <w:ilvl w:val="0"/>
          <w:numId w:val="6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NOTICES</w:t>
      </w:r>
    </w:p>
    <w:p>
      <w:pPr>
        <w:spacing w:after="0" w:line="245" w:lineRule="exact"/>
        <w:rPr>
          <w:sz w:val="20"/>
          <w:szCs w:val="20"/>
          <w:color w:val="auto"/>
        </w:rPr>
      </w:pPr>
    </w:p>
    <w:p>
      <w:pPr>
        <w:ind w:left="10"/>
        <w:spacing w:after="0"/>
        <w:tabs>
          <w:tab w:leader="none" w:pos="609" w:val="left"/>
        </w:tabs>
        <w:rPr>
          <w:sz w:val="20"/>
          <w:szCs w:val="20"/>
          <w:color w:val="auto"/>
        </w:rPr>
      </w:pPr>
      <w:r>
        <w:rPr>
          <w:rFonts w:ascii="Verdana" w:cs="Verdana" w:eastAsia="Verdana" w:hAnsi="Verdana"/>
          <w:sz w:val="18"/>
          <w:szCs w:val="18"/>
          <w:color w:val="auto"/>
        </w:rPr>
        <w:t>7.1</w:t>
      </w:r>
      <w:r>
        <w:rPr>
          <w:sz w:val="20"/>
          <w:szCs w:val="20"/>
          <w:color w:val="auto"/>
        </w:rPr>
        <w:tab/>
      </w:r>
      <w:r>
        <w:rPr>
          <w:rFonts w:ascii="Verdana" w:cs="Verdana" w:eastAsia="Verdana" w:hAnsi="Verdana"/>
          <w:sz w:val="17"/>
          <w:szCs w:val="17"/>
          <w:color w:val="auto"/>
        </w:rPr>
        <w:t>Any notice or demand required to be given or made under this Agreement shall be in writing and may be served:</w:t>
      </w:r>
    </w:p>
    <w:p>
      <w:pPr>
        <w:spacing w:after="0" w:line="271" w:lineRule="exact"/>
        <w:rPr>
          <w:sz w:val="20"/>
          <w:szCs w:val="20"/>
          <w:color w:val="auto"/>
        </w:rPr>
      </w:pPr>
    </w:p>
    <w:p>
      <w:pPr>
        <w:ind w:left="630"/>
        <w:spacing w:after="0"/>
        <w:rPr>
          <w:sz w:val="20"/>
          <w:szCs w:val="20"/>
          <w:color w:val="auto"/>
        </w:rPr>
      </w:pPr>
      <w:r>
        <w:rPr>
          <w:rFonts w:ascii="Verdana" w:cs="Verdana" w:eastAsia="Verdana" w:hAnsi="Verdana"/>
          <w:sz w:val="18"/>
          <w:szCs w:val="18"/>
          <w:color w:val="auto"/>
        </w:rPr>
        <w:t>7.1.1 by hand delivery;</w:t>
      </w:r>
    </w:p>
    <w:p>
      <w:pPr>
        <w:sectPr>
          <w:pgSz w:w="11900" w:h="16838" w:orient="portrait"/>
          <w:cols w:equalWidth="0" w:num="1">
            <w:col w:w="11050"/>
          </w:cols>
          <w:pgMar w:left="430" w:top="1440" w:right="419" w:bottom="1440" w:gutter="0" w:footer="0" w:header="0"/>
        </w:sectPr>
      </w:pPr>
    </w:p>
    <w:bookmarkStart w:id="139" w:name="page140"/>
    <w:bookmarkEnd w:id="139"/>
    <w:p>
      <w:pPr>
        <w:spacing w:after="0" w:line="99" w:lineRule="exact"/>
        <w:rPr>
          <w:sz w:val="20"/>
          <w:szCs w:val="20"/>
          <w:color w:val="auto"/>
        </w:rPr>
      </w:pPr>
    </w:p>
    <w:p>
      <w:pPr>
        <w:ind w:left="630"/>
        <w:spacing w:after="0"/>
        <w:rPr>
          <w:sz w:val="20"/>
          <w:szCs w:val="20"/>
          <w:color w:val="auto"/>
        </w:rPr>
      </w:pPr>
      <w:r>
        <w:rPr>
          <w:rFonts w:ascii="Verdana" w:cs="Verdana" w:eastAsia="Verdana" w:hAnsi="Verdana"/>
          <w:sz w:val="18"/>
          <w:szCs w:val="18"/>
          <w:color w:val="auto"/>
        </w:rPr>
        <w:t>7.1.2 by registered or recorded delivery post; or</w:t>
      </w:r>
    </w:p>
    <w:p>
      <w:pPr>
        <w:spacing w:after="0" w:line="232" w:lineRule="exact"/>
        <w:rPr>
          <w:sz w:val="20"/>
          <w:szCs w:val="20"/>
          <w:color w:val="auto"/>
        </w:rPr>
      </w:pPr>
    </w:p>
    <w:p>
      <w:pPr>
        <w:ind w:left="630"/>
        <w:spacing w:after="0"/>
        <w:rPr>
          <w:sz w:val="20"/>
          <w:szCs w:val="20"/>
          <w:color w:val="auto"/>
        </w:rPr>
      </w:pPr>
      <w:r>
        <w:rPr>
          <w:rFonts w:ascii="Verdana" w:cs="Verdana" w:eastAsia="Verdana" w:hAnsi="Verdana"/>
          <w:sz w:val="18"/>
          <w:szCs w:val="18"/>
          <w:color w:val="auto"/>
        </w:rPr>
        <w:t>7.1.3 by any other means which any party specified by notice to the other.</w:t>
      </w:r>
    </w:p>
    <w:p>
      <w:pPr>
        <w:spacing w:after="0" w:line="351" w:lineRule="exact"/>
        <w:rPr>
          <w:sz w:val="20"/>
          <w:szCs w:val="20"/>
          <w:color w:val="auto"/>
        </w:rPr>
      </w:pPr>
    </w:p>
    <w:p>
      <w:pPr>
        <w:ind w:left="10"/>
        <w:spacing w:after="0"/>
        <w:tabs>
          <w:tab w:leader="none" w:pos="609" w:val="left"/>
        </w:tabs>
        <w:rPr>
          <w:sz w:val="20"/>
          <w:szCs w:val="20"/>
          <w:color w:val="auto"/>
        </w:rPr>
      </w:pPr>
      <w:r>
        <w:rPr>
          <w:rFonts w:ascii="Verdana" w:cs="Verdana" w:eastAsia="Verdana" w:hAnsi="Verdana"/>
          <w:sz w:val="18"/>
          <w:szCs w:val="18"/>
          <w:color w:val="auto"/>
        </w:rPr>
        <w:t>7.2</w:t>
      </w:r>
      <w:r>
        <w:rPr>
          <w:sz w:val="20"/>
          <w:szCs w:val="20"/>
          <w:color w:val="auto"/>
        </w:rPr>
        <w:tab/>
      </w:r>
      <w:r>
        <w:rPr>
          <w:rFonts w:ascii="Verdana" w:cs="Verdana" w:eastAsia="Verdana" w:hAnsi="Verdana"/>
          <w:sz w:val="18"/>
          <w:szCs w:val="18"/>
          <w:color w:val="auto"/>
        </w:rPr>
        <w:t>Each party’s address for the service of notices shall be: 7.2.1 its above mentioned</w:t>
      </w:r>
    </w:p>
    <w:p>
      <w:pPr>
        <w:spacing w:after="0" w:line="245" w:lineRule="exact"/>
        <w:rPr>
          <w:sz w:val="20"/>
          <w:szCs w:val="20"/>
          <w:color w:val="auto"/>
        </w:rPr>
      </w:pPr>
    </w:p>
    <w:p>
      <w:pPr>
        <w:ind w:left="630"/>
        <w:spacing w:after="0"/>
        <w:rPr>
          <w:sz w:val="20"/>
          <w:szCs w:val="20"/>
          <w:color w:val="auto"/>
        </w:rPr>
      </w:pPr>
      <w:r>
        <w:rPr>
          <w:rFonts w:ascii="Verdana" w:cs="Verdana" w:eastAsia="Verdana" w:hAnsi="Verdana"/>
          <w:sz w:val="18"/>
          <w:szCs w:val="18"/>
          <w:color w:val="auto"/>
        </w:rPr>
        <w:t>address; or</w:t>
      </w:r>
    </w:p>
    <w:p>
      <w:pPr>
        <w:spacing w:after="0" w:line="258" w:lineRule="exact"/>
        <w:rPr>
          <w:sz w:val="20"/>
          <w:szCs w:val="20"/>
          <w:color w:val="auto"/>
        </w:rPr>
      </w:pPr>
    </w:p>
    <w:p>
      <w:pPr>
        <w:ind w:left="630"/>
        <w:spacing w:after="0"/>
        <w:rPr>
          <w:sz w:val="20"/>
          <w:szCs w:val="20"/>
          <w:color w:val="auto"/>
        </w:rPr>
      </w:pPr>
      <w:r>
        <w:rPr>
          <w:rFonts w:ascii="Verdana" w:cs="Verdana" w:eastAsia="Verdana" w:hAnsi="Verdana"/>
          <w:sz w:val="18"/>
          <w:szCs w:val="18"/>
          <w:color w:val="auto"/>
        </w:rPr>
        <w:t>7.2.2 such other address as it specifies by notice to the other; or 7.2.3 if a company, its registered office</w:t>
      </w:r>
    </w:p>
    <w:p>
      <w:pPr>
        <w:spacing w:after="0" w:line="258" w:lineRule="exact"/>
        <w:rPr>
          <w:sz w:val="20"/>
          <w:szCs w:val="20"/>
          <w:color w:val="auto"/>
        </w:rPr>
      </w:pPr>
    </w:p>
    <w:p>
      <w:pPr>
        <w:ind w:left="630"/>
        <w:spacing w:after="0"/>
        <w:rPr>
          <w:sz w:val="20"/>
          <w:szCs w:val="20"/>
          <w:color w:val="auto"/>
        </w:rPr>
      </w:pPr>
      <w:r>
        <w:rPr>
          <w:rFonts w:ascii="Verdana" w:cs="Verdana" w:eastAsia="Verdana" w:hAnsi="Verdana"/>
          <w:sz w:val="18"/>
          <w:szCs w:val="18"/>
          <w:color w:val="auto"/>
        </w:rPr>
        <w:t>for the time being.</w:t>
      </w:r>
    </w:p>
    <w:p>
      <w:pPr>
        <w:spacing w:after="0" w:line="126" w:lineRule="exact"/>
        <w:rPr>
          <w:sz w:val="20"/>
          <w:szCs w:val="20"/>
          <w:color w:val="auto"/>
        </w:rPr>
      </w:pPr>
    </w:p>
    <w:p>
      <w:pPr>
        <w:ind w:left="10"/>
        <w:spacing w:after="0"/>
        <w:rPr>
          <w:sz w:val="20"/>
          <w:szCs w:val="20"/>
          <w:color w:val="auto"/>
        </w:rPr>
      </w:pPr>
      <w:r>
        <w:rPr>
          <w:rFonts w:ascii="Verdana" w:cs="Verdana" w:eastAsia="Verdana" w:hAnsi="Verdana"/>
          <w:sz w:val="18"/>
          <w:szCs w:val="18"/>
          <w:color w:val="auto"/>
        </w:rPr>
        <w:t>7.3 A notice shall be deemed to have been served;</w:t>
      </w:r>
    </w:p>
    <w:p>
      <w:pPr>
        <w:spacing w:after="0" w:line="245" w:lineRule="exact"/>
        <w:rPr>
          <w:sz w:val="20"/>
          <w:szCs w:val="20"/>
          <w:color w:val="auto"/>
        </w:rPr>
      </w:pPr>
    </w:p>
    <w:p>
      <w:pPr>
        <w:ind w:left="630"/>
        <w:spacing w:after="0"/>
        <w:tabs>
          <w:tab w:leader="none" w:pos="1249" w:val="left"/>
        </w:tabs>
        <w:rPr>
          <w:sz w:val="20"/>
          <w:szCs w:val="20"/>
          <w:color w:val="auto"/>
        </w:rPr>
      </w:pPr>
      <w:r>
        <w:rPr>
          <w:rFonts w:ascii="Verdana" w:cs="Verdana" w:eastAsia="Verdana" w:hAnsi="Verdana"/>
          <w:sz w:val="18"/>
          <w:szCs w:val="18"/>
          <w:color w:val="auto"/>
        </w:rPr>
        <w:t>7.3.1</w:t>
      </w:r>
      <w:r>
        <w:rPr>
          <w:sz w:val="20"/>
          <w:szCs w:val="20"/>
          <w:color w:val="auto"/>
        </w:rPr>
        <w:tab/>
      </w:r>
      <w:r>
        <w:rPr>
          <w:rFonts w:ascii="Verdana" w:cs="Verdana" w:eastAsia="Verdana" w:hAnsi="Verdana"/>
          <w:sz w:val="17"/>
          <w:szCs w:val="17"/>
          <w:color w:val="auto"/>
        </w:rPr>
        <w:t>if it was served by hand delivery, at the time of delivery;</w:t>
      </w:r>
    </w:p>
    <w:p>
      <w:pPr>
        <w:spacing w:after="0" w:line="126" w:lineRule="exact"/>
        <w:rPr>
          <w:sz w:val="20"/>
          <w:szCs w:val="20"/>
          <w:color w:val="auto"/>
        </w:rPr>
      </w:pPr>
    </w:p>
    <w:p>
      <w:pPr>
        <w:jc w:val="both"/>
        <w:ind w:left="1270" w:hanging="635"/>
        <w:spacing w:after="0" w:line="267" w:lineRule="auto"/>
        <w:tabs>
          <w:tab w:leader="none" w:pos="1249" w:val="left"/>
        </w:tabs>
        <w:rPr>
          <w:sz w:val="20"/>
          <w:szCs w:val="20"/>
          <w:color w:val="auto"/>
        </w:rPr>
      </w:pPr>
      <w:r>
        <w:rPr>
          <w:rFonts w:ascii="Verdana" w:cs="Verdana" w:eastAsia="Verdana" w:hAnsi="Verdana"/>
          <w:sz w:val="18"/>
          <w:szCs w:val="18"/>
          <w:color w:val="auto"/>
        </w:rPr>
        <w:t>7.3.2</w:t>
        <w:tab/>
        <w:t>if it was served by post, at the expiration of three Working Days after the envelope containing the same, and properly addressed, was put in the post. For the purpose of these notice provisions the term “Working Day” shall not include any Saturday or Sunday or any Bank or Public Holiday.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30" w:hanging="630"/>
        <w:spacing w:after="0"/>
        <w:tabs>
          <w:tab w:leader="none" w:pos="630" w:val="left"/>
        </w:tabs>
        <w:numPr>
          <w:ilvl w:val="0"/>
          <w:numId w:val="6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GOVERNING LAW/JURISDICTION</w:t>
      </w:r>
    </w:p>
    <w:p>
      <w:pPr>
        <w:spacing w:after="0" w:line="231" w:lineRule="exact"/>
        <w:rPr>
          <w:rFonts w:ascii="Verdana" w:cs="Verdana" w:eastAsia="Verdana" w:hAnsi="Verdana"/>
          <w:sz w:val="18"/>
          <w:szCs w:val="18"/>
          <w:b w:val="1"/>
          <w:bCs w:val="1"/>
          <w:color w:val="auto"/>
        </w:rPr>
      </w:pPr>
    </w:p>
    <w:p>
      <w:pPr>
        <w:jc w:val="both"/>
        <w:ind w:left="630"/>
        <w:spacing w:after="0" w:line="260" w:lineRule="auto"/>
        <w:rPr>
          <w:rFonts w:ascii="Verdana" w:cs="Verdana" w:eastAsia="Verdana" w:hAnsi="Verdana"/>
          <w:sz w:val="18"/>
          <w:szCs w:val="18"/>
          <w:b w:val="1"/>
          <w:bCs w:val="1"/>
          <w:color w:val="auto"/>
        </w:rPr>
      </w:pPr>
      <w:r>
        <w:rPr>
          <w:rFonts w:ascii="Verdana" w:cs="Verdana" w:eastAsia="Verdana" w:hAnsi="Verdana"/>
          <w:sz w:val="18"/>
          <w:szCs w:val="18"/>
          <w:color w:val="auto"/>
        </w:rPr>
        <w:t>These presents shall be governed by and construed according to the laws of Ireland applicable to contracts made wholly to be performed in Ireland. The parties hereto hereby submit to the exclusive jurisdiction of the Courts of Ireland for all purposes of this Agreement but so that this provision shall not prejudice or affect the jurisdiction of any Court elsewhere where jurisdiction might exist or be established.</w:t>
      </w:r>
    </w:p>
    <w:p>
      <w:pPr>
        <w:sectPr>
          <w:pgSz w:w="11900" w:h="16838" w:orient="portrait"/>
          <w:cols w:equalWidth="0" w:num="1">
            <w:col w:w="11050"/>
          </w:cols>
          <w:pgMar w:left="430" w:top="1440" w:right="4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Exhibit 21.1 - Subsidiaries of the Company</w:t>
            </w:r>
          </w:p>
        </w:tc>
        <w:tc>
          <w:tcPr>
            <w:tcW w:w="4880" w:type="dxa"/>
            <w:vAlign w:val="bottom"/>
          </w:tcPr>
          <w:p>
            <w:pPr>
              <w:spacing w:after="0"/>
              <w:rPr>
                <w:sz w:val="22"/>
                <w:szCs w:val="22"/>
                <w:color w:val="auto"/>
              </w:rPr>
            </w:pPr>
          </w:p>
        </w:tc>
      </w:tr>
      <w:tr>
        <w:trPr>
          <w:trHeight w:val="40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b w:val="1"/>
                <w:bCs w:val="1"/>
                <w:color w:val="auto"/>
              </w:rPr>
              <w:t>Subsidiary of Haemonetics Corporation</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Jurisdiction of Incorporation or Organization</w:t>
            </w:r>
          </w:p>
        </w:tc>
      </w:tr>
      <w:tr>
        <w:trPr>
          <w:trHeight w:val="240"/>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5D Information Management, Inc.</w:t>
            </w:r>
          </w:p>
        </w:tc>
        <w:tc>
          <w:tcPr>
            <w:tcW w:w="220" w:type="dxa"/>
            <w:vAlign w:val="bottom"/>
          </w:tcPr>
          <w:p>
            <w:pPr>
              <w:spacing w:after="0"/>
              <w:rPr>
                <w:sz w:val="20"/>
                <w:szCs w:val="20"/>
                <w:color w:val="auto"/>
              </w:rPr>
            </w:pPr>
          </w:p>
        </w:tc>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Advanced Cooling Therapy, LLC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Arryx,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Nevada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Cardiva Medical,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Enicor GmbH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Germany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Global Med Technologies,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Colorado</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(Hong Kong)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Hong Kong</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Asia Incorporated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Asia UK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Australia PTY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Victoria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Canada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British Columbia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CZ, spol. s.r.o.</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Czech Republic</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France S.a.r.l</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France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GmbH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Germany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Handelsgesellschaft m.b.H.</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Austria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Healthcare India Private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India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Interventional Technologies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Ireland</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Italia s.r.l.</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Italy</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Japan GK</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Japan</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Korea,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Seoul, Korea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Malaysia Sdn. Bhd.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Malaysia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Manufacturing,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(Shanghai) Management Co.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Shanghai,China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Mexico Manufacturing, S.de R.L. de C.V.</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Mexico</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New Zealand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New Zealand</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S.A.</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Switzerland</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Haemonetics Singapore Pte.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Singapore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Haemoscope Corporation</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Massachusetts</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OpSens B.V.</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Netherlands</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OpSens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Quebec</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OpSens Medical,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OpSens Solutions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Alberta</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Vivasure Medical Limited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Ireland</w:t>
            </w:r>
          </w:p>
        </w:tc>
      </w:tr>
      <w:tr>
        <w:trPr>
          <w:trHeight w:val="252"/>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Vivasure Medical UK Ltd.</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United Kingdom</w:t>
            </w:r>
          </w:p>
        </w:tc>
      </w:tr>
      <w:tr>
        <w:trPr>
          <w:trHeight w:val="25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Vivasure Medical US, Inc.</w:t>
            </w:r>
          </w:p>
        </w:tc>
        <w:tc>
          <w:tcPr>
            <w:tcW w:w="48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Delaware</w:t>
            </w:r>
          </w:p>
        </w:tc>
      </w:tr>
    </w:tbl>
    <w:p>
      <w:pPr>
        <w:sectPr>
          <w:pgSz w:w="11900" w:h="16838" w:orient="portrait"/>
          <w:cols w:equalWidth="0" w:num="1">
            <w:col w:w="11000"/>
          </w:cols>
          <w:pgMar w:left="320" w:top="872" w:right="57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4" w:lineRule="exact"/>
        <w:rPr>
          <w:sz w:val="20"/>
          <w:szCs w:val="20"/>
          <w:color w:val="auto"/>
        </w:rPr>
      </w:pPr>
    </w:p>
    <w:p>
      <w:pPr>
        <w:ind w:right="3360" w:firstLine="3363"/>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88" w:lineRule="exact"/>
        <w:rPr>
          <w:sz w:val="20"/>
          <w:szCs w:val="20"/>
          <w:color w:val="auto"/>
        </w:rPr>
      </w:pPr>
    </w:p>
    <w:p>
      <w:pPr>
        <w:ind w:firstLine="6"/>
        <w:spacing w:after="0" w:line="257" w:lineRule="auto"/>
        <w:tabs>
          <w:tab w:leader="none" w:pos="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333-273928), pertaining to the Amended and Restated 2019 Long-Term Incentive Compensation Plan of Haemonetics Corporation;</w:t>
      </w:r>
    </w:p>
    <w:p>
      <w:pPr>
        <w:ind w:left="260" w:hanging="254"/>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333-232899), pertaining to the 2019 Long-Term Incentive Compensation Plan of Haemonetics Corporation;</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333-222877), pertaining to the 2007 Employee Stock Purchase Plan of Haemonetics Corporation;</w:t>
      </w:r>
    </w:p>
    <w:p>
      <w:pPr>
        <w:spacing w:after="0" w:line="5" w:lineRule="exact"/>
        <w:rPr>
          <w:rFonts w:ascii="Times New Roman" w:cs="Times New Roman" w:eastAsia="Times New Roman" w:hAnsi="Times New Roman"/>
          <w:sz w:val="18"/>
          <w:szCs w:val="18"/>
          <w:color w:val="auto"/>
        </w:rPr>
      </w:pPr>
    </w:p>
    <w:p>
      <w:pPr>
        <w:ind w:firstLine="6"/>
        <w:spacing w:after="0" w:line="245" w:lineRule="auto"/>
        <w:tabs>
          <w:tab w:leader="none" w:pos="2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333-200226), pertaining to the 2005 Long-Term Incentive Compensation Plan of Haemonetics Corporation, as amended by that certain Post-Effective Amendment No. 1 to the Registration Statement (No. 333-200226);</w:t>
      </w:r>
    </w:p>
    <w:p>
      <w:pPr>
        <w:spacing w:after="0" w:line="1"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333-181847), pertaining to the 2005 Long-Term Incentive Compensation Plan of Haemonetics Corporation;</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333-159434), pertaining to the 2005 Long-Term Incentive Compensation Plan of Haemonetics Corporation;</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333-149205), pertaining to the 2007 Employee Stock Purchase Plan of Haemonetics Corporation; and</w:t>
      </w:r>
    </w:p>
    <w:p>
      <w:pPr>
        <w:spacing w:after="0" w:line="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333-136839), pertaining to the 2005 Long-Term Incentive Compensation Plan of Haemonetics Corporation;</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of our reports dated May 20, 2026, with respect to the consolidated financial statements of Haemonetics Corporation and the effectiveness of internal control over financial reporting of Haemonetics Corporation included in this Annual Report (Form 10-K) of Haemonetics Corporation for the year ended March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ectPr>
          <w:pgSz w:w="11900" w:h="16838" w:orient="portrait"/>
          <w:cols w:equalWidth="0" w:num="1">
            <w:col w:w="11240"/>
          </w:cols>
          <w:pgMar w:left="320" w:top="874"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Simon, certify that:</w:t>
      </w:r>
    </w:p>
    <w:p>
      <w:pPr>
        <w:spacing w:after="0" w:line="164" w:lineRule="exact"/>
        <w:rPr>
          <w:sz w:val="20"/>
          <w:szCs w:val="20"/>
          <w:color w:val="auto"/>
        </w:rPr>
      </w:pPr>
    </w:p>
    <w:p>
      <w:pPr>
        <w:ind w:left="320" w:hanging="314"/>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Haemonetics Corporation;</w:t>
      </w:r>
    </w:p>
    <w:p>
      <w:pPr>
        <w:spacing w:after="0" w:line="164"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103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95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14605</wp:posOffset>
            </wp:positionV>
            <wp:extent cx="35337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spacing w:after="0" w:line="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w:t>
      </w:r>
    </w:p>
    <w:p>
      <w:pPr>
        <w:spacing w:after="0" w:line="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92"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D’Arecca, certify that:</w:t>
      </w:r>
    </w:p>
    <w:p>
      <w:pPr>
        <w:spacing w:after="0" w:line="164" w:lineRule="exact"/>
        <w:rPr>
          <w:sz w:val="20"/>
          <w:szCs w:val="20"/>
          <w:color w:val="auto"/>
        </w:rPr>
      </w:pPr>
    </w:p>
    <w:p>
      <w:pPr>
        <w:ind w:left="320" w:hanging="314"/>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Haemonetics Corporation;</w:t>
      </w:r>
    </w:p>
    <w:p>
      <w:pPr>
        <w:spacing w:after="0" w:line="164"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103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9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 James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44507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4450715" cy="8255"/>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James D’Arecca, Executive Vice President, Chief Financial Officer</w:t>
      </w:r>
    </w:p>
    <w:p>
      <w:pPr>
        <w:spacing w:after="0" w:line="2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92"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of Haemonetics Corporation (the “Company”) on Form 10-K for the period ended March 28, 2026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14605</wp:posOffset>
            </wp:positionV>
            <wp:extent cx="2818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2818765" cy="8255"/>
                    </a:xfrm>
                    <a:prstGeom prst="rect">
                      <a:avLst/>
                    </a:prstGeom>
                    <a:noFill/>
                  </pic:spPr>
                </pic:pic>
              </a:graphicData>
            </a:graphic>
          </wp:anchor>
        </w:drawing>
      </w:r>
    </w:p>
    <w:p>
      <w:pPr>
        <w:spacing w:after="0" w:line="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08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of Haemonetics Corporation (the “Company”) on Form 10-K for the period ended March 28, 2026 as filed with the Securities and Exchange Commission on the date hereof (the “Report”), I, James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James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14605</wp:posOffset>
            </wp:positionV>
            <wp:extent cx="3971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3971290" cy="8255"/>
                    </a:xfrm>
                    <a:prstGeom prst="rect">
                      <a:avLst/>
                    </a:prstGeom>
                    <a:noFill/>
                  </pic:spPr>
                </pic:pic>
              </a:graphicData>
            </a:graphic>
          </wp:anchor>
        </w:drawing>
      </w:r>
    </w:p>
    <w:p>
      <w:pPr>
        <w:spacing w:after="0" w:line="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James D’Arecca, Executive Vice President, Chief Financial Officer</w:t>
      </w:r>
    </w:p>
    <w:p>
      <w:pPr>
        <w:spacing w:after="0" w:line="2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0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lowerRoman"/>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upperLetter"/>
      <w:start w:val="35"/>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lvl w:ilvl="1">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upperLetter"/>
      <w:start w:val="6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lowerRoman"/>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lvl w:ilvl="1">
      <w:lvlJc w:val="left"/>
      <w:lvlText w:val="(%2)"/>
      <w:numFmt w:val="decimal"/>
      <w:start w:val="1"/>
    </w:lvl>
  </w:abstractNum>
  <w:abstractNum w:abstractNumId="32">
    <w:nsid w:val="684A481A"/>
    <w:multiLevelType w:val="hybridMultilevel"/>
    <w:lvl w:ilvl="0">
      <w:lvlJc w:val="left"/>
      <w:lvlText w:val="%1."/>
      <w:numFmt w:val="decimal"/>
      <w:start w:val="18"/>
    </w:lvl>
    <w:lvl w:ilvl="1">
      <w:lvlJc w:val="left"/>
      <w:lvlText w:val="%2"/>
      <w:numFmt w:val="decimal"/>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upperLetter"/>
      <w:start w:val="1"/>
    </w:lvl>
  </w:abstractNum>
  <w:abstractNum w:abstractNumId="36">
    <w:nsid w:val="1BA026FA"/>
    <w:multiLevelType w:val="hybridMultilevel"/>
    <w:lvl w:ilvl="0">
      <w:lvlJc w:val="left"/>
      <w:lvlText w:val="%1)"/>
      <w:numFmt w:val="upperLetter"/>
      <w:start w:val="2"/>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bullet"/>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4"/>
    </w:lvl>
  </w:abstractNum>
  <w:abstractNum w:abstractNumId="44">
    <w:nsid w:val="23F9C13C"/>
    <w:multiLevelType w:val="hybridMultilevel"/>
    <w:lvl w:ilvl="0">
      <w:lvlJc w:val="left"/>
      <w:lvlText w:val="%1."/>
      <w:numFmt w:val="decimal"/>
      <w:start w:val="10"/>
    </w:lvl>
  </w:abstractNum>
  <w:abstractNum w:abstractNumId="45">
    <w:nsid w:val="649BB77C"/>
    <w:multiLevelType w:val="hybridMultilevel"/>
    <w:lvl w:ilvl="0">
      <w:lvlJc w:val="left"/>
      <w:lvlText w:val="%1"/>
      <w:numFmt w:val="decimal"/>
      <w:start w:val="1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8">
    <w:nsid w:val="1CF10FD8"/>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49">
    <w:nsid w:val="180115BE"/>
    <w:multiLevelType w:val="hybridMultilevel"/>
    <w:lvl w:ilvl="0">
      <w:lvlJc w:val="left"/>
      <w:lvlText w:val="%1"/>
      <w:numFmt w:val="lowerLetter"/>
      <w:start w:val="1"/>
    </w:lvl>
    <w:lvl w:ilvl="1">
      <w:lvlJc w:val="left"/>
      <w:lvlText w:val="(%2)"/>
      <w:numFmt w:val="lowerLetter"/>
      <w:start w:val="7"/>
    </w:lvl>
  </w:abstractNum>
  <w:abstractNum w:abstractNumId="50">
    <w:nsid w:val="235BA861"/>
    <w:multiLevelType w:val="hybridMultilevel"/>
    <w:lvl w:ilvl="0">
      <w:lvlJc w:val="left"/>
      <w:lvlText w:val="(%1)"/>
      <w:numFmt w:val="lowerLetter"/>
      <w:start w:val="13"/>
    </w:lvl>
    <w:lvl w:ilvl="1">
      <w:lvlJc w:val="left"/>
      <w:lvlText w:val="%2"/>
      <w:numFmt w:val="lowerLetter"/>
      <w:start w:val="1"/>
    </w:lvl>
  </w:abstractNum>
  <w:abstractNum w:abstractNumId="51">
    <w:nsid w:val="47398C89"/>
    <w:multiLevelType w:val="hybridMultilevel"/>
    <w:lvl w:ilvl="0">
      <w:lvlJc w:val="left"/>
      <w:lvlText w:val="(%1)"/>
      <w:numFmt w:val="lowerLetter"/>
      <w:start w:val="14"/>
    </w:lvl>
  </w:abstractNum>
  <w:abstractNum w:abstractNumId="52">
    <w:nsid w:val="354FE9F9"/>
    <w:multiLevelType w:val="hybridMultilevel"/>
    <w:lvl w:ilvl="0">
      <w:lvlJc w:val="left"/>
      <w:lvlText w:val="(%1)"/>
      <w:numFmt w:val="lowerRoman"/>
      <w:start w:val="2"/>
    </w:lvl>
  </w:abstractNum>
  <w:abstractNum w:abstractNumId="53">
    <w:nsid w:val="15B5AF5C"/>
    <w:multiLevelType w:val="hybridMultilevel"/>
    <w:lvl w:ilvl="0">
      <w:lvlJc w:val="left"/>
      <w:lvlText w:val="(%1)"/>
      <w:numFmt w:val="lowerRoman"/>
      <w:start w:val="5"/>
    </w:lvl>
  </w:abstractNum>
  <w:abstractNum w:abstractNumId="54">
    <w:nsid w:val="741226BB"/>
    <w:multiLevelType w:val="hybridMultilevel"/>
    <w:lvl w:ilvl="0">
      <w:lvlJc w:val="left"/>
      <w:lvlText w:val="%1"/>
      <w:numFmt w:val="decimal"/>
      <w:start w:val="1"/>
    </w:lvl>
    <w:lvl w:ilvl="1">
      <w:lvlJc w:val="left"/>
      <w:lvlText w:val="(%2)"/>
      <w:numFmt w:val="lowerLetter"/>
      <w:start w:val="24"/>
    </w:lvl>
  </w:abstractNum>
  <w:abstractNum w:abstractNumId="55">
    <w:nsid w:val="D34B6A8"/>
    <w:multiLevelType w:val="hybridMultilevel"/>
    <w:lvl w:ilvl="0">
      <w:lvlJc w:val="left"/>
      <w:lvlText w:val="%1."/>
      <w:numFmt w:val="decimal"/>
      <w:start w:val="3"/>
    </w:lvl>
    <w:lvl w:ilvl="1">
      <w:lvlJc w:val="left"/>
      <w:lvlText w:val="(%2)"/>
      <w:numFmt w:val="lowerLetter"/>
      <w:start w:val="1"/>
    </w:lvl>
  </w:abstractNum>
  <w:abstractNum w:abstractNumId="56">
    <w:nsid w:val="10233C99"/>
    <w:multiLevelType w:val="hybridMultilevel"/>
    <w:lvl w:ilvl="0">
      <w:lvlJc w:val="left"/>
      <w:lvlText w:val="%1."/>
      <w:numFmt w:val="decimal"/>
      <w:start w:val="4"/>
    </w:lvl>
    <w:lvl w:ilvl="1">
      <w:lvlJc w:val="left"/>
      <w:lvlText w:val="(%2)"/>
      <w:numFmt w:val="lowerLetter"/>
      <w:start w:val="1"/>
    </w:lvl>
  </w:abstractNum>
  <w:abstractNum w:abstractNumId="57">
    <w:nsid w:val="3F6AB60F"/>
    <w:multiLevelType w:val="hybridMultilevel"/>
    <w:lvl w:ilvl="0">
      <w:lvlJc w:val="left"/>
      <w:lvlText w:val="%1"/>
      <w:numFmt w:val="decimal"/>
      <w:start w:val="1"/>
    </w:lvl>
    <w:lvl w:ilvl="1">
      <w:lvlJc w:val="left"/>
      <w:lvlText w:val="(%2)"/>
      <w:numFmt w:val="lowerLetter"/>
      <w:start w:val="2"/>
    </w:lvl>
  </w:abstractNum>
  <w:abstractNum w:abstractNumId="58">
    <w:nsid w:val="61574095"/>
    <w:multiLevelType w:val="hybridMultilevel"/>
    <w:lvl w:ilvl="0">
      <w:lvlJc w:val="left"/>
      <w:lvlText w:val="%1."/>
      <w:numFmt w:val="decimal"/>
      <w:start w:val="5"/>
    </w:lvl>
    <w:lvl w:ilvl="1">
      <w:lvlJc w:val="left"/>
      <w:lvlText w:val="%2"/>
      <w:numFmt w:val="lowerLetter"/>
      <w:start w:val="1"/>
    </w:lvl>
  </w:abstractNum>
  <w:abstractNum w:abstractNumId="59">
    <w:nsid w:val="7E0C57B1"/>
    <w:multiLevelType w:val="hybridMultilevel"/>
    <w:lvl w:ilvl="0">
      <w:lvlJc w:val="left"/>
      <w:lvlText w:val="%1."/>
      <w:numFmt w:val="decimal"/>
      <w:start w:val="6"/>
    </w:lvl>
  </w:abstractNum>
  <w:abstractNum w:abstractNumId="60">
    <w:nsid w:val="77AE35EB"/>
    <w:multiLevelType w:val="hybridMultilevel"/>
    <w:lvl w:ilvl="0">
      <w:lvlJc w:val="left"/>
      <w:lvlText w:val="%1."/>
      <w:numFmt w:val="decimal"/>
      <w:start w:val="7"/>
    </w:lvl>
  </w:abstractNum>
  <w:abstractNum w:abstractNumId="61">
    <w:nsid w:val="579BE4F1"/>
    <w:multiLevelType w:val="hybridMultilevel"/>
    <w:lvl w:ilvl="0">
      <w:lvlJc w:val="left"/>
      <w:lvlText w:val="%1."/>
      <w:numFmt w:val="decimal"/>
      <w:start w:val="8"/>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132" Type="http://schemas.openxmlformats.org/officeDocument/2006/relationships/hyperlink" Target="https://www.sec.gov/Archives/edgar/data/313143/000031314323000051/exhibit21-arrangementagree.htm" TargetMode="External"/><Relationship Id="rId133" Type="http://schemas.openxmlformats.org/officeDocument/2006/relationships/hyperlink" Target="https://www.sec.gov/Archives/edgar/data/313143/000031314319000035/exhibit31-restatedarticles.htm" TargetMode="External"/><Relationship Id="rId134" Type="http://schemas.openxmlformats.org/officeDocument/2006/relationships/hyperlink" Target="https://www.sec.gov/Archives/edgar/data/313143/000031314320000052/by-lawsasamended62920.htm" TargetMode="External"/><Relationship Id="rId135" Type="http://schemas.openxmlformats.org/officeDocument/2006/relationships/hyperlink" Target="https://www.sec.gov/Archives/edgar/data/313143/000031314320000028/fy2020exh4b.htm" TargetMode="External"/><Relationship Id="rId136" Type="http://schemas.openxmlformats.org/officeDocument/2006/relationships/hyperlink" Target="https://www.sec.gov/Archives/edgar/data/313143/000110465924066056/tm2415643d1_ex4-1.htm" TargetMode="External"/><Relationship Id="rId137" Type="http://schemas.openxmlformats.org/officeDocument/2006/relationships/hyperlink" Target="https://www.sec.gov/Archives/edgar/data/313143/000031314323000037/a8kex101-ar2019ltiplan8723.htm" TargetMode="External"/><Relationship Id="rId138" Type="http://schemas.openxmlformats.org/officeDocument/2006/relationships/hyperlink" Target="https://www.sec.gov/Archives/edgar/data/313143/000031314319000053/haeq2sep2020ex104.htm" TargetMode="External"/><Relationship Id="rId139" Type="http://schemas.openxmlformats.org/officeDocument/2006/relationships/hyperlink" Target="https://www.sec.gov/Archives/edgar/data/313143/000031314323000041/haefy24q1junex103.htm" TargetMode="External"/><Relationship Id="rId140" Type="http://schemas.openxmlformats.org/officeDocument/2006/relationships/hyperlink" Target="https://www.sec.gov/Archives/edgar/data/313143/000031314319000053/haeq2sep2020ex102.htm" TargetMode="External"/><Relationship Id="rId141" Type="http://schemas.openxmlformats.org/officeDocument/2006/relationships/hyperlink" Target="https://www.sec.gov/Archives/edgar/data/313143/000031314319000053/haeq2sep2020ex103.htm" TargetMode="External"/><Relationship Id="rId142" Type="http://schemas.openxmlformats.org/officeDocument/2006/relationships/hyperlink" Target="https://www.sec.gov/Archives/edgar/data/313143/000031314323000041/haefy24q1junex102.htm" TargetMode="External"/><Relationship Id="rId143" Type="http://schemas.openxmlformats.org/officeDocument/2006/relationships/hyperlink" Target="https://www.sec.gov/Archives/edgar/data/313143/000031314323000041/haefy24q1junex104.htm" TargetMode="External"/><Relationship Id="rId144" Type="http://schemas.openxmlformats.org/officeDocument/2006/relationships/hyperlink" Target="https://www.sec.gov/Archives/edgar/data/313143/000031314325000058/haefy26q1junex101.htm" TargetMode="External"/><Relationship Id="rId145" Type="http://schemas.openxmlformats.org/officeDocument/2006/relationships/hyperlink" Target="https://www.sec.gov/Archives/edgar/data/313143/000031314316000143/haeq1jun2017ex102.htm" TargetMode="External"/><Relationship Id="rId146" Type="http://schemas.openxmlformats.org/officeDocument/2006/relationships/hyperlink" Target="https://www.sec.gov/Archives/edgar/data/313143/000031314316000123/exhibit101haemonetics-simo.htm" TargetMode="External"/><Relationship Id="rId147" Type="http://schemas.openxmlformats.org/officeDocument/2006/relationships/hyperlink" Target="https://www.sec.gov/Archives/edgar/data/313143/000031314317000044/haeq2sep2018ex104.htm" TargetMode="External"/><Relationship Id="rId148" Type="http://schemas.openxmlformats.org/officeDocument/2006/relationships/hyperlink" Target="https://www.sec.gov/Archives/edgar/data/313143/000031314317000044/haeq2sep2018ex105.htm" TargetMode="External"/><Relationship Id="rId149" Type="http://schemas.openxmlformats.org/officeDocument/2006/relationships/hyperlink" Target="https://www.sec.gov/Archives/edgar/data/313143/000031314317000044/haeq2sep2018ex102.htm" TargetMode="External"/><Relationship Id="rId152" Type="http://schemas.openxmlformats.org/officeDocument/2006/relationships/hyperlink" Target="https://www.sec.gov/Archives/edgar/data/313143/000031314317000044/haeq2sep2018ex103.htm" TargetMode="External"/><Relationship Id="rId153" Type="http://schemas.openxmlformats.org/officeDocument/2006/relationships/hyperlink" Target="https://www.sec.gov/Archives/edgar/data/313143/000031314323000041/haefy24q1junex101.htm" TargetMode="External"/><Relationship Id="rId154" Type="http://schemas.openxmlformats.org/officeDocument/2006/relationships/hyperlink" Target="https://www.sec.gov/Archives/edgar/data/313143/000031314318000058/haeq2sep2019ex101.htm" TargetMode="External"/><Relationship Id="rId155" Type="http://schemas.openxmlformats.org/officeDocument/2006/relationships/hyperlink" Target="https://www.sec.gov/Archives/edgar/data/313143/000031314324000007/ex104-haefy24q310xq.htm" TargetMode="External"/><Relationship Id="rId156" Type="http://schemas.openxmlformats.org/officeDocument/2006/relationships/hyperlink" Target="https://www.sec.gov/Archives/edgar/data/313143/000031314320000065/ex101toform10-qq1offis.htm" TargetMode="External"/><Relationship Id="rId157" Type="http://schemas.openxmlformats.org/officeDocument/2006/relationships/hyperlink" Target="https://www.sec.gov/Archives/edgar/data/313143/000031314321000010/ex101-firstamendmenttoclin.htm" TargetMode="External"/><Relationship Id="rId158" Type="http://schemas.openxmlformats.org/officeDocument/2006/relationships/hyperlink" Target="https://www.sec.gov/Archives/edgar/data/313143/000031314313000085/a10jleasebbva_ensatec2x21x.htm" TargetMode="External"/><Relationship Id="rId159" Type="http://schemas.openxmlformats.org/officeDocument/2006/relationships/hyperlink" Target="https://www.sec.gov/Archives/edgar/data/313143/000031314313000085/a10kbbvaensatec11730tijuan.htm" TargetMode="External"/><Relationship Id="rId160" Type="http://schemas.openxmlformats.org/officeDocument/2006/relationships/hyperlink" Target="https://www.sec.gov/Archives/edgar/data/313143/000031314313000085/a10lextleasefeb212000ensat.htm" TargetMode="External"/><Relationship Id="rId161" Type="http://schemas.openxmlformats.org/officeDocument/2006/relationships/hyperlink" Target="https://www.sec.gov/Archives/edgar/data/313143/000031314313000085/a10mbbvaletteragreeaug1420.htm" TargetMode="External"/><Relationship Id="rId162" Type="http://schemas.openxmlformats.org/officeDocument/2006/relationships/hyperlink" Target="https://www.sec.gov/Archives/edgar/data/313143/000031314313000085/a10n11730tijuianaletterfeb.htm" TargetMode="External"/><Relationship Id="rId163" Type="http://schemas.openxmlformats.org/officeDocument/2006/relationships/hyperlink" Target="https://www.sec.gov/Archives/edgar/data/313143/000031314318000020/fy2018exh10r.htm" TargetMode="External"/><Relationship Id="rId164" Type="http://schemas.openxmlformats.org/officeDocument/2006/relationships/hyperlink" Target="https://www.sec.gov/Archives/edgar/data/313143/000031314324000007/ex103-haefy24q310xq.htm" TargetMode="External"/><Relationship Id="rId165" Type="http://schemas.openxmlformats.org/officeDocument/2006/relationships/hyperlink" Target="https://www.sec.gov/Archives/edgar/data/313143/000031314313000085/a10wcolungaleaseagreedec32.htm" TargetMode="External"/><Relationship Id="rId166" Type="http://schemas.openxmlformats.org/officeDocument/2006/relationships/hyperlink" Target="https://www.sec.gov/Archives/edgar/data/313143/000031314313000085/a10xcolungaassignleasedec2.htm" TargetMode="External"/><Relationship Id="rId169" Type="http://schemas.openxmlformats.org/officeDocument/2006/relationships/hyperlink" Target="https://www.sec.gov/Archives/edgar/data/313143/000031314318000020/fy2018exh10u.htm" TargetMode="External"/><Relationship Id="rId170" Type="http://schemas.openxmlformats.org/officeDocument/2006/relationships/hyperlink" Target="https://www.sec.gov/Archives/edgar/data/313143/000031314322000052/haeq1june2022ex101.htm" TargetMode="External"/><Relationship Id="rId171" Type="http://schemas.openxmlformats.org/officeDocument/2006/relationships/hyperlink" Target="https://www.sec.gov/Archives/edgar/data/313143/000031314314000097/haeq1june2015exhibit10dpen.htm" TargetMode="External"/><Relationship Id="rId172" Type="http://schemas.openxmlformats.org/officeDocument/2006/relationships/hyperlink" Target="https://www.sec.gov/Archives/edgar/data/0001520325/000119312521001047/d833938dex1023.htm" TargetMode="External"/><Relationship Id="rId173" Type="http://schemas.openxmlformats.org/officeDocument/2006/relationships/hyperlink" Target="https://www.sec.gov/Archives/edgar/data/1520325/000119312521001047/d833938dex1023.htm" TargetMode="External"/><Relationship Id="rId174" Type="http://schemas.openxmlformats.org/officeDocument/2006/relationships/hyperlink" Target="https://www.sec.gov/Archives/edgar/data/313143/000031314322000061/haefy23q2ex102.htm" TargetMode="External"/><Relationship Id="rId175" Type="http://schemas.openxmlformats.org/officeDocument/2006/relationships/hyperlink" Target="https://www.sec.gov/Archives/edgar/data/313143/000031314324000020/a1039-bailoriginalopsens_7.htm" TargetMode="External"/><Relationship Id="rId176" Type="http://schemas.openxmlformats.org/officeDocument/2006/relationships/hyperlink" Target="https://www.sec.gov/Archives/edgar/data/313143/000031314324000020/a1040-addendaderenouvellem.htm" TargetMode="External"/><Relationship Id="rId177" Type="http://schemas.openxmlformats.org/officeDocument/2006/relationships/hyperlink" Target="https://www.sec.gov/Archives/edgar/data/313143/000031314324000020/a1041-2023x05x01750xopsens.htm" TargetMode="External"/><Relationship Id="rId178" Type="http://schemas.openxmlformats.org/officeDocument/2006/relationships/hyperlink" Target="https://www.sec.gov/Archives/edgar/data/0000313143/000095010324006128/dp210533_ex1001.htm" TargetMode="External"/><Relationship Id="rId179" Type="http://schemas.openxmlformats.org/officeDocument/2006/relationships/hyperlink" Target="https://www.sec.gov/Archives/edgar/data/313143/000110465924066056/tm2415643d1_ex10-1.htm" TargetMode="External"/><Relationship Id="rId180" Type="http://schemas.openxmlformats.org/officeDocument/2006/relationships/hyperlink" Target="https://www.sec.gov/Archives/edgar/data/313143/000110465924066056/tm2415643d1_ex10-2.htm" TargetMode="External"/><Relationship Id="rId181" Type="http://schemas.openxmlformats.org/officeDocument/2006/relationships/hyperlink" Target="https://www.sec.gov/Archives/edgar/data/313143/000031314324000020/a191-securitiestradingpoli.htm" TargetMode="External"/><Relationship Id="rId182" Type="http://schemas.openxmlformats.org/officeDocument/2006/relationships/hyperlink" Target="https://www.sec.gov/Archives/edgar/data/313143/000031314324000020/a971-compensationrecovery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2026-05-20T05:36:47Z</dcterms:created>
  <dcterms:modified xsi:type="dcterms:W3CDTF">2026-05-20T05:36:47Z</dcterms:modified>
</cp:coreProperties>
</file>