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11" w:lineRule="exact"/>
        <w:rPr>
          <w:sz w:val="24"/>
          <w:szCs w:val="24"/>
          <w:color w:val="auto"/>
        </w:rPr>
      </w:pPr>
    </w:p>
    <w:p>
      <w:pPr>
        <w:ind w:left="660" w:hanging="436"/>
        <w:spacing w:after="0"/>
        <w:tabs>
          <w:tab w:leader="none" w:pos="660"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January 1, 2022</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86" w:lineRule="exact"/>
        <w:rPr>
          <w:sz w:val="24"/>
          <w:szCs w:val="24"/>
          <w:color w:val="auto"/>
        </w:rPr>
      </w:pPr>
    </w:p>
    <w:p>
      <w:pPr>
        <w:ind w:left="4200" w:right="1420" w:hanging="3956"/>
        <w:spacing w:after="0" w:line="515" w:lineRule="auto"/>
        <w:tabs>
          <w:tab w:leader="none" w:pos="663"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Commission File Number: 001-14041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tbl>
      <w:tblPr>
        <w:tblLayout w:type="fixed"/>
        <w:tblInd w:w="1260" w:type="dxa"/>
        <w:tblCellMar>
          <w:top w:w="0" w:type="dxa"/>
          <w:left w:w="0" w:type="dxa"/>
          <w:bottom w:w="0" w:type="dxa"/>
          <w:right w:w="0" w:type="dxa"/>
        </w:tblCellMar>
      </w:tblPr>
      <w:tr>
        <w:trPr>
          <w:trHeight w:val="230"/>
        </w:trPr>
        <w:tc>
          <w:tcPr>
            <w:tcW w:w="6380" w:type="dxa"/>
            <w:vAlign w:val="bottom"/>
          </w:tcPr>
          <w:p>
            <w:pPr>
              <w:jc w:val="center"/>
              <w:ind w:left="2251"/>
              <w:spacing w:after="0"/>
              <w:rPr>
                <w:sz w:val="20"/>
                <w:szCs w:val="20"/>
                <w:color w:val="auto"/>
              </w:rPr>
            </w:pPr>
            <w:r>
              <w:rPr>
                <w:rFonts w:ascii="Arial" w:cs="Arial" w:eastAsia="Arial" w:hAnsi="Arial"/>
                <w:sz w:val="18"/>
                <w:szCs w:val="18"/>
                <w:color w:val="auto"/>
                <w:w w:val="90"/>
              </w:rPr>
              <w:t>(Exact name of registrant as specified in its charter)</w:t>
            </w:r>
          </w:p>
        </w:tc>
        <w:tc>
          <w:tcPr>
            <w:tcW w:w="1500" w:type="dxa"/>
            <w:vAlign w:val="bottom"/>
          </w:tcPr>
          <w:p>
            <w:pPr>
              <w:spacing w:after="0"/>
              <w:rPr>
                <w:sz w:val="20"/>
                <w:szCs w:val="20"/>
                <w:color w:val="auto"/>
              </w:rPr>
            </w:pPr>
          </w:p>
        </w:tc>
      </w:tr>
      <w:tr>
        <w:trPr>
          <w:trHeight w:val="334"/>
        </w:trPr>
        <w:tc>
          <w:tcPr>
            <w:tcW w:w="6380" w:type="dxa"/>
            <w:vAlign w:val="bottom"/>
          </w:tcPr>
          <w:p>
            <w:pPr>
              <w:jc w:val="center"/>
              <w:ind w:right="3431"/>
              <w:spacing w:after="0"/>
              <w:rPr>
                <w:sz w:val="20"/>
                <w:szCs w:val="20"/>
                <w:color w:val="auto"/>
              </w:rPr>
            </w:pPr>
            <w:r>
              <w:rPr>
                <w:rFonts w:ascii="Arial" w:cs="Arial" w:eastAsia="Arial" w:hAnsi="Arial"/>
                <w:sz w:val="18"/>
                <w:szCs w:val="18"/>
                <w:b w:val="1"/>
                <w:bCs w:val="1"/>
                <w:color w:val="auto"/>
                <w:w w:val="85"/>
              </w:rPr>
              <w:t>Massachusetts</w:t>
            </w: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04-2882273</w:t>
            </w:r>
          </w:p>
        </w:tc>
      </w:tr>
      <w:tr>
        <w:trPr>
          <w:trHeight w:val="176"/>
        </w:trPr>
        <w:tc>
          <w:tcPr>
            <w:tcW w:w="6380" w:type="dxa"/>
            <w:vAlign w:val="bottom"/>
          </w:tcPr>
          <w:p>
            <w:pPr>
              <w:jc w:val="center"/>
              <w:ind w:right="3431"/>
              <w:spacing w:after="0" w:line="176" w:lineRule="exact"/>
              <w:rPr>
                <w:sz w:val="20"/>
                <w:szCs w:val="20"/>
                <w:color w:val="auto"/>
              </w:rPr>
            </w:pPr>
            <w:r>
              <w:rPr>
                <w:rFonts w:ascii="Arial" w:cs="Arial" w:eastAsia="Arial" w:hAnsi="Arial"/>
                <w:sz w:val="18"/>
                <w:szCs w:val="18"/>
                <w:color w:val="auto"/>
                <w:w w:val="93"/>
              </w:rPr>
              <w:t>(State or other jurisdiction of</w:t>
            </w:r>
          </w:p>
        </w:tc>
        <w:tc>
          <w:tcPr>
            <w:tcW w:w="1500" w:type="dxa"/>
            <w:vAlign w:val="bottom"/>
          </w:tcPr>
          <w:p>
            <w:pPr>
              <w:jc w:val="center"/>
              <w:ind w:left="9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6380" w:type="dxa"/>
            <w:vAlign w:val="bottom"/>
          </w:tcPr>
          <w:p>
            <w:pPr>
              <w:jc w:val="center"/>
              <w:ind w:right="3431"/>
              <w:spacing w:after="0"/>
              <w:rPr>
                <w:sz w:val="20"/>
                <w:szCs w:val="20"/>
                <w:color w:val="auto"/>
              </w:rPr>
            </w:pPr>
            <w:r>
              <w:rPr>
                <w:rFonts w:ascii="Arial" w:cs="Arial" w:eastAsia="Arial" w:hAnsi="Arial"/>
                <w:sz w:val="18"/>
                <w:szCs w:val="18"/>
                <w:color w:val="auto"/>
                <w:w w:val="93"/>
              </w:rPr>
              <w:t>incorporation or organization)</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5"/>
              </w:rPr>
              <w:t>Identification No.)</w:t>
            </w:r>
          </w:p>
        </w:tc>
      </w:tr>
      <w:tr>
        <w:trPr>
          <w:trHeight w:val="332"/>
        </w:trPr>
        <w:tc>
          <w:tcPr>
            <w:tcW w:w="6380" w:type="dxa"/>
            <w:vAlign w:val="bottom"/>
          </w:tcPr>
          <w:p>
            <w:pPr>
              <w:jc w:val="center"/>
              <w:ind w:right="3451"/>
              <w:spacing w:after="0"/>
              <w:rPr>
                <w:sz w:val="20"/>
                <w:szCs w:val="20"/>
                <w:color w:val="auto"/>
              </w:rPr>
            </w:pPr>
            <w:r>
              <w:rPr>
                <w:rFonts w:ascii="Arial" w:cs="Arial" w:eastAsia="Arial" w:hAnsi="Arial"/>
                <w:sz w:val="18"/>
                <w:szCs w:val="18"/>
                <w:b w:val="1"/>
                <w:bCs w:val="1"/>
                <w:color w:val="auto"/>
                <w:w w:val="90"/>
              </w:rPr>
              <w:t>125 Summer Street</w:t>
            </w:r>
          </w:p>
        </w:tc>
        <w:tc>
          <w:tcPr>
            <w:tcW w:w="1500" w:type="dxa"/>
            <w:vAlign w:val="bottom"/>
          </w:tcPr>
          <w:p>
            <w:pPr>
              <w:spacing w:after="0"/>
              <w:rPr>
                <w:sz w:val="24"/>
                <w:szCs w:val="24"/>
                <w:color w:val="auto"/>
              </w:rPr>
            </w:pPr>
          </w:p>
        </w:tc>
      </w:tr>
      <w:tr>
        <w:trPr>
          <w:trHeight w:val="234"/>
        </w:trPr>
        <w:tc>
          <w:tcPr>
            <w:tcW w:w="6380" w:type="dxa"/>
            <w:vAlign w:val="bottom"/>
          </w:tcPr>
          <w:p>
            <w:pPr>
              <w:ind w:left="700"/>
              <w:spacing w:after="0"/>
              <w:rPr>
                <w:sz w:val="20"/>
                <w:szCs w:val="20"/>
                <w:color w:val="auto"/>
              </w:rPr>
            </w:pPr>
            <w:r>
              <w:rPr>
                <w:rFonts w:ascii="Arial" w:cs="Arial" w:eastAsia="Arial" w:hAnsi="Arial"/>
                <w:sz w:val="18"/>
                <w:szCs w:val="18"/>
                <w:b w:val="1"/>
                <w:bCs w:val="1"/>
                <w:color w:val="auto"/>
              </w:rPr>
              <w:t>Boston, Massachusetts</w:t>
            </w: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02110</w:t>
            </w:r>
          </w:p>
        </w:tc>
      </w:tr>
      <w:tr>
        <w:trPr>
          <w:trHeight w:val="230"/>
        </w:trPr>
        <w:tc>
          <w:tcPr>
            <w:tcW w:w="6380" w:type="dxa"/>
            <w:vAlign w:val="bottom"/>
          </w:tcPr>
          <w:p>
            <w:pPr>
              <w:jc w:val="center"/>
              <w:ind w:right="3431"/>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jc w:val="center"/>
              <w:ind w:left="90"/>
              <w:spacing w:after="0"/>
              <w:rPr>
                <w:sz w:val="20"/>
                <w:szCs w:val="20"/>
                <w:color w:val="auto"/>
              </w:rPr>
            </w:pPr>
            <w:r>
              <w:rPr>
                <w:rFonts w:ascii="Arial" w:cs="Arial" w:eastAsia="Arial" w:hAnsi="Arial"/>
                <w:sz w:val="18"/>
                <w:szCs w:val="18"/>
                <w:color w:val="auto"/>
                <w:w w:val="94"/>
              </w:rPr>
              <w:t>(Zip Code)</w:t>
            </w:r>
          </w:p>
        </w:tc>
      </w:tr>
      <w:tr>
        <w:trPr>
          <w:trHeight w:val="301"/>
        </w:trPr>
        <w:tc>
          <w:tcPr>
            <w:tcW w:w="6380" w:type="dxa"/>
            <w:vAlign w:val="bottom"/>
          </w:tcPr>
          <w:p>
            <w:pPr>
              <w:jc w:val="center"/>
              <w:ind w:left="2251"/>
              <w:spacing w:after="0"/>
              <w:rPr>
                <w:sz w:val="20"/>
                <w:szCs w:val="20"/>
                <w:color w:val="auto"/>
              </w:rPr>
            </w:pPr>
            <w:r>
              <w:rPr>
                <w:rFonts w:ascii="Arial" w:cs="Arial" w:eastAsia="Arial" w:hAnsi="Arial"/>
                <w:sz w:val="18"/>
                <w:szCs w:val="18"/>
                <w:b w:val="1"/>
                <w:bCs w:val="1"/>
                <w:color w:val="auto"/>
                <w:w w:val="90"/>
              </w:rPr>
              <w:t>(781) 848-7100</w:t>
            </w:r>
          </w:p>
        </w:tc>
        <w:tc>
          <w:tcPr>
            <w:tcW w:w="1500" w:type="dxa"/>
            <w:vAlign w:val="bottom"/>
          </w:tcPr>
          <w:p>
            <w:pPr>
              <w:spacing w:after="0"/>
              <w:rPr>
                <w:sz w:val="24"/>
                <w:szCs w:val="24"/>
                <w:color w:val="auto"/>
              </w:rPr>
            </w:pPr>
          </w:p>
        </w:tc>
      </w:tr>
      <w:tr>
        <w:trPr>
          <w:trHeight w:val="206"/>
        </w:trPr>
        <w:tc>
          <w:tcPr>
            <w:tcW w:w="6380" w:type="dxa"/>
            <w:vAlign w:val="bottom"/>
          </w:tcPr>
          <w:p>
            <w:pPr>
              <w:jc w:val="center"/>
              <w:ind w:left="2251"/>
              <w:spacing w:after="0"/>
              <w:rPr>
                <w:sz w:val="20"/>
                <w:szCs w:val="20"/>
                <w:color w:val="auto"/>
              </w:rPr>
            </w:pPr>
            <w:r>
              <w:rPr>
                <w:rFonts w:ascii="Arial" w:cs="Arial" w:eastAsia="Arial" w:hAnsi="Arial"/>
                <w:sz w:val="16"/>
                <w:szCs w:val="16"/>
                <w:color w:val="auto"/>
                <w:w w:val="91"/>
              </w:rPr>
              <w:t>(Registrant’s telephone number, including area code)</w:t>
            </w:r>
          </w:p>
        </w:tc>
        <w:tc>
          <w:tcPr>
            <w:tcW w:w="1500" w:type="dxa"/>
            <w:vAlign w:val="bottom"/>
          </w:tcPr>
          <w:p>
            <w:pPr>
              <w:spacing w:after="0"/>
              <w:rPr>
                <w:sz w:val="17"/>
                <w:szCs w:val="17"/>
                <w:color w:val="auto"/>
              </w:rPr>
            </w:pPr>
          </w:p>
        </w:tc>
      </w:tr>
    </w:tbl>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0" w:lineRule="exact"/>
        <w:rPr>
          <w:sz w:val="24"/>
          <w:szCs w:val="24"/>
          <w:color w:val="auto"/>
        </w:rPr>
      </w:pPr>
    </w:p>
    <w:tbl>
      <w:tblPr>
        <w:tblLayout w:type="fixed"/>
        <w:tblInd w:w="80" w:type="dxa"/>
        <w:tblCellMar>
          <w:top w:w="0" w:type="dxa"/>
          <w:left w:w="0" w:type="dxa"/>
          <w:bottom w:w="0" w:type="dxa"/>
          <w:right w:w="0" w:type="dxa"/>
        </w:tblCellMar>
      </w:tblPr>
      <w:tr>
        <w:trPr>
          <w:trHeight w:val="192"/>
        </w:trPr>
        <w:tc>
          <w:tcPr>
            <w:tcW w:w="4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Title of Each Class</w:t>
            </w:r>
          </w:p>
        </w:tc>
        <w:tc>
          <w:tcPr>
            <w:tcW w:w="2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Trading Symbol</w:t>
            </w:r>
          </w:p>
        </w:tc>
        <w:tc>
          <w:tcPr>
            <w:tcW w:w="4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$.01 par value per share</w:t>
            </w:r>
          </w:p>
        </w:tc>
        <w:tc>
          <w:tcPr>
            <w:tcW w:w="340" w:type="dxa"/>
            <w:vAlign w:val="bottom"/>
          </w:tcPr>
          <w:p>
            <w:pPr>
              <w:spacing w:after="0"/>
              <w:rPr>
                <w:sz w:val="19"/>
                <w:szCs w:val="19"/>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HAE</w:t>
            </w:r>
          </w:p>
        </w:tc>
        <w:tc>
          <w:tcPr>
            <w:tcW w:w="340" w:type="dxa"/>
            <w:vAlign w:val="bottom"/>
          </w:tcPr>
          <w:p>
            <w:pPr>
              <w:spacing w:after="0"/>
              <w:rPr>
                <w:sz w:val="19"/>
                <w:szCs w:val="19"/>
                <w:color w:val="auto"/>
              </w:rPr>
            </w:pPr>
          </w:p>
        </w:tc>
        <w:tc>
          <w:tcPr>
            <w:tcW w:w="4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47" w:lineRule="exact"/>
        <w:rPr>
          <w:sz w:val="24"/>
          <w:szCs w:val="24"/>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23" w:lineRule="exact"/>
        <w:rPr>
          <w:sz w:val="24"/>
          <w:szCs w:val="24"/>
          <w:color w:val="auto"/>
        </w:rPr>
      </w:pPr>
    </w:p>
    <w:p>
      <w:pPr>
        <w:jc w:val="both"/>
        <w:ind w:right="60"/>
        <w:spacing w:after="0" w:line="260" w:lineRule="auto"/>
        <w:rPr>
          <w:sz w:val="20"/>
          <w:szCs w:val="20"/>
          <w:color w:val="auto"/>
        </w:rPr>
      </w:pPr>
      <w:r>
        <w:rPr>
          <w:rFonts w:ascii="Arial" w:cs="Arial" w:eastAsia="Arial" w:hAnsi="Arial"/>
          <w:sz w:val="18"/>
          <w:szCs w:val="18"/>
          <w:color w:val="auto"/>
        </w:rPr>
        <w:t>Rule 405 of Regulation S-T (§232.405 of this chapter) during the preceding 12 months (or for such shorter period that the registrant was required to submit such files). Yes x No o</w:t>
      </w:r>
    </w:p>
    <w:p>
      <w:pPr>
        <w:spacing w:after="0" w:line="131"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7"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jc w:val="center"/>
              <w:ind w:right="1372"/>
              <w:spacing w:after="0"/>
              <w:rPr>
                <w:sz w:val="20"/>
                <w:szCs w:val="20"/>
                <w:color w:val="auto"/>
              </w:rPr>
            </w:pPr>
            <w:r>
              <w:rPr>
                <w:rFonts w:ascii="Arial" w:cs="Arial" w:eastAsia="Arial" w:hAnsi="Arial"/>
                <w:sz w:val="22"/>
                <w:szCs w:val="22"/>
                <w:color w:val="auto"/>
              </w:rPr>
              <w:t>x</w:t>
            </w:r>
          </w:p>
        </w:tc>
        <w:tc>
          <w:tcPr>
            <w:tcW w:w="4740" w:type="dxa"/>
            <w:vAlign w:val="bottom"/>
          </w:tcPr>
          <w:p>
            <w:pPr>
              <w:ind w:left="22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jc w:val="center"/>
              <w:ind w:right="1372"/>
              <w:spacing w:after="0" w:line="221" w:lineRule="exact"/>
              <w:rPr>
                <w:sz w:val="20"/>
                <w:szCs w:val="20"/>
                <w:color w:val="auto"/>
              </w:rPr>
            </w:pPr>
            <w:r>
              <w:rPr>
                <w:rFonts w:ascii="MS PGothic" w:cs="MS PGothic" w:eastAsia="MS PGothic" w:hAnsi="MS PGothic"/>
                <w:sz w:val="22"/>
                <w:szCs w:val="22"/>
                <w:color w:val="auto"/>
                <w:w w:val="90"/>
              </w:rPr>
              <w:t>☐</w:t>
            </w:r>
          </w:p>
        </w:tc>
        <w:tc>
          <w:tcPr>
            <w:tcW w:w="4740" w:type="dxa"/>
            <w:vAlign w:val="bottom"/>
          </w:tcPr>
          <w:p>
            <w:pPr>
              <w:ind w:left="22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740" w:type="dxa"/>
            <w:vAlign w:val="bottom"/>
          </w:tcPr>
          <w:p>
            <w:pPr>
              <w:ind w:left="226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27"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83"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No x</w:t>
      </w:r>
    </w:p>
    <w:p>
      <w:pPr>
        <w:spacing w:after="0" w:line="211" w:lineRule="exact"/>
        <w:rPr>
          <w:sz w:val="24"/>
          <w:szCs w:val="24"/>
          <w:color w:val="auto"/>
        </w:rPr>
      </w:pPr>
    </w:p>
    <w:p>
      <w:pPr>
        <w:ind w:left="1900"/>
        <w:spacing w:after="0"/>
        <w:rPr>
          <w:sz w:val="20"/>
          <w:szCs w:val="20"/>
          <w:color w:val="auto"/>
        </w:rPr>
      </w:pPr>
      <w:r>
        <w:rPr>
          <w:rFonts w:ascii="Arial" w:cs="Arial" w:eastAsia="Arial" w:hAnsi="Arial"/>
          <w:sz w:val="18"/>
          <w:szCs w:val="18"/>
          <w:color w:val="auto"/>
        </w:rPr>
        <w:t>The number of shares of $0.01 par value common stock outstanding as of February 4, 2022: 51,111,595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6"/>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40" w:type="dxa"/>
            <w:vAlign w:val="bottom"/>
          </w:tcPr>
          <w:p>
            <w:pPr>
              <w:spacing w:after="0"/>
              <w:rPr>
                <w:sz w:val="16"/>
                <w:szCs w:val="16"/>
                <w:color w:val="auto"/>
              </w:rPr>
            </w:pPr>
          </w:p>
        </w:tc>
        <w:tc>
          <w:tcPr>
            <w:tcW w:w="10200" w:type="dxa"/>
            <w:vAlign w:val="bottom"/>
            <w:gridSpan w:val="26"/>
          </w:tcPr>
          <w:p>
            <w:pP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4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10200" w:type="dxa"/>
            <w:vAlign w:val="bottom"/>
            <w:gridSpan w:val="26"/>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ITEM 1. Financial Statements</w:t>
              </w:r>
            </w:hyperlink>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24"/>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 xml:space="preserve">Unaudited Condensed Consolidated Statements of Income and Comprehensive Income - Three and Nine Months Ended January </w:t>
              </w:r>
            </w:hyperlink>
            <w:r>
              <w:rPr>
                <w:rFonts w:ascii="Arial" w:cs="Arial" w:eastAsia="Arial" w:hAnsi="Arial"/>
                <w:sz w:val="18"/>
                <w:szCs w:val="18"/>
                <w:color w:val="0000FF"/>
                <w:w w:val="91"/>
              </w:rPr>
              <w:t>1, 2022</w:t>
            </w:r>
          </w:p>
        </w:tc>
        <w:tc>
          <w:tcPr>
            <w:tcW w:w="580" w:type="dxa"/>
            <w:vAlign w:val="bottom"/>
            <w:gridSpan w:val="4"/>
          </w:tcPr>
          <w:p>
            <w:pPr>
              <w:jc w:val="center"/>
              <w:ind w:left="313"/>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8"/>
              </w:rPr>
            </w:pPr>
            <w:hyperlink w:anchor="page3">
              <w:r>
                <w:rPr>
                  <w:rFonts w:ascii="Arial" w:cs="Arial" w:eastAsia="Arial" w:hAnsi="Arial"/>
                  <w:sz w:val="18"/>
                  <w:szCs w:val="18"/>
                  <w:color w:val="0000FF"/>
                  <w:w w:val="88"/>
                </w:rPr>
                <w:t>and December 26, 2020</w:t>
              </w:r>
            </w:hyperlink>
          </w:p>
        </w:tc>
        <w:tc>
          <w:tcPr>
            <w:tcW w:w="81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tcBorders>
              <w:bottom w:val="single" w:sz="8" w:color="0000FF"/>
            </w:tcBorders>
            <w:gridSpan w:val="20"/>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 xml:space="preserve">Unaudited Condensed Consolidated Balance Sheet - January </w:t>
              </w:r>
            </w:hyperlink>
            <w:r>
              <w:rPr>
                <w:rFonts w:ascii="Arial" w:cs="Arial" w:eastAsia="Arial" w:hAnsi="Arial"/>
                <w:sz w:val="18"/>
                <w:szCs w:val="18"/>
                <w:color w:val="0000FF"/>
                <w:w w:val="89"/>
              </w:rPr>
              <w:t xml:space="preserve">1, </w:t>
            </w:r>
            <w:hyperlink w:anchor="page3">
              <w:r>
                <w:rPr>
                  <w:rFonts w:ascii="Arial" w:cs="Arial" w:eastAsia="Arial" w:hAnsi="Arial"/>
                  <w:sz w:val="18"/>
                  <w:szCs w:val="18"/>
                  <w:color w:val="0000FF"/>
                  <w:w w:val="89"/>
                </w:rPr>
                <w:t>2022 and Consolidated Balance Sheet - April 3, 2021</w:t>
              </w:r>
            </w:hyperlink>
          </w:p>
        </w:tc>
        <w:tc>
          <w:tcPr>
            <w:tcW w:w="1640" w:type="dxa"/>
            <w:vAlign w:val="bottom"/>
            <w:gridSpan w:val="4"/>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80" w:type="dxa"/>
            <w:vAlign w:val="bottom"/>
            <w:gridSpan w:val="24"/>
          </w:tcPr>
          <w:p>
            <w:pPr>
              <w:spacing w:after="0"/>
              <w:rPr>
                <w:rFonts w:ascii="Arial" w:cs="Arial" w:eastAsia="Arial" w:hAnsi="Arial"/>
                <w:sz w:val="18"/>
                <w:szCs w:val="18"/>
                <w:color w:val="0000FF"/>
                <w:w w:val="92"/>
              </w:rPr>
            </w:pPr>
            <w:hyperlink w:anchor="page4">
              <w:r>
                <w:rPr>
                  <w:rFonts w:ascii="Arial" w:cs="Arial" w:eastAsia="Arial" w:hAnsi="Arial"/>
                  <w:sz w:val="18"/>
                  <w:szCs w:val="18"/>
                  <w:color w:val="0000FF"/>
                  <w:w w:val="92"/>
                </w:rPr>
                <w:t>Unaudited Condensed Consolidated Statements of Stockholders</w:t>
              </w:r>
              <w:r>
                <w:rPr>
                  <w:rFonts w:ascii="Arial" w:cs="Arial" w:eastAsia="Arial" w:hAnsi="Arial"/>
                  <w:sz w:val="18"/>
                  <w:szCs w:val="18"/>
                  <w:u w:val="single" w:color="auto"/>
                  <w:color w:val="0E32E1"/>
                  <w:w w:val="92"/>
                </w:rPr>
                <w:t>’</w:t>
              </w:r>
              <w:r>
                <w:rPr>
                  <w:rFonts w:ascii="Arial" w:cs="Arial" w:eastAsia="Arial" w:hAnsi="Arial"/>
                  <w:sz w:val="18"/>
                  <w:szCs w:val="18"/>
                  <w:color w:val="0000FF"/>
                  <w:w w:val="92"/>
                </w:rPr>
                <w:t xml:space="preserve"> Equity - Three and Nine Months Ended January 1, 2022 and December</w:t>
              </w:r>
            </w:hyperlink>
          </w:p>
        </w:tc>
        <w:tc>
          <w:tcPr>
            <w:tcW w:w="580" w:type="dxa"/>
            <w:vAlign w:val="bottom"/>
            <w:gridSpan w:val="4"/>
          </w:tcPr>
          <w:p>
            <w:pPr>
              <w:jc w:val="center"/>
              <w:ind w:left="313"/>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35"/>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0000FF"/>
              <w:bottom w:val="single" w:sz="8" w:color="0000FF"/>
            </w:tcBorders>
          </w:tcPr>
          <w:p>
            <w:pPr>
              <w:spacing w:after="0" w:line="136" w:lineRule="exact"/>
              <w:rPr>
                <w:rFonts w:ascii="Arial" w:cs="Arial" w:eastAsia="Arial" w:hAnsi="Arial"/>
                <w:sz w:val="15"/>
                <w:szCs w:val="15"/>
                <w:color w:val="0000FF"/>
              </w:rPr>
            </w:pPr>
            <w:hyperlink w:anchor="page4">
              <w:r>
                <w:rPr>
                  <w:rFonts w:ascii="Arial" w:cs="Arial" w:eastAsia="Arial" w:hAnsi="Arial"/>
                  <w:sz w:val="15"/>
                  <w:szCs w:val="15"/>
                  <w:color w:val="0000FF"/>
                </w:rPr>
                <w:t>26, 2020</w:t>
              </w:r>
            </w:hyperlink>
          </w:p>
        </w:tc>
        <w:tc>
          <w:tcPr>
            <w:tcW w:w="4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60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20" w:type="dxa"/>
            <w:vAlign w:val="bottom"/>
            <w:tcBorders>
              <w:top w:val="single" w:sz="8" w:color="0000FF"/>
            </w:tcBorders>
          </w:tcPr>
          <w:p>
            <w:pPr>
              <w:spacing w:after="0"/>
              <w:rPr>
                <w:sz w:val="11"/>
                <w:szCs w:val="11"/>
                <w:color w:val="auto"/>
              </w:rPr>
            </w:pPr>
          </w:p>
        </w:tc>
        <w:tc>
          <w:tcPr>
            <w:tcW w:w="1020" w:type="dxa"/>
            <w:vAlign w:val="bottom"/>
            <w:tcBorders>
              <w:top w:val="single" w:sz="8" w:color="0000FF"/>
            </w:tcBorders>
          </w:tcPr>
          <w:p>
            <w:pPr>
              <w:spacing w:after="0"/>
              <w:rPr>
                <w:sz w:val="11"/>
                <w:szCs w:val="11"/>
                <w:color w:val="auto"/>
              </w:rPr>
            </w:pPr>
          </w:p>
        </w:tc>
        <w:tc>
          <w:tcPr>
            <w:tcW w:w="62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4"/>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 xml:space="preserve">Unaudited Condensed Consolidated Statements of Cash Flows - Nine Months Ended January </w:t>
              </w:r>
            </w:hyperlink>
            <w:r>
              <w:rPr>
                <w:rFonts w:ascii="Arial" w:cs="Arial" w:eastAsia="Arial" w:hAnsi="Arial"/>
                <w:sz w:val="18"/>
                <w:szCs w:val="18"/>
                <w:color w:val="0000FF"/>
                <w:w w:val="99"/>
              </w:rPr>
              <w:t xml:space="preserve">1, </w:t>
            </w:r>
            <w:hyperlink w:anchor="page6">
              <w:r>
                <w:rPr>
                  <w:rFonts w:ascii="Arial" w:cs="Arial" w:eastAsia="Arial" w:hAnsi="Arial"/>
                  <w:sz w:val="18"/>
                  <w:szCs w:val="18"/>
                  <w:color w:val="0000FF"/>
                  <w:w w:val="99"/>
                </w:rPr>
                <w:t xml:space="preserve">2022 and </w:t>
              </w:r>
            </w:hyperlink>
            <w:r>
              <w:rPr>
                <w:rFonts w:ascii="Arial" w:cs="Arial" w:eastAsia="Arial" w:hAnsi="Arial"/>
                <w:sz w:val="18"/>
                <w:szCs w:val="18"/>
                <w:color w:val="0000FF"/>
                <w:w w:val="99"/>
              </w:rPr>
              <w:t xml:space="preserve">December </w:t>
            </w:r>
            <w:hyperlink w:anchor="page6">
              <w:r>
                <w:rPr>
                  <w:rFonts w:ascii="Arial" w:cs="Arial" w:eastAsia="Arial" w:hAnsi="Arial"/>
                  <w:sz w:val="18"/>
                  <w:szCs w:val="18"/>
                  <w:color w:val="0000FF"/>
                  <w:w w:val="99"/>
                </w:rPr>
                <w:t>26, 2020</w:t>
              </w:r>
            </w:hyperlink>
          </w:p>
        </w:tc>
        <w:tc>
          <w:tcPr>
            <w:tcW w:w="580" w:type="dxa"/>
            <w:vAlign w:val="bottom"/>
            <w:gridSpan w:val="4"/>
          </w:tcPr>
          <w:p>
            <w:pPr>
              <w:jc w:val="center"/>
              <w:ind w:left="313"/>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60" w:type="dxa"/>
            <w:vAlign w:val="bottom"/>
            <w:tcBorders>
              <w:top w:val="single" w:sz="8" w:color="0000FF"/>
            </w:tcBorders>
            <w:gridSpan w:val="21"/>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Unaudited Condensed Consolidated Financial Statements</w:t>
              </w:r>
            </w:hyperlink>
          </w:p>
        </w:tc>
        <w:tc>
          <w:tcPr>
            <w:tcW w:w="1020" w:type="dxa"/>
            <w:vAlign w:val="bottom"/>
            <w:gridSpan w:val="3"/>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Borders>
              <w:top w:val="single" w:sz="8" w:color="0000FF"/>
            </w:tcBorders>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7540" w:type="dxa"/>
            <w:vAlign w:val="bottom"/>
            <w:tcBorders>
              <w:bottom w:val="single" w:sz="8" w:color="0000FF"/>
            </w:tcBorders>
            <w:gridSpan w:val="21"/>
          </w:tcPr>
          <w:p>
            <w:pPr>
              <w:spacing w:after="0"/>
              <w:rPr>
                <w:rFonts w:ascii="Arial" w:cs="Arial" w:eastAsia="Arial" w:hAnsi="Arial"/>
                <w:sz w:val="18"/>
                <w:szCs w:val="18"/>
                <w:b w:val="1"/>
                <w:bCs w:val="1"/>
                <w:color w:val="0000FF"/>
                <w:w w:val="90"/>
              </w:rPr>
            </w:pPr>
            <w:hyperlink w:anchor="page24">
              <w:r>
                <w:rPr>
                  <w:rFonts w:ascii="Arial" w:cs="Arial" w:eastAsia="Arial" w:hAnsi="Arial"/>
                  <w:sz w:val="18"/>
                  <w:szCs w:val="18"/>
                  <w:b w:val="1"/>
                  <w:bCs w:val="1"/>
                  <w:color w:val="0000FF"/>
                  <w:w w:val="90"/>
                </w:rPr>
                <w:t>ITEM 2. Management's Discussion and Analysis of Financial Condition and Results of Operations</w:t>
              </w:r>
            </w:hyperlink>
          </w:p>
        </w:tc>
        <w:tc>
          <w:tcPr>
            <w:tcW w:w="266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24</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10200" w:type="dxa"/>
            <w:vAlign w:val="bottom"/>
            <w:gridSpan w:val="26"/>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ITEM 3. Quantitative and Qualitative Disclosures about Market Risk</w:t>
              </w:r>
            </w:hyperlink>
          </w:p>
        </w:tc>
        <w:tc>
          <w:tcPr>
            <w:tcW w:w="580" w:type="dxa"/>
            <w:vAlign w:val="bottom"/>
            <w:gridSpan w:val="4"/>
          </w:tcPr>
          <w:p>
            <w:pPr>
              <w:jc w:val="center"/>
              <w:ind w:left="313"/>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2620" w:type="dxa"/>
            <w:vAlign w:val="bottom"/>
            <w:tcBorders>
              <w:top w:val="single" w:sz="8" w:color="0000FF"/>
              <w:bottom w:val="single" w:sz="8" w:color="0000FF"/>
            </w:tcBorders>
            <w:gridSpan w:val="12"/>
          </w:tcPr>
          <w:p>
            <w:pPr>
              <w:spacing w:after="0"/>
              <w:rPr>
                <w:rFonts w:ascii="Arial" w:cs="Arial" w:eastAsia="Arial" w:hAnsi="Arial"/>
                <w:sz w:val="18"/>
                <w:szCs w:val="18"/>
                <w:b w:val="1"/>
                <w:bCs w:val="1"/>
                <w:color w:val="0000FF"/>
                <w:w w:val="91"/>
              </w:rPr>
            </w:pPr>
            <w:hyperlink w:anchor="page34">
              <w:r>
                <w:rPr>
                  <w:rFonts w:ascii="Arial" w:cs="Arial" w:eastAsia="Arial" w:hAnsi="Arial"/>
                  <w:sz w:val="18"/>
                  <w:szCs w:val="18"/>
                  <w:b w:val="1"/>
                  <w:bCs w:val="1"/>
                  <w:color w:val="0000FF"/>
                  <w:w w:val="91"/>
                </w:rPr>
                <w:t>ITEM 4. Controls and Procedures</w:t>
              </w:r>
            </w:hyperlink>
          </w:p>
        </w:tc>
        <w:tc>
          <w:tcPr>
            <w:tcW w:w="2700" w:type="dxa"/>
            <w:vAlign w:val="bottom"/>
            <w:tcBorders>
              <w:top w:val="single" w:sz="8" w:color="0000FF"/>
            </w:tcBorders>
            <w:gridSpan w:val="8"/>
          </w:tcPr>
          <w:p>
            <w:pPr>
              <w:spacing w:after="0"/>
              <w:rPr>
                <w:sz w:val="24"/>
                <w:szCs w:val="24"/>
                <w:color w:val="auto"/>
              </w:rPr>
            </w:pPr>
          </w:p>
        </w:tc>
        <w:tc>
          <w:tcPr>
            <w:tcW w:w="4880" w:type="dxa"/>
            <w:vAlign w:val="bottom"/>
            <w:gridSpan w:val="6"/>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35</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10200" w:type="dxa"/>
            <w:vAlign w:val="bottom"/>
            <w:gridSpan w:val="26"/>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PART II. OTHER INFORMATION</w:t>
              </w:r>
            </w:hyperlink>
          </w:p>
        </w:tc>
        <w:tc>
          <w:tcPr>
            <w:tcW w:w="580" w:type="dxa"/>
            <w:vAlign w:val="bottom"/>
            <w:gridSpan w:val="4"/>
          </w:tcPr>
          <w:p>
            <w:pPr>
              <w:jc w:val="center"/>
              <w:ind w:left="313"/>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36</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2760" w:type="dxa"/>
            <w:vAlign w:val="bottom"/>
            <w:tcBorders>
              <w:top w:val="single" w:sz="8" w:color="0000FF"/>
            </w:tcBorders>
            <w:gridSpan w:val="13"/>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ITEM 1. Legal Proceedings</w:t>
              </w:r>
            </w:hyperlink>
          </w:p>
        </w:tc>
        <w:tc>
          <w:tcPr>
            <w:tcW w:w="7440" w:type="dxa"/>
            <w:vAlign w:val="bottom"/>
            <w:gridSpan w:val="13"/>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2100" w:type="dxa"/>
            <w:vAlign w:val="bottom"/>
            <w:tcBorders>
              <w:top w:val="single" w:sz="8" w:color="0000FF"/>
            </w:tcBorders>
            <w:gridSpan w:val="8"/>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ITEM 1A. Risk Factors</w:t>
              </w:r>
            </w:hyperlink>
          </w:p>
        </w:tc>
        <w:tc>
          <w:tcPr>
            <w:tcW w:w="8100" w:type="dxa"/>
            <w:vAlign w:val="bottom"/>
            <w:gridSpan w:val="18"/>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5280" w:type="dxa"/>
            <w:vAlign w:val="bottom"/>
            <w:tcBorders>
              <w:bottom w:val="single" w:sz="8" w:color="0000FF"/>
            </w:tcBorders>
            <w:gridSpan w:val="19"/>
          </w:tcPr>
          <w:p>
            <w:pPr>
              <w:spacing w:after="0"/>
              <w:rPr>
                <w:rFonts w:ascii="Arial" w:cs="Arial" w:eastAsia="Arial" w:hAnsi="Arial"/>
                <w:sz w:val="18"/>
                <w:szCs w:val="18"/>
                <w:b w:val="1"/>
                <w:bCs w:val="1"/>
                <w:color w:val="0000FF"/>
                <w:w w:val="89"/>
              </w:rPr>
            </w:pPr>
            <w:hyperlink w:anchor="page36">
              <w:r>
                <w:rPr>
                  <w:rFonts w:ascii="Arial" w:cs="Arial" w:eastAsia="Arial" w:hAnsi="Arial"/>
                  <w:sz w:val="18"/>
                  <w:szCs w:val="18"/>
                  <w:b w:val="1"/>
                  <w:bCs w:val="1"/>
                  <w:color w:val="0000FF"/>
                  <w:w w:val="89"/>
                </w:rPr>
                <w:t>ITEM 2. Unregistered Sales of Equity Securities and Use of Proceeds</w:t>
              </w:r>
            </w:hyperlink>
          </w:p>
        </w:tc>
        <w:tc>
          <w:tcPr>
            <w:tcW w:w="4920" w:type="dxa"/>
            <w:vAlign w:val="bottom"/>
            <w:gridSpan w:val="7"/>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3120" w:type="dxa"/>
            <w:vAlign w:val="bottom"/>
            <w:tcBorders>
              <w:bottom w:val="single" w:sz="8" w:color="0000FF"/>
            </w:tcBorders>
            <w:gridSpan w:val="15"/>
          </w:tcPr>
          <w:p>
            <w:pPr>
              <w:spacing w:after="0"/>
              <w:rPr>
                <w:rFonts w:ascii="Arial" w:cs="Arial" w:eastAsia="Arial" w:hAnsi="Arial"/>
                <w:sz w:val="18"/>
                <w:szCs w:val="18"/>
                <w:b w:val="1"/>
                <w:bCs w:val="1"/>
                <w:color w:val="0000FF"/>
                <w:w w:val="91"/>
              </w:rPr>
            </w:pPr>
            <w:hyperlink w:anchor="page36">
              <w:r>
                <w:rPr>
                  <w:rFonts w:ascii="Arial" w:cs="Arial" w:eastAsia="Arial" w:hAnsi="Arial"/>
                  <w:sz w:val="18"/>
                  <w:szCs w:val="18"/>
                  <w:b w:val="1"/>
                  <w:bCs w:val="1"/>
                  <w:color w:val="0000FF"/>
                  <w:w w:val="91"/>
                </w:rPr>
                <w:t>ITEM 3. Defaults upon Senior Securities</w:t>
              </w:r>
            </w:hyperlink>
          </w:p>
        </w:tc>
        <w:tc>
          <w:tcPr>
            <w:tcW w:w="7080" w:type="dxa"/>
            <w:vAlign w:val="bottom"/>
            <w:gridSpan w:val="11"/>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37</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2540" w:type="dxa"/>
            <w:vAlign w:val="bottom"/>
            <w:tcBorders>
              <w:bottom w:val="single" w:sz="8" w:color="0000FF"/>
            </w:tcBorders>
            <w:gridSpan w:val="11"/>
          </w:tcPr>
          <w:p>
            <w:pPr>
              <w:spacing w:after="0"/>
              <w:rPr>
                <w:rFonts w:ascii="Arial" w:cs="Arial" w:eastAsia="Arial" w:hAnsi="Arial"/>
                <w:sz w:val="18"/>
                <w:szCs w:val="18"/>
                <w:b w:val="1"/>
                <w:bCs w:val="1"/>
                <w:color w:val="0000FF"/>
                <w:w w:val="91"/>
              </w:rPr>
            </w:pPr>
            <w:hyperlink w:anchor="page37">
              <w:r>
                <w:rPr>
                  <w:rFonts w:ascii="Arial" w:cs="Arial" w:eastAsia="Arial" w:hAnsi="Arial"/>
                  <w:sz w:val="18"/>
                  <w:szCs w:val="18"/>
                  <w:b w:val="1"/>
                  <w:bCs w:val="1"/>
                  <w:color w:val="0000FF"/>
                  <w:w w:val="91"/>
                </w:rPr>
                <w:t>ITEM 4. Mine Safety Disclosures</w:t>
              </w:r>
            </w:hyperlink>
          </w:p>
        </w:tc>
        <w:tc>
          <w:tcPr>
            <w:tcW w:w="7660" w:type="dxa"/>
            <w:vAlign w:val="bottom"/>
            <w:gridSpan w:val="15"/>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10200" w:type="dxa"/>
            <w:vAlign w:val="bottom"/>
            <w:gridSpan w:val="26"/>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ITEM 5. Other Information</w:t>
              </w:r>
            </w:hyperlink>
          </w:p>
        </w:tc>
        <w:tc>
          <w:tcPr>
            <w:tcW w:w="580" w:type="dxa"/>
            <w:vAlign w:val="bottom"/>
            <w:gridSpan w:val="4"/>
          </w:tcPr>
          <w:p>
            <w:pPr>
              <w:jc w:val="center"/>
              <w:ind w:left="313"/>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2140" w:type="dxa"/>
            <w:vAlign w:val="bottom"/>
            <w:tcBorders>
              <w:top w:val="single" w:sz="8" w:color="0000FF"/>
            </w:tcBorders>
            <w:gridSpan w:val="9"/>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ITEM 6. Exhibits</w:t>
              </w:r>
            </w:hyperlink>
          </w:p>
        </w:tc>
        <w:tc>
          <w:tcPr>
            <w:tcW w:w="8060" w:type="dxa"/>
            <w:vAlign w:val="bottom"/>
            <w:gridSpan w:val="17"/>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38</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1340" w:type="dxa"/>
            <w:vAlign w:val="bottom"/>
            <w:tcBorders>
              <w:top w:val="single" w:sz="8" w:color="0000FF"/>
            </w:tcBorders>
            <w:gridSpan w:val="5"/>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SIGNATURES</w:t>
              </w:r>
            </w:hyperlink>
          </w:p>
        </w:tc>
        <w:tc>
          <w:tcPr>
            <w:tcW w:w="8860" w:type="dxa"/>
            <w:vAlign w:val="bottom"/>
            <w:gridSpan w:val="21"/>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39</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5"/>
        </w:trPr>
        <w:tc>
          <w:tcPr>
            <w:tcW w:w="60" w:type="dxa"/>
            <w:vAlign w:val="bottom"/>
            <w:gridSpan w:val="2"/>
          </w:tcPr>
          <w:p>
            <w:pPr>
              <w:spacing w:after="0"/>
              <w:rPr>
                <w:sz w:val="24"/>
                <w:szCs w:val="24"/>
                <w:color w:val="auto"/>
              </w:rPr>
            </w:pPr>
          </w:p>
        </w:tc>
        <w:tc>
          <w:tcPr>
            <w:tcW w:w="1140" w:type="dxa"/>
            <w:vAlign w:val="bottom"/>
            <w:tcBorders>
              <w:top w:val="single" w:sz="8" w:color="0000FF"/>
            </w:tcBorders>
            <w:gridSpan w:val="3"/>
          </w:tcPr>
          <w:p>
            <w:pPr>
              <w:spacing w:after="0"/>
              <w:rPr>
                <w:sz w:val="24"/>
                <w:szCs w:val="24"/>
                <w:color w:val="auto"/>
              </w:rPr>
            </w:pPr>
          </w:p>
        </w:tc>
        <w:tc>
          <w:tcPr>
            <w:tcW w:w="6380" w:type="dxa"/>
            <w:vAlign w:val="bottom"/>
            <w:gridSpan w:val="17"/>
          </w:tcPr>
          <w:p>
            <w:pPr>
              <w:jc w:val="right"/>
              <w:ind w:right="192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left="340" w:right="1680"/>
        <w:spacing w:after="0" w:line="266" w:lineRule="auto"/>
        <w:rPr>
          <w:sz w:val="20"/>
          <w:szCs w:val="20"/>
          <w:color w:val="auto"/>
        </w:rPr>
      </w:pPr>
      <w:r>
        <w:rPr>
          <w:rFonts w:ascii="Arial" w:cs="Arial" w:eastAsia="Arial" w:hAnsi="Arial"/>
          <w:sz w:val="18"/>
          <w:szCs w:val="18"/>
          <w:b w:val="1"/>
          <w:bCs w:val="1"/>
          <w:color w:val="auto"/>
        </w:rPr>
        <w:t>HAEMONETICS CORPORATION AND SUBSIDIARIES CONDENSED CONSOLIDATED STATEMENTS OF INCOME AND COMPREHENSIVE INCOME (Unaudited in thousands, except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66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Nine Months Ended</w:t>
            </w:r>
          </w:p>
        </w:tc>
      </w:tr>
      <w:tr>
        <w:trPr>
          <w:trHeight w:val="135"/>
        </w:trPr>
        <w:tc>
          <w:tcPr>
            <w:tcW w:w="53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January 1,</w:t>
            </w: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172"/>
              <w:spacing w:after="0" w:line="135" w:lineRule="exact"/>
              <w:rPr>
                <w:sz w:val="20"/>
                <w:szCs w:val="20"/>
                <w:color w:val="auto"/>
              </w:rPr>
            </w:pPr>
            <w:r>
              <w:rPr>
                <w:rFonts w:ascii="Arial" w:cs="Arial" w:eastAsia="Arial" w:hAnsi="Arial"/>
                <w:sz w:val="14"/>
                <w:szCs w:val="14"/>
                <w:b w:val="1"/>
                <w:bCs w:val="1"/>
                <w:color w:val="auto"/>
                <w:w w:val="98"/>
              </w:rPr>
              <w:t>December 26,</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January 1,</w:t>
            </w: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192"/>
              <w:spacing w:after="0" w:line="135" w:lineRule="exact"/>
              <w:rPr>
                <w:sz w:val="20"/>
                <w:szCs w:val="20"/>
                <w:color w:val="auto"/>
              </w:rPr>
            </w:pPr>
            <w:r>
              <w:rPr>
                <w:rFonts w:ascii="Arial" w:cs="Arial" w:eastAsia="Arial" w:hAnsi="Arial"/>
                <w:sz w:val="14"/>
                <w:szCs w:val="14"/>
                <w:b w:val="1"/>
                <w:bCs w:val="1"/>
                <w:color w:val="auto"/>
                <w:w w:val="98"/>
              </w:rPr>
              <w:t>December 26,</w:t>
            </w:r>
          </w:p>
        </w:tc>
      </w:tr>
      <w:tr>
        <w:trPr>
          <w:trHeight w:val="188"/>
        </w:trPr>
        <w:tc>
          <w:tcPr>
            <w:tcW w:w="53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22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645,434</w:t>
            </w: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329,403</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120,257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316,031</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22,014</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80,726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247,722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191,504</w:t>
            </w: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24,204</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Gains on divestitures and sale of assets</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(32,613)</w:t>
            </w:r>
          </w:p>
        </w:tc>
      </w:tr>
      <w:tr>
        <w:trPr>
          <w:trHeight w:val="223"/>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79,832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205,109</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40,425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61,551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110,922</w:t>
            </w: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(10,612)</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37,374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100,310</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9,800</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23,232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31,882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33,634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90,510</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5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Net income per share - 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per share - 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70"/>
        </w:trPr>
        <w:tc>
          <w:tcPr>
            <w:tcW w:w="5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50,789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50,634</w:t>
            </w:r>
          </w:p>
        </w:tc>
      </w:tr>
      <w:tr>
        <w:trPr>
          <w:trHeight w:val="230"/>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51,234</w:t>
            </w:r>
          </w:p>
        </w:tc>
      </w:tr>
      <w:tr>
        <w:trPr>
          <w:trHeight w:val="270"/>
        </w:trPr>
        <w:tc>
          <w:tcPr>
            <w:tcW w:w="5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105,787</w:t>
            </w: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80"/>
              <w:spacing w:after="0"/>
              <w:rPr>
                <w:sz w:val="20"/>
                <w:szCs w:val="20"/>
                <w:color w:val="auto"/>
              </w:rPr>
            </w:pPr>
            <w:r>
              <w:rPr>
                <w:rFonts w:ascii="Arial" w:cs="Arial" w:eastAsia="Arial" w:hAnsi="Arial"/>
                <w:sz w:val="16"/>
                <w:szCs w:val="16"/>
                <w:b w:val="1"/>
                <w:bCs w:val="1"/>
                <w:color w:val="auto"/>
              </w:rPr>
              <w:t>January 1,</w:t>
            </w:r>
          </w:p>
        </w:tc>
        <w:tc>
          <w:tcPr>
            <w:tcW w:w="320" w:type="dxa"/>
            <w:vAlign w:val="bottom"/>
          </w:tcPr>
          <w:p>
            <w:pPr>
              <w:spacing w:after="0"/>
              <w:rPr>
                <w:sz w:val="16"/>
                <w:szCs w:val="16"/>
                <w:color w:val="auto"/>
              </w:rPr>
            </w:pPr>
          </w:p>
        </w:tc>
        <w:tc>
          <w:tcPr>
            <w:tcW w:w="1280" w:type="dxa"/>
            <w:vAlign w:val="bottom"/>
          </w:tcPr>
          <w:p>
            <w:pPr>
              <w:jc w:val="right"/>
              <w:ind w:right="459"/>
              <w:spacing w:after="0"/>
              <w:rPr>
                <w:sz w:val="20"/>
                <w:szCs w:val="20"/>
                <w:color w:val="auto"/>
              </w:rPr>
            </w:pPr>
            <w:r>
              <w:rPr>
                <w:rFonts w:ascii="Arial" w:cs="Arial" w:eastAsia="Arial" w:hAnsi="Arial"/>
                <w:sz w:val="16"/>
                <w:szCs w:val="16"/>
                <w:b w:val="1"/>
                <w:bCs w:val="1"/>
                <w:color w:val="auto"/>
              </w:rPr>
              <w:t>April 3,</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236,877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192,305</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Accounts receivable, less allowance of $2,382 at January 1, 2022 and $2,226 at April 3, 2021</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154,980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127,555</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305,741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322,614</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51,072</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729,455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693,546</w:t>
            </w:r>
          </w:p>
        </w:tc>
        <w:tc>
          <w:tcPr>
            <w:tcW w:w="0" w:type="dxa"/>
            <w:vAlign w:val="bottom"/>
          </w:tcPr>
          <w:p>
            <w:pPr>
              <w:spacing w:after="0"/>
              <w:rPr>
                <w:sz w:val="1"/>
                <w:szCs w:val="1"/>
                <w:color w:val="auto"/>
              </w:rPr>
            </w:pPr>
          </w:p>
        </w:tc>
      </w:tr>
      <w:tr>
        <w:trPr>
          <w:trHeight w:val="207"/>
        </w:trPr>
        <w:tc>
          <w:tcPr>
            <w:tcW w:w="790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238,841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217,559</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Intangible assets, less accumulated amortization of $362,637 at January 1, 2022 and $320,640 at April 3, 2021</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323,951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365,483</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468,199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466,444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tax asset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6,009</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assets</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64,880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70,882</w:t>
            </w:r>
          </w:p>
        </w:tc>
        <w:tc>
          <w:tcPr>
            <w:tcW w:w="0" w:type="dxa"/>
            <w:vAlign w:val="bottom"/>
          </w:tcPr>
          <w:p>
            <w:pPr>
              <w:spacing w:after="0"/>
              <w:rPr>
                <w:sz w:val="1"/>
                <w:szCs w:val="1"/>
                <w:color w:val="auto"/>
              </w:rPr>
            </w:pPr>
          </w:p>
        </w:tc>
      </w:tr>
      <w:tr>
        <w:trPr>
          <w:trHeight w:val="238"/>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1,831,376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1,819,923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9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Notes payable and current maturities of long-term debt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144,064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17,016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50,293</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Accrued payroll and related costs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39,046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47,600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138,586</w:t>
            </w:r>
          </w:p>
        </w:tc>
        <w:tc>
          <w:tcPr>
            <w:tcW w:w="0" w:type="dxa"/>
            <w:vAlign w:val="bottom"/>
          </w:tcPr>
          <w:p>
            <w:pPr>
              <w:spacing w:after="0"/>
              <w:rPr>
                <w:sz w:val="1"/>
                <w:szCs w:val="1"/>
                <w:color w:val="auto"/>
              </w:rPr>
            </w:pPr>
          </w:p>
        </w:tc>
      </w:tr>
      <w:tr>
        <w:trPr>
          <w:trHeight w:val="206"/>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355,411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253,495</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 of current maturities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633,118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690,592</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Deferred tax liability</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26,132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43,825</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100,341</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900" w:type="dxa"/>
            <w:vAlign w:val="bottom"/>
            <w:shd w:val="clear" w:color="auto" w:fill="CCEEFF"/>
          </w:tcPr>
          <w:p>
            <w:pPr>
              <w:ind w:left="140"/>
              <w:spacing w:after="0" w:line="168" w:lineRule="exact"/>
              <w:rPr>
                <w:sz w:val="20"/>
                <w:szCs w:val="20"/>
                <w:color w:val="auto"/>
              </w:rPr>
            </w:pPr>
            <w:r>
              <w:rPr>
                <w:rFonts w:ascii="Arial" w:cs="Arial" w:eastAsia="Arial" w:hAnsi="Arial"/>
                <w:sz w:val="16"/>
                <w:szCs w:val="16"/>
                <w:color w:val="auto"/>
                <w:w w:val="93"/>
              </w:rPr>
              <w:t>Common stock, $0.01 par value; Authorized — 150,000,000 shares; Issued and outstanding — 51,111,046 shares at</w:t>
            </w:r>
          </w:p>
        </w:tc>
        <w:tc>
          <w:tcPr>
            <w:tcW w:w="2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January 1, 2022 and 50,868,820 shares at April 3, 2021</w:t>
            </w:r>
          </w:p>
        </w:tc>
        <w:tc>
          <w:tcPr>
            <w:tcW w:w="2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566,963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602,727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157,981</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(29,349)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(29,547)</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730,775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731,670</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1,831,376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1,819,923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 w:name="page5"/>
    <w:bookmarkEnd w:id="4"/>
    <w:p>
      <w:pPr>
        <w:jc w:val="center"/>
        <w:ind w:left="420" w:right="2260"/>
        <w:spacing w:after="0" w:line="266" w:lineRule="auto"/>
        <w:rPr>
          <w:sz w:val="20"/>
          <w:szCs w:val="20"/>
          <w:color w:val="auto"/>
        </w:rPr>
      </w:pPr>
      <w:r>
        <w:rPr>
          <w:rFonts w:ascii="Arial" w:cs="Arial" w:eastAsia="Arial" w:hAnsi="Arial"/>
          <w:sz w:val="18"/>
          <w:szCs w:val="18"/>
          <w:b w:val="1"/>
          <w:bCs w:val="1"/>
          <w:color w:val="auto"/>
        </w:rPr>
        <w:t>HAEMONETICS CORPORATION AND SUBSIDIARIES CONDENSED CONSOLIDATED STATEMENTS OF STOCKHOLDERS’ EQUITY (Unaudited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40" w:type="dxa"/>
            <w:vAlign w:val="bottom"/>
          </w:tcPr>
          <w:p>
            <w:pPr>
              <w:spacing w:after="0"/>
              <w:rPr>
                <w:sz w:val="13"/>
                <w:szCs w:val="13"/>
                <w:color w:val="auto"/>
              </w:rPr>
            </w:pPr>
          </w:p>
        </w:tc>
        <w:tc>
          <w:tcPr>
            <w:tcW w:w="180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Other</w:t>
            </w:r>
          </w:p>
        </w:tc>
        <w:tc>
          <w:tcPr>
            <w:tcW w:w="280" w:type="dxa"/>
            <w:vAlign w:val="bottom"/>
          </w:tcPr>
          <w:p>
            <w:pPr>
              <w:spacing w:after="0"/>
              <w:rPr>
                <w:sz w:val="4"/>
                <w:szCs w:val="4"/>
                <w:color w:val="auto"/>
              </w:rPr>
            </w:pPr>
          </w:p>
        </w:tc>
        <w:tc>
          <w:tcPr>
            <w:tcW w:w="920" w:type="dxa"/>
            <w:vAlign w:val="bottom"/>
            <w:vMerge w:val="restart"/>
          </w:tcPr>
          <w:p>
            <w:pPr>
              <w:jc w:val="right"/>
              <w:ind w:right="389"/>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line="20" w:lineRule="exact"/>
              <w:rPr>
                <w:sz w:val="1"/>
                <w:szCs w:val="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Par Value</w:t>
            </w: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 Earnings</w:t>
            </w:r>
          </w:p>
        </w:tc>
        <w:tc>
          <w:tcPr>
            <w:tcW w:w="1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Paid-in Capital</w:t>
            </w: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5"/>
              </w:rPr>
              <w:t>Comprehensive Loss</w:t>
            </w: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w w:val="88"/>
              </w:rPr>
              <w:t>Stockholders’ Equity</w:t>
            </w:r>
          </w:p>
        </w:tc>
        <w:tc>
          <w:tcPr>
            <w:tcW w:w="0" w:type="dxa"/>
            <w:vAlign w:val="bottom"/>
          </w:tcPr>
          <w:p>
            <w:pPr>
              <w:spacing w:after="0"/>
              <w:rPr>
                <w:sz w:val="1"/>
                <w:szCs w:val="1"/>
                <w:color w:val="auto"/>
              </w:rPr>
            </w:pPr>
          </w:p>
        </w:tc>
      </w:tr>
      <w:tr>
        <w:trPr>
          <w:trHeight w:val="213"/>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April 3,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50,869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602,727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157,981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(29,547)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731,670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ind w:left="140"/>
              <w:spacing w:after="0"/>
              <w:rPr>
                <w:sz w:val="20"/>
                <w:szCs w:val="20"/>
                <w:color w:val="auto"/>
              </w:rPr>
            </w:pPr>
            <w:r>
              <w:rPr>
                <w:rFonts w:ascii="Arial" w:cs="Arial" w:eastAsia="Arial" w:hAnsi="Arial"/>
                <w:sz w:val="14"/>
                <w:szCs w:val="14"/>
                <w:color w:val="auto"/>
              </w:rPr>
              <w:t>Employee stock purchase plan</w:t>
            </w: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40" w:type="dxa"/>
            <w:vAlign w:val="bottom"/>
            <w:tcBorders>
              <w:top w:val="single" w:sz="8" w:color="CCEEFF"/>
            </w:tcBorders>
            <w:vMerge w:val="continue"/>
          </w:tcPr>
          <w:p>
            <w:pPr>
              <w:spacing w:after="0"/>
              <w:rPr>
                <w:sz w:val="13"/>
                <w:szCs w:val="13"/>
                <w:color w:val="auto"/>
              </w:rPr>
            </w:pPr>
          </w:p>
        </w:tc>
        <w:tc>
          <w:tcPr>
            <w:tcW w:w="6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39</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2,210</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2,210</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Cumulative effect of change in accounting standards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(61,156)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(60,121)</w:t>
            </w:r>
          </w:p>
        </w:tc>
        <w:tc>
          <w:tcPr>
            <w:tcW w:w="0" w:type="dxa"/>
            <w:vAlign w:val="bottom"/>
          </w:tcPr>
          <w:p>
            <w:pPr>
              <w:spacing w:after="0"/>
              <w:rPr>
                <w:sz w:val="1"/>
                <w:szCs w:val="1"/>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4"/>
                <w:szCs w:val="14"/>
                <w:color w:val="auto"/>
              </w:rPr>
              <w:t>Share-based compensation expense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6,828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6,828</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(4,454)</w:t>
            </w:r>
          </w:p>
        </w:tc>
        <w:tc>
          <w:tcPr>
            <w:tcW w:w="0" w:type="dxa"/>
            <w:vAlign w:val="bottom"/>
          </w:tcPr>
          <w:p>
            <w:pPr>
              <w:spacing w:after="0"/>
              <w:rPr>
                <w:sz w:val="1"/>
                <w:szCs w:val="1"/>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84"/>
        </w:trPr>
        <w:tc>
          <w:tcPr>
            <w:tcW w:w="4240" w:type="dxa"/>
            <w:vAlign w:val="bottom"/>
            <w:tcBorders>
              <w:top w:val="single" w:sz="8" w:color="CCEEFF"/>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Balance, July 3, 2021</w:t>
            </w:r>
          </w:p>
        </w:tc>
        <w:tc>
          <w:tcPr>
            <w:tcW w:w="6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51,013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510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9"/>
              <w:spacing w:after="0" w:line="159" w:lineRule="exact"/>
              <w:rPr>
                <w:sz w:val="20"/>
                <w:szCs w:val="20"/>
                <w:color w:val="auto"/>
              </w:rPr>
            </w:pPr>
            <w:r>
              <w:rPr>
                <w:rFonts w:ascii="Arial" w:cs="Arial" w:eastAsia="Arial" w:hAnsi="Arial"/>
                <w:sz w:val="14"/>
                <w:szCs w:val="14"/>
                <w:b w:val="1"/>
                <w:bCs w:val="1"/>
                <w:color w:val="auto"/>
              </w:rPr>
              <w:t>551,108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154,562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0"/>
              <w:spacing w:after="0" w:line="159" w:lineRule="exact"/>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(29,100)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677,080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40" w:type="dxa"/>
            <w:vAlign w:val="bottom"/>
            <w:tcBorders>
              <w:top w:val="single" w:sz="8" w:color="CCEEFF"/>
            </w:tcBorders>
            <w:vMerge w:val="continue"/>
          </w:tcPr>
          <w:p>
            <w:pPr>
              <w:spacing w:after="0"/>
              <w:rPr>
                <w:sz w:val="13"/>
                <w:szCs w:val="13"/>
                <w:color w:val="auto"/>
              </w:rPr>
            </w:pPr>
          </w:p>
        </w:tc>
        <w:tc>
          <w:tcPr>
            <w:tcW w:w="6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1,069</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4"/>
                <w:szCs w:val="14"/>
                <w:color w:val="auto"/>
              </w:rPr>
              <w:t>Share-based compensation expense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5,979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5,979</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14,856</w:t>
            </w:r>
          </w:p>
        </w:tc>
        <w:tc>
          <w:tcPr>
            <w:tcW w:w="0" w:type="dxa"/>
            <w:vAlign w:val="bottom"/>
          </w:tcPr>
          <w:p>
            <w:pPr>
              <w:spacing w:after="0"/>
              <w:rPr>
                <w:sz w:val="1"/>
                <w:szCs w:val="1"/>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211"/>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October 2,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51,060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558,156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169,418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(29,536)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698,549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ind w:left="140"/>
              <w:spacing w:after="0"/>
              <w:rPr>
                <w:sz w:val="20"/>
                <w:szCs w:val="20"/>
                <w:color w:val="auto"/>
              </w:rPr>
            </w:pPr>
            <w:r>
              <w:rPr>
                <w:rFonts w:ascii="Arial" w:cs="Arial" w:eastAsia="Arial" w:hAnsi="Arial"/>
                <w:sz w:val="14"/>
                <w:szCs w:val="14"/>
                <w:color w:val="auto"/>
              </w:rPr>
              <w:t>Employee stock purchase plan</w:t>
            </w: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40" w:type="dxa"/>
            <w:vAlign w:val="bottom"/>
            <w:tcBorders>
              <w:top w:val="single" w:sz="8" w:color="CCEEFF"/>
            </w:tcBorders>
            <w:vMerge w:val="continue"/>
          </w:tcPr>
          <w:p>
            <w:pPr>
              <w:spacing w:after="0"/>
              <w:rPr>
                <w:sz w:val="13"/>
                <w:szCs w:val="13"/>
                <w:color w:val="auto"/>
              </w:rPr>
            </w:pPr>
          </w:p>
        </w:tc>
        <w:tc>
          <w:tcPr>
            <w:tcW w:w="6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1,999</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1,999</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 expense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6,455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6,455</w:t>
            </w:r>
          </w:p>
        </w:tc>
        <w:tc>
          <w:tcPr>
            <w:tcW w:w="0" w:type="dxa"/>
            <w:vAlign w:val="bottom"/>
          </w:tcPr>
          <w:p>
            <w:pPr>
              <w:spacing w:after="0"/>
              <w:rPr>
                <w:sz w:val="1"/>
                <w:szCs w:val="1"/>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23,232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23,232</w:t>
            </w: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Balance, January 1, 2022</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51,111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566,963</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192,650</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(29,349)</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730,775</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109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type w:val="continuous"/>
        </w:sectPr>
      </w:pPr>
    </w:p>
    <w:bookmarkStart w:id="5" w:name="page6"/>
    <w:bookmarkEnd w:id="5"/>
    <w:p>
      <w:pPr>
        <w:jc w:val="center"/>
        <w:ind w:right="20"/>
        <w:spacing w:after="0" w:line="266" w:lineRule="auto"/>
        <w:rPr>
          <w:sz w:val="20"/>
          <w:szCs w:val="20"/>
          <w:color w:val="auto"/>
        </w:rPr>
      </w:pPr>
      <w:r>
        <w:rPr>
          <w:rFonts w:ascii="Arial" w:cs="Arial" w:eastAsia="Arial" w:hAnsi="Arial"/>
          <w:sz w:val="18"/>
          <w:szCs w:val="18"/>
          <w:b w:val="1"/>
          <w:bCs w:val="1"/>
          <w:color w:val="auto"/>
        </w:rPr>
        <w:t>HAEMONETICS CORPORATION AND SUBSIDIARIES CONDENSED CONSOLIDATED STATEMENTS OF STOCKHOLDERS’ EQUITY (Unaudited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00" w:type="dxa"/>
            <w:vAlign w:val="bottom"/>
          </w:tcPr>
          <w:p>
            <w:pPr>
              <w:spacing w:after="0"/>
              <w:rPr>
                <w:sz w:val="13"/>
                <w:szCs w:val="13"/>
                <w:color w:val="auto"/>
              </w:rPr>
            </w:pPr>
          </w:p>
        </w:tc>
        <w:tc>
          <w:tcPr>
            <w:tcW w:w="1800" w:type="dxa"/>
            <w:vAlign w:val="bottom"/>
            <w:gridSpan w:val="5"/>
          </w:tcPr>
          <w:p>
            <w:pPr>
              <w:ind w:left="44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95" w:lineRule="exact"/>
              <w:rPr>
                <w:sz w:val="20"/>
                <w:szCs w:val="20"/>
                <w:color w:val="auto"/>
              </w:rPr>
            </w:pPr>
            <w:r>
              <w:rPr>
                <w:rFonts w:ascii="Arial" w:cs="Arial" w:eastAsia="Arial" w:hAnsi="Arial"/>
                <w:sz w:val="10"/>
                <w:szCs w:val="10"/>
                <w:b w:val="1"/>
                <w:bCs w:val="1"/>
                <w:color w:val="auto"/>
              </w:rPr>
              <w:t>Other</w:t>
            </w:r>
          </w:p>
        </w:tc>
        <w:tc>
          <w:tcPr>
            <w:tcW w:w="280" w:type="dxa"/>
            <w:vAlign w:val="bottom"/>
          </w:tcPr>
          <w:p>
            <w:pPr>
              <w:spacing w:after="0"/>
              <w:rPr>
                <w:sz w:val="4"/>
                <w:szCs w:val="4"/>
                <w:color w:val="auto"/>
              </w:rPr>
            </w:pPr>
          </w:p>
        </w:tc>
        <w:tc>
          <w:tcPr>
            <w:tcW w:w="920" w:type="dxa"/>
            <w:vAlign w:val="bottom"/>
            <w:vMerge w:val="restart"/>
          </w:tcPr>
          <w:p>
            <w:pPr>
              <w:jc w:val="right"/>
              <w:ind w:right="389"/>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line="20" w:lineRule="exact"/>
              <w:rPr>
                <w:sz w:val="1"/>
                <w:szCs w:val="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Par Value</w:t>
            </w: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Retained Earnings</w:t>
            </w:r>
          </w:p>
        </w:tc>
        <w:tc>
          <w:tcPr>
            <w:tcW w:w="1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Paid-in Capital</w:t>
            </w: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3"/>
              </w:rPr>
              <w:t>Comprehensive Loss</w:t>
            </w: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w w:val="88"/>
              </w:rPr>
              <w:t>Stockholders’ Equity</w:t>
            </w:r>
          </w:p>
        </w:tc>
        <w:tc>
          <w:tcPr>
            <w:tcW w:w="0" w:type="dxa"/>
            <w:vAlign w:val="bottom"/>
          </w:tcPr>
          <w:p>
            <w:pPr>
              <w:spacing w:after="0"/>
              <w:rPr>
                <w:sz w:val="1"/>
                <w:szCs w:val="1"/>
                <w:color w:val="auto"/>
              </w:rPr>
            </w:pPr>
          </w:p>
        </w:tc>
      </w:tr>
      <w:tr>
        <w:trPr>
          <w:trHeight w:val="213"/>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March 28, 2020</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50,323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553,229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78,512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(45,135)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587,109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ind w:left="120"/>
              <w:spacing w:after="0"/>
              <w:rPr>
                <w:sz w:val="20"/>
                <w:szCs w:val="20"/>
                <w:color w:val="auto"/>
              </w:rPr>
            </w:pPr>
            <w:r>
              <w:rPr>
                <w:rFonts w:ascii="Arial" w:cs="Arial" w:eastAsia="Arial" w:hAnsi="Arial"/>
                <w:sz w:val="14"/>
                <w:szCs w:val="14"/>
                <w:color w:val="auto"/>
              </w:rPr>
              <w:t>Employee stock purchase plan</w:t>
            </w: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00" w:type="dxa"/>
            <w:vAlign w:val="bottom"/>
            <w:tcBorders>
              <w:top w:val="single" w:sz="8" w:color="CCEEFF"/>
            </w:tcBorders>
            <w:vMerge w:val="continue"/>
          </w:tcPr>
          <w:p>
            <w:pPr>
              <w:spacing w:after="0"/>
              <w:rPr>
                <w:sz w:val="13"/>
                <w:szCs w:val="13"/>
                <w:color w:val="auto"/>
              </w:rPr>
            </w:pPr>
          </w:p>
        </w:tc>
        <w:tc>
          <w:tcPr>
            <w:tcW w:w="6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2,144</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2,144</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1,192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0" w:type="dxa"/>
            <w:vAlign w:val="bottom"/>
          </w:tcPr>
          <w:p>
            <w:pPr>
              <w:spacing w:after="0"/>
              <w:rPr>
                <w:sz w:val="1"/>
                <w:szCs w:val="1"/>
                <w:color w:val="auto"/>
              </w:rPr>
            </w:pPr>
          </w:p>
        </w:tc>
      </w:tr>
      <w:tr>
        <w:trPr>
          <w:trHeight w:val="186"/>
        </w:trPr>
        <w:tc>
          <w:tcPr>
            <w:tcW w:w="4200" w:type="dxa"/>
            <w:vAlign w:val="bottom"/>
          </w:tcPr>
          <w:p>
            <w:pPr>
              <w:ind w:left="12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Share-based compensation expense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6,167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6,167</w:t>
            </w:r>
          </w:p>
        </w:tc>
        <w:tc>
          <w:tcPr>
            <w:tcW w:w="0" w:type="dxa"/>
            <w:vAlign w:val="bottom"/>
          </w:tcPr>
          <w:p>
            <w:pPr>
              <w:spacing w:after="0"/>
              <w:rPr>
                <w:sz w:val="1"/>
                <w:szCs w:val="1"/>
                <w:color w:val="auto"/>
              </w:rPr>
            </w:pPr>
          </w:p>
        </w:tc>
      </w:tr>
      <w:tr>
        <w:trPr>
          <w:trHeight w:val="186"/>
        </w:trPr>
        <w:tc>
          <w:tcPr>
            <w:tcW w:w="42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10,527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10,527</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1,429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w:t>
            </w:r>
          </w:p>
        </w:tc>
        <w:tc>
          <w:tcPr>
            <w:tcW w:w="0" w:type="dxa"/>
            <w:vAlign w:val="bottom"/>
          </w:tcPr>
          <w:p>
            <w:pPr>
              <w:spacing w:after="0"/>
              <w:rPr>
                <w:sz w:val="1"/>
                <w:szCs w:val="1"/>
                <w:color w:val="auto"/>
              </w:rPr>
            </w:pPr>
          </w:p>
        </w:tc>
      </w:tr>
      <w:tr>
        <w:trPr>
          <w:trHeight w:val="186"/>
        </w:trPr>
        <w:tc>
          <w:tcPr>
            <w:tcW w:w="4200" w:type="dxa"/>
            <w:vAlign w:val="bottom"/>
          </w:tcPr>
          <w:p>
            <w:pPr>
              <w:spacing w:after="0"/>
              <w:rPr>
                <w:sz w:val="20"/>
                <w:szCs w:val="20"/>
                <w:color w:val="auto"/>
              </w:rPr>
            </w:pPr>
            <w:r>
              <w:rPr>
                <w:rFonts w:ascii="Arial" w:cs="Arial" w:eastAsia="Arial" w:hAnsi="Arial"/>
                <w:sz w:val="14"/>
                <w:szCs w:val="14"/>
                <w:b w:val="1"/>
                <w:bCs w:val="1"/>
                <w:color w:val="auto"/>
              </w:rPr>
              <w:t>Balance, June 27, 2020</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50,671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507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562,729</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89,039</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(43,706)</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608,569</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6"/>
        </w:trPr>
        <w:tc>
          <w:tcPr>
            <w:tcW w:w="4200" w:type="dxa"/>
            <w:vAlign w:val="bottom"/>
          </w:tcPr>
          <w:p>
            <w:pPr>
              <w:ind w:left="12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Share-based compensation expense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5,952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5,952</w:t>
            </w:r>
          </w:p>
        </w:tc>
        <w:tc>
          <w:tcPr>
            <w:tcW w:w="0" w:type="dxa"/>
            <w:vAlign w:val="bottom"/>
          </w:tcPr>
          <w:p>
            <w:pPr>
              <w:spacing w:after="0"/>
              <w:rPr>
                <w:sz w:val="1"/>
                <w:szCs w:val="1"/>
                <w:color w:val="auto"/>
              </w:rPr>
            </w:pPr>
          </w:p>
        </w:tc>
      </w:tr>
      <w:tr>
        <w:trPr>
          <w:trHeight w:val="186"/>
        </w:trPr>
        <w:tc>
          <w:tcPr>
            <w:tcW w:w="42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48,101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48,101</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5,234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5,234</w:t>
            </w:r>
          </w:p>
        </w:tc>
        <w:tc>
          <w:tcPr>
            <w:tcW w:w="0" w:type="dxa"/>
            <w:vAlign w:val="bottom"/>
          </w:tcPr>
          <w:p>
            <w:pPr>
              <w:spacing w:after="0"/>
              <w:rPr>
                <w:sz w:val="1"/>
                <w:szCs w:val="1"/>
                <w:color w:val="auto"/>
              </w:rPr>
            </w:pPr>
          </w:p>
        </w:tc>
      </w:tr>
      <w:tr>
        <w:trPr>
          <w:trHeight w:val="186"/>
        </w:trPr>
        <w:tc>
          <w:tcPr>
            <w:tcW w:w="4200" w:type="dxa"/>
            <w:vAlign w:val="bottom"/>
          </w:tcPr>
          <w:p>
            <w:pPr>
              <w:spacing w:after="0"/>
              <w:rPr>
                <w:sz w:val="20"/>
                <w:szCs w:val="20"/>
                <w:color w:val="auto"/>
              </w:rPr>
            </w:pPr>
            <w:r>
              <w:rPr>
                <w:rFonts w:ascii="Arial" w:cs="Arial" w:eastAsia="Arial" w:hAnsi="Arial"/>
                <w:sz w:val="14"/>
                <w:szCs w:val="14"/>
                <w:b w:val="1"/>
                <w:bCs w:val="1"/>
                <w:color w:val="auto"/>
              </w:rPr>
              <w:t>Balance, September 26, 2020</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50,703</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507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568,748</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137,140</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(38,472)</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667,923</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Employee stock purchase plan</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1,868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1,868</w:t>
            </w:r>
          </w:p>
        </w:tc>
        <w:tc>
          <w:tcPr>
            <w:tcW w:w="0" w:type="dxa"/>
            <w:vAlign w:val="bottom"/>
          </w:tcPr>
          <w:p>
            <w:pPr>
              <w:spacing w:after="0"/>
              <w:rPr>
                <w:sz w:val="1"/>
                <w:szCs w:val="1"/>
                <w:color w:val="auto"/>
              </w:rPr>
            </w:pPr>
          </w:p>
        </w:tc>
      </w:tr>
      <w:tr>
        <w:trPr>
          <w:trHeight w:val="186"/>
        </w:trPr>
        <w:tc>
          <w:tcPr>
            <w:tcW w:w="4200" w:type="dxa"/>
            <w:vAlign w:val="bottom"/>
          </w:tcPr>
          <w:p>
            <w:pPr>
              <w:ind w:left="120"/>
              <w:spacing w:after="0"/>
              <w:rPr>
                <w:sz w:val="20"/>
                <w:szCs w:val="20"/>
                <w:color w:val="auto"/>
              </w:rPr>
            </w:pPr>
            <w:r>
              <w:rPr>
                <w:rFonts w:ascii="Arial" w:cs="Arial" w:eastAsia="Arial" w:hAnsi="Arial"/>
                <w:sz w:val="14"/>
                <w:szCs w:val="14"/>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2,578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2,578</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200" w:type="dxa"/>
            <w:vAlign w:val="bottom"/>
          </w:tcPr>
          <w:p>
            <w:pPr>
              <w:ind w:left="120"/>
              <w:spacing w:after="0"/>
              <w:rPr>
                <w:sz w:val="20"/>
                <w:szCs w:val="20"/>
                <w:color w:val="auto"/>
              </w:rPr>
            </w:pPr>
            <w:r>
              <w:rPr>
                <w:rFonts w:ascii="Arial" w:cs="Arial" w:eastAsia="Arial" w:hAnsi="Arial"/>
                <w:sz w:val="14"/>
                <w:szCs w:val="14"/>
                <w:color w:val="auto"/>
              </w:rPr>
              <w:t>Share-based compensation expense</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6,287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6,287</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31,882</w:t>
            </w:r>
          </w:p>
        </w:tc>
        <w:tc>
          <w:tcPr>
            <w:tcW w:w="0" w:type="dxa"/>
            <w:vAlign w:val="bottom"/>
          </w:tcPr>
          <w:p>
            <w:pPr>
              <w:spacing w:after="0"/>
              <w:rPr>
                <w:sz w:val="1"/>
                <w:szCs w:val="1"/>
                <w:color w:val="auto"/>
              </w:rPr>
            </w:pPr>
          </w:p>
        </w:tc>
      </w:tr>
      <w:tr>
        <w:trPr>
          <w:trHeight w:val="186"/>
        </w:trPr>
        <w:tc>
          <w:tcPr>
            <w:tcW w:w="4200" w:type="dxa"/>
            <w:vAlign w:val="bottom"/>
          </w:tcPr>
          <w:p>
            <w:pPr>
              <w:ind w:left="120"/>
              <w:spacing w:after="0"/>
              <w:rPr>
                <w:sz w:val="20"/>
                <w:szCs w:val="20"/>
                <w:color w:val="auto"/>
              </w:rPr>
            </w:pPr>
            <w:r>
              <w:rPr>
                <w:rFonts w:ascii="Arial" w:cs="Arial" w:eastAsia="Arial" w:hAnsi="Arial"/>
                <w:sz w:val="14"/>
                <w:szCs w:val="14"/>
                <w:color w:val="auto"/>
              </w:rPr>
              <w:t>Other comprehensive income</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8,614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8,614</w:t>
            </w:r>
          </w:p>
        </w:tc>
        <w:tc>
          <w:tcPr>
            <w:tcW w:w="0" w:type="dxa"/>
            <w:vAlign w:val="bottom"/>
          </w:tcPr>
          <w:p>
            <w:pPr>
              <w:spacing w:after="0"/>
              <w:rPr>
                <w:sz w:val="1"/>
                <w:szCs w:val="1"/>
                <w:color w:val="auto"/>
              </w:rPr>
            </w:pPr>
          </w:p>
        </w:tc>
      </w:tr>
      <w:tr>
        <w:trPr>
          <w:trHeight w:val="211"/>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December 26, 2020</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50,817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579,480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169,022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(29,858)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719,152</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336" w:right="3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7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80"/>
              <w:spacing w:after="0" w:line="158" w:lineRule="exact"/>
              <w:rPr>
                <w:sz w:val="20"/>
                <w:szCs w:val="20"/>
                <w:color w:val="auto"/>
              </w:rPr>
            </w:pPr>
            <w:r>
              <w:rPr>
                <w:rFonts w:ascii="Arial" w:cs="Arial" w:eastAsia="Arial" w:hAnsi="Arial"/>
                <w:sz w:val="16"/>
                <w:szCs w:val="16"/>
                <w:b w:val="1"/>
                <w:bCs w:val="1"/>
                <w:color w:val="auto"/>
              </w:rPr>
              <w:t>January 1,</w:t>
            </w:r>
          </w:p>
        </w:tc>
        <w:tc>
          <w:tcPr>
            <w:tcW w:w="200" w:type="dxa"/>
            <w:vAlign w:val="bottom"/>
          </w:tcPr>
          <w:p>
            <w:pPr>
              <w:spacing w:after="0"/>
              <w:rPr>
                <w:sz w:val="13"/>
                <w:szCs w:val="13"/>
                <w:color w:val="auto"/>
              </w:rPr>
            </w:pPr>
          </w:p>
        </w:tc>
        <w:tc>
          <w:tcPr>
            <w:tcW w:w="1380" w:type="dxa"/>
            <w:vAlign w:val="bottom"/>
          </w:tcPr>
          <w:p>
            <w:pPr>
              <w:jc w:val="right"/>
              <w:ind w:right="239"/>
              <w:spacing w:after="0" w:line="158" w:lineRule="exact"/>
              <w:rPr>
                <w:sz w:val="20"/>
                <w:szCs w:val="20"/>
                <w:color w:val="auto"/>
              </w:rPr>
            </w:pPr>
            <w:r>
              <w:rPr>
                <w:rFonts w:ascii="Arial" w:cs="Arial" w:eastAsia="Arial" w:hAnsi="Arial"/>
                <w:sz w:val="16"/>
                <w:szCs w:val="16"/>
                <w:b w:val="1"/>
                <w:bCs w:val="1"/>
                <w:color w:val="auto"/>
                <w:w w:val="99"/>
              </w:rPr>
              <w:t>December 26,</w:t>
            </w:r>
          </w:p>
        </w:tc>
      </w:tr>
      <w:tr>
        <w:trPr>
          <w:trHeight w:val="213"/>
        </w:trPr>
        <w:tc>
          <w:tcPr>
            <w:tcW w:w="7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2"/>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33,634</w:t>
            </w:r>
          </w:p>
        </w:tc>
        <w:tc>
          <w:tcPr>
            <w:tcW w:w="12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90,510</w:t>
            </w: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Non-cash items: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62,377</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Amortization of fair value inventory step-up</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Impairment of assets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Share-based compensation expense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19,262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18,406</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deferred finance costs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(Benefit) provision for losses on inventory</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3,779</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Gains on divestitures and sale of assets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(32,613)</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Deferred tax benefit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(3,953)</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Contingent consideration expense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Other non-cash operating activities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Change in operating assets and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Change in accounts receivable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(28,736)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18,588</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inventories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(33,728)</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Change in prepaid income taxes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1,181</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other assets and other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2,687</w:t>
            </w:r>
          </w:p>
        </w:tc>
      </w:tr>
      <w:tr>
        <w:trPr>
          <w:trHeight w:val="213"/>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Change in accounts payable and accrued expenses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(19,398)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(21,518)</w:t>
            </w:r>
          </w:p>
        </w:tc>
      </w:tr>
      <w:tr>
        <w:trPr>
          <w:trHeight w:val="213"/>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107,258</w:t>
            </w: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(25,408)</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Acquisition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(16,606)</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divestitures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44,587</w:t>
            </w:r>
          </w:p>
        </w:tc>
      </w:tr>
      <w:tr>
        <w:trPr>
          <w:trHeight w:val="213"/>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Proceeds from sale of property, plant and equipment</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w:t>
            </w:r>
          </w:p>
        </w:tc>
      </w:tr>
      <w:tr>
        <w:trPr>
          <w:trHeight w:val="212"/>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(used in) provided by investing activities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w:t>
            </w: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(decrease) in short-term loans</w:t>
            </w: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Repayment of term loan borrowings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(13,125)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(13,125)</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employee stock purchase plan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4,012</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3,838</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6"/>
        </w:trPr>
        <w:tc>
          <w:tcPr>
            <w:tcW w:w="7900" w:type="dxa"/>
            <w:vAlign w:val="bottom"/>
          </w:tcPr>
          <w:p>
            <w:pPr>
              <w:ind w:left="34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(6,984)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(65,307)</w:t>
            </w: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6,082</w:t>
            </w:r>
          </w:p>
        </w:tc>
      </w:tr>
      <w:tr>
        <w:trPr>
          <w:trHeight w:val="206"/>
        </w:trPr>
        <w:tc>
          <w:tcPr>
            <w:tcW w:w="79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44,572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51,691</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192,305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137,311</w:t>
            </w: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236,877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189,002</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5,878</w:t>
            </w: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34"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right="8800" w:firstLine="8"/>
        <w:spacing w:after="0" w:line="566" w:lineRule="auto"/>
        <w:tabs>
          <w:tab w:leader="none" w:pos="1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Basis of Presentation</w:t>
      </w:r>
    </w:p>
    <w:p>
      <w:pPr>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nine months ended January 1, 2022 are not necessarily indicative of the results that may be expected for the full fiscal year ending April 2, 2022 or any other interim period. The Company has assessed its ability to continue as a going concern. As of January 1, 2022, the Company has concluded that substantial doubt about its ability to continue as a going concern does not exist. These unaudited condensed consolidated financial statements should be read in conjunction with the audited consolidated financial statements and footnotes included in the Annual Report on Form 10-K for the fiscal year ended April 3, 2021.</w:t>
      </w:r>
    </w:p>
    <w:p>
      <w:pPr>
        <w:spacing w:after="0" w:line="21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as required. There were no material recognized or unrecognized subsequent events as of or for the three and nine months ended January 1, 2022.</w:t>
      </w:r>
    </w:p>
    <w:p>
      <w:pPr>
        <w:spacing w:after="0" w:line="188" w:lineRule="exact"/>
        <w:rPr>
          <w:sz w:val="20"/>
          <w:szCs w:val="20"/>
          <w:color w:val="auto"/>
        </w:rPr>
      </w:pPr>
    </w:p>
    <w:p>
      <w:pPr>
        <w:ind w:right="7160" w:firstLine="8"/>
        <w:spacing w:after="0" w:line="53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Standards Implemented</w:t>
      </w:r>
    </w:p>
    <w:p>
      <w:pPr>
        <w:spacing w:after="0" w:line="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December 2019, the Financial Accounting Standards Board (“FASB”) issued Accounting Standards Codification (“ASC”) Update No. 2019-12 — Income Taxes (Topic 740). The new guidance improves consistent application of and simplifies the accounting for income taxes by removing certain exceptions to the general principals in Topic 740. The Company adopted ASC Update No. 2019-12 effective April 4, 2021. The adoption did not have a material impact on the Company’s financial position or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In August 2020, the FASB issued ASC Update No. 2020-06 — Debt - Debt with Conversion and Other Options (Subtopic 470-20) and Derivatives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Hedging - Contracts in Entity’s Own Equity (Subtopic 815-40). The amendments simplify the complexity associated with applying U.S. GAAP for certain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financial instruments with characteristics of liabilities and equity. Update No. 2020-06 is effective for fiscal years beginning after December 15, 2021,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including interim periods within those fiscal years. The Company early adopted ASC Update No. 2020-06 effective April 4, 2021 using the modified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retrospective method, which resulted in a decrease of $61.2 million to additional paid-in capital, a decrease to non-current deferred tax liabilities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 million, and an increase of $80.3 million to non-current convertible notes, net, on the Condensed Consolidated Balance Sheets. Additionally, retained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earnings was adjusted to remove amortization expense recognized in prior periods related to the debt discount and the convertible notes no longer have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debt discount that will be amortized, net of taxes. The impact to retained earnings on the Condensed Consolidated Balance Sheets as of April 4, 2021 is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of $1.0 million.</w:t>
      </w:r>
    </w:p>
    <w:p>
      <w:pPr>
        <w:spacing w:after="0" w:line="23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July 2021, the FASB issued ASC Update No. 2021-05 — Leases (Topic 842). The new guidance requires a lessor to classify a lease with variable lease payments that do not depend on an index or rate as an operating lease at lease commencement if the lease would have been classified as a sales-type lease or a direct financing lease in accordance with the classification criteria of ASC 842 and the lessor would have otherwise recognized a day-one loss. The Company prospectively adopted ASC Update No. 2021-05 effective in the second quarter of fiscal year 2022. The adoption did not have a material impact on the Company’s financial position or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w:t>
      </w:r>
    </w:p>
    <w:p>
      <w:pPr>
        <w:spacing w:after="0" w:line="25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ind w:right="100"/>
        <w:spacing w:after="0" w:line="269" w:lineRule="auto"/>
        <w:rPr>
          <w:sz w:val="20"/>
          <w:szCs w:val="20"/>
          <w:color w:val="auto"/>
        </w:rPr>
      </w:pPr>
      <w:r>
        <w:rPr>
          <w:rFonts w:ascii="Arial" w:cs="Arial" w:eastAsia="Arial" w:hAnsi="Arial"/>
          <w:sz w:val="17"/>
          <w:szCs w:val="17"/>
          <w:color w:val="auto"/>
        </w:rPr>
        <w:t>In July 2019, the Board of Directors of the Company approved the Operational Excellence Program (the “2020 Program”) and delegated authority to the Company’s management to determine the detail of the initiatives that will comprise the program. During the first quarter of fiscal 2022, the Company revised the program to improve product and service quality, reduce cost principally in its manufacturing and supply chain operations and ensure sustainability while helping to offset impacts from a previously announced customer loss, rising inflationary pressures and effects of the COVID-19 pandemic. The Company now expects to incur aggregate charges between $95 million and $105 million by the end of fiscal 2025. The majority of charges will result in cash outlays, including severance and other employee costs, and will be incurred as the specific actions required to execute these initiatives are identified and approved. During the three and nine months ended January 1, 2022, the Company incurred $5.7 million and $20.2 million, respectively, of restructuring and restructuring related costs under this program. During the three and nine months ended December 26, 2020, the Company incurred $3.1 million and $11.1 million, respectively, of restructuring and restructuring related costs under this program. Total cumulative charges under this program are $47.2 million.</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activity for restructuring reserves related to the 2020 Program and prior programs for the nine months ended January 1, 2022, substantially all of which relates to employee severance and other employee costs: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2020 Program</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Prior Programs</w:t>
            </w:r>
          </w:p>
        </w:tc>
        <w:tc>
          <w:tcPr>
            <w:tcW w:w="360" w:type="dxa"/>
            <w:vAlign w:val="bottom"/>
          </w:tcPr>
          <w:p>
            <w:pPr>
              <w:spacing w:after="0"/>
              <w:rPr>
                <w:sz w:val="16"/>
                <w:szCs w:val="16"/>
                <w:color w:val="auto"/>
              </w:rPr>
            </w:pPr>
          </w:p>
        </w:tc>
        <w:tc>
          <w:tcPr>
            <w:tcW w:w="1180" w:type="dxa"/>
            <w:vAlign w:val="bottom"/>
          </w:tcPr>
          <w:p>
            <w:pPr>
              <w:ind w:left="260"/>
              <w:spacing w:after="0"/>
              <w:rPr>
                <w:sz w:val="20"/>
                <w:szCs w:val="20"/>
                <w:color w:val="auto"/>
              </w:rPr>
            </w:pPr>
            <w:r>
              <w:rPr>
                <w:rFonts w:ascii="Arial" w:cs="Arial" w:eastAsia="Arial" w:hAnsi="Arial"/>
                <w:sz w:val="14"/>
                <w:szCs w:val="14"/>
                <w:b w:val="1"/>
                <w:bCs w:val="1"/>
                <w:color w:val="auto"/>
              </w:rPr>
              <w:t>Total</w:t>
            </w:r>
          </w:p>
        </w:tc>
      </w:tr>
      <w:tr>
        <w:trPr>
          <w:trHeight w:val="229"/>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April 3, 2021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center"/>
              <w:ind w:left="534"/>
              <w:spacing w:after="0"/>
              <w:rPr>
                <w:sz w:val="20"/>
                <w:szCs w:val="20"/>
                <w:color w:val="auto"/>
              </w:rPr>
            </w:pPr>
            <w:r>
              <w:rPr>
                <w:rFonts w:ascii="Arial" w:cs="Arial" w:eastAsia="Arial" w:hAnsi="Arial"/>
                <w:sz w:val="18"/>
                <w:szCs w:val="18"/>
                <w:color w:val="auto"/>
                <w:w w:val="88"/>
              </w:rPr>
              <w:t>1,012</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Costs incurred, net of reversals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center"/>
              <w:ind w:left="534"/>
              <w:spacing w:after="0"/>
              <w:rPr>
                <w:sz w:val="20"/>
                <w:szCs w:val="20"/>
                <w:color w:val="auto"/>
              </w:rPr>
            </w:pPr>
            <w:r>
              <w:rPr>
                <w:rFonts w:ascii="Arial" w:cs="Arial" w:eastAsia="Arial" w:hAnsi="Arial"/>
                <w:sz w:val="18"/>
                <w:szCs w:val="18"/>
                <w:color w:val="auto"/>
                <w:w w:val="88"/>
              </w:rPr>
              <w:t>4,036</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8"/>
                <w:szCs w:val="18"/>
                <w:color w:val="auto"/>
                <w:w w:val="94"/>
              </w:rPr>
              <w:t>(2,021)</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Balance at January 1, 2022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center"/>
              <w:ind w:left="534"/>
              <w:spacing w:after="0"/>
              <w:rPr>
                <w:sz w:val="20"/>
                <w:szCs w:val="20"/>
                <w:color w:val="auto"/>
              </w:rPr>
            </w:pPr>
            <w:r>
              <w:rPr>
                <w:rFonts w:ascii="Arial" w:cs="Arial" w:eastAsia="Arial" w:hAnsi="Arial"/>
                <w:sz w:val="18"/>
                <w:szCs w:val="18"/>
                <w:color w:val="auto"/>
                <w:w w:val="88"/>
              </w:rPr>
              <w:t>3,027</w:t>
            </w:r>
          </w:p>
        </w:tc>
      </w:tr>
      <w:tr>
        <w:trPr>
          <w:trHeight w:val="20"/>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the restructuring costs by line item within our accompanying unaudited Condensed Consolidated Statements of Income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320" w:type="dxa"/>
            <w:vAlign w:val="bottom"/>
            <w:gridSpan w:val="4"/>
          </w:tcPr>
          <w:p>
            <w:pPr>
              <w:jc w:val="right"/>
              <w:ind w:right="55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4"/>
        </w:trPr>
        <w:tc>
          <w:tcPr>
            <w:tcW w:w="61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6"/>
              <w:spacing w:after="0" w:line="135" w:lineRule="exact"/>
              <w:rPr>
                <w:sz w:val="20"/>
                <w:szCs w:val="20"/>
                <w:color w:val="auto"/>
              </w:rPr>
            </w:pPr>
            <w:r>
              <w:rPr>
                <w:rFonts w:ascii="Arial" w:cs="Arial" w:eastAsia="Arial" w:hAnsi="Arial"/>
                <w:sz w:val="14"/>
                <w:szCs w:val="14"/>
                <w:b w:val="1"/>
                <w:bCs w:val="1"/>
                <w:color w:val="auto"/>
                <w:w w:val="94"/>
              </w:rPr>
              <w:t>December 26,</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6"/>
              <w:spacing w:after="0" w:line="135" w:lineRule="exact"/>
              <w:rPr>
                <w:sz w:val="20"/>
                <w:szCs w:val="20"/>
                <w:color w:val="auto"/>
              </w:rPr>
            </w:pPr>
            <w:r>
              <w:rPr>
                <w:rFonts w:ascii="Arial" w:cs="Arial" w:eastAsia="Arial" w:hAnsi="Arial"/>
                <w:sz w:val="14"/>
                <w:szCs w:val="14"/>
                <w:b w:val="1"/>
                <w:bCs w:val="1"/>
                <w:color w:val="auto"/>
                <w:w w:val="94"/>
              </w:rPr>
              <w:t>December 26,</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As of January 1, 2022, the Company had a restructuring liability of $3.0 million, of which $2.6 million is payable within the next twelve months.</w:t>
      </w:r>
    </w:p>
    <w:p>
      <w:pPr>
        <w:spacing w:after="0" w:line="2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addition to the restructuring costs included in the table above, the Company also incurred costs that do not constitute restructuring under ASC 420, </w:t>
      </w:r>
      <w:r>
        <w:rPr>
          <w:rFonts w:ascii="Arial" w:cs="Arial" w:eastAsia="Arial" w:hAnsi="Arial"/>
          <w:sz w:val="18"/>
          <w:szCs w:val="18"/>
          <w:i w:val="1"/>
          <w:iCs w:val="1"/>
          <w:color w:val="auto"/>
        </w:rPr>
        <w:t>Exit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Disposal Cost Obligations, </w:t>
      </w:r>
      <w:r>
        <w:rPr>
          <w:rFonts w:ascii="Arial" w:cs="Arial" w:eastAsia="Arial" w:hAnsi="Arial"/>
          <w:sz w:val="18"/>
          <w:szCs w:val="18"/>
          <w:color w:val="auto"/>
        </w:rPr>
        <w:t>and which the Company instead refers to as restructuring related costs. These costs consist primarily of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related to the restructuring actions and include program management costs associated with the implementation of outsourcing initiatives and recent accounting standards.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tables below present restructuring and restructuring related costs by reportable segment: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Restructuring costs</w:t>
            </w: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6"/>
              </w:rPr>
              <w:t>Three Months Ended</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6"/>
              </w:rPr>
              <w:t>Nine Months Ended</w:t>
            </w: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61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January 1, 2022</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26, 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January 1, 2022</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26, 2020</w:t>
            </w:r>
          </w:p>
        </w:tc>
        <w:tc>
          <w:tcPr>
            <w:tcW w:w="0" w:type="dxa"/>
            <w:vAlign w:val="bottom"/>
          </w:tcPr>
          <w:p>
            <w:pPr>
              <w:spacing w:after="0"/>
              <w:rPr>
                <w:sz w:val="1"/>
                <w:szCs w:val="1"/>
                <w:color w:val="auto"/>
              </w:rPr>
            </w:pPr>
          </w:p>
        </w:tc>
      </w:tr>
      <w:tr>
        <w:trPr>
          <w:trHeight w:val="224"/>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Blood Center</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480"/>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Restructuring related costs</w:t>
            </w: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6"/>
              </w:rPr>
              <w:t>Three Months Ended</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6"/>
              </w:rPr>
              <w:t>Nine Months Ended</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1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January 1, 2022</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26, 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January 1, 2022</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26, 2020</w:t>
            </w:r>
          </w:p>
        </w:tc>
        <w:tc>
          <w:tcPr>
            <w:tcW w:w="0" w:type="dxa"/>
            <w:vAlign w:val="bottom"/>
          </w:tcPr>
          <w:p>
            <w:pPr>
              <w:spacing w:after="0"/>
              <w:rPr>
                <w:sz w:val="1"/>
                <w:szCs w:val="1"/>
                <w:color w:val="auto"/>
              </w:rPr>
            </w:pPr>
          </w:p>
        </w:tc>
      </w:tr>
      <w:tr>
        <w:trPr>
          <w:trHeight w:val="224"/>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Blood Center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2,282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8,410</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3,235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10,683</w:t>
            </w: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restructuring and restructuring related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3,143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20,250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11,583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ACQUISITIONS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 January 17, 2021, the Company entered into an Agreement and Plan of Merger with Cardiva Medical, Inc. (“Cardiva”), an industry-leading manufacturer of vascular closure systems based in Santa Clara, California. In connection with this acquisition, which closed on March 1, 2021, the Company acquired 100% of the issued and outstanding shares of capital stock of Cardiva for total consideration of $489.8 million, which consisted of upfront payments in the aggregate of $465.5 million ($418.2 million net of cash acquired) and the fair value of contingent consideration of $24.3 million. The contingent consideration, which could total a maximum of $35.0 million, is payable over the next two years based on sales growth. The Company financed the acquisition through a combination of cash, borrowings under its revolving credit facility and an additional $150.0 million term loan under its existing credit facility.</w:t>
      </w:r>
    </w:p>
    <w:p>
      <w:pPr>
        <w:spacing w:after="0" w:line="216"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Cardiva’s portfolio includes two catheter-based vascular access site closure devices. The VASCADE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vascular closure system is designed for “small-bore” femoral arterial and venous closure, generally used in interventional cardiology and peripheral vascular procedures. The VASCADE MVP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vascular closure system is designed for “mid-bore” multi-access femoral venous closure, generally used in electrophysiology procedures, and is the only U.S. Food and Drug Administration (“FDA”) approved closure device for use following cardiac ablation procedures requiring two or more access sites within the same vessel. The addition of the VASCADE portfolio to the Hospital business unit includes products with demonstrated benefits and enhances penetration into the large and growing interventional cardiology and electrophysiology markets.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accounted for the acquisition as a business combination, and in accordance with FASB ASC Topic 805, Business Combinations (Topic 805),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 The assessment of fair value is preliminary and is based on information that was available at the time the consolidated financial statements were prepared. The accounting for income taxes remains preliminary, as the Company is finalizing additional information to complete its assessment. Measurement period adjustments will be recorded in the period in which they are determined, as if they had been completed at the acquisition date. The finalization of the Company’s purchase accounting assessment could result in changes in the valuation of assets acquired and liabilities assumed, which could be material. The final determination of the fair value of certain assets and liabilities will be completed within the measurement period as required by Topic 805. As of January 1, 2022, the valuation studies necessary to determine the fair market value of the assets acquired and liabilities assumed are completed.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ind w:right="360"/>
        <w:spacing w:after="0" w:line="271" w:lineRule="auto"/>
        <w:rPr>
          <w:sz w:val="20"/>
          <w:szCs w:val="20"/>
          <w:color w:val="auto"/>
        </w:rPr>
      </w:pPr>
      <w:r>
        <w:rPr>
          <w:rFonts w:ascii="Arial" w:cs="Arial" w:eastAsia="Arial" w:hAnsi="Arial"/>
          <w:sz w:val="18"/>
          <w:szCs w:val="18"/>
          <w:color w:val="auto"/>
        </w:rPr>
        <w:t>The purchase price of $442.3 million, net of $47.3 million of cash acquired, consisted of the amounts presented below, which represent the preliminary determination of the fair value of the identifiable assets acquired and liabilities assumed: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1, 2021</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18,765</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1,186</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250,560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253,966</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r>
      <w:tr>
        <w:trPr>
          <w:trHeight w:val="223"/>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assets acquired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534,499</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Accrued payroll and related costs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58,211</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27,102</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r>
      <w:tr>
        <w:trPr>
          <w:trHeight w:val="223"/>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liabilities assumed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92,230</w:t>
            </w:r>
          </w:p>
        </w:tc>
      </w:tr>
      <w:tr>
        <w:trPr>
          <w:trHeight w:val="248"/>
        </w:trPr>
        <w:tc>
          <w:tcPr>
            <w:tcW w:w="9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assets acquired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442,269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Company determined the identifiable intangible assets were completed technology, customer relationships, trademarks and in-process research and development (“IPR&amp;D”). The fair values of intangible assets were based on valuation techniques with estimates and assumptions developed by the Company. Completed technology and IPR&amp;D were valued using the excess earnings method. Customer relationships were valued using the distributor method. Trademarks were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w:t>
      </w:r>
    </w:p>
    <w:p>
      <w:pPr>
        <w:spacing w:after="0" w:line="22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excess of the purchase price over the tangible assets, identifiable intangible assets and assumed liabilities was recorded as goodwill. As a result of the acquisition of Cardiva, the Company recognized goodwill of $254.0 million, which is attributable to the revenue and cash flow projections associated with completed technologies and the development of future technology that does not exist in the current IPR&amp;D pipeline. The goodwill is not deductible for tax purposes and relates entirely to the Hospital reportable segment.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acquired consist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Risk-Adjusted Discount</w:t>
            </w:r>
          </w:p>
        </w:tc>
        <w:tc>
          <w:tcPr>
            <w:tcW w:w="0" w:type="dxa"/>
            <w:vAlign w:val="bottom"/>
          </w:tcPr>
          <w:p>
            <w:pPr>
              <w:spacing w:after="0"/>
              <w:rPr>
                <w:sz w:val="1"/>
                <w:szCs w:val="1"/>
                <w:color w:val="auto"/>
              </w:rPr>
            </w:pPr>
          </w:p>
        </w:tc>
      </w:tr>
      <w:tr>
        <w:trPr>
          <w:trHeight w:val="135"/>
        </w:trPr>
        <w:tc>
          <w:tcPr>
            <w:tcW w:w="64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1"/>
                <w:szCs w:val="11"/>
                <w:color w:val="auto"/>
              </w:rPr>
            </w:pPr>
          </w:p>
        </w:tc>
        <w:tc>
          <w:tcPr>
            <w:tcW w:w="11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Rates used in Purchase</w:t>
            </w:r>
          </w:p>
        </w:tc>
        <w:tc>
          <w:tcPr>
            <w:tcW w:w="0" w:type="dxa"/>
            <w:vAlign w:val="bottom"/>
          </w:tcPr>
          <w:p>
            <w:pPr>
              <w:spacing w:after="0"/>
              <w:rPr>
                <w:sz w:val="1"/>
                <w:szCs w:val="1"/>
                <w:color w:val="auto"/>
              </w:rPr>
            </w:pPr>
          </w:p>
        </w:tc>
      </w:tr>
      <w:tr>
        <w:trPr>
          <w:trHeight w:val="188"/>
        </w:trPr>
        <w:tc>
          <w:tcPr>
            <w:tcW w:w="64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Amortization Period</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4"/>
              </w:rPr>
              <w:t>Price Allocation</w:t>
            </w:r>
          </w:p>
        </w:tc>
        <w:tc>
          <w:tcPr>
            <w:tcW w:w="0" w:type="dxa"/>
            <w:vAlign w:val="bottom"/>
          </w:tcPr>
          <w:p>
            <w:pPr>
              <w:spacing w:after="0"/>
              <w:rPr>
                <w:sz w:val="1"/>
                <w:szCs w:val="1"/>
                <w:color w:val="auto"/>
              </w:rPr>
            </w:pPr>
          </w:p>
        </w:tc>
      </w:tr>
      <w:tr>
        <w:trPr>
          <w:trHeight w:val="224"/>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213,290</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years</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18,166</w:t>
            </w: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12 years</w:t>
            </w:r>
          </w:p>
        </w:tc>
        <w:tc>
          <w:tcPr>
            <w:tcW w:w="1640" w:type="dxa"/>
            <w:vAlign w:val="bottom"/>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 years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IPR&amp;D</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13,667</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Indefinite</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48"/>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250,560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 recorded a long-term deferred tax liability, net, of $27.1 million primarily related to definite-lived intangible assets which cannot be deducted for tax purposes, partially offset by deferred tax assets primarily related to net operating losses acquired.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Acquisition-Related Costs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amount of acquisition-related costs incurred associated with the acquisition was $9.6 million for the fiscal year ending April 3, 2021. The Company incurred acquisition costs related to legal and other professional fees in the amount of $6.6 million and an additional $3.0 million of debt financing costs and lender fees which were recognized in selling, general and administrative and as interest expense on the unaudited Condensed Consolidated Statements of Income and Comprehensive Income,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HAS Intellectual Property</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January 2021, the Company entered into an agreement to acquire certain intellectual property owned by HemoAssay Science and Technology (Suzhou) Co. Ltd., a China-incorporated company, and its affiliates (collectively, “HemoAssay”) underlying their HAS viscoelastic diagnostic devices, related assays and disposables. The Company previously entered into exclusive manufacturing and distribution agreements with HemoAssay pursuant to which it has exclusive rights to commercialize HemoAssay’s HAS devices in China. In connection with the transaction, the Company has agreed to pay up to</w:t>
      </w:r>
    </w:p>
    <w:p>
      <w:pPr>
        <w:spacing w:after="0" w:line="1"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$15.0 million to HemoAssay in contingent consideration based on certain developmental and manufacturing based milestones. During the nine months ended January 1, 2022, the Company made $2.5 million of milestone payments which were recorded within intangible assets on the Condensed Consolidated Balance Sheets. These products augment the Company’s portfolio of hemostasis analyzers within the Hospital business unit.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enicor GmbH</w:t>
      </w:r>
    </w:p>
    <w:p>
      <w:pPr>
        <w:spacing w:after="0" w:line="247"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On April 1, 2020, the Company acquired all of the outstanding equity of enicor GmbH (“enicor”), the manufacturer of ClotPro</w:t>
      </w:r>
      <w:r>
        <w:rPr>
          <w:rFonts w:ascii="Arial" w:cs="Arial" w:eastAsia="Arial" w:hAnsi="Arial"/>
          <w:sz w:val="20"/>
          <w:szCs w:val="20"/>
          <w:color w:val="auto"/>
          <w:vertAlign w:val="superscript"/>
        </w:rPr>
        <w:t>®</w:t>
      </w:r>
      <w:r>
        <w:rPr>
          <w:rFonts w:ascii="Arial" w:cs="Arial" w:eastAsia="Arial" w:hAnsi="Arial"/>
          <w:sz w:val="16"/>
          <w:szCs w:val="16"/>
          <w:color w:val="auto"/>
        </w:rPr>
        <w:t>, a new generation whole blood coagulation testing system that is currently available in select European and Asia Pacific markets, for total consideration of $20.5 million, which consisted of upfront payments of $16.6 million and the fair value of contingent consideration of $3.9 million. The contingent consideration, which could total a maximum of $4.5 million, consists of payments related to the achievement of certain revenue and regulatory milestones. The acquisition of this viscoelastic diagnostic device augments the Company's portfolio of hemostasis analyzers within the Hospital business unit.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The Company accounted for the acquisition of enicor as a business combination, and in accordance with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805</w:t>
      </w:r>
      <w:r>
        <w:rPr>
          <w:rFonts w:ascii="Arial" w:cs="Arial" w:eastAsia="Arial" w:hAnsi="Arial"/>
          <w:sz w:val="18"/>
          <w:szCs w:val="18"/>
          <w:color w:val="auto"/>
        </w:rPr>
        <w:t>), recorded the assets acquired and liabilities assumed at their respective fair values as of the acquisition date.</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amounts represent the determination of the fair value of the identifiable assets acquired and liabilities assumed for enicor completed during fiscal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59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April 1, 2020</w:t>
            </w:r>
          </w:p>
        </w:tc>
        <w:tc>
          <w:tcPr>
            <w:tcW w:w="0" w:type="dxa"/>
            <w:vAlign w:val="bottom"/>
          </w:tcPr>
          <w:p>
            <w:pPr>
              <w:spacing w:after="0"/>
              <w:rPr>
                <w:sz w:val="1"/>
                <w:szCs w:val="1"/>
                <w:color w:val="auto"/>
              </w:rPr>
            </w:pPr>
          </w:p>
        </w:tc>
      </w:tr>
      <w:tr>
        <w:trPr>
          <w:trHeight w:val="250"/>
        </w:trPr>
        <w:tc>
          <w:tcPr>
            <w:tcW w:w="3860" w:type="dxa"/>
            <w:vAlign w:val="bottom"/>
            <w:shd w:val="clear" w:color="auto" w:fill="CCEEFF"/>
          </w:tcPr>
          <w:p>
            <w:pPr>
              <w:spacing w:after="0"/>
              <w:rPr>
                <w:sz w:val="21"/>
                <w:szCs w:val="21"/>
                <w:color w:val="auto"/>
              </w:rPr>
            </w:pPr>
          </w:p>
        </w:tc>
        <w:tc>
          <w:tcPr>
            <w:tcW w:w="5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Inventory</w:t>
            </w:r>
          </w:p>
        </w:tc>
        <w:tc>
          <w:tcPr>
            <w:tcW w:w="62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5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14,090</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5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assets acquired</w:t>
            </w:r>
          </w:p>
        </w:tc>
        <w:tc>
          <w:tcPr>
            <w:tcW w:w="59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23,851</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59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liabilities assumed</w:t>
            </w:r>
          </w:p>
        </w:tc>
        <w:tc>
          <w:tcPr>
            <w:tcW w:w="5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3,325</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assets acquired</w:t>
            </w:r>
          </w:p>
        </w:tc>
        <w:tc>
          <w:tcPr>
            <w:tcW w:w="5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20,526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bottom w:val="single" w:sz="8" w:color="CCEEFF"/>
            </w:tcBorders>
            <w:vMerge w:val="restart"/>
          </w:tcPr>
          <w:p>
            <w:pPr>
              <w:jc w:val="right"/>
              <w:ind w:right="4030"/>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86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ind w:right="40"/>
        <w:spacing w:after="0" w:line="272" w:lineRule="auto"/>
        <w:rPr>
          <w:sz w:val="20"/>
          <w:szCs w:val="20"/>
          <w:color w:val="auto"/>
        </w:rPr>
      </w:pPr>
      <w:r>
        <w:rPr>
          <w:rFonts w:ascii="Arial" w:cs="Arial" w:eastAsia="Arial" w:hAnsi="Arial"/>
          <w:sz w:val="17"/>
          <w:szCs w:val="17"/>
          <w:color w:val="auto"/>
        </w:rPr>
        <w:t>The Company determined the identifiable intangible assets were completed technology, customer relationships and a trademark. The fair value of the intangible assets was estimated using the income approach, and the cash flow projections were discounted using a rate of 20%. The cash flows were based on estimates used to price the transaction, and the discount rates applied were benchmarked with reference to the implied rate of return from the transaction model and the weighted average cost of capital. The benefits of adding a viscoelastic diagnostic device to the Company’s portfolio of hemostasis analyzers within the Hospital business unit contributed to an acquisition price in excess of the fair value of net assets acquired for enicor, which resulted in the establishment of goodwill. In addition, the benefits of lower cost manufacturing and complementary sales channels also contributed to the establishment of goodwill for this acquisition. None of the goodwill is expected to be deductible for income tax purposes.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acquired consist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Risk-Adjusted Discount</w:t>
            </w:r>
          </w:p>
        </w:tc>
        <w:tc>
          <w:tcPr>
            <w:tcW w:w="0" w:type="dxa"/>
            <w:vAlign w:val="bottom"/>
          </w:tcPr>
          <w:p>
            <w:pPr>
              <w:spacing w:after="0"/>
              <w:rPr>
                <w:sz w:val="1"/>
                <w:szCs w:val="1"/>
                <w:color w:val="auto"/>
              </w:rPr>
            </w:pPr>
          </w:p>
        </w:tc>
      </w:tr>
      <w:tr>
        <w:trPr>
          <w:trHeight w:val="135"/>
        </w:trPr>
        <w:tc>
          <w:tcPr>
            <w:tcW w:w="6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1"/>
                <w:szCs w:val="11"/>
                <w:color w:val="auto"/>
              </w:rPr>
            </w:pPr>
          </w:p>
        </w:tc>
        <w:tc>
          <w:tcPr>
            <w:tcW w:w="9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Rates used in Purchase</w:t>
            </w:r>
          </w:p>
        </w:tc>
        <w:tc>
          <w:tcPr>
            <w:tcW w:w="0" w:type="dxa"/>
            <w:vAlign w:val="bottom"/>
          </w:tcPr>
          <w:p>
            <w:pPr>
              <w:spacing w:after="0"/>
              <w:rPr>
                <w:sz w:val="1"/>
                <w:szCs w:val="1"/>
                <w:color w:val="auto"/>
              </w:rPr>
            </w:pPr>
          </w:p>
        </w:tc>
      </w:tr>
      <w:tr>
        <w:trPr>
          <w:trHeight w:val="188"/>
        </w:trPr>
        <w:tc>
          <w:tcPr>
            <w:tcW w:w="6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Amortization Period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Price Allocation</w:t>
            </w:r>
          </w:p>
        </w:tc>
        <w:tc>
          <w:tcPr>
            <w:tcW w:w="0" w:type="dxa"/>
            <w:vAlign w:val="bottom"/>
          </w:tcPr>
          <w:p>
            <w:pPr>
              <w:spacing w:after="0"/>
              <w:rPr>
                <w:sz w:val="1"/>
                <w:szCs w:val="1"/>
                <w:color w:val="auto"/>
              </w:rPr>
            </w:pPr>
          </w:p>
        </w:tc>
      </w:tr>
      <w:tr>
        <w:trPr>
          <w:trHeight w:val="224"/>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13,441</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88"/>
              </w:rPr>
              <w:t>10 Years</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1860" w:type="dxa"/>
            <w:vAlign w:val="bottom"/>
            <w:gridSpan w:val="2"/>
          </w:tcPr>
          <w:p>
            <w:pPr>
              <w:ind w:left="1100"/>
              <w:spacing w:after="0"/>
              <w:rPr>
                <w:sz w:val="20"/>
                <w:szCs w:val="20"/>
                <w:color w:val="auto"/>
              </w:rPr>
            </w:pPr>
            <w:r>
              <w:rPr>
                <w:rFonts w:ascii="Arial" w:cs="Arial" w:eastAsia="Arial" w:hAnsi="Arial"/>
                <w:sz w:val="18"/>
                <w:szCs w:val="18"/>
                <w:color w:val="auto"/>
              </w:rPr>
              <w:t>10 Years</w:t>
            </w:r>
          </w:p>
        </w:tc>
        <w:tc>
          <w:tcPr>
            <w:tcW w:w="170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10 Years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14,090</w:t>
            </w: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Costs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amount of acquisition-related costs incurred associated with the acquisition was $0.2 million for the nine months ended December 26, 2020.</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Fajardo, Puerto Rico Manufacturing Operations</w:t>
      </w:r>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June 29, 2020, the Company sold its Fajardo, Puerto Rico, manufacturing operations to GVS, S.p.A (“GVS”), a leading provider of advanced filtration solutions for critical applications for $15.1 million ($7.8 million, net of cash transferred). Under the terms of the agreement, Haemonetics retained all intellectual property rights to its proprietary blood filters currently manufactured at its Fajardo facility and GVS acquired certain assets consisting primarily of property, plant and equipment, inventory and cash and has assumed certain related liabilities. In connection with this transaction, the Company and GVS also entered into a long-term supply and development agreement that, among other things, grants GVS exclusive rights to manufacture and supply the blood filters currently produced at the Fajardo facility for Haemonetics. The Company also agreed to provide certain transition services to GVS, generally for a period of up to three months depending on the nature of the service.</w:t>
      </w:r>
    </w:p>
    <w:p>
      <w:pPr>
        <w:spacing w:after="0" w:line="2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result of this transaction, Haemonetics recognized a pre-tax impairment charge in its Blood Center business unit of $1.0 million in the first quarter of fiscal 2021 and an incremental loss of $0.4 million based on closing adjustments during the third quarter of fiscal 2021, as the carrying value of the assets and liabilities in the asset transfer exceeded the net of the $15.1 million of cash proceeds and an additional contingent liability of $1.5 million. The disposal group consisted of $3.3 million of inventory, $7.2 million of fixed assets, $3.2 million of other liabilities, and $0.4 million of goodwill allocated based on fair value to the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Blood Donor Management Software</w:t>
      </w:r>
    </w:p>
    <w:p>
      <w:pPr>
        <w:spacing w:after="0" w:line="25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July 1, 2020, the Company sold certain U.S. blood donor management software solution assets within its Blood Center business unit to the GPI Group (“GPI”) for an upfront cash payment of $14.0 million ($13.6 million, net of working capital adjustments) and up to $14.0 million in additional consideration contingent on the achievement of commercial milestones over the twelve month period immediately following the closing of the transaction. The disposal group consisted of $1.4 million of accounts receivable, $0.9 million of intangible assets, other liabilities of $1.8 million and $1.4 million of goodwill allocated based on fair value to the business. The Company recognized a gain of $13.2 million associated with the transaction in fiscal 2021. During the first quarter of fiscal year 2022, the Company recognized an additional gain of $9.6 million for contingent consideration earned.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Inlog Holdings France</w:t>
      </w:r>
    </w:p>
    <w:p>
      <w:pPr>
        <w:spacing w:after="0" w:line="252"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On September 18, 2020, the Company sold its wholly-owned subsidiary Inlog Holdings France SAS to Abénex Capital (“Abénex”), a private equity firm based in France for $30.5 million ($24.5 million, net of cash transferred). Inlog Holdings France SAS, through its subsidiary In Log SAS, develops and sells blood bank and hospital software solutions used predominantly in France and in several other countries outside of the U.S. The disposal group included $2.2 million of intangible assets, $2.2 million of accounts receivable, $0.3 million of other assets, $3.3 million of liabilities and $3.3 million of goodwill allocated based on the fair value of the business which impacted both the Blood Center and Hospital business units. The Company recognized a gain of $20.0 million upon closing of the transaction in the second quarter of fiscal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5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conducts business globally and reports its results of operations in a number of foreign jurisdictions in addition to the United States. The Company’s reported tax rate is impacted by the jurisdictional mix of earnings in any given period as the foreign jurisdictions in which it operates have tax rates that differ from the U.S. statutory tax rate.</w:t>
      </w:r>
    </w:p>
    <w:p>
      <w:pPr>
        <w:spacing w:after="0" w:line="21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For the three and nine months ended January 1, 2022, the Company reported income tax expense of $8.2 million and $14.7 million, respectively, representing effective tax rates of 26.0% and 30.4%, respectively. The effective tax rate for the nine months ended January 1, 2022 includes discrete tax expense relating to stock compensation shortfalls of $0.9 million, with no discrete tax expense relating to stock compensation shortfalls recorded in the three months ended January 1, 2022.</w:t>
      </w:r>
    </w:p>
    <w:p>
      <w:pPr>
        <w:spacing w:after="0" w:line="21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the three and nine months ended December 26, 2020, the Company reported income tax expense of $5.5 million and $9.8 million, respectively, representing effective tax rates of 14.7% and 9.8%, respectively. The effective tax rates for the three and nine months ended December 26, 2020 included discrete tax benefits recognized from excess stock compensation deductions of $1.0 million and $5.1 million, respectively. The effective tax rates were also impacted by the jurisdictional mix of earnings including divestiture transactions. During the nine months ended December 26, 2020, the Company sold its Fajardo, Puerto Rico manufacturing operations, certain U.S. blood donor management software solution assets, and its wholly-owned subsidiary, Inlog Holdings France SAS. The tax expense on divestitures, including the associated valuation allowance impacts, were included in the computation of the annual effective tax rate.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32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610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(In thousands, except per share amounts)</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4"/>
              <w:spacing w:after="0" w:line="135" w:lineRule="exact"/>
              <w:rPr>
                <w:sz w:val="20"/>
                <w:szCs w:val="20"/>
                <w:color w:val="auto"/>
              </w:rPr>
            </w:pPr>
            <w:r>
              <w:rPr>
                <w:rFonts w:ascii="Arial" w:cs="Arial" w:eastAsia="Arial" w:hAnsi="Arial"/>
                <w:sz w:val="14"/>
                <w:szCs w:val="14"/>
                <w:b w:val="1"/>
                <w:bCs w:val="1"/>
                <w:color w:val="auto"/>
                <w:w w:val="94"/>
              </w:rPr>
              <w:t>December 26,</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4"/>
              <w:spacing w:after="0" w:line="135" w:lineRule="exact"/>
              <w:rPr>
                <w:sz w:val="20"/>
                <w:szCs w:val="20"/>
                <w:color w:val="auto"/>
              </w:rPr>
            </w:pPr>
            <w:r>
              <w:rPr>
                <w:rFonts w:ascii="Arial" w:cs="Arial" w:eastAsia="Arial" w:hAnsi="Arial"/>
                <w:sz w:val="14"/>
                <w:szCs w:val="14"/>
                <w:b w:val="1"/>
                <w:bCs w:val="1"/>
                <w:color w:val="auto"/>
                <w:w w:val="94"/>
              </w:rPr>
              <w:t>December 26,</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31,882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33,634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90,510</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50,634</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Basic income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31,882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33,634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90,510</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50,634</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effect of common stock equivalents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51,234</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Diluted income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Basic earnings per share is calculated using the Company’s weighted-average outstanding common stock. Diluted earnings per share is calculated using its weighted-average outstanding common stock including the dilutive effect of stock awards as determined under the treasury stock method and the convertible senior notes as determined under the net share settlement method. From the time of the issuance of the convertible senior notes, the average market price of the Company's common shares has been less than the initial conversion price, and consequently no shares have been included in diluted earnings per share for the conversion value of the convertible senior notes. For the three and nine months ended January 1, 2022, weighted average shares outstanding, assuming dilution, excludes the impact of 0.9 million anti-dilutive shares. For the three and nine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ind w:right="40"/>
        <w:spacing w:after="0" w:line="246" w:lineRule="auto"/>
        <w:rPr>
          <w:sz w:val="20"/>
          <w:szCs w:val="20"/>
          <w:color w:val="auto"/>
        </w:rPr>
      </w:pPr>
      <w:r>
        <w:rPr>
          <w:rFonts w:ascii="Arial" w:cs="Arial" w:eastAsia="Arial" w:hAnsi="Arial"/>
          <w:sz w:val="18"/>
          <w:szCs w:val="18"/>
          <w:color w:val="auto"/>
        </w:rPr>
        <w:t>months ended December 26, 2020, weighted average shares outstanding, assuming dilution, excludes the impact of 0.4 million and 0.6 million anti-dilutive shares,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Company’s revenue recognition policy is to recognize revenues from product sales, software and services in accordance with ASC Topic 606,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w:t>
      </w:r>
      <w:r>
        <w:rPr>
          <w:rFonts w:ascii="Arial" w:cs="Arial" w:eastAsia="Arial" w:hAnsi="Arial"/>
          <w:sz w:val="17"/>
          <w:szCs w:val="17"/>
          <w:color w:val="auto"/>
        </w:rPr>
        <w:t>. Revenue is recognized when obligations under the terms of a contract with a customer are satisfied; this occurs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it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20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January 1, 2022, the Company had $23.4 million of its transaction price allocated to remaining performance obligations related to executed contracts with an original duration of one year or more. The Company expects to recognize approximately 74% of this amount as revenue within the next twelve months and the remaining balance thereafter.</w:t>
      </w:r>
    </w:p>
    <w:p>
      <w:pPr>
        <w:spacing w:after="0" w:line="21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unbilled receivables (contract assets), and customer advances and deposits (contract liabilities) on the Condensed Consolidated Balance Sheets. The difference in timing between billing and revenue recognition primarily occurs in software licensing arrangements, resulting in contract assets and contract liabilities.</w:t>
      </w:r>
    </w:p>
    <w:p>
      <w:pPr>
        <w:spacing w:after="0" w:line="192"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As of January 1, 2022 and April 3, 2021, the Company had contract assets of $5.5 million and $4.8 million, respectively. Contract assets are classified as other current assets and other long-term assets on the Condensed Consolidated Balance Sheets.</w:t>
      </w:r>
    </w:p>
    <w:p>
      <w:pPr>
        <w:spacing w:after="0" w:line="19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As of January 1, 2022 and April 3, 2021, the Company had contract liabilities of $24.4 million and $20.9 million, respectively. During the three and nine months ended January 1, 2022, the Company recognized $4.0 million and $17.2 million of revenue, respectively, that was included in the above April 3, 2021 contract liability balance.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INVENTORIES</w:t>
      </w:r>
    </w:p>
    <w:p>
      <w:pPr>
        <w:spacing w:after="0" w:line="256"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using the first-in, first-out method.</w:t>
      </w:r>
    </w:p>
    <w:tbl>
      <w:tblPr>
        <w:tblLayout w:type="fixed"/>
        <w:tblInd w:w="0" w:type="dxa"/>
        <w:tblCellMar>
          <w:top w:w="0" w:type="dxa"/>
          <w:left w:w="0" w:type="dxa"/>
          <w:bottom w:w="0" w:type="dxa"/>
          <w:right w:w="0" w:type="dxa"/>
        </w:tblCellMar>
      </w:tblPr>
      <w:tr>
        <w:trPr>
          <w:trHeight w:val="144"/>
        </w:trPr>
        <w:tc>
          <w:tcPr>
            <w:tcW w:w="79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2"/>
                <w:szCs w:val="12"/>
                <w:color w:val="auto"/>
              </w:rPr>
            </w:pPr>
          </w:p>
        </w:tc>
        <w:tc>
          <w:tcPr>
            <w:tcW w:w="1420" w:type="dxa"/>
            <w:vAlign w:val="bottom"/>
            <w:gridSpan w:val="2"/>
          </w:tcPr>
          <w:p>
            <w:pPr>
              <w:ind w:left="180"/>
              <w:spacing w:after="0" w:line="145" w:lineRule="exact"/>
              <w:rPr>
                <w:sz w:val="20"/>
                <w:szCs w:val="20"/>
                <w:color w:val="auto"/>
              </w:rPr>
            </w:pPr>
            <w:r>
              <w:rPr>
                <w:rFonts w:ascii="Arial" w:cs="Arial" w:eastAsia="Arial" w:hAnsi="Arial"/>
                <w:sz w:val="14"/>
                <w:szCs w:val="14"/>
                <w:b w:val="1"/>
                <w:bCs w:val="1"/>
                <w:color w:val="auto"/>
              </w:rPr>
              <w:t>January 1,</w:t>
            </w:r>
          </w:p>
        </w:tc>
        <w:tc>
          <w:tcPr>
            <w:tcW w:w="320" w:type="dxa"/>
            <w:vAlign w:val="bottom"/>
          </w:tcPr>
          <w:p>
            <w:pPr>
              <w:spacing w:after="0"/>
              <w:rPr>
                <w:sz w:val="12"/>
                <w:szCs w:val="12"/>
                <w:color w:val="auto"/>
              </w:rPr>
            </w:pPr>
          </w:p>
        </w:tc>
        <w:tc>
          <w:tcPr>
            <w:tcW w:w="1260" w:type="dxa"/>
            <w:vAlign w:val="bottom"/>
          </w:tcPr>
          <w:p>
            <w:pPr>
              <w:jc w:val="right"/>
              <w:ind w:right="476"/>
              <w:spacing w:after="0" w:line="145"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79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7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89,503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74,910</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23,111</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197,957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224,593</w:t>
            </w:r>
          </w:p>
        </w:tc>
        <w:tc>
          <w:tcPr>
            <w:tcW w:w="0" w:type="dxa"/>
            <w:vAlign w:val="bottom"/>
          </w:tcPr>
          <w:p>
            <w:pPr>
              <w:spacing w:after="0"/>
              <w:rPr>
                <w:sz w:val="1"/>
                <w:szCs w:val="1"/>
                <w:color w:val="auto"/>
              </w:rPr>
            </w:pPr>
          </w:p>
        </w:tc>
      </w:tr>
      <w:tr>
        <w:trPr>
          <w:trHeight w:val="223"/>
        </w:trPr>
        <w:tc>
          <w:tcPr>
            <w:tcW w:w="79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inventories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305,741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322,614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Activity</w:t>
      </w:r>
    </w:p>
    <w:p>
      <w:pPr>
        <w:spacing w:after="0" w:line="25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During fiscal 2021, the Company entered into a lease for manufacturing space in Clinton, PA. The Company’s current manufacturing operations in Leetsdale, PA will be relocated to the Clinton, PA facility. The lease term associated with the new manufacturing facility is 15 years and 7 months and includes two five year renewal options followed by one four year renewal option. During fiscal 2021, the Company recorded a right-of-use asset of $11.3 million and corresponding liabilities of $15.4 million upon commencement of the lease term in May 2020. In addition, the Company recorded a $4.1 million lease incentive receivable associated with this lease agreement which was received during fiscal 2021.</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Lessor Activity</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Assets on the Company’s balance sheet classified as Haemonetics equipment primarily consist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stand-alone selling prices. Operating lease revenue represents less than 3 percent of the Company’s total net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NOTES PAYABLE AND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March 2021, the Company issued $500.0 million aggregate principal amount of 0% convertible senior notes due 2026 (the “2026 Notes”). The 2026 Notes are governed by the terms of the Indenture between the Company and U.S. Bank National Association, as trustee (the “Indenture”). The total net proceeds from the sale of the 2026 Notes, after deducting the initial purchasers’ discounts and debt issuance costs, were approximately $486.7 million. The 2026 Notes will mature on March 1, 2026, unless earlier converted, redeemed or repurchased.</w:t>
      </w:r>
    </w:p>
    <w:p>
      <w:pPr>
        <w:spacing w:after="0" w:line="19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During the third quarter of fiscal 2022, the conditions allowing holders of the 2026 Notes to convert have not been met. The 2026 Notes were therefore not convertible as of January 1, 2022 and were classified as long-term debt on the Company’s Condensed Consolidated Balance Sheets.</w:t>
      </w:r>
    </w:p>
    <w:p>
      <w:pPr>
        <w:spacing w:after="0" w:line="1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accounting for the issuance of the 2026 Notes, the 2026 Notes were separated into liability and equity components. The Company estimated the liability and equity components of the 2026 Notes to be $416.4 million and $83.6 million respectively, at the issuance date. On April 4, 2021, the Company adopted ASC Update No. 2020-06 using the modified retrospective method, which resulted in a decrease of $61.2 million to additional paid-in capital, a decrease to non-current deferred tax liabilities of $20.0 million, and an increase of $80.3 million to non-current convertible notes, net, on the Condensed Consolidated Balance Sheets. Additionally, retained earnings was adjusted to remove amortization expense recognized in prior periods related to the debt discount and the convertible notes no longer have a debt discount that will be amortized, net of taxes. The impact to retained earnings on the Condensed Consolidated Balance Sheets as of April 4, 2021 is an increase of $1.0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As of January 1, 2022, the $500.0 million principal balance was netted down by $11.2 million of deferred financing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2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June 15, 2018, the Company entered into a credit agreement with certain lenders which provided for a $350.0 million term loan (the “Term Loan”) and a $350.0 million revolving loan (the “Revolving Credit Facility” and together with the Term Loan, as amended from time to time, the “Credit Facilities”). The Credit Facilities expire on June 15, 2023. Interest on the Credit Facilities is established using LIBOR plus 1.13% - 1.75%, depending on the Company’s leverage ratio. Under the Credit Facilities, the Company is required to maintain certain leverage and interest coverage ratios specified in the credit agreement as well as other customary non-financial affirmative and negative covenants. At January 1, 2022, $288.8 million was outstanding under the Term Loan with an effective interest rate of 1.9%. There were no borrowings outstanding on the Revolving Credit Facility. The Company also has $24.7 million of uncommitted operating lines of credit to fund its global operations under which there were no outstanding borrowings as of January 1, 2022.</w:t>
      </w: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has required scheduled principal payments of $4.4 million during the remainder of fiscal 2022, $214.4 million during fiscal 2023 and $70.0 million during the first quarter of fiscal 2024.</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was in compliance with the leverage and interest coverage ratios specified in the Credit Facilities as well as all other bank covenants as of January 1, 2022.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12. FINANCIAL INSTRUMENTS AND FAIR VALUE MEASUREMENTS</w:t>
      </w:r>
    </w:p>
    <w:p>
      <w:pPr>
        <w:spacing w:after="0" w:line="256"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Company manufactures, markets and sells its products globally. During the three and nine months ended January 1, 2022, 35.6% and 36.8%, respectively, of the Company’s sales were generated outside the U.S., generally in foreign currencies. The Company also incurs certain manufacturing, marketing and selling costs in international markets in local currency.</w:t>
      </w:r>
    </w:p>
    <w:p>
      <w:pPr>
        <w:spacing w:after="0" w:line="2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All of the Company’s designated foreign currency hedge contracts as of January 1, 2022 and April 3, 2021 were cash flow hedges under ASC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(“ASC 815”). The Company records the effective portion of any change in the fair value of designated foreign currency hedge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would reclassify the amount of any gain or loss on the related cash flow hedge to earnings at that time. The Company had designated foreign currency hedge contracts outstanding in the contract amount of $39.1 million as of January 1, 2022 and $56.0 million as of April 3, 2021. At January 1, 2022, a gain of $0.4 million, net of tax, will be reclassified to earnings within the next twelve months. Substantially all currency cash flow hedges outstanding as of January 1, 2022 mature within twelve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$47.6 million as of January 1, 2022 and $95.6 million as of April 3,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56"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On June 15, 2018, the Company entered into Credit Facilities which provided for a $350.0 million Term Loan and a $350.0 million Revolving Credit Facility. Under the terms of the Credit Facilities, interest is established using LIBOR plus 1.13% - 1.75%. As a result, the Company’s earnings and cash flows are exposed to interest rate risk from changes to LIBOR. 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20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August 2018, the Company entered into two interest rate swap agreements (the “Swaps”) to pay an average fixed rate of 2.80% on a total notional value of $241.9 million of debt. As a result of the Swaps, 70% of the Term Loan previously exposed to interest rate risk from changes in LIBOR is now fixed at a rate of 4.05%. The Swaps mature on June 15, 2023. The Company designated the Swaps as cash flow hedges of variable interest rate risk associated with $345.6 million of indebtedness. For the nine months ended January 1, 2022, a gain of $4.9 million, net of tax, was recorded in accumulated other comprehensive loss to recognize the effective portion of the fair value of the Swaps that qualify as cash flow hedges.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Trade Receivables</w:t>
      </w:r>
    </w:p>
    <w:p>
      <w:pPr>
        <w:spacing w:after="0" w:line="256"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In the ordinary course of business, the Company grants trade credit to its customers on normal credit terms. In an effort to reduce its credit risk, the Company (i) 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services. Effective March 29, 2020, the Company adopted Update No.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which requires consideration of events or circumstances indicating historic collection rates may not be indicative of future collectability. For example, potential adverse changes to customer liquidity from new macroeconomic events such as the COVID-19 pandemic must be taken into consideration. To date, the Company has not experienced significant customer payment defaults, or identified other significant collectability concerns as a result of the pandemic.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rollforward of the allowance for credit losses: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3"/>
          </w:tcPr>
          <w:p>
            <w:pPr>
              <w:jc w:val="right"/>
              <w:ind w:right="97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1036"/>
              <w:spacing w:after="0"/>
              <w:rPr>
                <w:sz w:val="20"/>
                <w:szCs w:val="20"/>
                <w:color w:val="auto"/>
              </w:rPr>
            </w:pPr>
            <w:r>
              <w:rPr>
                <w:rFonts w:ascii="Arial" w:cs="Arial" w:eastAsia="Arial" w:hAnsi="Arial"/>
                <w:sz w:val="14"/>
                <w:szCs w:val="14"/>
                <w:b w:val="1"/>
                <w:bCs w:val="1"/>
                <w:color w:val="auto"/>
                <w:w w:val="93"/>
              </w:rPr>
              <w:t>Nine Months Ended</w:t>
            </w:r>
          </w:p>
        </w:tc>
        <w:tc>
          <w:tcPr>
            <w:tcW w:w="500" w:type="dxa"/>
            <w:vAlign w:val="bottom"/>
            <w:tcBorders>
              <w:bottom w:val="single" w:sz="8" w:color="auto"/>
            </w:tcBorders>
          </w:tcPr>
          <w:p>
            <w:pPr>
              <w:spacing w:after="0"/>
              <w:rPr>
                <w:sz w:val="16"/>
                <w:szCs w:val="16"/>
                <w:color w:val="auto"/>
              </w:rPr>
            </w:pPr>
          </w:p>
        </w:tc>
      </w:tr>
      <w:tr>
        <w:trPr>
          <w:trHeight w:val="188"/>
        </w:trPr>
        <w:tc>
          <w:tcPr>
            <w:tcW w:w="22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6"/>
                <w:szCs w:val="16"/>
                <w:color w:val="auto"/>
              </w:rPr>
            </w:pPr>
          </w:p>
        </w:tc>
        <w:tc>
          <w:tcPr>
            <w:tcW w:w="1900" w:type="dxa"/>
            <w:vAlign w:val="bottom"/>
            <w:gridSpan w:val="2"/>
          </w:tcPr>
          <w:p>
            <w:pPr>
              <w:ind w:left="240"/>
              <w:spacing w:after="0"/>
              <w:rPr>
                <w:sz w:val="20"/>
                <w:szCs w:val="20"/>
                <w:color w:val="auto"/>
              </w:rPr>
            </w:pPr>
            <w:r>
              <w:rPr>
                <w:rFonts w:ascii="Arial" w:cs="Arial" w:eastAsia="Arial" w:hAnsi="Arial"/>
                <w:sz w:val="14"/>
                <w:szCs w:val="14"/>
                <w:b w:val="1"/>
                <w:bCs w:val="1"/>
                <w:color w:val="auto"/>
              </w:rPr>
              <w:t>January 1, 2022</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December 26, 2020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January 1, 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December 26, 2020</w:t>
            </w:r>
          </w:p>
        </w:tc>
        <w:tc>
          <w:tcPr>
            <w:tcW w:w="500" w:type="dxa"/>
            <w:vAlign w:val="bottom"/>
          </w:tcPr>
          <w:p>
            <w:pPr>
              <w:spacing w:after="0"/>
              <w:rPr>
                <w:sz w:val="16"/>
                <w:szCs w:val="16"/>
                <w:color w:val="auto"/>
              </w:rPr>
            </w:pPr>
          </w:p>
        </w:tc>
      </w:tr>
      <w:tr>
        <w:trPr>
          <w:trHeight w:val="224"/>
        </w:trPr>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2,701</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ind w:right="1496"/>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2,699</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ind w:right="139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2,226</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ind w:right="147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3,824</w:t>
            </w:r>
          </w:p>
        </w:tc>
      </w:tr>
      <w:tr>
        <w:trPr>
          <w:trHeight w:val="229"/>
        </w:trPr>
        <w:tc>
          <w:tcPr>
            <w:tcW w:w="2260" w:type="dxa"/>
            <w:vAlign w:val="bottom"/>
          </w:tcPr>
          <w:p>
            <w:pPr>
              <w:ind w:left="200"/>
              <w:spacing w:after="0"/>
              <w:rPr>
                <w:sz w:val="20"/>
                <w:szCs w:val="20"/>
                <w:color w:val="auto"/>
              </w:rPr>
            </w:pPr>
            <w:r>
              <w:rPr>
                <w:rFonts w:ascii="Arial" w:cs="Arial" w:eastAsia="Arial" w:hAnsi="Arial"/>
                <w:sz w:val="18"/>
                <w:szCs w:val="18"/>
                <w:color w:val="auto"/>
              </w:rPr>
              <w:t>Credit (gain) loss</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30"/>
        </w:trPr>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Write-offs</w:t>
            </w: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23"/>
        </w:trPr>
        <w:tc>
          <w:tcPr>
            <w:tcW w:w="226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2,382</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ind w:right="1496"/>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2,525</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ind w:right="139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2,382</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ind w:right="147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2,525</w:t>
            </w:r>
          </w:p>
        </w:tc>
      </w:tr>
      <w:tr>
        <w:trPr>
          <w:trHeight w:val="21"/>
        </w:trPr>
        <w:tc>
          <w:tcPr>
            <w:tcW w:w="2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56"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The following table presents the effect of the Company’s derivative instruments designated as cash flow hedges and those not designated as hedging instruments under ASC 815 in its unaudited Condensed Consolidated Statements of Income and Comprehensive Income for the nine months ended January 1, 2022:</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 of Gain (Loss)</w:t>
            </w: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Amount of Gain</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Amount of Gain</w:t>
            </w:r>
          </w:p>
        </w:tc>
        <w:tc>
          <w:tcPr>
            <w:tcW w:w="140" w:type="dxa"/>
            <w:vAlign w:val="bottom"/>
          </w:tcPr>
          <w:p>
            <w:pPr>
              <w:spacing w:after="0"/>
              <w:rPr>
                <w:sz w:val="5"/>
                <w:szCs w:val="5"/>
                <w:color w:val="auto"/>
              </w:rPr>
            </w:pPr>
          </w:p>
        </w:tc>
        <w:tc>
          <w:tcPr>
            <w:tcW w:w="14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Reclassified</w:t>
            </w:r>
          </w:p>
        </w:tc>
        <w:tc>
          <w:tcPr>
            <w:tcW w:w="196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Location in</w:t>
            </w: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(Loss) Excluded</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(Loss) Recognized</w:t>
            </w:r>
          </w:p>
        </w:tc>
        <w:tc>
          <w:tcPr>
            <w:tcW w:w="140" w:type="dxa"/>
            <w:vAlign w:val="bottom"/>
          </w:tcPr>
          <w:p>
            <w:pPr>
              <w:spacing w:after="0"/>
              <w:rPr>
                <w:sz w:val="5"/>
                <w:szCs w:val="5"/>
                <w:color w:val="auto"/>
              </w:rPr>
            </w:pPr>
          </w:p>
        </w:tc>
        <w:tc>
          <w:tcPr>
            <w:tcW w:w="14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from Accumulated</w:t>
            </w:r>
          </w:p>
        </w:tc>
        <w:tc>
          <w:tcPr>
            <w:tcW w:w="19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Condensed Consolidated</w:t>
            </w: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from</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620" w:type="dxa"/>
            <w:vAlign w:val="bottom"/>
            <w:gridSpan w:val="3"/>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in Accumulated Other</w:t>
            </w:r>
          </w:p>
        </w:tc>
        <w:tc>
          <w:tcPr>
            <w:tcW w:w="1620" w:type="dxa"/>
            <w:vAlign w:val="bottom"/>
            <w:gridSpan w:val="3"/>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Other Comprehensive</w:t>
            </w:r>
          </w:p>
        </w:tc>
        <w:tc>
          <w:tcPr>
            <w:tcW w:w="19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Statements of Income and</w:t>
            </w: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1"/>
              </w:rPr>
              <w:t>Statements of Income and</w:t>
            </w: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Effectiveness</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Comprehensive Loss</w:t>
            </w:r>
          </w:p>
        </w:tc>
        <w:tc>
          <w:tcPr>
            <w:tcW w:w="140" w:type="dxa"/>
            <w:vAlign w:val="bottom"/>
          </w:tcPr>
          <w:p>
            <w:pPr>
              <w:spacing w:after="0"/>
              <w:rPr>
                <w:sz w:val="5"/>
                <w:szCs w:val="5"/>
                <w:color w:val="auto"/>
              </w:rPr>
            </w:pPr>
          </w:p>
        </w:tc>
        <w:tc>
          <w:tcPr>
            <w:tcW w:w="14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Loss into</w:t>
            </w:r>
          </w:p>
        </w:tc>
        <w:tc>
          <w:tcPr>
            <w:tcW w:w="19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Comprehensive Income</w:t>
            </w: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1"/>
              </w:rPr>
              <w:t>Comprehensive Income</w:t>
            </w: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Testing</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7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78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8"/>
                <w:szCs w:val="18"/>
                <w:color w:val="auto"/>
                <w:w w:val="97"/>
              </w:rPr>
              <w:t>Designated foreign currency hedge</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2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Net revenues, COGS</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net of tax</w:t>
            </w:r>
          </w:p>
        </w:tc>
        <w:tc>
          <w:tcPr>
            <w:tcW w:w="10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SG&amp;A</w:t>
            </w:r>
          </w:p>
        </w:tc>
        <w:tc>
          <w:tcPr>
            <w:tcW w:w="12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line="176" w:lineRule="exact"/>
              <w:rPr>
                <w:sz w:val="20"/>
                <w:szCs w:val="20"/>
                <w:color w:val="auto"/>
              </w:rPr>
            </w:pPr>
            <w:r>
              <w:rPr>
                <w:rFonts w:ascii="Arial" w:cs="Arial" w:eastAsia="Arial" w:hAnsi="Arial"/>
                <w:sz w:val="18"/>
                <w:szCs w:val="18"/>
                <w:color w:val="auto"/>
              </w:rPr>
              <w:t>Non-designated foreign currency</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15"/>
                <w:szCs w:val="15"/>
                <w:color w:val="auto"/>
              </w:rPr>
            </w:pPr>
          </w:p>
        </w:tc>
        <w:tc>
          <w:tcPr>
            <w:tcW w:w="1800" w:type="dxa"/>
            <w:vAlign w:val="bottom"/>
          </w:tcPr>
          <w:p>
            <w:pPr>
              <w:ind w:left="20"/>
              <w:spacing w:after="0" w:line="176" w:lineRule="exact"/>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hedge contracts</w:t>
            </w:r>
          </w:p>
        </w:tc>
        <w:tc>
          <w:tcPr>
            <w:tcW w:w="100" w:type="dxa"/>
            <w:vAlign w:val="bottom"/>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Designated interest rate swaps, net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1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Interest and other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tax</w:t>
            </w:r>
          </w:p>
        </w:tc>
        <w:tc>
          <w:tcPr>
            <w:tcW w:w="10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12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did not have fair value hedges or net investment hedges outstanding as of January 1, 2022 or April 3, 2021. As of January 1, 2022, no material deferred taxes were recognized for designated foreign currency hedges.</w:t>
      </w:r>
    </w:p>
    <w:p>
      <w:pPr>
        <w:spacing w:after="0" w:line="19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it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January 1, 2022, the Company has classified its derivative assets and liabilities within Level 2 of the fair value hierarchy prescribed by ASC 815, as discussed below, because these observable inputs are available for substantially the full term of its derivative instruments.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The following tables present the fair value of the Company’s derivative instruments as they appear in its Condensed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1, 2022 and April 3,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2"/>
          </w:tcPr>
          <w:p>
            <w:pPr>
              <w:ind w:left="180"/>
              <w:spacing w:after="0"/>
              <w:rPr>
                <w:sz w:val="20"/>
                <w:szCs w:val="20"/>
                <w:color w:val="auto"/>
              </w:rPr>
            </w:pPr>
            <w:r>
              <w:rPr>
                <w:rFonts w:ascii="Arial" w:cs="Arial" w:eastAsia="Arial" w:hAnsi="Arial"/>
                <w:sz w:val="14"/>
                <w:szCs w:val="14"/>
                <w:b w:val="1"/>
                <w:bCs w:val="1"/>
                <w:color w:val="auto"/>
              </w:rPr>
              <w:t>Location in Condensed Consolidated</w:t>
            </w:r>
          </w:p>
        </w:tc>
        <w:tc>
          <w:tcPr>
            <w:tcW w:w="28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320" w:type="dxa"/>
            <w:vAlign w:val="bottom"/>
          </w:tcPr>
          <w:p>
            <w:pPr>
              <w:spacing w:after="0"/>
              <w:rPr>
                <w:sz w:val="14"/>
                <w:szCs w:val="14"/>
                <w:color w:val="auto"/>
              </w:rPr>
            </w:pPr>
          </w:p>
        </w:tc>
        <w:tc>
          <w:tcPr>
            <w:tcW w:w="1580" w:type="dxa"/>
            <w:vAlign w:val="bottom"/>
          </w:tcPr>
          <w:p>
            <w:pPr>
              <w:jc w:val="right"/>
              <w:ind w:right="71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86"/>
        </w:trPr>
        <w:tc>
          <w:tcPr>
            <w:tcW w:w="46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740" w:type="dxa"/>
            <w:vAlign w:val="bottom"/>
            <w:gridSpan w:val="2"/>
          </w:tcPr>
          <w:p>
            <w:pPr>
              <w:ind w:left="860"/>
              <w:spacing w:after="0"/>
              <w:rPr>
                <w:sz w:val="20"/>
                <w:szCs w:val="20"/>
                <w:color w:val="auto"/>
              </w:rPr>
            </w:pPr>
            <w:r>
              <w:rPr>
                <w:rFonts w:ascii="Arial" w:cs="Arial" w:eastAsia="Arial" w:hAnsi="Arial"/>
                <w:sz w:val="14"/>
                <w:szCs w:val="14"/>
                <w:b w:val="1"/>
                <w:bCs w:val="1"/>
                <w:color w:val="auto"/>
              </w:rPr>
              <w:t>Balance Sheets</w:t>
            </w:r>
          </w:p>
        </w:tc>
        <w:tc>
          <w:tcPr>
            <w:tcW w:w="280" w:type="dxa"/>
            <w:vAlign w:val="bottom"/>
          </w:tcPr>
          <w:p>
            <w:pPr>
              <w:spacing w:after="0"/>
              <w:rPr>
                <w:sz w:val="16"/>
                <w:szCs w:val="16"/>
                <w:color w:val="auto"/>
              </w:rPr>
            </w:pPr>
          </w:p>
        </w:tc>
        <w:tc>
          <w:tcPr>
            <w:tcW w:w="17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January 1, 2022</w:t>
            </w:r>
          </w:p>
        </w:tc>
        <w:tc>
          <w:tcPr>
            <w:tcW w:w="320" w:type="dxa"/>
            <w:vAlign w:val="bottom"/>
          </w:tcPr>
          <w:p>
            <w:pPr>
              <w:spacing w:after="0"/>
              <w:rPr>
                <w:sz w:val="16"/>
                <w:szCs w:val="16"/>
                <w:color w:val="auto"/>
              </w:rPr>
            </w:pPr>
          </w:p>
        </w:tc>
        <w:tc>
          <w:tcPr>
            <w:tcW w:w="15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April 3, 2021</w:t>
            </w:r>
          </w:p>
        </w:tc>
        <w:tc>
          <w:tcPr>
            <w:tcW w:w="0" w:type="dxa"/>
            <w:vAlign w:val="bottom"/>
          </w:tcPr>
          <w:p>
            <w:pPr>
              <w:spacing w:after="0"/>
              <w:rPr>
                <w:sz w:val="1"/>
                <w:szCs w:val="1"/>
                <w:color w:val="auto"/>
              </w:rPr>
            </w:pPr>
          </w:p>
        </w:tc>
      </w:tr>
      <w:tr>
        <w:trPr>
          <w:trHeight w:val="78"/>
        </w:trPr>
        <w:tc>
          <w:tcPr>
            <w:tcW w:w="4600" w:type="dxa"/>
            <w:vAlign w:val="bottom"/>
            <w:gridSpan w:val="2"/>
            <w:vMerge w:val="continue"/>
          </w:tcPr>
          <w:p>
            <w:pPr>
              <w:spacing w:after="0"/>
              <w:rPr>
                <w:sz w:val="6"/>
                <w:szCs w:val="6"/>
                <w:color w:val="auto"/>
              </w:rPr>
            </w:pPr>
          </w:p>
        </w:tc>
        <w:tc>
          <w:tcPr>
            <w:tcW w:w="2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1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2,165</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Designated interest rate swaps</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10,654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25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5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6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1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money market funds carried at fair value are classified within Level 1 of the fair value hierarchy because they are valued using quoted market prices.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and financial liabilities measured at fair value on a recurring basis consist of the following as of January 1, 2022 and April 3, 2021.</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As of January 1, 2022</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6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93,192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93,192</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94,916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38,377</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43,631</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gridSpan w:val="5"/>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3"/>
              </w:rPr>
              <w:t>As of April 3, 2021</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5"/>
                <w:szCs w:val="15"/>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69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49,699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49,699</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51,864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28,733</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39,387</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Foreign currency hedge contracts - </w:t>
      </w:r>
      <w:r>
        <w:rPr>
          <w:rFonts w:ascii="Arial" w:cs="Arial" w:eastAsia="Arial" w:hAnsi="Arial"/>
          <w:sz w:val="18"/>
          <w:szCs w:val="18"/>
          <w:color w:val="auto"/>
        </w:rPr>
        <w:t>The fair value of foreign currency hedge contracts was measured using significant other observable inputs and valued</w:t>
      </w:r>
      <w:r>
        <w:rPr>
          <w:rFonts w:ascii="Arial" w:cs="Arial" w:eastAsia="Arial" w:hAnsi="Arial"/>
          <w:sz w:val="18"/>
          <w:szCs w:val="18"/>
          <w:i w:val="1"/>
          <w:iCs w:val="1"/>
          <w:color w:val="auto"/>
        </w:rPr>
        <w:t xml:space="preserve"> </w:t>
      </w:r>
      <w:r>
        <w:rPr>
          <w:rFonts w:ascii="Arial" w:cs="Arial" w:eastAsia="Arial" w:hAnsi="Arial"/>
          <w:sz w:val="18"/>
          <w:szCs w:val="18"/>
          <w:color w:val="auto"/>
        </w:rPr>
        <w:t>by 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Interest rate swaps - </w:t>
      </w:r>
      <w:r>
        <w:rPr>
          <w:rFonts w:ascii="Arial" w:cs="Arial" w:eastAsia="Arial" w:hAnsi="Arial"/>
          <w:sz w:val="18"/>
          <w:szCs w:val="18"/>
          <w:color w:val="auto"/>
        </w:rPr>
        <w:t>The fair values of interest rate swaps are measured using the present value of expected future cash flows using market-based</w:t>
      </w:r>
      <w:r>
        <w:rPr>
          <w:rFonts w:ascii="Arial" w:cs="Arial" w:eastAsia="Arial" w:hAnsi="Arial"/>
          <w:sz w:val="18"/>
          <w:szCs w:val="18"/>
          <w:i w:val="1"/>
          <w:iCs w:val="1"/>
          <w:color w:val="auto"/>
        </w:rPr>
        <w:t xml:space="preserve"> </w:t>
      </w:r>
      <w:r>
        <w:rPr>
          <w:rFonts w:ascii="Arial" w:cs="Arial" w:eastAsia="Arial" w:hAnsi="Arial"/>
          <w:sz w:val="18"/>
          <w:szCs w:val="18"/>
          <w:color w:val="auto"/>
        </w:rPr>
        <w:t>observable 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ind w:right="100"/>
        <w:spacing w:after="0" w:line="259" w:lineRule="auto"/>
        <w:rPr>
          <w:sz w:val="20"/>
          <w:szCs w:val="20"/>
          <w:color w:val="auto"/>
        </w:rPr>
      </w:pPr>
      <w:r>
        <w:rPr>
          <w:rFonts w:ascii="Arial" w:cs="Arial" w:eastAsia="Arial" w:hAnsi="Arial"/>
          <w:sz w:val="18"/>
          <w:szCs w:val="18"/>
          <w:i w:val="1"/>
          <w:iCs w:val="1"/>
          <w:color w:val="auto"/>
        </w:rPr>
        <w:t xml:space="preserve">Contingent consideration </w:t>
      </w:r>
      <w:r>
        <w:rPr>
          <w:rFonts w:ascii="Arial" w:cs="Arial" w:eastAsia="Arial" w:hAnsi="Arial"/>
          <w:sz w:val="18"/>
          <w:szCs w:val="18"/>
          <w:color w:val="auto"/>
        </w:rPr>
        <w:t>- The fair value of contingent consideration liabilities is based on significant unobservable inputs, including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and assumptions, and is measured based on the probability-weighted present value of the payments expected to be made. Accordingly, the fair value of contingent consideration has been classified as level 3 within the fair value hierarchy. The recurring level 3 fair value measurements of contingent consideration liabilities include the following significant unobservable inputs: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Fair Value at</w:t>
            </w: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Valuation</w:t>
            </w: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Unobservable</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6"/>
                <w:szCs w:val="16"/>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January 1, 2022</w:t>
            </w: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Technique</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1960" w:type="dxa"/>
            <w:vAlign w:val="bottom"/>
          </w:tcPr>
          <w:p>
            <w:pPr>
              <w:ind w:left="78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276"/>
        </w:trPr>
        <w:tc>
          <w:tcPr>
            <w:tcW w:w="264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Revenue-based payments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4"/>
                <w:szCs w:val="24"/>
                <w:color w:val="auto"/>
              </w:rPr>
            </w:pP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Discounted cash flow</w:t>
            </w: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w:t>
            </w:r>
          </w:p>
        </w:tc>
        <w:tc>
          <w:tcPr>
            <w:tcW w:w="0" w:type="dxa"/>
            <w:vAlign w:val="bottom"/>
          </w:tcPr>
          <w:p>
            <w:pPr>
              <w:spacing w:after="0"/>
              <w:rPr>
                <w:sz w:val="1"/>
                <w:szCs w:val="1"/>
                <w:color w:val="auto"/>
              </w:rPr>
            </w:pPr>
          </w:p>
        </w:tc>
      </w:tr>
      <w:tr>
        <w:trPr>
          <w:trHeight w:val="108"/>
        </w:trPr>
        <w:tc>
          <w:tcPr>
            <w:tcW w:w="26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0"/>
              </w:rPr>
              <w:t>Projected year of payment</w:t>
            </w:r>
          </w:p>
        </w:tc>
        <w:tc>
          <w:tcPr>
            <w:tcW w:w="120" w:type="dxa"/>
            <w:vAlign w:val="bottom"/>
            <w:vMerge w:val="restart"/>
          </w:tcPr>
          <w:p>
            <w:pPr>
              <w:spacing w:after="0"/>
              <w:rPr>
                <w:sz w:val="9"/>
                <w:szCs w:val="9"/>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162"/>
        </w:trPr>
        <w:tc>
          <w:tcPr>
            <w:tcW w:w="2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64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Revenue-based payments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1"/>
                <w:szCs w:val="21"/>
                <w:color w:val="auto"/>
              </w:rPr>
            </w:pP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Discounted cash flow</w:t>
            </w: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8.5%</w:t>
            </w:r>
          </w:p>
        </w:tc>
        <w:tc>
          <w:tcPr>
            <w:tcW w:w="0" w:type="dxa"/>
            <w:vAlign w:val="bottom"/>
          </w:tcPr>
          <w:p>
            <w:pPr>
              <w:spacing w:after="0"/>
              <w:rPr>
                <w:sz w:val="1"/>
                <w:szCs w:val="1"/>
                <w:color w:val="auto"/>
              </w:rPr>
            </w:pPr>
          </w:p>
        </w:tc>
      </w:tr>
      <w:tr>
        <w:trPr>
          <w:trHeight w:val="122"/>
        </w:trPr>
        <w:tc>
          <w:tcPr>
            <w:tcW w:w="264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gridSpan w:val="2"/>
            <w:vMerge w:val="continue"/>
          </w:tcPr>
          <w:p>
            <w:pPr>
              <w:spacing w:after="0"/>
              <w:rPr>
                <w:sz w:val="10"/>
                <w:szCs w:val="10"/>
                <w:color w:val="auto"/>
              </w:rPr>
            </w:pP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0"/>
              </w:rPr>
              <w:t>Projected year of payment</w:t>
            </w:r>
          </w:p>
        </w:tc>
        <w:tc>
          <w:tcPr>
            <w:tcW w:w="120" w:type="dxa"/>
            <w:vAlign w:val="bottom"/>
            <w:vMerge w:val="restart"/>
          </w:tcPr>
          <w:p>
            <w:pPr>
              <w:spacing w:after="0"/>
              <w:rPr>
                <w:sz w:val="10"/>
                <w:szCs w:val="10"/>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89"/>
              </w:rPr>
              <w:t>2022 - 2023</w:t>
            </w:r>
          </w:p>
        </w:tc>
        <w:tc>
          <w:tcPr>
            <w:tcW w:w="0" w:type="dxa"/>
            <w:vAlign w:val="bottom"/>
          </w:tcPr>
          <w:p>
            <w:pPr>
              <w:spacing w:after="0"/>
              <w:rPr>
                <w:sz w:val="1"/>
                <w:szCs w:val="1"/>
                <w:color w:val="auto"/>
              </w:rPr>
            </w:pPr>
          </w:p>
        </w:tc>
      </w:tr>
      <w:tr>
        <w:trPr>
          <w:trHeight w:val="148"/>
        </w:trPr>
        <w:tc>
          <w:tcPr>
            <w:tcW w:w="2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4.9%</w:t>
            </w:r>
          </w:p>
        </w:tc>
        <w:tc>
          <w:tcPr>
            <w:tcW w:w="0" w:type="dxa"/>
            <w:vAlign w:val="bottom"/>
          </w:tcPr>
          <w:p>
            <w:pPr>
              <w:spacing w:after="0"/>
              <w:rPr>
                <w:sz w:val="1"/>
                <w:szCs w:val="1"/>
                <w:color w:val="auto"/>
              </w:rPr>
            </w:pPr>
          </w:p>
        </w:tc>
      </w:tr>
      <w:tr>
        <w:trPr>
          <w:trHeight w:val="270"/>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Regulatory-based payment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3"/>
                <w:szCs w:val="23"/>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Discounted cash flow</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Probability of payment</w:t>
            </w: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0% - 100%</w:t>
            </w:r>
          </w:p>
        </w:tc>
        <w:tc>
          <w:tcPr>
            <w:tcW w:w="0" w:type="dxa"/>
            <w:vAlign w:val="bottom"/>
          </w:tcPr>
          <w:p>
            <w:pPr>
              <w:spacing w:after="0"/>
              <w:rPr>
                <w:sz w:val="1"/>
                <w:szCs w:val="1"/>
                <w:color w:val="auto"/>
              </w:rPr>
            </w:pPr>
          </w:p>
        </w:tc>
      </w:tr>
      <w:tr>
        <w:trPr>
          <w:trHeight w:val="270"/>
        </w:trPr>
        <w:tc>
          <w:tcPr>
            <w:tcW w:w="25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Projected year of payment</w:t>
            </w:r>
          </w:p>
        </w:tc>
        <w:tc>
          <w:tcPr>
            <w:tcW w:w="120" w:type="dxa"/>
            <w:vAlign w:val="bottom"/>
            <w:shd w:val="clear" w:color="auto" w:fill="CCEEFF"/>
          </w:tcPr>
          <w:p>
            <w:pPr>
              <w:spacing w:after="0"/>
              <w:rPr>
                <w:sz w:val="23"/>
                <w:szCs w:val="23"/>
                <w:color w:val="auto"/>
              </w:rPr>
            </w:pPr>
          </w:p>
        </w:tc>
        <w:tc>
          <w:tcPr>
            <w:tcW w:w="1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2022 - 2023</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As of January 1, 2022, the remaining maximum potential contingent consideration that the Company could be required to pay is $39.1 million. During the nine months ended January 1, 2022, the Company increased the fair value of the contingent consideration related to the acquisition of Cardiva by</w:t>
      </w:r>
    </w:p>
    <w:p>
      <w:pPr>
        <w:ind w:right="40"/>
        <w:spacing w:after="0" w:line="253" w:lineRule="auto"/>
        <w:rPr>
          <w:sz w:val="20"/>
          <w:szCs w:val="20"/>
          <w:color w:val="auto"/>
        </w:rPr>
      </w:pPr>
      <w:r>
        <w:rPr>
          <w:rFonts w:ascii="Arial" w:cs="Arial" w:eastAsia="Arial" w:hAnsi="Arial"/>
          <w:sz w:val="18"/>
          <w:szCs w:val="18"/>
          <w:color w:val="auto"/>
        </w:rPr>
        <w:t>$10.7 million, which was recorded as selling, general and administrative expenses within the unaudited Condensed Consolidated Statements of Income and Comprehensive Income. The fair value of contingent consideration associated with acquisitions was $38.4 million at January 1, 2022. As of January 1, 2022, $36.2 million was included in other liabilities and $2.2 million was included in other long-term liabilities on the condensed consolidated balance sheet.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 in the fair value of contingent consideration is included in the following table: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5"/>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April 3, 2021</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28,733</w:t>
            </w:r>
          </w:p>
        </w:tc>
      </w:tr>
      <w:tr>
        <w:trPr>
          <w:trHeight w:val="229"/>
        </w:trPr>
        <w:tc>
          <w:tcPr>
            <w:tcW w:w="882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9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10,272</w:t>
            </w:r>
          </w:p>
        </w:tc>
      </w:tr>
      <w:tr>
        <w:trPr>
          <w:trHeight w:val="230"/>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translation</w:t>
            </w:r>
          </w:p>
        </w:tc>
        <w:tc>
          <w:tcPr>
            <w:tcW w:w="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38,377</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Term Loan, which is carried at amortized cost, accounts receivable and accounts payable approximate fair value. The fair value of the 2026 Notes as of January 1, 2022 was $421.4 million, which was determined by using the market price on the last trading day of the reporting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Company is a party to various legal proceedings and claims arising out of the ordinary course of its business. The Company believes there are no proceedings or claims pending against it the ultimate resolution of which could have a material adverse effect on the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for all matters. Legal costs are expensed as incurred.</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third quarter of fiscal 2021, the Company received a subpoena from the U.S. Attorney’s Office for the District of Massachusetts. The subpoena requests certain documents regarding the Company’s apheresis and autotransfusion devices and disposables, including documents relating to product complaints and adverse event reporting, regulatory clearances and product design changes, among other matters. The Company is fully cooperating with this inquiry.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14. SEGMENT AND ENTERPRISE-WIDE INFORMATION</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Company’s reporting structure aligns with its operating structure of three global business units and the information that is regularly reviewed by the Company’s chief operating decision maker.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Plasma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Blood Center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Hospital</w:t>
      </w:r>
    </w:p>
    <w:p>
      <w:pPr>
        <w:spacing w:after="0" w:line="2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integration and transaction costs, deal amortization, restructuring and restructuring related costs, impairments, accelerated device depreciation and related costs, costs related to compliance with the European Union Medical Device Regulation (“MDR”) and In Vitro Diagnostic Regulation (“IVDR”), unusual or infrequent and material litigation-related charges and gains and losses on dispositions and sale of assets.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reportable segment is presented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32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4"/>
        </w:trPr>
        <w:tc>
          <w:tcPr>
            <w:tcW w:w="61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4"/>
              <w:spacing w:after="0" w:line="135" w:lineRule="exact"/>
              <w:rPr>
                <w:sz w:val="20"/>
                <w:szCs w:val="20"/>
                <w:color w:val="auto"/>
              </w:rPr>
            </w:pPr>
            <w:r>
              <w:rPr>
                <w:rFonts w:ascii="Arial" w:cs="Arial" w:eastAsia="Arial" w:hAnsi="Arial"/>
                <w:sz w:val="14"/>
                <w:szCs w:val="14"/>
                <w:b w:val="1"/>
                <w:bCs w:val="1"/>
                <w:color w:val="auto"/>
                <w:w w:val="94"/>
              </w:rPr>
              <w:t>December 26,</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4"/>
              <w:spacing w:after="0" w:line="135" w:lineRule="exact"/>
              <w:rPr>
                <w:sz w:val="20"/>
                <w:szCs w:val="20"/>
                <w:color w:val="auto"/>
              </w:rPr>
            </w:pPr>
            <w:r>
              <w:rPr>
                <w:rFonts w:ascii="Arial" w:cs="Arial" w:eastAsia="Arial" w:hAnsi="Arial"/>
                <w:sz w:val="14"/>
                <w:szCs w:val="14"/>
                <w:b w:val="1"/>
                <w:bCs w:val="1"/>
                <w:color w:val="auto"/>
                <w:w w:val="94"/>
              </w:rPr>
              <w:t>December 26,</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Plasma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96,692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102,154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250,499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249,587</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Blood Center</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234,446</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Hospital</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148,927</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business unit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632,960</w:t>
            </w: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Service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15,396</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259,769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240,371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728,194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645,434</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80" w:hanging="154"/>
        <w:spacing w:after="0"/>
        <w:tabs>
          <w:tab w:leader="none" w:pos="18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Reflects revenue for service, maintenance and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-124460</wp:posOffset>
            </wp:positionV>
            <wp:extent cx="32575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4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59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January 1,</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12"/>
              <w:spacing w:after="0" w:line="135" w:lineRule="exact"/>
              <w:rPr>
                <w:sz w:val="20"/>
                <w:szCs w:val="20"/>
                <w:color w:val="auto"/>
              </w:rPr>
            </w:pPr>
            <w:r>
              <w:rPr>
                <w:rFonts w:ascii="Arial" w:cs="Arial" w:eastAsia="Arial" w:hAnsi="Arial"/>
                <w:sz w:val="14"/>
                <w:szCs w:val="14"/>
                <w:b w:val="1"/>
                <w:bCs w:val="1"/>
                <w:color w:val="auto"/>
                <w:w w:val="94"/>
              </w:rPr>
              <w:t>December 26,</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January 1,</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12"/>
              <w:spacing w:after="0" w:line="135" w:lineRule="exact"/>
              <w:rPr>
                <w:sz w:val="20"/>
                <w:szCs w:val="20"/>
                <w:color w:val="auto"/>
              </w:rPr>
            </w:pPr>
            <w:r>
              <w:rPr>
                <w:rFonts w:ascii="Arial" w:cs="Arial" w:eastAsia="Arial" w:hAnsi="Arial"/>
                <w:sz w:val="14"/>
                <w:szCs w:val="14"/>
                <w:b w:val="1"/>
                <w:bCs w:val="1"/>
                <w:color w:val="auto"/>
                <w:w w:val="94"/>
              </w:rPr>
              <w:t>December 26,</w:t>
            </w:r>
          </w:p>
        </w:tc>
        <w:tc>
          <w:tcPr>
            <w:tcW w:w="0" w:type="dxa"/>
            <w:vAlign w:val="bottom"/>
          </w:tcPr>
          <w:p>
            <w:pPr>
              <w:spacing w:after="0"/>
              <w:rPr>
                <w:sz w:val="1"/>
                <w:szCs w:val="1"/>
                <w:color w:val="auto"/>
              </w:rPr>
            </w:pPr>
          </w:p>
        </w:tc>
      </w:tr>
      <w:tr>
        <w:trPr>
          <w:trHeight w:val="188"/>
        </w:trPr>
        <w:tc>
          <w:tcPr>
            <w:tcW w:w="59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rPr>
              <w:t>Plasma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51,405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52,673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128,964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129,846</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Blood Center</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108,926</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Hospital</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61,672</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300,444</w:t>
            </w:r>
          </w:p>
        </w:tc>
        <w:tc>
          <w:tcPr>
            <w:tcW w:w="0" w:type="dxa"/>
            <w:vAlign w:val="bottom"/>
          </w:tcPr>
          <w:p>
            <w:pPr>
              <w:spacing w:after="0"/>
              <w:rPr>
                <w:sz w:val="1"/>
                <w:szCs w:val="1"/>
                <w:color w:val="auto"/>
              </w:rPr>
            </w:pPr>
          </w:p>
        </w:tc>
      </w:tr>
      <w:tr>
        <w:trPr>
          <w:trHeight w:val="229"/>
        </w:trPr>
        <w:tc>
          <w:tcPr>
            <w:tcW w:w="5940" w:type="dxa"/>
            <w:vAlign w:val="bottom"/>
          </w:tcPr>
          <w:p>
            <w:pPr>
              <w:ind w:left="120"/>
              <w:spacing w:after="0" w:line="230" w:lineRule="exact"/>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(68,013)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(63,202)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(204,930)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(185,005)</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exchange rates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0" w:type="dxa"/>
            <w:vAlign w:val="bottom"/>
          </w:tcPr>
          <w:p>
            <w:pPr>
              <w:spacing w:after="0"/>
              <w:rPr>
                <w:sz w:val="1"/>
                <w:szCs w:val="1"/>
                <w:color w:val="auto"/>
              </w:rPr>
            </w:pPr>
          </w:p>
        </w:tc>
      </w:tr>
      <w:tr>
        <w:trPr>
          <w:trHeight w:val="230"/>
        </w:trPr>
        <w:tc>
          <w:tcPr>
            <w:tcW w:w="5940" w:type="dxa"/>
            <w:vAlign w:val="bottom"/>
          </w:tcPr>
          <w:p>
            <w:pPr>
              <w:ind w:left="120"/>
              <w:spacing w:after="0"/>
              <w:rPr>
                <w:sz w:val="20"/>
                <w:szCs w:val="20"/>
                <w:color w:val="auto"/>
              </w:rPr>
            </w:pPr>
            <w:r>
              <w:rPr>
                <w:rFonts w:ascii="Arial" w:cs="Arial" w:eastAsia="Arial" w:hAnsi="Arial"/>
                <w:sz w:val="18"/>
                <w:szCs w:val="18"/>
                <w:color w:val="auto"/>
              </w:rPr>
              <w:t>Integration and transaction costs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Deal amortization</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(24,204)</w:t>
            </w:r>
          </w:p>
        </w:tc>
        <w:tc>
          <w:tcPr>
            <w:tcW w:w="0" w:type="dxa"/>
            <w:vAlign w:val="bottom"/>
          </w:tcPr>
          <w:p>
            <w:pPr>
              <w:spacing w:after="0"/>
              <w:rPr>
                <w:sz w:val="1"/>
                <w:szCs w:val="1"/>
                <w:color w:val="auto"/>
              </w:rPr>
            </w:pPr>
          </w:p>
        </w:tc>
      </w:tr>
      <w:tr>
        <w:trPr>
          <w:trHeight w:val="229"/>
        </w:trPr>
        <w:tc>
          <w:tcPr>
            <w:tcW w:w="5940" w:type="dxa"/>
            <w:vAlign w:val="bottom"/>
          </w:tcPr>
          <w:p>
            <w:pPr>
              <w:ind w:left="120"/>
              <w:spacing w:after="0"/>
              <w:rPr>
                <w:sz w:val="20"/>
                <w:szCs w:val="20"/>
                <w:color w:val="auto"/>
              </w:rPr>
            </w:pPr>
            <w:r>
              <w:rPr>
                <w:rFonts w:ascii="Arial" w:cs="Arial" w:eastAsia="Arial" w:hAnsi="Arial"/>
                <w:sz w:val="18"/>
                <w:szCs w:val="18"/>
                <w:color w:val="auto"/>
              </w:rPr>
              <w:t>Restructuring and restructuring related costs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(11,583)</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of assets and PCS2 related charges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29"/>
        </w:trPr>
        <w:tc>
          <w:tcPr>
            <w:tcW w:w="5940" w:type="dxa"/>
            <w:vAlign w:val="bottom"/>
          </w:tcPr>
          <w:p>
            <w:pPr>
              <w:ind w:left="120"/>
              <w:spacing w:after="0"/>
              <w:rPr>
                <w:sz w:val="20"/>
                <w:szCs w:val="20"/>
                <w:color w:val="auto"/>
              </w:rPr>
            </w:pPr>
            <w:r>
              <w:rPr>
                <w:rFonts w:ascii="Arial" w:cs="Arial" w:eastAsia="Arial" w:hAnsi="Arial"/>
                <w:sz w:val="18"/>
                <w:szCs w:val="18"/>
                <w:color w:val="auto"/>
              </w:rPr>
              <w:t>MDR and IVDR costs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Litigation-related charges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tcPr>
          <w:p>
            <w:pPr>
              <w:ind w:left="120"/>
              <w:spacing w:after="0"/>
              <w:rPr>
                <w:sz w:val="20"/>
                <w:szCs w:val="20"/>
                <w:color w:val="auto"/>
              </w:rPr>
            </w:pPr>
            <w:r>
              <w:rPr>
                <w:rFonts w:ascii="Arial" w:cs="Arial" w:eastAsia="Arial" w:hAnsi="Arial"/>
                <w:sz w:val="18"/>
                <w:szCs w:val="18"/>
                <w:color w:val="auto"/>
              </w:rPr>
              <w:t>Gains on divestitures and sale of assets</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32,613</w:t>
            </w:r>
          </w:p>
        </w:tc>
        <w:tc>
          <w:tcPr>
            <w:tcW w:w="0" w:type="dxa"/>
            <w:vAlign w:val="bottom"/>
          </w:tcPr>
          <w:p>
            <w:pPr>
              <w:spacing w:after="0"/>
              <w:rPr>
                <w:sz w:val="1"/>
                <w:szCs w:val="1"/>
                <w:color w:val="auto"/>
              </w:rPr>
            </w:pPr>
          </w:p>
        </w:tc>
      </w:tr>
      <w:tr>
        <w:trPr>
          <w:trHeight w:val="230"/>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61,551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110,922</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right="380" w:firstLine="6"/>
        <w:spacing w:after="0" w:line="226" w:lineRule="auto"/>
        <w:tabs>
          <w:tab w:leader="none" w:pos="183"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Reflects shared service expenses including quality and regulatory, customer and field service, research and development, manufacturing and supply chain, as well as other corporate support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-226695</wp:posOffset>
            </wp:positionV>
            <wp:extent cx="33604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0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Management reviews revenue based on the reportable segments noted above. Although these reportable segments are primarily product-based, they differ from the Company’s product line revenues for Plasma products and services and Blood Center products and services. Specifically, the Blood Center reportable segment includes plasma products utilized for collection in blood centers primarily for transfusion purposes. Additionally, product line revenues also include service revenues which are excluded from the reportable segments.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line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320" w:type="dxa"/>
            <w:vAlign w:val="bottom"/>
            <w:gridSpan w:val="4"/>
          </w:tcPr>
          <w:p>
            <w:pPr>
              <w:jc w:val="right"/>
              <w:ind w:right="55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61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6"/>
              <w:spacing w:after="0" w:line="135" w:lineRule="exact"/>
              <w:rPr>
                <w:sz w:val="20"/>
                <w:szCs w:val="20"/>
                <w:color w:val="auto"/>
              </w:rPr>
            </w:pPr>
            <w:r>
              <w:rPr>
                <w:rFonts w:ascii="Arial" w:cs="Arial" w:eastAsia="Arial" w:hAnsi="Arial"/>
                <w:sz w:val="14"/>
                <w:szCs w:val="14"/>
                <w:b w:val="1"/>
                <w:bCs w:val="1"/>
                <w:color w:val="auto"/>
                <w:w w:val="94"/>
              </w:rPr>
              <w:t>December 26,</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6"/>
              <w:spacing w:after="0" w:line="135" w:lineRule="exact"/>
              <w:rPr>
                <w:sz w:val="20"/>
                <w:szCs w:val="20"/>
                <w:color w:val="auto"/>
              </w:rPr>
            </w:pPr>
            <w:r>
              <w:rPr>
                <w:rFonts w:ascii="Arial" w:cs="Arial" w:eastAsia="Arial" w:hAnsi="Arial"/>
                <w:sz w:val="14"/>
                <w:szCs w:val="14"/>
                <w:b w:val="1"/>
                <w:bCs w:val="1"/>
                <w:color w:val="auto"/>
                <w:w w:val="94"/>
              </w:rPr>
              <w:t>December 26,</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Plasma products and services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309,933</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Blood Center products and services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59,440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62,787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182,687</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 products and services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152,814</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259,769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240,371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728,194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645,434</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Net revenues generated in the Company’s principle operating regions on a reported basis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32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6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5"/>
              <w:spacing w:after="0" w:line="135" w:lineRule="exact"/>
              <w:rPr>
                <w:sz w:val="20"/>
                <w:szCs w:val="20"/>
                <w:color w:val="auto"/>
              </w:rPr>
            </w:pPr>
            <w:r>
              <w:rPr>
                <w:rFonts w:ascii="Arial" w:cs="Arial" w:eastAsia="Arial" w:hAnsi="Arial"/>
                <w:sz w:val="14"/>
                <w:szCs w:val="14"/>
                <w:b w:val="1"/>
                <w:bCs w:val="1"/>
                <w:color w:val="auto"/>
                <w:w w:val="94"/>
              </w:rPr>
              <w:t>December 26,</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5"/>
              <w:spacing w:after="0" w:line="135" w:lineRule="exact"/>
              <w:rPr>
                <w:sz w:val="20"/>
                <w:szCs w:val="20"/>
                <w:color w:val="auto"/>
              </w:rPr>
            </w:pPr>
            <w:r>
              <w:rPr>
                <w:rFonts w:ascii="Arial" w:cs="Arial" w:eastAsia="Arial" w:hAnsi="Arial"/>
                <w:sz w:val="14"/>
                <w:szCs w:val="14"/>
                <w:b w:val="1"/>
                <w:bCs w:val="1"/>
                <w:color w:val="auto"/>
                <w:w w:val="94"/>
              </w:rPr>
              <w:t>December 26,</w:t>
            </w:r>
          </w:p>
        </w:tc>
        <w:tc>
          <w:tcPr>
            <w:tcW w:w="0" w:type="dxa"/>
            <w:vAlign w:val="bottom"/>
          </w:tcPr>
          <w:p>
            <w:pPr>
              <w:spacing w:after="0"/>
              <w:rPr>
                <w:sz w:val="1"/>
                <w:szCs w:val="1"/>
                <w:color w:val="auto"/>
              </w:rPr>
            </w:pPr>
          </w:p>
        </w:tc>
      </w:tr>
      <w:tr>
        <w:trPr>
          <w:trHeight w:val="188"/>
        </w:trPr>
        <w:tc>
          <w:tcPr>
            <w:tcW w:w="60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382,600</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Japan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55,949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57,330</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123,541</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Asia</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83,157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77,602</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259,769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240,371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728,194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645,434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are as follows:</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Net Unrealized</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1"/>
                <w:szCs w:val="11"/>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1"/>
                <w:szCs w:val="11"/>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Defined Benefit Plans</w:t>
            </w:r>
          </w:p>
        </w:tc>
        <w:tc>
          <w:tcPr>
            <w:tcW w:w="200" w:type="dxa"/>
            <w:vAlign w:val="bottom"/>
          </w:tcPr>
          <w:p>
            <w:pPr>
              <w:spacing w:after="0"/>
              <w:rPr>
                <w:sz w:val="11"/>
                <w:szCs w:val="11"/>
                <w:color w:val="auto"/>
              </w:rPr>
            </w:pPr>
          </w:p>
        </w:tc>
        <w:tc>
          <w:tcPr>
            <w:tcW w:w="14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Gain/(Loss) on</w:t>
            </w:r>
          </w:p>
        </w:tc>
        <w:tc>
          <w:tcPr>
            <w:tcW w:w="360" w:type="dxa"/>
            <w:vAlign w:val="bottom"/>
          </w:tcPr>
          <w:p>
            <w:pPr>
              <w:spacing w:after="0"/>
              <w:rPr>
                <w:sz w:val="11"/>
                <w:szCs w:val="11"/>
                <w:color w:val="auto"/>
              </w:rPr>
            </w:pPr>
          </w:p>
        </w:tc>
        <w:tc>
          <w:tcPr>
            <w:tcW w:w="124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Derivatives</w:t>
            </w:r>
          </w:p>
        </w:tc>
        <w:tc>
          <w:tcPr>
            <w:tcW w:w="3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as of April 3, 2021</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(21,528)</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center"/>
              <w:ind w:left="697"/>
              <w:spacing w:after="0"/>
              <w:rPr>
                <w:sz w:val="20"/>
                <w:szCs w:val="20"/>
                <w:color w:val="auto"/>
              </w:rPr>
            </w:pPr>
            <w:r>
              <w:rPr>
                <w:rFonts w:ascii="Arial" w:cs="Arial" w:eastAsia="Arial" w:hAnsi="Arial"/>
                <w:sz w:val="18"/>
                <w:szCs w:val="18"/>
                <w:b w:val="1"/>
                <w:bCs w:val="1"/>
                <w:color w:val="auto"/>
                <w:w w:val="91"/>
              </w:rPr>
              <w:t>(7,459)</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(29,547)</w:t>
            </w:r>
          </w:p>
        </w:tc>
        <w:tc>
          <w:tcPr>
            <w:tcW w:w="0" w:type="dxa"/>
            <w:vAlign w:val="bottom"/>
          </w:tcPr>
          <w:p>
            <w:pPr>
              <w:spacing w:after="0"/>
              <w:rPr>
                <w:sz w:val="1"/>
                <w:szCs w:val="1"/>
                <w:color w:val="auto"/>
              </w:rPr>
            </w:pPr>
          </w:p>
        </w:tc>
      </w:tr>
      <w:tr>
        <w:trPr>
          <w:trHeight w:val="155"/>
        </w:trPr>
        <w:tc>
          <w:tcPr>
            <w:tcW w:w="452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80" w:type="dxa"/>
            <w:vAlign w:val="bottom"/>
            <w:gridSpan w:val="2"/>
            <w:vMerge w:val="restart"/>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center"/>
              <w:ind w:left="717"/>
              <w:spacing w:after="0"/>
              <w:rPr>
                <w:sz w:val="20"/>
                <w:szCs w:val="20"/>
                <w:color w:val="auto"/>
              </w:rPr>
            </w:pPr>
            <w:r>
              <w:rPr>
                <w:rFonts w:ascii="Arial" w:cs="Arial" w:eastAsia="Arial" w:hAnsi="Arial"/>
                <w:sz w:val="18"/>
                <w:szCs w:val="18"/>
                <w:color w:val="auto"/>
                <w:w w:val="93"/>
              </w:rPr>
              <w:t>1,839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reclassifications</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160" w:type="dxa"/>
            <w:vAlign w:val="bottom"/>
          </w:tcPr>
          <w:p>
            <w:pPr>
              <w:spacing w:after="0"/>
              <w:rPr>
                <w:sz w:val="15"/>
                <w:szCs w:val="15"/>
                <w:color w:val="auto"/>
              </w:rPr>
            </w:pPr>
          </w:p>
        </w:tc>
        <w:tc>
          <w:tcPr>
            <w:tcW w:w="1520" w:type="dxa"/>
            <w:vAlign w:val="bottom"/>
            <w:gridSpan w:val="2"/>
            <w:vMerge w:val="restart"/>
          </w:tcPr>
          <w:p>
            <w:pPr>
              <w:ind w:left="1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580" w:type="dxa"/>
            <w:vAlign w:val="bottom"/>
            <w:gridSpan w:val="2"/>
            <w:vMerge w:val="restart"/>
          </w:tcPr>
          <w:p>
            <w:pPr>
              <w:ind w:left="1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380" w:type="dxa"/>
            <w:vAlign w:val="bottom"/>
            <w:vMerge w:val="restart"/>
          </w:tcPr>
          <w:p>
            <w:pPr>
              <w:jc w:val="center"/>
              <w:ind w:left="717"/>
              <w:spacing w:after="0"/>
              <w:rPr>
                <w:sz w:val="20"/>
                <w:szCs w:val="20"/>
                <w:color w:val="auto"/>
              </w:rPr>
            </w:pPr>
            <w:r>
              <w:rPr>
                <w:rFonts w:ascii="Arial" w:cs="Arial" w:eastAsia="Arial" w:hAnsi="Arial"/>
                <w:sz w:val="18"/>
                <w:szCs w:val="18"/>
                <w:color w:val="auto"/>
                <w:w w:val="93"/>
              </w:rPr>
              <w:t>1,847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30"/>
        </w:trPr>
        <w:tc>
          <w:tcPr>
            <w:tcW w:w="45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Comprehensive Income</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center"/>
              <w:ind w:left="717"/>
              <w:spacing w:after="0"/>
              <w:rPr>
                <w:sz w:val="20"/>
                <w:szCs w:val="20"/>
                <w:color w:val="auto"/>
              </w:rPr>
            </w:pPr>
            <w:r>
              <w:rPr>
                <w:rFonts w:ascii="Arial" w:cs="Arial" w:eastAsia="Arial" w:hAnsi="Arial"/>
                <w:sz w:val="18"/>
                <w:szCs w:val="18"/>
                <w:color w:val="auto"/>
                <w:w w:val="93"/>
              </w:rPr>
              <w:t>3,686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45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January 1,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(25,016)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center"/>
              <w:ind w:left="697"/>
              <w:spacing w:after="0"/>
              <w:rPr>
                <w:sz w:val="20"/>
                <w:szCs w:val="20"/>
                <w:color w:val="auto"/>
              </w:rPr>
            </w:pPr>
            <w:r>
              <w:rPr>
                <w:rFonts w:ascii="Arial" w:cs="Arial" w:eastAsia="Arial" w:hAnsi="Arial"/>
                <w:sz w:val="18"/>
                <w:szCs w:val="18"/>
                <w:b w:val="1"/>
                <w:bCs w:val="1"/>
                <w:color w:val="auto"/>
                <w:w w:val="91"/>
              </w:rPr>
              <w:t>(3,773)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(29,349)</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20" w:hanging="160"/>
        <w:spacing w:after="0"/>
        <w:tabs>
          <w:tab w:leader="none" w:pos="22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Presented net of income taxes, the amounts of which are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-124460</wp:posOffset>
            </wp:positionV>
            <wp:extent cx="42259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25925" cy="889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condensed consolidated financial statements and notes thereto which appear elsewhere in this Quarterly Report on Form 10-Q and our annual consolidated financial statements, notes thereto and the MD&amp;A contained in our Annual Report on Form 10-K for the fiscal year ended April 3, 2021. The following discussion may contain forward-looking statements and should be read in conjunction with the “Cautionary Statement Regarding Forward-Looking Information” in this discussion.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43"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Haemonetics Corporation is a global healthcare company dedicated to providing a suite of innovative medical products and solutions for customers to help them improve patient care and reduce the cost of healthcare. Our technology addresses important medical markets: blood and plasma component collection, the surgical suite and hospital transfusion services. When used in this report, the terms “we,” “us,” “our”, “Haemonetics” and the “Company” mean Haemonetics Corporation.</w:t>
      </w:r>
    </w:p>
    <w:p>
      <w:pPr>
        <w:spacing w:after="0" w:line="216"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We view our operations and manage our business in three principal reporting segments: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“Hospital”, which is comprised of Hemostasis Management, Cell Salvage, Transfusion Management and Vascular Closure products, includes devices and methodologies for measuring coagulation characteristics of blood, surgical blood salvage systems, specialized blood cell processing systems and disposables, blood transfusion management software and vascular closure devices.</w:t>
      </w:r>
    </w:p>
    <w:p>
      <w:pPr>
        <w:spacing w:after="0" w:line="205"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Excellence Program</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second quarter of fiscal 2022, our Board of Directors approved the revised Operational Excellence Program (the “2020 Program”). The revised program is designed to improve product and service quality, reduce cost principally in our manufacturing and supply chain operations and ensure sustainability while helping to offset impacts from a previously announced customer loss, rising inflationary pressures and effects of the COVID-19 pandemic. We now expect to incur aggregate charges between $95 million and $105 million by the end of fiscal 2025 and to achieve total gross savings of $115 million to $125 million on an annualized basis once the program is completed. The majority of charges will result in cash outlays, including severance and other employee costs, and will be incurred as the specific actions required to execute these initiatives are identified and approved. During the three and nine months ended January 1, 2022, the Company incurred $5.7 million and $20.2 million, respectively, of restructuring and restructuring related costs under this program. During the three and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ind w:right="120"/>
        <w:spacing w:after="0" w:line="277" w:lineRule="auto"/>
        <w:rPr>
          <w:sz w:val="20"/>
          <w:szCs w:val="20"/>
          <w:color w:val="auto"/>
        </w:rPr>
      </w:pPr>
      <w:r>
        <w:rPr>
          <w:rFonts w:ascii="Arial" w:cs="Arial" w:eastAsia="Arial" w:hAnsi="Arial"/>
          <w:sz w:val="18"/>
          <w:szCs w:val="18"/>
          <w:color w:val="auto"/>
        </w:rPr>
        <w:t>nine months ended December 26, 2020, the Company incurred $3.1 million and $11.1 million, respectively, of restructuring and restructuring related costs under this program. Total cumulative charges under this program are $47.2 million as of January 1,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CSL Contract Loss</w:t>
      </w:r>
    </w:p>
    <w:p>
      <w:pPr>
        <w:spacing w:after="0" w:line="23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 April 2021, CSL Plasma, Ltd. informed Haemonetics of its intent not to renew its supply agreement for the use of PCS2 plasma collection system devices and the purchase of disposable plasmapheresis kits (the “Supply Agreement”) following the expiration of the current term of the Supply Agreement in June 2022. In fiscal year 2021, revenue under this Supply Agreement was $88.6 million, or 10.2% of total revenue. As a result of this anticipated contract loss, we recorded a $20.9 million one-time asset impairment charge relating to disposables manufacturing equipment and $5.0 million of additional expenses in the fourth quarter of fiscal 2021. In the first quarter of fiscal 2022, we incurred an additional $2.8 million of accelerated depreciation expense relating to disposables manufacturing equipment that is no longer in use. During the third quarter of fiscal 2022, we amended the Supply Agreement to allow CSL to continue to use our PCS2 devices and purchase disposables through December 2023. The extension provides CSL the ability to utilize our devices and disposables in their collection centers on a non-exclusive basis, and we are working with them to quantify their volume requirements over the life of the agreement.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continue to closely manage the impacts of the COVID-19 pandemic on our business, results of operations and financial condition. The progression of the COVID-19 pandemic during fiscal 2022 has significantly impacted our financial results. While the duration and additional implications remain uncertain, the full extent of the impact will depend on future developments that are highly uncertain and cannot be accurately predicted, including new information that may emerge concerning COVID-19, the actions taken to contain it or treat its impact and the economic impact on local, regional, national and international markets.</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priorities continue to be the safety of our employees and business continuity while continuing to invest in growth opportunities. Our manufacturing and supply chain remain operational without significant disruptions and we continue to operate in all of our markets.</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Although the pace and timing of the recovery is uncertain, we remain confident in the long term strength of the end markets that we serve across our three business units. For additional information regarding the expected impacts to our business units and the various risks posed by the COVID-19 pandemic, refer to Results of Operations within the MD&amp;A contained in this Quarterly Report on Form 10-Q and Risk Factors contained in Item 1A of the Annual Report on Form 10-K for the fiscal year ended April 3,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00" w:type="dxa"/>
            <w:vAlign w:val="bottom"/>
          </w:tcPr>
          <w:p>
            <w:pPr>
              <w:spacing w:after="0"/>
              <w:rPr>
                <w:sz w:val="11"/>
                <w:szCs w:val="11"/>
                <w:color w:val="auto"/>
              </w:rPr>
            </w:pPr>
          </w:p>
        </w:tc>
        <w:tc>
          <w:tcPr>
            <w:tcW w:w="1080" w:type="dxa"/>
            <w:vAlign w:val="bottom"/>
          </w:tcPr>
          <w:p>
            <w:pPr>
              <w:jc w:val="right"/>
              <w:ind w:right="232"/>
              <w:spacing w:after="0" w:line="135"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26,</w:t>
            </w: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 Increase/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212"/>
              <w:spacing w:after="0" w:line="135"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26,</w:t>
            </w:r>
          </w:p>
        </w:tc>
        <w:tc>
          <w:tcPr>
            <w:tcW w:w="1160" w:type="dxa"/>
            <w:vAlign w:val="bottom"/>
          </w:tcPr>
          <w:p>
            <w:pPr>
              <w:jc w:val="right"/>
              <w:ind w:right="133"/>
              <w:spacing w:after="0" w:line="135"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3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(Decrease)</w:t>
            </w:r>
          </w:p>
        </w:tc>
        <w:tc>
          <w:tcPr>
            <w:tcW w:w="200" w:type="dxa"/>
            <w:vAlign w:val="bottom"/>
          </w:tcPr>
          <w:p>
            <w:pPr>
              <w:spacing w:after="0"/>
              <w:rPr>
                <w:sz w:val="16"/>
                <w:szCs w:val="16"/>
                <w:color w:val="auto"/>
              </w:rPr>
            </w:pPr>
          </w:p>
        </w:tc>
        <w:tc>
          <w:tcPr>
            <w:tcW w:w="1060" w:type="dxa"/>
            <w:vAlign w:val="bottom"/>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ind w:left="3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160" w:type="dxa"/>
            <w:vAlign w:val="bottom"/>
          </w:tcPr>
          <w:p>
            <w:pPr>
              <w:jc w:val="right"/>
              <w:ind w:right="17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259,769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240,371</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8.1 %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728,194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645,434</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12.8 %</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138,565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120,257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15.2 %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369,191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316,031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16.8 %</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 of net revenues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53.3 %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50.0 %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50.7 %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49.0 %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102,914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79,832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28.9 %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307,640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205,109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50.0 %</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35,651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40,425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61,551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110,922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(44.5)%</w:t>
            </w:r>
          </w:p>
        </w:tc>
        <w:tc>
          <w:tcPr>
            <w:tcW w:w="0" w:type="dxa"/>
            <w:vAlign w:val="bottom"/>
          </w:tcPr>
          <w:p>
            <w:pPr>
              <w:spacing w:after="0"/>
              <w:rPr>
                <w:sz w:val="1"/>
                <w:szCs w:val="1"/>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13.7 %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16.8 %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8.5 %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17.2 %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(4,263)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(3,051)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39.7 %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(13,249)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(10,612)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24.8 %</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w w:val="91"/>
              </w:rPr>
              <w:t>Income before provision for income taxes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31,388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37,374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(16.0)%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48,302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100,310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(51.8)%</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8,156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5,492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48.5 %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14,668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9,800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49.7 %</w:t>
            </w:r>
          </w:p>
        </w:tc>
        <w:tc>
          <w:tcPr>
            <w:tcW w:w="0" w:type="dxa"/>
            <w:vAlign w:val="bottom"/>
          </w:tcPr>
          <w:p>
            <w:pPr>
              <w:spacing w:after="0"/>
              <w:rPr>
                <w:sz w:val="1"/>
                <w:szCs w:val="1"/>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i w:val="1"/>
                <w:iCs w:val="1"/>
                <w:color w:val="auto"/>
              </w:rPr>
              <w:t>% of pre-tax income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26.0 %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14.7 %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30.4 %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9.8 %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23,232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31,882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33,634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90,510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(62.8)%</w:t>
            </w:r>
          </w:p>
        </w:tc>
        <w:tc>
          <w:tcPr>
            <w:tcW w:w="0" w:type="dxa"/>
            <w:vAlign w:val="bottom"/>
          </w:tcPr>
          <w:p>
            <w:pPr>
              <w:spacing w:after="0"/>
              <w:rPr>
                <w:sz w:val="1"/>
                <w:szCs w:val="1"/>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8.9 %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13.3 %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14.0 %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0.63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(63.1)%</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0.45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(27.4)%</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0.65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(63.3)%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spacing w:after="0" w:line="259" w:lineRule="auto"/>
        <w:rPr>
          <w:sz w:val="20"/>
          <w:szCs w:val="20"/>
          <w:color w:val="auto"/>
        </w:rPr>
      </w:pPr>
      <w:r>
        <w:rPr>
          <w:rFonts w:ascii="Arial" w:cs="Arial" w:eastAsia="Arial" w:hAnsi="Arial"/>
          <w:sz w:val="18"/>
          <w:szCs w:val="18"/>
          <w:color w:val="auto"/>
        </w:rPr>
        <w:t>Net revenues increased 8.1% and 12.8% during the three and nine months ended January 1, 2022, respectively, as compared with the same periods of fiscal 2021. Without the effect of foreign exchange, net revenues increased 7.9% and 11.6% during the three and nine months ended January 1, 2022, respectively, as compared with the same periods of fiscal 2021. Revenue increases in Hospital, primarily Vascular Closure, drove the overall increase in revenue during the three and nine months ended January 1, 2022.</w:t>
      </w:r>
    </w:p>
    <w:p>
      <w:pPr>
        <w:spacing w:after="0" w:line="21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Operating income decreased 11.8% and 44.5% during the three and nine months ended January 1, 2022, respectively, as compared with the same period of fiscal 2021, primarily due to increased spend related to the acquisition of Cardiva Medical, Inc. (“Cardiva”), including higher transaction and integration costs as well as increased intangible amortization expense, an increase in the fair value of contingent consideration and increased freight costs. During the nine months ended January 1, 2022, costs driven by the amortization of the fair value inventory step-up related to Cardiva, asset impairments and gains on divestitures during the prior period also contributed to the decrease. The decrease during the three and nine months ended January 1, 2022, was partially offset by favorable volumes and product mix and productivity savings from the 2020 Program.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25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3"/>
              </w:rPr>
              <w:t>Three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1"/>
                <w:szCs w:val="11"/>
                <w:color w:val="auto"/>
              </w:rPr>
            </w:pPr>
          </w:p>
        </w:tc>
        <w:tc>
          <w:tcPr>
            <w:tcW w:w="1100" w:type="dxa"/>
            <w:vAlign w:val="bottom"/>
          </w:tcPr>
          <w:p>
            <w:pPr>
              <w:jc w:val="right"/>
              <w:ind w:right="117"/>
              <w:spacing w:after="0" w:line="135" w:lineRule="exact"/>
              <w:rPr>
                <w:sz w:val="20"/>
                <w:szCs w:val="20"/>
                <w:color w:val="auto"/>
              </w:rPr>
            </w:pPr>
            <w:r>
              <w:rPr>
                <w:rFonts w:ascii="Arial" w:cs="Arial" w:eastAsia="Arial" w:hAnsi="Arial"/>
                <w:sz w:val="14"/>
                <w:szCs w:val="14"/>
                <w:b w:val="1"/>
                <w:bCs w:val="1"/>
                <w:color w:val="auto"/>
                <w:w w:val="96"/>
              </w:rPr>
              <w:t>December 26,</w:t>
            </w:r>
          </w:p>
        </w:tc>
        <w:tc>
          <w:tcPr>
            <w:tcW w:w="12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Currency impact</w:t>
            </w:r>
          </w:p>
        </w:tc>
        <w:tc>
          <w:tcPr>
            <w:tcW w:w="1420" w:type="dxa"/>
            <w:vAlign w:val="bottom"/>
          </w:tcPr>
          <w:p>
            <w:pPr>
              <w:jc w:val="right"/>
              <w:ind w:right="57"/>
              <w:spacing w:after="0" w:line="135"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89"/>
        </w:trPr>
        <w:tc>
          <w:tcPr>
            <w:tcW w:w="3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20" w:type="dxa"/>
            <w:vAlign w:val="bottom"/>
          </w:tcPr>
          <w:p>
            <w:pPr>
              <w:jc w:val="right"/>
              <w:ind w:right="337"/>
              <w:spacing w:after="0" w:line="189" w:lineRule="exact"/>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147,607</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92,764</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240,371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180" w:firstLine="8"/>
        <w:spacing w:after="0"/>
        <w:tabs>
          <w:tab w:leader="none" w:pos="132" w:val="left"/>
        </w:tabs>
        <w:numPr>
          <w:ilvl w:val="0"/>
          <w:numId w:val="10"/>
        </w:numPr>
        <w:rPr>
          <w:rFonts w:ascii="Arial" w:cs="Arial" w:eastAsia="Arial" w:hAnsi="Arial"/>
          <w:sz w:val="15"/>
          <w:szCs w:val="15"/>
          <w:color w:val="auto"/>
          <w:vertAlign w:val="superscript"/>
        </w:rPr>
      </w:pPr>
      <w:r>
        <w:rPr>
          <w:rFonts w:ascii="Arial" w:cs="Arial" w:eastAsia="Arial" w:hAnsi="Arial"/>
          <w:sz w:val="11"/>
          <w:szCs w:val="11"/>
          <w:color w:val="auto"/>
        </w:rPr>
        <w:t>Constant currency growth, a non-GAAP financial measure, measures the change in revenue between the current and prior year periods using a constant currency. See “</w:t>
      </w:r>
      <w:r>
        <w:rPr>
          <w:rFonts w:ascii="Arial" w:cs="Arial" w:eastAsia="Arial" w:hAnsi="Arial"/>
          <w:sz w:val="11"/>
          <w:szCs w:val="11"/>
          <w:i w:val="1"/>
          <w:iCs w:val="1"/>
          <w:color w:val="auto"/>
        </w:rPr>
        <w:t>Management’s Use of</w:t>
      </w:r>
      <w:r>
        <w:rPr>
          <w:rFonts w:ascii="Arial" w:cs="Arial" w:eastAsia="Arial" w:hAnsi="Arial"/>
          <w:sz w:val="11"/>
          <w:szCs w:val="11"/>
          <w:color w:val="auto"/>
        </w:rPr>
        <w:t xml:space="preserve"> </w:t>
      </w:r>
      <w:r>
        <w:rPr>
          <w:rFonts w:ascii="Arial" w:cs="Arial" w:eastAsia="Arial" w:hAnsi="Arial"/>
          <w:sz w:val="11"/>
          <w:szCs w:val="11"/>
          <w:i w:val="1"/>
          <w:iCs w:val="1"/>
          <w:color w:val="auto"/>
        </w:rPr>
        <w:t>Non-GAAP Measures.</w:t>
      </w:r>
      <w:r>
        <w:rPr>
          <w:rFonts w:ascii="Arial" w:cs="Arial" w:eastAsia="Arial" w:hAnsi="Arial"/>
          <w:sz w:val="11"/>
          <w:szCs w:val="11"/>
          <w:color w:val="auto"/>
        </w:rPr>
        <w:t>”</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w w:val="96"/>
              </w:rPr>
              <w:t>Nine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1"/>
                <w:szCs w:val="11"/>
                <w:color w:val="auto"/>
              </w:rPr>
            </w:pPr>
          </w:p>
        </w:tc>
        <w:tc>
          <w:tcPr>
            <w:tcW w:w="1100" w:type="dxa"/>
            <w:vAlign w:val="bottom"/>
          </w:tcPr>
          <w:p>
            <w:pPr>
              <w:jc w:val="right"/>
              <w:ind w:right="117"/>
              <w:spacing w:after="0" w:line="135" w:lineRule="exact"/>
              <w:rPr>
                <w:sz w:val="20"/>
                <w:szCs w:val="20"/>
                <w:color w:val="auto"/>
              </w:rPr>
            </w:pPr>
            <w:r>
              <w:rPr>
                <w:rFonts w:ascii="Arial" w:cs="Arial" w:eastAsia="Arial" w:hAnsi="Arial"/>
                <w:sz w:val="14"/>
                <w:szCs w:val="14"/>
                <w:b w:val="1"/>
                <w:bCs w:val="1"/>
                <w:color w:val="auto"/>
                <w:w w:val="96"/>
              </w:rPr>
              <w:t>December 26,</w:t>
            </w:r>
          </w:p>
        </w:tc>
        <w:tc>
          <w:tcPr>
            <w:tcW w:w="12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Currency impact</w:t>
            </w:r>
          </w:p>
        </w:tc>
        <w:tc>
          <w:tcPr>
            <w:tcW w:w="1420" w:type="dxa"/>
            <w:vAlign w:val="bottom"/>
          </w:tcPr>
          <w:p>
            <w:pPr>
              <w:jc w:val="right"/>
              <w:ind w:right="57"/>
              <w:spacing w:after="0" w:line="135"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89"/>
        </w:trPr>
        <w:tc>
          <w:tcPr>
            <w:tcW w:w="3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20" w:type="dxa"/>
            <w:vAlign w:val="bottom"/>
          </w:tcPr>
          <w:p>
            <w:pPr>
              <w:jc w:val="right"/>
              <w:ind w:right="337"/>
              <w:spacing w:after="0" w:line="189" w:lineRule="exact"/>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262,834</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645,434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right="180" w:firstLine="8"/>
        <w:spacing w:after="0" w:line="273" w:lineRule="auto"/>
        <w:tabs>
          <w:tab w:leader="none" w:pos="132" w:val="left"/>
        </w:tabs>
        <w:numPr>
          <w:ilvl w:val="0"/>
          <w:numId w:val="11"/>
        </w:numPr>
        <w:rPr>
          <w:rFonts w:ascii="Arial" w:cs="Arial" w:eastAsia="Arial" w:hAnsi="Arial"/>
          <w:sz w:val="9"/>
          <w:szCs w:val="9"/>
          <w:color w:val="auto"/>
        </w:rPr>
      </w:pPr>
      <w:r>
        <w:rPr>
          <w:rFonts w:ascii="Arial" w:cs="Arial" w:eastAsia="Arial" w:hAnsi="Arial"/>
          <w:sz w:val="14"/>
          <w:szCs w:val="14"/>
          <w:color w:val="auto"/>
        </w:rPr>
        <w:t>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w:t>
      </w:r>
      <w:r>
        <w:rPr>
          <w:rFonts w:ascii="Arial" w:cs="Arial" w:eastAsia="Arial" w:hAnsi="Arial"/>
          <w:sz w:val="14"/>
          <w:szCs w:val="14"/>
          <w:color w:val="auto"/>
        </w:rPr>
        <w:t xml:space="preserve"> </w:t>
      </w:r>
      <w:r>
        <w:rPr>
          <w:rFonts w:ascii="Arial" w:cs="Arial" w:eastAsia="Arial" w:hAnsi="Arial"/>
          <w:sz w:val="14"/>
          <w:szCs w:val="14"/>
          <w:i w:val="1"/>
          <w:iCs w:val="1"/>
          <w:color w:val="auto"/>
        </w:rPr>
        <w:t>Non-GAAP Measures.</w:t>
      </w:r>
      <w:r>
        <w:rPr>
          <w:rFonts w:ascii="Arial" w:cs="Arial" w:eastAsia="Arial" w:hAnsi="Arial"/>
          <w:sz w:val="14"/>
          <w:szCs w:val="14"/>
          <w:color w:val="auto"/>
        </w:rPr>
        <w:t>”</w:t>
      </w:r>
    </w:p>
    <w:p>
      <w:pPr>
        <w:spacing w:after="0" w:line="20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principal operations are in the U.S, Europe, Japan and other parts of Asia. Our products are marketed in approximately 90 countries around the world through a combination of our direct sales force, independent distributors and agents. During the three and nine months ended January 1, 2022 our revenue generated outside the U.S. was 35.6% and 36.8%, respectively, of total net revenues, as compared with 38.6% and 40.7% during the three and nine months ended December 26, 2020, respectively. International sales are generally conducted in local currencies, primarily Japanese Yen, Euro, Chinese Yuan and Australian Dollars. Our results of operations are impacted by changes in foreign exchange rates, particularly in the value of the Yen, Euro and Australian Dollar relative to the U.S. Dollar. We have placed foreign currency hedges to mitigate our exposure to 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26" w:name="page27"/>
    <w:bookmarkEnd w:id="26"/>
    <w:p>
      <w:pPr>
        <w:ind w:right="40"/>
        <w:spacing w:after="0" w:line="277" w:lineRule="auto"/>
        <w:rPr>
          <w:sz w:val="20"/>
          <w:szCs w:val="20"/>
          <w:color w:val="auto"/>
        </w:rPr>
      </w:pPr>
      <w:r>
        <w:rPr>
          <w:rFonts w:ascii="Arial" w:cs="Arial" w:eastAsia="Arial" w:hAnsi="Arial"/>
          <w:sz w:val="18"/>
          <w:szCs w:val="18"/>
          <w:color w:val="auto"/>
        </w:rPr>
        <w:t>Please see the section entitled “Foreign Exchange” in this discussion for a more complete explanation of how foreign currency affects our business and our strategy for managing this exposure.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Business Unit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3"/>
              </w:rPr>
              <w:t>Three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1"/>
                <w:szCs w:val="11"/>
                <w:color w:val="auto"/>
              </w:rPr>
            </w:pPr>
          </w:p>
        </w:tc>
        <w:tc>
          <w:tcPr>
            <w:tcW w:w="1100" w:type="dxa"/>
            <w:vAlign w:val="bottom"/>
          </w:tcPr>
          <w:p>
            <w:pPr>
              <w:jc w:val="right"/>
              <w:ind w:right="115"/>
              <w:spacing w:after="0" w:line="135" w:lineRule="exact"/>
              <w:rPr>
                <w:sz w:val="20"/>
                <w:szCs w:val="20"/>
                <w:color w:val="auto"/>
              </w:rPr>
            </w:pPr>
            <w:r>
              <w:rPr>
                <w:rFonts w:ascii="Arial" w:cs="Arial" w:eastAsia="Arial" w:hAnsi="Arial"/>
                <w:sz w:val="14"/>
                <w:szCs w:val="14"/>
                <w:b w:val="1"/>
                <w:bCs w:val="1"/>
                <w:color w:val="auto"/>
                <w:w w:val="96"/>
              </w:rPr>
              <w:t>December 26,</w:t>
            </w:r>
          </w:p>
        </w:tc>
        <w:tc>
          <w:tcPr>
            <w:tcW w:w="12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Currency impact</w:t>
            </w:r>
          </w:p>
        </w:tc>
        <w:tc>
          <w:tcPr>
            <w:tcW w:w="1420" w:type="dxa"/>
            <w:vAlign w:val="bottom"/>
          </w:tcPr>
          <w:p>
            <w:pPr>
              <w:jc w:val="right"/>
              <w:ind w:right="55"/>
              <w:spacing w:after="0" w:line="135"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89"/>
        </w:trPr>
        <w:tc>
          <w:tcPr>
            <w:tcW w:w="3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20" w:type="dxa"/>
            <w:vAlign w:val="bottom"/>
          </w:tcPr>
          <w:p>
            <w:pPr>
              <w:jc w:val="right"/>
              <w:ind w:right="335"/>
              <w:spacing w:after="0" w:line="189" w:lineRule="exact"/>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101,934</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Blood Center</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75,692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80,920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Hospital </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56.9 %</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4,866</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240,371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200" w:firstLine="8"/>
        <w:spacing w:after="0"/>
        <w:tabs>
          <w:tab w:leader="none" w:pos="132" w:val="left"/>
        </w:tabs>
        <w:numPr>
          <w:ilvl w:val="0"/>
          <w:numId w:val="12"/>
        </w:numPr>
        <w:rPr>
          <w:rFonts w:ascii="Arial" w:cs="Arial" w:eastAsia="Arial" w:hAnsi="Arial"/>
          <w:sz w:val="15"/>
          <w:szCs w:val="15"/>
          <w:color w:val="auto"/>
          <w:vertAlign w:val="superscript"/>
        </w:rPr>
      </w:pPr>
      <w:r>
        <w:rPr>
          <w:rFonts w:ascii="Arial" w:cs="Arial" w:eastAsia="Arial" w:hAnsi="Arial"/>
          <w:sz w:val="11"/>
          <w:szCs w:val="11"/>
          <w:color w:val="auto"/>
        </w:rPr>
        <w:t>Constant currency growth, a non-GAAP financial measure, measures the change in revenue between the current and prior year periods using a constant currency. See “</w:t>
      </w:r>
      <w:r>
        <w:rPr>
          <w:rFonts w:ascii="Arial" w:cs="Arial" w:eastAsia="Arial" w:hAnsi="Arial"/>
          <w:sz w:val="11"/>
          <w:szCs w:val="11"/>
          <w:i w:val="1"/>
          <w:iCs w:val="1"/>
          <w:color w:val="auto"/>
        </w:rPr>
        <w:t>Management’s Use of</w:t>
      </w:r>
      <w:r>
        <w:rPr>
          <w:rFonts w:ascii="Arial" w:cs="Arial" w:eastAsia="Arial" w:hAnsi="Arial"/>
          <w:sz w:val="11"/>
          <w:szCs w:val="11"/>
          <w:color w:val="auto"/>
        </w:rPr>
        <w:t xml:space="preserve"> </w:t>
      </w:r>
      <w:r>
        <w:rPr>
          <w:rFonts w:ascii="Arial" w:cs="Arial" w:eastAsia="Arial" w:hAnsi="Arial"/>
          <w:sz w:val="11"/>
          <w:szCs w:val="11"/>
          <w:i w:val="1"/>
          <w:iCs w:val="1"/>
          <w:color w:val="auto"/>
        </w:rPr>
        <w:t>Non-GAAP Measures.</w:t>
      </w:r>
      <w:r>
        <w:rPr>
          <w:rFonts w:ascii="Arial" w:cs="Arial" w:eastAsia="Arial" w:hAnsi="Arial"/>
          <w:sz w:val="11"/>
          <w:szCs w:val="11"/>
          <w:color w:val="auto"/>
        </w:rPr>
        <w:t>”</w:t>
      </w:r>
    </w:p>
    <w:p>
      <w:pPr>
        <w:spacing w:after="0" w:line="163" w:lineRule="exact"/>
        <w:rPr>
          <w:rFonts w:ascii="Arial" w:cs="Arial" w:eastAsia="Arial" w:hAnsi="Arial"/>
          <w:sz w:val="15"/>
          <w:szCs w:val="15"/>
          <w:color w:val="auto"/>
          <w:vertAlign w:val="superscript"/>
        </w:rPr>
      </w:pPr>
    </w:p>
    <w:p>
      <w:pPr>
        <w:ind w:right="340" w:firstLine="8"/>
        <w:spacing w:after="0" w:line="270" w:lineRule="auto"/>
        <w:tabs>
          <w:tab w:leader="none" w:pos="145"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Hospital revenue includes Hemostasis Management revenue of $33.5 million and $28.5 million during the three months ended January 1, 2022 and December 26, 2020, respectively. Hemostasis Management revenue increased 17.5% in the third quarter of fiscal 2022, as compared with the same period of fiscal 2021. Without the effect of foreign exchange, Hemostasis Management revenue increased 18.4% in the third quarter of fiscal 2022, as compared with the same period of fiscal 2021. Hospital revenue also includes Vascular Closure revenue of $24.3 million for the three months ended January 1,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w w:val="96"/>
              </w:rPr>
              <w:t>Nine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1"/>
                <w:szCs w:val="11"/>
                <w:color w:val="auto"/>
              </w:rPr>
            </w:pPr>
          </w:p>
        </w:tc>
        <w:tc>
          <w:tcPr>
            <w:tcW w:w="1100" w:type="dxa"/>
            <w:vAlign w:val="bottom"/>
          </w:tcPr>
          <w:p>
            <w:pPr>
              <w:jc w:val="right"/>
              <w:ind w:right="115"/>
              <w:spacing w:after="0" w:line="135" w:lineRule="exact"/>
              <w:rPr>
                <w:sz w:val="20"/>
                <w:szCs w:val="20"/>
                <w:color w:val="auto"/>
              </w:rPr>
            </w:pPr>
            <w:r>
              <w:rPr>
                <w:rFonts w:ascii="Arial" w:cs="Arial" w:eastAsia="Arial" w:hAnsi="Arial"/>
                <w:sz w:val="14"/>
                <w:szCs w:val="14"/>
                <w:b w:val="1"/>
                <w:bCs w:val="1"/>
                <w:color w:val="auto"/>
                <w:w w:val="96"/>
              </w:rPr>
              <w:t>December 26,</w:t>
            </w:r>
          </w:p>
        </w:tc>
        <w:tc>
          <w:tcPr>
            <w:tcW w:w="12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Currency impact</w:t>
            </w:r>
          </w:p>
        </w:tc>
        <w:tc>
          <w:tcPr>
            <w:tcW w:w="1420" w:type="dxa"/>
            <w:vAlign w:val="bottom"/>
          </w:tcPr>
          <w:p>
            <w:pPr>
              <w:jc w:val="right"/>
              <w:ind w:right="55"/>
              <w:spacing w:after="0" w:line="135"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89"/>
        </w:trPr>
        <w:tc>
          <w:tcPr>
            <w:tcW w:w="3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20" w:type="dxa"/>
            <w:vAlign w:val="bottom"/>
          </w:tcPr>
          <w:p>
            <w:pPr>
              <w:jc w:val="right"/>
              <w:ind w:right="335"/>
              <w:spacing w:after="0" w:line="189" w:lineRule="exact"/>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248,553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9"/>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Blood Center</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225,379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233,622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39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Hospital </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148,468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58.2 %</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14,791</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645,434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right="220" w:firstLine="8"/>
        <w:spacing w:after="0" w:line="250" w:lineRule="auto"/>
        <w:tabs>
          <w:tab w:leader="none" w:pos="132" w:val="left"/>
        </w:tabs>
        <w:numPr>
          <w:ilvl w:val="0"/>
          <w:numId w:val="13"/>
        </w:numPr>
        <w:rPr>
          <w:rFonts w:ascii="Arial" w:cs="Arial" w:eastAsia="Arial" w:hAnsi="Arial"/>
          <w:sz w:val="9"/>
          <w:szCs w:val="9"/>
          <w:color w:val="auto"/>
        </w:rPr>
      </w:pPr>
      <w:r>
        <w:rPr>
          <w:rFonts w:ascii="Arial" w:cs="Arial" w:eastAsia="Arial" w:hAnsi="Arial"/>
          <w:sz w:val="14"/>
          <w:szCs w:val="14"/>
          <w:color w:val="auto"/>
        </w:rPr>
        <w:t>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w:t>
      </w:r>
      <w:r>
        <w:rPr>
          <w:rFonts w:ascii="Arial" w:cs="Arial" w:eastAsia="Arial" w:hAnsi="Arial"/>
          <w:sz w:val="14"/>
          <w:szCs w:val="14"/>
          <w:color w:val="auto"/>
        </w:rPr>
        <w:t xml:space="preserve"> </w:t>
      </w:r>
      <w:r>
        <w:rPr>
          <w:rFonts w:ascii="Arial" w:cs="Arial" w:eastAsia="Arial" w:hAnsi="Arial"/>
          <w:sz w:val="14"/>
          <w:szCs w:val="14"/>
          <w:i w:val="1"/>
          <w:iCs w:val="1"/>
          <w:color w:val="auto"/>
        </w:rPr>
        <w:t>Non-GAAP Measures.</w:t>
      </w:r>
      <w:r>
        <w:rPr>
          <w:rFonts w:ascii="Arial" w:cs="Arial" w:eastAsia="Arial" w:hAnsi="Arial"/>
          <w:sz w:val="14"/>
          <w:szCs w:val="14"/>
          <w:color w:val="auto"/>
        </w:rPr>
        <w:t>”</w:t>
      </w:r>
    </w:p>
    <w:p>
      <w:pPr>
        <w:ind w:right="80" w:firstLine="8"/>
        <w:spacing w:after="0" w:line="246" w:lineRule="auto"/>
        <w:tabs>
          <w:tab w:leader="none" w:pos="145" w:val="left"/>
        </w:tabs>
        <w:numPr>
          <w:ilvl w:val="0"/>
          <w:numId w:val="13"/>
        </w:numPr>
        <w:rPr>
          <w:rFonts w:ascii="Arial" w:cs="Arial" w:eastAsia="Arial" w:hAnsi="Arial"/>
          <w:sz w:val="9"/>
          <w:szCs w:val="9"/>
          <w:color w:val="auto"/>
        </w:rPr>
      </w:pPr>
      <w:r>
        <w:rPr>
          <w:rFonts w:ascii="Arial" w:cs="Arial" w:eastAsia="Arial" w:hAnsi="Arial"/>
          <w:sz w:val="14"/>
          <w:szCs w:val="14"/>
          <w:color w:val="auto"/>
        </w:rPr>
        <w:t>Hospital revenue includes Hemostasis Management revenue of $97.2 million and $78.5 million during the nine months ended January 1, 2022 and December 26, 2020, respectively. Hemostasis Management revenue increased 23.8% in the first nine months of fiscal 2022, as compared with the same period of fiscal 2021. Without the effect of foreign exchange, Hemostasis Management revenue increased 23.2% in the first nine months of fiscal 2022, as compared with the same period of fiscal 2021. Hospital revenue also includes Vascular Closure revenue of $66.8 million for the nine months ended January 1, 2022.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Plasma</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Plasma revenue decreased 5.4% and increased 0.7% during the three and nine months ended January 1, 2022, respectively, as compared with the same periods of fiscal 2021. Without the effect of foreign exchange, Plasma revenue decreased 5.3% and increased 0.4% during the three and nine months ended January 1, 2022, respectively, as compared with the same periods of fiscal 2021. The decrease during the three months ended January 1, 2022, as compared with the same period of fiscal 2021 was primarily driven by a decline in plasma liquid solutions and a large stocking order in the prior period. The increase during the nine months ended January 1, 2022 was primarily driven by increase in volume of plasma disposables and increase in software revenue, partially offset by pricing adjustments and declines in plasma liquid solutions as a result of certain strategic exits within our liquid solutions business.</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we continue to experience the negative impact of COVID-19 on our business, we believe the impacts on plasma collection are temporary and anticipate volumes to recover to pre-pandemic levels. However, the exact timing of the recovery remains uncertain and is expected to occur after the end of fiscal 2022. We remain confident in the strength of the plasma end market growth as the long-term global demand for plasma-derived pharmaceuticals is expected to continue.</w:t>
      </w:r>
    </w:p>
    <w:p>
      <w:pPr>
        <w:spacing w:after="0" w:line="21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early April 2021, CSL Plasma, Ltd. informed us of its intent not to renew its supply agreement for the use of PCS2 plasma collection system devices and the purchase of disposable plasmapheresis kits following the expiration of the current term of the Supply Agreement in June 2022. In fiscal 2021, revenue under this Supply Agreement was $88.6 million. During the third quarter of fiscal 2022, we amended the Supply Agreement to allow CSL to continue to use our PCS2 devices and purchase disposables through December 2023. The extension provides CSL the ability to utilize our devices and disposables in their collection centers on a non-exclusive basis, and we are working with them to quantify their volume requirements over the life of the agreement.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Blood Center</w:t>
      </w:r>
    </w:p>
    <w:p>
      <w:pPr>
        <w:spacing w:after="0" w:line="239"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Blood Center revenue decreased 6.5% and 3.5% during the three and nine months ended January 1, 2022, respectively, as compared with the same periods of fiscal 2021. Without the effect of foreign exchange, Blood Center revenue decreased 7.3% and 5.5% during the three and nine months ended January 1, 2022, respectively, as compared with the same periods of fiscal 2021. The decrease during the three and nine months ended January 1, 2022 as compared with the same periods of fiscal 2021 was primarily driven by continued declines in whole blood disposables and the impact of previously discontinued customer contracts in North America as well as an apheresis stocking order in the prior year period. The divestiture of certain blood donor management software solution assets in fiscal 2021 also contributed to the decline during the nine months ended January 1, 2022, as compared with the same period of fiscal 2021.</w:t>
      </w:r>
    </w:p>
    <w:p>
      <w:pPr>
        <w:spacing w:after="0" w:line="208" w:lineRule="exact"/>
        <w:rPr>
          <w:sz w:val="20"/>
          <w:szCs w:val="20"/>
          <w:color w:val="auto"/>
        </w:rPr>
      </w:pPr>
    </w:p>
    <w:p>
      <w:pPr>
        <w:jc w:val="both"/>
        <w:ind w:right="280"/>
        <w:spacing w:after="0" w:line="235" w:lineRule="auto"/>
        <w:rPr>
          <w:sz w:val="20"/>
          <w:szCs w:val="20"/>
          <w:color w:val="auto"/>
        </w:rPr>
      </w:pPr>
      <w:r>
        <w:rPr>
          <w:rFonts w:ascii="Arial" w:cs="Arial" w:eastAsia="Arial" w:hAnsi="Arial"/>
          <w:sz w:val="18"/>
          <w:szCs w:val="18"/>
          <w:color w:val="auto"/>
        </w:rPr>
        <w:t>We have not yet experienced the reversal of the large stocking orders made by distributors and blood collectors during the first quarter of fiscal 2021 in response to the COVID-19 pandemic. The timing and magnitude of potential reversals in the future periods is likely to occur over an extended period of time as customers’ risk aversion returns to normal along with safety stock levels.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w:t>
      </w:r>
    </w:p>
    <w:p>
      <w:pPr>
        <w:spacing w:after="0" w:line="25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Hospital revenue increased 56.3% and 59.7% during the three and nine months ended January 1, 2022, respectively, as compared with the same periods of fiscal 2021. Without the effect of foreign exchange, Hospital revenue increased 56.9% and 58.2% during the three and nine months ended January 1, 2022, respectively, as compared with the same periods of fiscal 2021. The increase during the three and nine months ended January 1, 2022 was primarily attributable to Vascular Closure revenue resulting from the acquisition of Cardiva and an increase in TEG disposables revenue in the U.S. The increase during the nine months ended January 1, 2022 also reflected the impact of the COVID-19 pandemic on the prior year period, partially offset by the divestiture of certain blood bank and hospital software solution assets during the same period of fiscal 2021. We believe that the demand for our hospital products is inherently strong and that procedure volumes will continue to improve with a return to normal levels.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4"/>
              </w:rPr>
              <w:t>Nine Months Ended</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1"/>
                <w:szCs w:val="11"/>
                <w:color w:val="auto"/>
              </w:rPr>
            </w:pPr>
          </w:p>
        </w:tc>
        <w:tc>
          <w:tcPr>
            <w:tcW w:w="1060" w:type="dxa"/>
            <w:vAlign w:val="bottom"/>
          </w:tcPr>
          <w:p>
            <w:pPr>
              <w:jc w:val="right"/>
              <w:ind w:right="239"/>
              <w:spacing w:after="0" w:line="135"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December 26,</w:t>
            </w:r>
          </w:p>
        </w:tc>
        <w:tc>
          <w:tcPr>
            <w:tcW w:w="1580" w:type="dxa"/>
            <w:vAlign w:val="bottom"/>
            <w:gridSpan w:val="3"/>
            <w:vMerge w:val="restart"/>
          </w:tcPr>
          <w:p>
            <w:pPr>
              <w:jc w:val="right"/>
              <w:ind w:right="510"/>
              <w:spacing w:after="0"/>
              <w:rPr>
                <w:sz w:val="20"/>
                <w:szCs w:val="20"/>
                <w:color w:val="auto"/>
              </w:rPr>
            </w:pPr>
            <w:r>
              <w:rPr>
                <w:rFonts w:ascii="Arial" w:cs="Arial" w:eastAsia="Arial" w:hAnsi="Arial"/>
                <w:sz w:val="14"/>
                <w:szCs w:val="14"/>
                <w:b w:val="1"/>
                <w:bCs w:val="1"/>
                <w:color w:val="auto"/>
              </w:rPr>
              <w:t>% Increase</w:t>
            </w:r>
          </w:p>
        </w:tc>
        <w:tc>
          <w:tcPr>
            <w:tcW w:w="118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December 26,</w:t>
            </w:r>
          </w:p>
        </w:tc>
        <w:tc>
          <w:tcPr>
            <w:tcW w:w="12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3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060" w:type="dxa"/>
            <w:vAlign w:val="bottom"/>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138,565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120,257</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369,191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316,031</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53.3 %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50.0 %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50.7 %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Gross profit increased 15.2% and 16.8% during the three and nine months ended January 1, 2022, respectively, as compared with the same periods of fiscal 2021. Without the effect of foreign exchange, gross profit increased 14.4% and 14.3% during the three and nine months ended January 1, 2022, respectively, as compared with the same periods of fiscal 2021. The increase during the three and nine months ended January 1, 2022 was primarily driven by the addition of Vascular Closure, favorable volumes and product mix, lower expenses related to the COVID-19 pandemic, currency translation, and productivity savings from the 2020 Program. The increase was partially offset by recent divestitures in fiscal 2021 and inflationary pressures and higher freight costs in our global supply chain. The increase during the nine months ended January 1, 2022 was also partially offset by pricing adjustments, the amortization of the fair value inventory step-up related to the acquisition of Cardiva and asset impairments.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Operating Expenses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1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1"/>
                <w:szCs w:val="11"/>
                <w:color w:val="auto"/>
              </w:rPr>
            </w:pPr>
          </w:p>
        </w:tc>
        <w:tc>
          <w:tcPr>
            <w:tcW w:w="1060" w:type="dxa"/>
            <w:vAlign w:val="bottom"/>
          </w:tcPr>
          <w:p>
            <w:pPr>
              <w:jc w:val="right"/>
              <w:ind w:right="213"/>
              <w:spacing w:after="0" w:line="135"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December 26,</w:t>
            </w:r>
          </w:p>
        </w:tc>
        <w:tc>
          <w:tcPr>
            <w:tcW w:w="13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 Increase</w:t>
            </w:r>
          </w:p>
        </w:tc>
        <w:tc>
          <w:tcPr>
            <w:tcW w:w="2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26,</w:t>
            </w:r>
          </w:p>
        </w:tc>
        <w:tc>
          <w:tcPr>
            <w:tcW w:w="1260" w:type="dxa"/>
            <w:vAlign w:val="bottom"/>
          </w:tcPr>
          <w:p>
            <w:pPr>
              <w:jc w:val="right"/>
              <w:ind w:right="175"/>
              <w:spacing w:after="0" w:line="135"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3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10,037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7,501</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33.8 %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33,591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22,014</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52.6 %</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3.1 %</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3.4 %</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80,726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65,641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247,722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191,504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29.4 %</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31.1 %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27.3 %</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34.0 %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29.7 %</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12,151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7,805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55.7 %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35,930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24,204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48.4 %</w:t>
            </w: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3.2 %</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3.8 %</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Gains on divestitures and sale of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(1,115)</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n/m</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(9,603)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(32,613)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(70.6)%</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(0.5)%</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(5.1)%</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102,914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79,832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307,640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205,109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50.0 %</w:t>
            </w: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39.6 %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33.2 %</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42.2 %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31.8 %</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Research and development expenses increased 33.8% and 52.6% during the three and nine months ended January 1, 2022, respectively, as compared with the same periods of fiscal 2021. Without the effect of foreign exchange, research and development expenses increased 33.4% and 51.5% during the three and nine months ended January 1, 2022, respectively, as compared with the same periods of fiscal 2021. These increases were primarily due to increased spend related to investments in our Hospital Business unit, primarily driven by Vascular Closure, as well as costs related to compliance with the European Union Medical Device Regulation (“MDR”) and In Vitro Diagnostic Regulation (“IVDR”) requirements. The increase during the three and nine months ended January 1, 2022, was partially offset by cost savings related to the 2020 Program.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52"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Selling, general and administrative expenses increased 23.0% and 29.4% during the three and nine months ended January 1, 2022, respectively, as compared with the same periods of fiscal 2021. Without the effect of foreign exchange, selling, general, and administrative expenses increased 23.1% and 27.9% during the three and nine months ended January 1, 2022, respectively, as compared with the same period of fiscal 2021. The increase during three and nine months ended January 1, 2022 was primarily due to spend related to the acquisition of Cardiva, including the increase in the fair value of contingent consideration. Higher freight costs also contributed to these increases, which were partially offset by cost savings related to the 2020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We recognized amortization expense of $12.2 million and $35.9 million during the three and nine months ended January 1, 2022, respectively and</w:t>
      </w:r>
    </w:p>
    <w:p>
      <w:pPr>
        <w:spacing w:after="0" w:line="3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$7.8 million and $24.2 million during the three and nine months ended December 26, 2020, respectively. The increase was primarily driven by an increase in intangible assets resulting from recent acquisitions.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Gains on Divestitures</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We recognized gains on divestitures of $9.6 million during the nine months ended January 1, 2022. We recognized gains on divestitures of $1.1 million and $32.6 million during the three and nine months ended December 26, 2020, respectively. Refer to Note 5, </w:t>
      </w:r>
      <w:r>
        <w:rPr>
          <w:rFonts w:ascii="Arial" w:cs="Arial" w:eastAsia="Arial" w:hAnsi="Arial"/>
          <w:sz w:val="17"/>
          <w:szCs w:val="17"/>
          <w:i w:val="1"/>
          <w:iCs w:val="1"/>
          <w:color w:val="auto"/>
        </w:rPr>
        <w:t>Divestitures</w:t>
      </w:r>
      <w:r>
        <w:rPr>
          <w:rFonts w:ascii="Arial" w:cs="Arial" w:eastAsia="Arial" w:hAnsi="Arial"/>
          <w:sz w:val="17"/>
          <w:szCs w:val="17"/>
          <w:color w:val="auto"/>
        </w:rPr>
        <w:t>, to the Unaudited Condensed Consolidated Financial Statements in this Quarterly Report on Form 10-Q for additional information pertaining to these divestitures.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43"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Interest and other expenses increased 39.7% and 24.8% during the three and nine months ended January 1, 2022, respectively, as compared with the same periods of fiscal 2021. Without the effects of foreign exchange, interest and other expenses increased 40.6% and 24.0% during the three and nine months ended January 1, 2022, respectively, as compared with the same periods of fiscal 2021. The increase during the three and nine months ended January 1, 2022 was primarily driven by realized losses due to foreign currency and the amortization of deferred financing fees associated with our March 2021 issuance of $500 million in aggregate principal amount of 0% convertible senior notes, partially offset by a reduction in interest expense from borrowings under our $350.0 million term loan and $350.0 million revolving loan due to lower borrowings. The effective interest rate on our term loan and revolving loan as of January 1, 2022 was 1.9%.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impacted by the jurisdictional mix of earnings in any given period as the foreign jurisdictions in which we operate have tax rates that differ from the U.S. statutory tax rate.</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and nine months ended January 1, 2022, we reported income tax expense of $8.2 million and $14.7 million, respectively, representing effective tax rates of 26.0% and 30.4%, respectively. The effective tax rate for the nine months ended January 1, 2022 includes discrete tax expense relating to stock compensation shortfalls of $0.9 million, with no discrete tax expense relating to stock compensation shortfalls recorded in the three months ended January 1, 2022.</w:t>
      </w:r>
    </w:p>
    <w:p>
      <w:pPr>
        <w:spacing w:after="0" w:line="21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For the three and nine months ended December 26, 2020, we reported income tax expense of $5.5 million and $9.8 million, respectively, representing effective tax rates of 14.7% and 9.8%, respectively. The effective tax rates for the three and nine months ended December 26, 2020 include discrete tax benefits recognized from excess stock compensation deductions of $1.0 million and $5.1 million, respectively. The effective tax rates were also impacted by the jurisdictional mix of earnings including divestiture transactions. During the three and nine months ended December 26, 2020, the Company sold its Fajardo, Puerto Rico manufacturing operations, certain U.S. blood donor management software solution assets, and its wholly-owned subsidiary Inlog Holdings France SAS. The tax expense on divestitures, including the associated valuation allowance impacts, were included in the computation of the annual effective tax rate.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January 1,</w:t>
            </w:r>
          </w:p>
        </w:tc>
        <w:tc>
          <w:tcPr>
            <w:tcW w:w="320" w:type="dxa"/>
            <w:vAlign w:val="bottom"/>
          </w:tcPr>
          <w:p>
            <w:pPr>
              <w:spacing w:after="0"/>
              <w:rPr>
                <w:sz w:val="14"/>
                <w:szCs w:val="14"/>
                <w:color w:val="auto"/>
              </w:rPr>
            </w:pPr>
          </w:p>
        </w:tc>
        <w:tc>
          <w:tcPr>
            <w:tcW w:w="1260" w:type="dxa"/>
            <w:vAlign w:val="bottom"/>
          </w:tcPr>
          <w:p>
            <w:pPr>
              <w:jc w:val="right"/>
              <w:ind w:right="475"/>
              <w:spacing w:after="0"/>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79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7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236,877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192,305</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Working capital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374,044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440,051</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ratio</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Net debt</w:t>
            </w:r>
            <w:r>
              <w:rPr>
                <w:rFonts w:ascii="Arial" w:cs="Arial" w:eastAsia="Arial" w:hAnsi="Arial"/>
                <w:sz w:val="23"/>
                <w:szCs w:val="23"/>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(540,305)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(515,303)</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Days sales outstanding (DSO)</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Inventory turnover</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Net debt position is the sum of cash and cash equivalents less total debt.</w:t>
      </w:r>
    </w:p>
    <w:p>
      <w:pPr>
        <w:spacing w:after="0" w:line="208"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Our primary sources of liquidity are cash and cash equivalents, internally generated cash flow from operations, our revolving credit line that expires in the first quarter of fiscal 2024 and proceeds from employee stock option exercises. We believe these sources are sufficient to fund our cash requirements over at least the next twelve months. Our expected cash outlays relate primarily to acquisitions, investments, capital expenditures, including the build out of our new manufacturing facility in Clinton, PA, cash payments under our credit agreement and restructuring initiatives.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0" w:name="page31"/>
    <w:bookmarkEnd w:id="30"/>
    <w:p>
      <w:pPr>
        <w:ind w:right="80"/>
        <w:spacing w:after="0" w:line="266" w:lineRule="auto"/>
        <w:rPr>
          <w:sz w:val="20"/>
          <w:szCs w:val="20"/>
          <w:color w:val="auto"/>
        </w:rPr>
      </w:pPr>
      <w:r>
        <w:rPr>
          <w:rFonts w:ascii="Arial" w:cs="Arial" w:eastAsia="Arial" w:hAnsi="Arial"/>
          <w:sz w:val="16"/>
          <w:szCs w:val="16"/>
          <w:color w:val="auto"/>
        </w:rPr>
        <w:t>In March 2021, the Company issued $500.0 million aggregate principal amount of 0% convertible senior notes due 2026, or the 2026 Notes. The 2026 Notes are governed by the terms of the Indenture between the Company and U.S. Bank National Association, as trustee. The total net proceeds from the sale of the 2026 Notes, after deducting the initial purchasers’ discounts and debt issuance costs, were approximately $486.7 million. The 2026 Notes will mature on March 1, 2026, unless earlier converted, redeemed or repurchased. The 2026 Notes have an effective interest rate of 0.5% as of January 1, 2022.</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January 1, 2022, we had $236.9 million in cash and cash equivalents, the majority of which is held in the U.S. or in countries from which it can be repatriated to the U.S. On June 15, 2018, we entered into a five-year credit agreement which provided for a $350.0 million term loan and a $350.0 million revolving loan (together with the term loan, as amended from time to time, the “Credit Facilities”). Interest on the term loan and revolving loan is established using LIBOR plus 1.13% - 1.75%, depending on our leverage ratio. Under the Credit Facilities, we are required to maintain certain leverage and interest coverage ratios specified in the credit agreement as well as other customary non-financial affirmative and negative covenants. The Company and its lenders agreed to increase the maximum consolidated leverage ratio the Company is required to maintain for the four consecutive quarters immediately following the closing of the Cardiva acquisition to 4.25:1.0, after which the maximum consolidated leverage ratio the Company is required to maintain will revert to 3.5:1.0.</w:t>
      </w:r>
    </w:p>
    <w:p>
      <w:pPr>
        <w:spacing w:after="0" w:line="21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of January 1, 2022, $288.8 million was outstanding under the term loan with an effective interest rate of 1.9%. There were no borrowings outstanding on the revolving loan. We also had $24.7 million of uncommitted operating lines of credit to fund our global operations under which there were no outstanding borrowings as of January 1, 2022.</w:t>
      </w:r>
    </w:p>
    <w:p>
      <w:pPr>
        <w:spacing w:after="0" w:line="21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has scheduled principal payments of $4.4 million and $214.4 million required during the remainder of fiscal 2022 and during fiscal 2023, respectively. The Company was in compliance with the leverage and interest coverage ratios specified in the credit agreement as well as all other bank covenants as of January 1, 2022.</w:t>
      </w:r>
    </w:p>
    <w:p>
      <w:pPr>
        <w:spacing w:after="0" w:line="21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During the second quarter of fiscal 2022, our Board of Directors approved a revised 2020 Program. We now estimate that we will incur aggregate charges between $95 million and $105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2025. During the three and nine months ended January 1, 2022, we incurred $5.7 million and $20.2 million, respectively, of restructuring and restructuring related costs under this program.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1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January 1,</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0" w:type="dxa"/>
            <w:vAlign w:val="bottom"/>
          </w:tcPr>
          <w:p>
            <w:pPr>
              <w:jc w:val="right"/>
              <w:ind w:right="475"/>
              <w:spacing w:after="0" w:line="135" w:lineRule="exact"/>
              <w:rPr>
                <w:sz w:val="20"/>
                <w:szCs w:val="20"/>
                <w:color w:val="auto"/>
              </w:rPr>
            </w:pPr>
            <w:r>
              <w:rPr>
                <w:rFonts w:ascii="Arial" w:cs="Arial" w:eastAsia="Arial" w:hAnsi="Arial"/>
                <w:sz w:val="14"/>
                <w:szCs w:val="14"/>
                <w:b w:val="1"/>
                <w:bCs w:val="1"/>
                <w:color w:val="auto"/>
                <w:w w:val="90"/>
              </w:rPr>
              <w:t>December 26,</w:t>
            </w:r>
          </w:p>
        </w:tc>
        <w:tc>
          <w:tcPr>
            <w:tcW w:w="0" w:type="dxa"/>
            <w:vAlign w:val="bottom"/>
          </w:tcPr>
          <w:p>
            <w:pPr>
              <w:spacing w:after="0"/>
              <w:rPr>
                <w:sz w:val="1"/>
                <w:szCs w:val="1"/>
                <w:color w:val="auto"/>
              </w:rPr>
            </w:pPr>
          </w:p>
        </w:tc>
      </w:tr>
      <w:tr>
        <w:trPr>
          <w:trHeight w:val="188"/>
        </w:trPr>
        <w:tc>
          <w:tcPr>
            <w:tcW w:w="7180" w:type="dxa"/>
            <w:vAlign w:val="bottom"/>
            <w:gridSpan w:val="2"/>
            <w:vMerge w:val="continue"/>
          </w:tcPr>
          <w:p>
            <w:pPr>
              <w:spacing w:after="0"/>
              <w:rPr>
                <w:sz w:val="16"/>
                <w:szCs w:val="16"/>
                <w:color w:val="auto"/>
              </w:rPr>
            </w:pPr>
          </w:p>
        </w:tc>
        <w:tc>
          <w:tcPr>
            <w:tcW w:w="1320" w:type="dxa"/>
            <w:vAlign w:val="bottom"/>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0" w:type="dxa"/>
            <w:vAlign w:val="bottom"/>
          </w:tcPr>
          <w:p>
            <w:pPr>
              <w:jc w:val="right"/>
              <w:ind w:right="7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gridSpan w:val="2"/>
          </w:tcPr>
          <w:p>
            <w:pPr>
              <w:ind w:left="140"/>
              <w:spacing w:after="0"/>
              <w:rPr>
                <w:sz w:val="20"/>
                <w:szCs w:val="20"/>
                <w:color w:val="auto"/>
              </w:rPr>
            </w:pPr>
            <w:r>
              <w:rPr>
                <w:rFonts w:ascii="Arial" w:cs="Arial" w:eastAsia="Arial" w:hAnsi="Arial"/>
                <w:sz w:val="18"/>
                <w:szCs w:val="18"/>
                <w:color w:val="auto"/>
              </w:rPr>
              <w:t>Operating activities</w:t>
            </w:r>
          </w:p>
        </w:tc>
        <w:tc>
          <w:tcPr>
            <w:tcW w:w="1320" w:type="dxa"/>
            <w:vAlign w:val="bottom"/>
          </w:tcPr>
          <w:p>
            <w:pPr>
              <w:jc w:val="right"/>
              <w:ind w:right="111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104,213</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107,258</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(51,833)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30"/>
        </w:trPr>
        <w:tc>
          <w:tcPr>
            <w:tcW w:w="7180" w:type="dxa"/>
            <w:vAlign w:val="bottom"/>
            <w:gridSpan w:val="2"/>
          </w:tcPr>
          <w:p>
            <w:pPr>
              <w:ind w:left="140"/>
              <w:spacing w:after="0"/>
              <w:rPr>
                <w:sz w:val="20"/>
                <w:szCs w:val="20"/>
                <w:color w:val="auto"/>
              </w:rPr>
            </w:pPr>
            <w:r>
              <w:rPr>
                <w:rFonts w:ascii="Arial" w:cs="Arial" w:eastAsia="Arial" w:hAnsi="Arial"/>
                <w:sz w:val="18"/>
                <w:szCs w:val="18"/>
                <w:color w:val="auto"/>
              </w:rPr>
              <w:t>Financing activities</w:t>
            </w: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(65,307)</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Effect of exchange rate changes on cash and cash equivalents</w:t>
            </w:r>
            <w:r>
              <w:rPr>
                <w:rFonts w:ascii="Arial" w:cs="Arial" w:eastAsia="Arial" w:hAnsi="Arial"/>
                <w:sz w:val="23"/>
                <w:szCs w:val="23"/>
                <w:color w:val="auto"/>
                <w:vertAlign w:val="superscript"/>
              </w:rPr>
              <w:t>(1)</w:t>
            </w:r>
          </w:p>
        </w:tc>
        <w:tc>
          <w:tcPr>
            <w:tcW w:w="1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23"/>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1320" w:type="dxa"/>
            <w:vAlign w:val="bottom"/>
            <w:tcBorders>
              <w:bottom w:val="single" w:sz="8" w:color="auto"/>
            </w:tcBorders>
          </w:tcPr>
          <w:p>
            <w:pPr>
              <w:jc w:val="right"/>
              <w:ind w:right="11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44,572</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The balance sheet is affected by spot exchange rates used to translate local currency amounts into U.S. Dollars. In accordance with U.S. GAAP, we have removed the effect of foreign currency throughout our cash flow statement, except for its effect on our cash and cash equivalents.</w:t>
      </w:r>
    </w:p>
    <w:p>
      <w:pPr>
        <w:spacing w:after="0" w:line="22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provided by operating activities decreased by $3.0 million during the nine months ended January 1, 2022, as compared with the nine months ended December 26, 2020. The decrease in cash provided by operating activities was primarily the result of higher working capital due to lower collections of accounts receivable, partially offset by an increase in net income, as adjusted for depreciation, amortization and other non-cash charges compared with the prior period.</w:t>
      </w:r>
    </w:p>
    <w:p>
      <w:pPr>
        <w:spacing w:after="0" w:line="21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Net cash used in investing activities increased by $55.5 million during the nine months ended January 1, 2022, as compared with the nine months ended December 26, 2020. The increase in cash used in investing activities was primarily the result of an increase in capital expenditures in the current year and lower proceeds received from various divestitures during fiscal 2021 as compared to fiscal 2022, partially offset by decreased acquisition spend.</w:t>
      </w:r>
    </w:p>
    <w:p>
      <w:pPr>
        <w:spacing w:after="0" w:line="17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cash used in financing activities increased by $58.3 million during the nine months ended January 1, 2022, as compared with the nine months ended December 26, 2020, primarily due to a repayment of the revolving credit facility in fiscal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20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experienced rising inflationary pressures in our global supply chain that had an impact on our results of operations during the nine months ended January 1, 2022. We continue to monitor inflationary pressures generally and raw materials indices that may affect our procurement and production costs. Increases in the price of petroleum derivatives could result in corresponding increases in our costs to procure plastic raw materials. We expect the inflationary pressures we have experienced in our global supply chain to continue into fiscal 2023. Historically, we have been able to mitigate the effects of inflation by improving our manufacturing and purchasing efficiencies, by increasing employee productivity and by adjusting the selling prices of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three and nine months ended January 1, 2022, 35.6% and 36.8%, respectively,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w:t>
      </w:r>
    </w:p>
    <w:p>
      <w:pPr>
        <w:spacing w:after="0" w:line="21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20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are currently no recent accounting pronouncements that we expect to have a material impact 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5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Certain statements that we make from time to time, including statements contained in this Quarterly Report on Form 10-Q and incorporated by reference into this report, constitute “forward looking-statements” within the meaning of Section 27A of the Securities Act of 1933 and Section 21E of the Securities Exchange Act of 1934. 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“foresees,” “potential” and other words of similar meaning in conjunction with, among other things: discussions of future operations; expected operating results and financial performance; impacts of the COVID-19 pandemic; the Company’s strategy for growth; product development, commercialization and anticipated performance and benefits; regulatory approvals; impacts of acquisitions or dispositions; market position and expenditures.</w:t>
      </w:r>
    </w:p>
    <w:p>
      <w:pPr>
        <w:spacing w:after="0" w:line="2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are some important factors that could cause our actual results to differ from our expectations in any forward-looking statements. For further discussion of these and other factors, see Item 1A. Risk Factors in our most recent Annual Report on Form 10-K.</w:t>
      </w:r>
    </w:p>
    <w:p>
      <w:pPr>
        <w:spacing w:after="0" w:line="197" w:lineRule="exact"/>
        <w:rPr>
          <w:sz w:val="20"/>
          <w:szCs w:val="20"/>
          <w:color w:val="auto"/>
        </w:rPr>
      </w:pPr>
    </w:p>
    <w:p>
      <w:pPr>
        <w:ind w:left="660" w:right="480" w:hanging="328"/>
        <w:spacing w:after="0" w:line="311"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effect of the ongoing COVID-19 pandemic, or outbreaks of communicable diseases, on our business, financial conditions and results of operations, including the time it will take for vaccines to be broadly distributed and accepted in the U.S. and the rest of the world, and the effectiveness of such vaccines in slowing or stopping the spread of COVID-19 and mitigating the economic effects of the pandemic;</w:t>
      </w:r>
    </w:p>
    <w:p>
      <w:pPr>
        <w:spacing w:after="0" w:line="175"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achieve our long-term strategic and financial-improvement goals;</w:t>
      </w:r>
    </w:p>
    <w:p>
      <w:pPr>
        <w:spacing w:after="0" w:line="252"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Demand for and market acceptance risks for new and existing products, including material reductions in purchasing from or loss of a significant customer;</w:t>
      </w:r>
    </w:p>
    <w:p>
      <w:pPr>
        <w:spacing w:after="0" w:line="197"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quality or safety concerns, leading to product recalls, withdrawals, regulatory action by the FDA (or similar non-U.S. regulatory agencies), reputational damage, declining sales or litigation;</w:t>
      </w:r>
    </w:p>
    <w:p>
      <w:pPr>
        <w:spacing w:after="0" w:line="197" w:lineRule="exact"/>
        <w:rPr>
          <w:rFonts w:ascii="Arial" w:cs="Arial" w:eastAsia="Arial" w:hAnsi="Arial"/>
          <w:sz w:val="18"/>
          <w:szCs w:val="18"/>
          <w:color w:val="auto"/>
        </w:rPr>
      </w:pPr>
    </w:p>
    <w:p>
      <w:pPr>
        <w:ind w:left="660" w:right="460" w:hanging="328"/>
        <w:spacing w:after="0" w:line="308"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Security breaches of our information technology systems or our products, which could impair our ability to conduct business or compromise sensitive information of the Company or its customers, suppliers and other business partners, or of customers’ patients;</w:t>
      </w:r>
    </w:p>
    <w:p>
      <w:pPr>
        <w:spacing w:after="0" w:line="173"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pressures resulting from trends toward healthcare cost containment, including the continued consolidation among healthcare providers and other market participants;</w:t>
      </w:r>
    </w:p>
    <w:p>
      <w:pPr>
        <w:spacing w:after="0" w:line="197" w:lineRule="exact"/>
        <w:rPr>
          <w:rFonts w:ascii="Arial" w:cs="Arial" w:eastAsia="Arial" w:hAnsi="Arial"/>
          <w:sz w:val="18"/>
          <w:szCs w:val="18"/>
          <w:color w:val="auto"/>
        </w:rPr>
      </w:pPr>
    </w:p>
    <w:p>
      <w:pPr>
        <w:ind w:left="660" w:right="5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continuity, availability and pricing of plastic and other raw materials, finished goods and components used in the manufacturing of our products (including those purchased from sole-source suppliers) and the related continuity of our manufacturing, sterilization, supply and distribution;</w:t>
      </w:r>
    </w:p>
    <w:p>
      <w:pPr>
        <w:spacing w:after="0" w:line="210" w:lineRule="exact"/>
        <w:rPr>
          <w:rFonts w:ascii="Arial" w:cs="Arial" w:eastAsia="Arial" w:hAnsi="Arial"/>
          <w:sz w:val="18"/>
          <w:szCs w:val="18"/>
          <w:color w:val="auto"/>
        </w:rPr>
      </w:pPr>
    </w:p>
    <w:p>
      <w:pPr>
        <w:ind w:left="660" w:right="500" w:hanging="328"/>
        <w:spacing w:after="0" w:line="34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develop, manufacture and market new products and technologies successfully and in a timely manner and the ability of our competitors and other third parties to develop products or technologies that render our products or technologies noncompetitive or obsolete;</w:t>
      </w:r>
    </w:p>
    <w:p>
      <w:pPr>
        <w:spacing w:after="0" w:line="150" w:lineRule="exact"/>
        <w:rPr>
          <w:rFonts w:ascii="Arial" w:cs="Arial" w:eastAsia="Arial" w:hAnsi="Arial"/>
          <w:sz w:val="16"/>
          <w:szCs w:val="16"/>
          <w:color w:val="auto"/>
        </w:rPr>
      </w:pPr>
    </w:p>
    <w:p>
      <w:pPr>
        <w:ind w:left="660" w:right="4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the anticipated benefits of restructuring programs that we have or may undertake, including the Operational Excellence Program;</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that the expected strategic benefits and opportunities from our acquisition of Cardiva and any other planned or completed acquisition or divestiture by the Company may not be realized or may take longer to realize than expected;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3" w:name="page34"/>
    <w:bookmarkEnd w:id="33"/>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212529"/>
        </w:rPr>
        <w:t>The impact of enhanced requirements to obtain regulatory approval in the U.S. and around the world and the associated timing and cost of product approval;</w:t>
      </w:r>
    </w:p>
    <w:p>
      <w:pPr>
        <w:spacing w:after="0" w:line="19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comply with established and developing U.S. and foreign legal and regulatory requirements, including FCPA, MDR/IVDR and similar laws in other jurisdictions, as well as U.S. and foreign export and import restrictions and tariffs;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meet our debt obligations and raise additional capital when desired on terms reasonably acceptable to us;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impact of our convertible senior notes and related capped call transactions;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execute and realize anticipated benefits from our investments in emerging economies;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effect of foreign currency fluctuations and interest rate fluctuations on our net sales, expenses, and resulting margins;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changes in U.S. and international tax laws;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protect intellectual property and the outcome of patent litigation;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and risks associated with product liability and other litigation claims;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retain and attract key personnel; and</w:t>
      </w:r>
    </w:p>
    <w:p>
      <w:pPr>
        <w:spacing w:after="0" w:line="252"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conditions impacting our stock price and/or share repurchase programs we may enter into from time to time, and the possibility that such share repurchase programs may be delayed, suspended or discontinued.</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Investors should understand that it is not possible to predict or identify all such factors and should not consider the risks described above and in Item 1A. Risk Factors in our Annual Report on Form 10-K to be a complete statement of all potential risks and uncertainties. The Company does not undertake to publicly update any forward-looking statement that may be made from time to time, whether as a result of new information or future events or developments.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$3.2 million increase in the fair value of the forward contracts; whereas a 10% weakening of the U.S. Dollar would result in a $3.5 million decrease of the fair value of the forward contracts.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exposure to changes in interest rates is associated with borrowings under our Credit Facilities, all of which is variable rate debt. Total outstanding debt under our Credit Facilities as of January 1, 2022 was $288.8 million with an interest rate of 1.9% based on prevailing LIBOR rates. An increase of 100 basis points in LIBOR rates would result in additional annual interest expense of $0.9 million. On August 21, 2018, we entered into two interest rate swap agreements to effectively convert $241.9 million of borrowings under our Credit Facilities from a variable rate to a fixed rate. These interest rate swaps are intended to mitigate the exposure to fluctuations in interest rates and qualify for hedge accounting treatment as cash flow hedges.</w:t>
      </w:r>
    </w:p>
    <w:p>
      <w:pPr>
        <w:sectPr>
          <w:pgSz w:w="11900" w:h="16838" w:orient="portrait"/>
          <w:cols w:equalWidth="0" w:num="1">
            <w:col w:w="11200"/>
          </w:cols>
          <w:pgMar w:left="320" w:top="89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We conducted an evaluation, as of January 1, 2022,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Exchange Act. Based upon that evaluation, the Chief Executive Officer and Chief Financial Officer concluded that our disclosure controls and procedures are effective as of January 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January 1, 2022 that have materially affected, or are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91" w:right="5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II — OTHER INFORMATION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Information with respect to this Item may be found in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Unaudited Condensed Consolidated Financial Statements in this Quarterly Report on Form 10-Q, which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from the Risk Factors previously disclosed in our Annual Report on Form 10-K for the fiscal year ended April 3, 2021.</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99" w:right="7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54" w:lineRule="exact"/>
        <w:rPr>
          <w:sz w:val="20"/>
          <w:szCs w:val="20"/>
          <w:color w:val="auto"/>
        </w:rPr>
      </w:pPr>
    </w:p>
    <w:p>
      <w:pPr>
        <w:ind w:left="800" w:right="240" w:hanging="768"/>
        <w:spacing w:after="0" w:line="258" w:lineRule="auto"/>
        <w:tabs>
          <w:tab w:leader="none" w:pos="780" w:val="left"/>
        </w:tabs>
        <w:rPr>
          <w:rFonts w:ascii="Arial" w:cs="Arial" w:eastAsia="Arial" w:hAnsi="Arial"/>
          <w:sz w:val="18"/>
          <w:szCs w:val="18"/>
          <w:color w:val="0000FF"/>
        </w:rPr>
      </w:pPr>
      <w:hyperlink r:id="rId50">
        <w:r>
          <w:rPr>
            <w:rFonts w:ascii="Arial" w:cs="Arial" w:eastAsia="Arial" w:hAnsi="Arial"/>
            <w:sz w:val="18"/>
            <w:szCs w:val="18"/>
            <w:u w:val="single" w:color="auto"/>
            <w:color w:val="0000FF"/>
          </w:rPr>
          <w:t>3.1</w:t>
        </w:r>
      </w:hyperlink>
      <w:r>
        <w:rPr>
          <w:rFonts w:ascii="Arial" w:cs="Arial" w:eastAsia="Arial" w:hAnsi="Arial"/>
          <w:sz w:val="18"/>
          <w:szCs w:val="18"/>
          <w:color w:val="0000FF"/>
        </w:rPr>
        <w:tab/>
      </w:r>
      <w:r>
        <w:rPr>
          <w:rFonts w:ascii="Arial" w:cs="Arial" w:eastAsia="Arial" w:hAnsi="Arial"/>
          <w:sz w:val="17"/>
          <w:szCs w:val="17"/>
          <w:color w:val="0000FF"/>
        </w:rPr>
        <w:t>Restated Articles of Organization of the Company, reflecting Articles of Amendment dated August 23, 1993, August 21, 2006, July 26, 2018 and July 25, 2019 (filed as Exhibit 3.1 to the Company’s Form 8-K dated July 29, 2019 and incorporated herein by reference).</w:t>
      </w:r>
    </w:p>
    <w:p>
      <w:pPr>
        <w:spacing w:after="0" w:line="241" w:lineRule="exact"/>
        <w:rPr>
          <w:sz w:val="20"/>
          <w:szCs w:val="20"/>
          <w:color w:val="auto"/>
        </w:rPr>
      </w:pPr>
    </w:p>
    <w:p>
      <w:pPr>
        <w:ind w:left="800" w:right="600" w:hanging="768"/>
        <w:spacing w:after="0" w:line="235" w:lineRule="auto"/>
        <w:tabs>
          <w:tab w:leader="none" w:pos="780" w:val="left"/>
        </w:tabs>
        <w:rPr>
          <w:rFonts w:ascii="Arial" w:cs="Arial" w:eastAsia="Arial" w:hAnsi="Arial"/>
          <w:sz w:val="18"/>
          <w:szCs w:val="18"/>
          <w:color w:val="0000FF"/>
        </w:rPr>
      </w:pPr>
      <w:hyperlink r:id="rId51">
        <w:r>
          <w:rPr>
            <w:rFonts w:ascii="Arial" w:cs="Arial" w:eastAsia="Arial" w:hAnsi="Arial"/>
            <w:sz w:val="18"/>
            <w:szCs w:val="18"/>
            <w:u w:val="single" w:color="auto"/>
            <w:color w:val="0000FF"/>
          </w:rPr>
          <w:t>3.2</w:t>
        </w:r>
      </w:hyperlink>
      <w:r>
        <w:rPr>
          <w:rFonts w:ascii="Arial" w:cs="Arial" w:eastAsia="Arial" w:hAnsi="Arial"/>
          <w:sz w:val="18"/>
          <w:szCs w:val="18"/>
          <w:color w:val="0000FF"/>
        </w:rPr>
        <w:tab/>
        <w:t>By-Laws of the Company, as amended through June 29, 2020 (filed as Exhibit 3.1 to the Company’s Form 8-K dated June 30, 2020 and incorporated herein by reference).</w:t>
      </w:r>
    </w:p>
    <w:p>
      <w:pPr>
        <w:spacing w:after="0" w:line="256" w:lineRule="exact"/>
        <w:rPr>
          <w:sz w:val="20"/>
          <w:szCs w:val="20"/>
          <w:color w:val="auto"/>
        </w:rPr>
      </w:pPr>
    </w:p>
    <w:p>
      <w:pPr>
        <w:ind w:left="800" w:right="140" w:hanging="768"/>
        <w:spacing w:after="0" w:line="235" w:lineRule="auto"/>
        <w:tabs>
          <w:tab w:leader="none" w:pos="780" w:val="left"/>
        </w:tabs>
        <w:rPr>
          <w:rFonts w:ascii="Arial" w:cs="Arial" w:eastAsia="Arial" w:hAnsi="Arial"/>
          <w:sz w:val="18"/>
          <w:szCs w:val="18"/>
          <w:color w:val="0000FF"/>
        </w:rPr>
      </w:pPr>
      <w:hyperlink w:anchor="page40">
        <w:r>
          <w:rPr>
            <w:rFonts w:ascii="Arial" w:cs="Arial" w:eastAsia="Arial" w:hAnsi="Arial"/>
            <w:sz w:val="18"/>
            <w:szCs w:val="18"/>
            <w:u w:val="single" w:color="auto"/>
            <w:color w:val="0000FF"/>
          </w:rPr>
          <w:t>10.1</w:t>
        </w:r>
      </w:hyperlink>
      <w:r>
        <w:rPr>
          <w:rFonts w:ascii="Arial" w:cs="Arial" w:eastAsia="Arial" w:hAnsi="Arial"/>
          <w:sz w:val="18"/>
          <w:szCs w:val="18"/>
          <w:color w:val="000000"/>
        </w:rPr>
        <w:t>*</w:t>
      </w:r>
      <w:r>
        <w:rPr>
          <w:rFonts w:ascii="Arial" w:cs="Arial" w:eastAsia="Arial" w:hAnsi="Arial"/>
          <w:sz w:val="18"/>
          <w:szCs w:val="18"/>
          <w:color w:val="0000FF"/>
        </w:rPr>
        <w:tab/>
        <w:t>Fourteenth Amendment to lease dated July 17, 1990, made as of November 11, 2021 by and between Buncher Company and the Company for property located in Leetsdale, Pennsylvania (1).</w:t>
      </w:r>
    </w:p>
    <w:p>
      <w:pPr>
        <w:spacing w:after="0" w:line="256" w:lineRule="exact"/>
        <w:rPr>
          <w:sz w:val="20"/>
          <w:szCs w:val="20"/>
          <w:color w:val="auto"/>
        </w:rPr>
      </w:pPr>
    </w:p>
    <w:p>
      <w:pPr>
        <w:ind w:left="20"/>
        <w:spacing w:after="0"/>
        <w:tabs>
          <w:tab w:leader="none" w:pos="780" w:val="left"/>
        </w:tabs>
        <w:rPr>
          <w:rFonts w:ascii="Arial" w:cs="Arial" w:eastAsia="Arial" w:hAnsi="Arial"/>
          <w:sz w:val="18"/>
          <w:szCs w:val="18"/>
          <w:color w:val="0000FF"/>
        </w:rPr>
      </w:pPr>
      <w:hyperlink w:anchor="page46">
        <w:r>
          <w:rPr>
            <w:rFonts w:ascii="Arial" w:cs="Arial" w:eastAsia="Arial" w:hAnsi="Arial"/>
            <w:sz w:val="18"/>
            <w:szCs w:val="18"/>
            <w:u w:val="single" w:color="auto"/>
            <w:color w:val="0000FF"/>
          </w:rPr>
          <w:t>10.2</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CFO Retention and Transition Agreement, dated as of November 8, 2021, by and between the Company and William P. Burke (2).</w:t>
      </w:r>
    </w:p>
    <w:p>
      <w:pPr>
        <w:spacing w:after="0" w:line="279" w:lineRule="exact"/>
        <w:rPr>
          <w:sz w:val="20"/>
          <w:szCs w:val="20"/>
          <w:color w:val="auto"/>
        </w:rPr>
      </w:pPr>
    </w:p>
    <w:p>
      <w:pPr>
        <w:ind w:left="800" w:right="260" w:hanging="768"/>
        <w:spacing w:after="0" w:line="235" w:lineRule="auto"/>
        <w:tabs>
          <w:tab w:leader="none" w:pos="780" w:val="left"/>
        </w:tabs>
        <w:rPr>
          <w:rFonts w:ascii="Arial" w:cs="Arial" w:eastAsia="Arial" w:hAnsi="Arial"/>
          <w:sz w:val="18"/>
          <w:szCs w:val="18"/>
          <w:color w:val="0000FF"/>
        </w:rPr>
      </w:pPr>
      <w:hyperlink w:anchor="page57">
        <w:r>
          <w:rPr>
            <w:rFonts w:ascii="Arial" w:cs="Arial" w:eastAsia="Arial" w:hAnsi="Arial"/>
            <w:sz w:val="18"/>
            <w:szCs w:val="18"/>
            <w:u w:val="single" w:color="auto"/>
            <w:color w:val="0000FF"/>
          </w:rPr>
          <w:t>31.1</w:t>
        </w:r>
      </w:hyperlink>
      <w:r>
        <w:rPr>
          <w:rFonts w:ascii="Arial" w:cs="Arial" w:eastAsia="Arial" w:hAnsi="Arial"/>
          <w:sz w:val="18"/>
          <w:szCs w:val="18"/>
          <w:color w:val="000000"/>
        </w:rPr>
        <w:t>*</w:t>
      </w:r>
      <w:r>
        <w:rPr>
          <w:rFonts w:ascii="Arial" w:cs="Arial" w:eastAsia="Arial" w:hAnsi="Arial"/>
          <w:sz w:val="18"/>
          <w:szCs w:val="18"/>
          <w:color w:val="0000FF"/>
        </w:rPr>
        <w:tab/>
        <w:t>Certification pursuant to Section 302 of Sarbanes-Oxley Act of 2002, of Christopher A. Simon, President and Chief Executive Officer of the Company.</w:t>
      </w:r>
    </w:p>
    <w:p>
      <w:pPr>
        <w:spacing w:after="0" w:line="229" w:lineRule="exact"/>
        <w:rPr>
          <w:sz w:val="20"/>
          <w:szCs w:val="20"/>
          <w:color w:val="auto"/>
        </w:rPr>
      </w:pPr>
    </w:p>
    <w:p>
      <w:pPr>
        <w:ind w:left="800" w:right="260" w:hanging="768"/>
        <w:spacing w:after="0" w:line="235" w:lineRule="auto"/>
        <w:tabs>
          <w:tab w:leader="none" w:pos="780" w:val="left"/>
        </w:tabs>
        <w:rPr>
          <w:rFonts w:ascii="Arial" w:cs="Arial" w:eastAsia="Arial" w:hAnsi="Arial"/>
          <w:sz w:val="18"/>
          <w:szCs w:val="18"/>
          <w:color w:val="0000FF"/>
        </w:rPr>
      </w:pPr>
      <w:hyperlink w:anchor="page58">
        <w:r>
          <w:rPr>
            <w:rFonts w:ascii="Arial" w:cs="Arial" w:eastAsia="Arial" w:hAnsi="Arial"/>
            <w:sz w:val="18"/>
            <w:szCs w:val="18"/>
            <w:u w:val="single" w:color="auto"/>
            <w:color w:val="0000FF"/>
          </w:rPr>
          <w:t>31.2</w:t>
        </w:r>
      </w:hyperlink>
      <w:r>
        <w:rPr>
          <w:rFonts w:ascii="Arial" w:cs="Arial" w:eastAsia="Arial" w:hAnsi="Arial"/>
          <w:sz w:val="18"/>
          <w:szCs w:val="18"/>
          <w:color w:val="000000"/>
        </w:rPr>
        <w:t>*</w:t>
      </w:r>
      <w:r>
        <w:rPr>
          <w:rFonts w:ascii="Arial" w:cs="Arial" w:eastAsia="Arial" w:hAnsi="Arial"/>
          <w:sz w:val="18"/>
          <w:szCs w:val="18"/>
          <w:color w:val="0000FF"/>
        </w:rPr>
        <w:tab/>
        <w:t>Certification pursuant to Section 302 of Sarbanes-Oxley of 2002, of William Burke, Executive Vice President, Chief Financial Officer of the Company.</w:t>
      </w:r>
    </w:p>
    <w:p>
      <w:pPr>
        <w:spacing w:after="0" w:line="229" w:lineRule="exact"/>
        <w:rPr>
          <w:sz w:val="20"/>
          <w:szCs w:val="20"/>
          <w:color w:val="auto"/>
        </w:rPr>
      </w:pPr>
    </w:p>
    <w:p>
      <w:pPr>
        <w:ind w:left="800" w:right="560" w:hanging="768"/>
        <w:spacing w:after="0" w:line="235" w:lineRule="auto"/>
        <w:tabs>
          <w:tab w:leader="none" w:pos="780" w:val="left"/>
        </w:tabs>
        <w:rPr>
          <w:rFonts w:ascii="Arial" w:cs="Arial" w:eastAsia="Arial" w:hAnsi="Arial"/>
          <w:sz w:val="18"/>
          <w:szCs w:val="18"/>
          <w:color w:val="0000FF"/>
        </w:rPr>
      </w:pPr>
      <w:hyperlink w:anchor="page59">
        <w:r>
          <w:rPr>
            <w:rFonts w:ascii="Arial" w:cs="Arial" w:eastAsia="Arial" w:hAnsi="Arial"/>
            <w:sz w:val="18"/>
            <w:szCs w:val="18"/>
            <w:u w:val="single" w:color="auto"/>
            <w:color w:val="0000FF"/>
          </w:rPr>
          <w:t>32.1</w:t>
        </w:r>
      </w:hyperlink>
      <w:r>
        <w:rPr>
          <w:rFonts w:ascii="Arial" w:cs="Arial" w:eastAsia="Arial" w:hAnsi="Arial"/>
          <w:sz w:val="18"/>
          <w:szCs w:val="18"/>
          <w:color w:val="000000"/>
        </w:rPr>
        <w:t>**</w:t>
      </w:r>
      <w:r>
        <w:rPr>
          <w:rFonts w:ascii="Arial" w:cs="Arial" w:eastAsia="Arial" w:hAnsi="Arial"/>
          <w:sz w:val="18"/>
          <w:szCs w:val="18"/>
          <w:color w:val="0000FF"/>
        </w:rPr>
        <w:tab/>
        <w:t>Certification Pursuant to 18 United States Code Section 1350, as adopted Pursuant to Section 906 of the Sarbanes-Oxley Act of 2002, of Christopher A. Simon, President and Chief Executive Officer of the Company.</w:t>
      </w:r>
    </w:p>
    <w:p>
      <w:pPr>
        <w:spacing w:after="0" w:line="229" w:lineRule="exact"/>
        <w:rPr>
          <w:sz w:val="20"/>
          <w:szCs w:val="20"/>
          <w:color w:val="auto"/>
        </w:rPr>
      </w:pPr>
    </w:p>
    <w:p>
      <w:pPr>
        <w:ind w:left="800" w:right="560" w:hanging="768"/>
        <w:spacing w:after="0" w:line="235" w:lineRule="auto"/>
        <w:tabs>
          <w:tab w:leader="none" w:pos="780" w:val="left"/>
        </w:tabs>
        <w:rPr>
          <w:rFonts w:ascii="Arial" w:cs="Arial" w:eastAsia="Arial" w:hAnsi="Arial"/>
          <w:sz w:val="18"/>
          <w:szCs w:val="18"/>
          <w:color w:val="0000FF"/>
        </w:rPr>
      </w:pPr>
      <w:hyperlink w:anchor="page60">
        <w:r>
          <w:rPr>
            <w:rFonts w:ascii="Arial" w:cs="Arial" w:eastAsia="Arial" w:hAnsi="Arial"/>
            <w:sz w:val="18"/>
            <w:szCs w:val="18"/>
            <w:u w:val="single" w:color="auto"/>
            <w:color w:val="0000FF"/>
          </w:rPr>
          <w:t>32.2</w:t>
        </w:r>
      </w:hyperlink>
      <w:r>
        <w:rPr>
          <w:rFonts w:ascii="Arial" w:cs="Arial" w:eastAsia="Arial" w:hAnsi="Arial"/>
          <w:sz w:val="18"/>
          <w:szCs w:val="18"/>
          <w:color w:val="000000"/>
        </w:rPr>
        <w:t>**</w:t>
      </w:r>
      <w:r>
        <w:rPr>
          <w:rFonts w:ascii="Arial" w:cs="Arial" w:eastAsia="Arial" w:hAnsi="Arial"/>
          <w:sz w:val="18"/>
          <w:szCs w:val="18"/>
          <w:color w:val="0000FF"/>
        </w:rPr>
        <w:tab/>
        <w:t>Certification Pursuant to 18 United States Code Section 1350, as adopted Pursuant to Section 906 of the Sarbanes-Oxley Act of 2002, of William Burke, Executive Vice President, Chief Financial Officer of the Company.</w:t>
      </w:r>
    </w:p>
    <w:p>
      <w:pPr>
        <w:spacing w:after="0" w:line="256" w:lineRule="exact"/>
        <w:rPr>
          <w:sz w:val="20"/>
          <w:szCs w:val="20"/>
          <w:color w:val="auto"/>
        </w:rPr>
      </w:pPr>
    </w:p>
    <w:p>
      <w:pPr>
        <w:ind w:left="800" w:hanging="779"/>
        <w:spacing w:after="0" w:line="219"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Haemonetics Corporation on Form 10-Q for the quarter ended January 1, 2022 formatted in inline Extensible Business Reporting Language (XBRL) includes: (i) Condensed Consolidated Statements of Income and Comprehensive Income, (ii) Condensed Consolidated Balance Sheets, (iii) Condensed Consolidated Statements of Cash Flows, and (iv) Notes to Condensed Consolidated Financial Statements.</w:t>
      </w:r>
    </w:p>
    <w:p>
      <w:pPr>
        <w:spacing w:after="0" w:line="257"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 and contained in Exhibit 101).</w:t>
      </w:r>
    </w:p>
    <w:p>
      <w:pPr>
        <w:spacing w:after="0" w:line="225" w:lineRule="exact"/>
        <w:rPr>
          <w:sz w:val="20"/>
          <w:szCs w:val="20"/>
          <w:color w:val="auto"/>
        </w:rPr>
      </w:pPr>
    </w:p>
    <w:p>
      <w:pPr>
        <w:ind w:left="660" w:hanging="63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Document filed with this report.</w:t>
      </w:r>
    </w:p>
    <w:p>
      <w:pPr>
        <w:spacing w:after="0" w:line="117" w:lineRule="exact"/>
        <w:rPr>
          <w:sz w:val="20"/>
          <w:szCs w:val="20"/>
          <w:color w:val="auto"/>
        </w:rPr>
      </w:pPr>
    </w:p>
    <w:p>
      <w:pPr>
        <w:ind w:left="660" w:hanging="63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Document furnished with this report.</w:t>
      </w:r>
    </w:p>
    <w:p>
      <w:pPr>
        <w:spacing w:after="0" w:line="171" w:lineRule="exact"/>
        <w:rPr>
          <w:sz w:val="20"/>
          <w:szCs w:val="20"/>
          <w:color w:val="auto"/>
        </w:rPr>
      </w:pPr>
    </w:p>
    <w:p>
      <w:pPr>
        <w:ind w:left="660" w:hanging="63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portions of this exhibit are considered confidential and have been omitted as permitted under SEC rules and regulations.</w:t>
      </w:r>
    </w:p>
    <w:p>
      <w:pPr>
        <w:spacing w:after="0" w:line="184" w:lineRule="exact"/>
        <w:rPr>
          <w:rFonts w:ascii="Arial" w:cs="Arial" w:eastAsia="Arial" w:hAnsi="Arial"/>
          <w:sz w:val="18"/>
          <w:szCs w:val="18"/>
          <w:color w:val="auto"/>
        </w:rPr>
      </w:pPr>
    </w:p>
    <w:p>
      <w:pPr>
        <w:ind w:left="660" w:hanging="63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Agreement, plan or arrangement related to the compensation of officers or directors.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8" w:name="page39"/>
    <w:bookmarkEnd w:id="38"/>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HAEMONETICS CORPORATION</w:t>
      </w:r>
    </w:p>
    <w:p>
      <w:pPr>
        <w:spacing w:after="0" w:line="23" w:lineRule="exact"/>
        <w:rPr>
          <w:sz w:val="20"/>
          <w:szCs w:val="20"/>
          <w:color w:val="auto"/>
        </w:rPr>
      </w:pPr>
    </w:p>
    <w:p>
      <w:pPr>
        <w:ind w:left="20"/>
        <w:spacing w:after="0"/>
        <w:tabs>
          <w:tab w:leader="none" w:pos="4100" w:val="left"/>
          <w:tab w:leader="none" w:pos="4680" w:val="left"/>
        </w:tabs>
        <w:rPr>
          <w:sz w:val="20"/>
          <w:szCs w:val="20"/>
          <w:color w:val="auto"/>
        </w:rPr>
      </w:pPr>
      <w:r>
        <w:rPr>
          <w:rFonts w:ascii="Arial" w:cs="Arial" w:eastAsia="Arial" w:hAnsi="Arial"/>
          <w:sz w:val="18"/>
          <w:szCs w:val="18"/>
          <w:color w:val="auto"/>
        </w:rPr>
        <w:t>February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14605</wp:posOffset>
            </wp:positionV>
            <wp:extent cx="30175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8"/>
          <w:szCs w:val="18"/>
          <w:color w:val="auto"/>
        </w:rPr>
        <w:t>Christopher A. Simon,</w:t>
      </w:r>
    </w:p>
    <w:p>
      <w:pPr>
        <w:ind w:left="4700"/>
        <w:spacing w:after="0"/>
        <w:rPr>
          <w:sz w:val="20"/>
          <w:szCs w:val="20"/>
          <w:color w:val="auto"/>
        </w:rPr>
      </w:pPr>
      <w:r>
        <w:rPr>
          <w:rFonts w:ascii="Arial" w:cs="Arial" w:eastAsia="Arial" w:hAnsi="Arial"/>
          <w:sz w:val="18"/>
          <w:szCs w:val="18"/>
          <w:color w:val="auto"/>
        </w:rPr>
        <w:t>President and Chief Executive Officer</w:t>
      </w:r>
    </w:p>
    <w:p>
      <w:pPr>
        <w:spacing w:after="0" w:line="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February 8, 2022</w:t>
            </w:r>
          </w:p>
        </w:tc>
        <w:tc>
          <w:tcPr>
            <w:tcW w:w="2000" w:type="dxa"/>
            <w:vAlign w:val="bottom"/>
          </w:tcPr>
          <w:p>
            <w:pPr>
              <w:ind w:left="144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Burke</w:t>
            </w:r>
          </w:p>
        </w:tc>
      </w:tr>
      <w:tr>
        <w:trPr>
          <w:trHeight w:val="169"/>
        </w:trPr>
        <w:tc>
          <w:tcPr>
            <w:tcW w:w="2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60" w:type="dxa"/>
            <w:vAlign w:val="bottom"/>
          </w:tcPr>
          <w:p>
            <w:pPr>
              <w:ind w:left="20"/>
              <w:spacing w:after="0" w:line="169" w:lineRule="exact"/>
              <w:rPr>
                <w:sz w:val="20"/>
                <w:szCs w:val="20"/>
                <w:color w:val="auto"/>
              </w:rPr>
            </w:pPr>
            <w:r>
              <w:rPr>
                <w:rFonts w:ascii="Arial" w:cs="Arial" w:eastAsia="Arial" w:hAnsi="Arial"/>
                <w:sz w:val="18"/>
                <w:szCs w:val="18"/>
                <w:color w:val="auto"/>
              </w:rPr>
              <w:t>William Burke, Executive Vice President, Chief Financial</w:t>
            </w:r>
          </w:p>
        </w:tc>
      </w:tr>
      <w:tr>
        <w:trPr>
          <w:trHeight w:val="229"/>
        </w:trPr>
        <w:tc>
          <w:tcPr>
            <w:tcW w:w="26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Officer</w:t>
            </w:r>
          </w:p>
        </w:tc>
      </w:tr>
      <w:tr>
        <w:trPr>
          <w:trHeight w:val="230"/>
        </w:trPr>
        <w:tc>
          <w:tcPr>
            <w:tcW w:w="2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340"/>
          </w:cols>
          <w:pgMar w:left="320" w:top="891" w:right="1239" w:bottom="1440" w:gutter="0" w:footer="0" w:header="0"/>
        </w:sectPr>
      </w:pPr>
    </w:p>
    <w:bookmarkStart w:id="39" w:name="page40"/>
    <w:bookmarkEnd w:id="39"/>
    <w:p>
      <w:pPr>
        <w:ind w:right="180"/>
        <w:spacing w:after="0" w:line="232" w:lineRule="auto"/>
        <w:rPr>
          <w:sz w:val="20"/>
          <w:szCs w:val="20"/>
          <w:color w:val="auto"/>
        </w:rPr>
      </w:pPr>
      <w:r>
        <w:rPr>
          <w:rFonts w:ascii="Arial" w:cs="Arial" w:eastAsia="Arial" w:hAnsi="Arial"/>
          <w:sz w:val="20"/>
          <w:szCs w:val="20"/>
          <w:b w:val="1"/>
          <w:bCs w:val="1"/>
          <w:color w:val="auto"/>
        </w:rPr>
        <w:t>CERTAIN INFORMATION HAS BEEN OMITTED FROM THIS DOCUMENT BECAUSE IT IS (I) NOT MATERIAL, AND (II) WOULD BE COMPETITIVELY HARMFUL IF PUBLICLY DISCLOSED. OMISSIONS ARE MARKED [***].</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10.1</w:t>
      </w:r>
    </w:p>
    <w:p>
      <w:pPr>
        <w:spacing w:after="0" w:line="218" w:lineRule="exact"/>
        <w:rPr>
          <w:sz w:val="20"/>
          <w:szCs w:val="20"/>
          <w:color w:val="auto"/>
        </w:rPr>
      </w:pPr>
    </w:p>
    <w:p>
      <w:pPr>
        <w:jc w:val="center"/>
        <w:ind w:left="340" w:right="2700"/>
        <w:spacing w:after="0" w:line="399" w:lineRule="auto"/>
        <w:rPr>
          <w:sz w:val="20"/>
          <w:szCs w:val="20"/>
          <w:color w:val="auto"/>
        </w:rPr>
      </w:pPr>
      <w:r>
        <w:rPr>
          <w:rFonts w:ascii="Arial" w:cs="Arial" w:eastAsia="Arial" w:hAnsi="Arial"/>
          <w:sz w:val="22"/>
          <w:szCs w:val="22"/>
          <w:color w:val="auto"/>
        </w:rPr>
        <w:t>FOURTEENTH AMENDMENT TO AGREEMENT OF LEASE DATED THIS 11</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NOVEMBER, 2021 BY AND BETWEEN</w:t>
      </w:r>
    </w:p>
    <w:p>
      <w:pPr>
        <w:spacing w:after="0" w:line="1" w:lineRule="exact"/>
        <w:rPr>
          <w:sz w:val="20"/>
          <w:szCs w:val="20"/>
          <w:color w:val="auto"/>
        </w:rPr>
      </w:pPr>
    </w:p>
    <w:p>
      <w:pPr>
        <w:jc w:val="both"/>
        <w:ind w:firstLine="378"/>
        <w:spacing w:after="0" w:line="225" w:lineRule="auto"/>
        <w:rPr>
          <w:sz w:val="20"/>
          <w:szCs w:val="20"/>
          <w:color w:val="auto"/>
        </w:rPr>
      </w:pPr>
      <w:r>
        <w:rPr>
          <w:rFonts w:ascii="Arial" w:cs="Arial" w:eastAsia="Arial" w:hAnsi="Arial"/>
          <w:sz w:val="22"/>
          <w:szCs w:val="22"/>
          <w:color w:val="auto"/>
        </w:rPr>
        <w:t>THE BUNCHER COMPANY, as Landlord, a Pennsylvania corporation having its principal office in the City of Pittsburgh, Allegheny County, Pennsylvania,</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jc w:val="both"/>
        <w:ind w:firstLine="243"/>
        <w:spacing w:after="0" w:line="225" w:lineRule="auto"/>
        <w:rPr>
          <w:sz w:val="20"/>
          <w:szCs w:val="20"/>
          <w:color w:val="auto"/>
        </w:rPr>
      </w:pPr>
      <w:r>
        <w:rPr>
          <w:rFonts w:ascii="Arial" w:cs="Arial" w:eastAsia="Arial" w:hAnsi="Arial"/>
          <w:sz w:val="22"/>
          <w:szCs w:val="22"/>
          <w:color w:val="auto"/>
        </w:rPr>
        <w:t>HAEMONETICS CORPORATION, as Tenant, a Massachusetts corporation having its principal place of business in the City of Boston, Suffolk County, Massachusetts.</w:t>
      </w:r>
    </w:p>
    <w:p>
      <w:pPr>
        <w:spacing w:after="0" w:line="201" w:lineRule="exact"/>
        <w:rPr>
          <w:sz w:val="20"/>
          <w:szCs w:val="20"/>
          <w:color w:val="auto"/>
        </w:rPr>
      </w:pPr>
    </w:p>
    <w:p>
      <w:pPr>
        <w:jc w:val="both"/>
        <w:ind w:firstLine="426"/>
        <w:spacing w:after="0" w:line="208" w:lineRule="auto"/>
        <w:rPr>
          <w:sz w:val="20"/>
          <w:szCs w:val="20"/>
          <w:color w:val="auto"/>
        </w:rPr>
      </w:pPr>
      <w:r>
        <w:rPr>
          <w:rFonts w:ascii="Arial" w:cs="Arial" w:eastAsia="Arial" w:hAnsi="Arial"/>
          <w:sz w:val="22"/>
          <w:szCs w:val="22"/>
          <w:color w:val="auto"/>
        </w:rPr>
        <w:t>WHEREAS, the parties hereto have entered into that certain Agreement of Lease dated July 17, 1990; as amended by First Amendment to Agreement of Lease dated April 30, 1991; by Second Amendment to Agreement of Lease dated October 18, 2000; by Third Amendment to Agreement of Lease dated March 23, 2004; by Fourth Amendment to Agreement of Lease dated March 12, 2008; by Fifth Amendment to Agreement of Lease dated October 1, 2008; by Sixth Amendment to Agreement of Lease made as of January 8, 2010; by Seventh Amendment to Agreement of Lease made as of March 31, 2011; by letter agreement dated January 27, 2012; along with the renewal letter dated June 8, 2010, exercising the renewal option for the Fourth Renewal Term pursuant to paragraph 3 of the Sixth Amendment to Agreement of Lease; by Eighth Amendment to Agreement of Lease dated February 26, 2013; by Ninth Amendment to Agreement of Lease dated March 12, 2014; by Tenth Amendment to Agreement of Lease dated as of May 31, 2017; by Eleventh Amendment to Agreement of Lease dated as of March 2, 2018; by Twelfth Amendment to Agreement of Lease dated May 22, 2020; and by Thirteenth Amendment to Agreement of Lease dated December 21, 2020 (hereinafter collectively the “Lease”);</w:t>
      </w:r>
    </w:p>
    <w:p>
      <w:pPr>
        <w:spacing w:after="0" w:line="204" w:lineRule="exact"/>
        <w:rPr>
          <w:sz w:val="20"/>
          <w:szCs w:val="20"/>
          <w:color w:val="auto"/>
        </w:rPr>
      </w:pPr>
    </w:p>
    <w:p>
      <w:pPr>
        <w:jc w:val="both"/>
        <w:ind w:firstLine="272"/>
        <w:spacing w:after="0" w:line="213" w:lineRule="auto"/>
        <w:rPr>
          <w:sz w:val="20"/>
          <w:szCs w:val="20"/>
          <w:color w:val="auto"/>
        </w:rPr>
      </w:pPr>
      <w:r>
        <w:rPr>
          <w:rFonts w:ascii="Arial" w:cs="Arial" w:eastAsia="Arial" w:hAnsi="Arial"/>
          <w:sz w:val="22"/>
          <w:szCs w:val="22"/>
          <w:color w:val="auto"/>
        </w:rPr>
        <w:t>WHEREAS, the “Leased Premises” covered by the Lease is 89,177 agreed-upon rentable square feet of space in Buncher Commerce Park, Leetsdale Borough, Allegheny County, Pennsylvania, which is allocated as follows: (a) 81,929 agreed-upon rentable square feet of space in Buildings 18 and 18A; (b) 5,672 agreed-upon rentable square feet of space in the Parking Area; (c) 809 agreed-upon rentable square feet of space in the Building 18 Expansion Space; and (d) 767 agreed-upon rentable square feet of space in the Building 18 Second Expansion Space;</w:t>
      </w:r>
    </w:p>
    <w:p>
      <w:pPr>
        <w:spacing w:after="0" w:line="200" w:lineRule="exact"/>
        <w:rPr>
          <w:sz w:val="20"/>
          <w:szCs w:val="20"/>
          <w:color w:val="auto"/>
        </w:rPr>
      </w:pPr>
    </w:p>
    <w:p>
      <w:pPr>
        <w:jc w:val="both"/>
        <w:ind w:firstLine="280"/>
        <w:spacing w:after="0" w:line="225" w:lineRule="auto"/>
        <w:rPr>
          <w:sz w:val="20"/>
          <w:szCs w:val="20"/>
          <w:color w:val="auto"/>
        </w:rPr>
      </w:pPr>
      <w:r>
        <w:rPr>
          <w:rFonts w:ascii="Arial" w:cs="Arial" w:eastAsia="Arial" w:hAnsi="Arial"/>
          <w:sz w:val="22"/>
          <w:szCs w:val="22"/>
          <w:color w:val="auto"/>
        </w:rPr>
        <w:t>WHEREAS, all terms defined in the Lease and used therein shall have the same meaning herein as in the Lease unless otherwise provided herein; and</w:t>
      </w:r>
    </w:p>
    <w:p>
      <w:pPr>
        <w:spacing w:after="0" w:line="201" w:lineRule="exact"/>
        <w:rPr>
          <w:sz w:val="20"/>
          <w:szCs w:val="20"/>
          <w:color w:val="auto"/>
        </w:rPr>
      </w:pPr>
    </w:p>
    <w:p>
      <w:pPr>
        <w:jc w:val="both"/>
        <w:ind w:firstLine="267"/>
        <w:spacing w:after="0" w:line="215" w:lineRule="auto"/>
        <w:rPr>
          <w:sz w:val="20"/>
          <w:szCs w:val="20"/>
          <w:color w:val="auto"/>
        </w:rPr>
      </w:pPr>
      <w:r>
        <w:rPr>
          <w:rFonts w:ascii="Arial" w:cs="Arial" w:eastAsia="Arial" w:hAnsi="Arial"/>
          <w:sz w:val="22"/>
          <w:szCs w:val="22"/>
          <w:color w:val="auto"/>
        </w:rPr>
        <w:t>WHEREAS, the parties hereto desire to amend the Lease to (i) extend the term of the Lease for two (2) additional months (the “Sixth Extended Term”); (ii) restate the monthly rental for the Leased Premises during the balance of the Fourth Extended Term, restate the monthly rental for the Leased Premises for the Fifth Extended Term, and establish the monthly rental for the Lased Premises for the Sixth Extended Term;</w:t>
      </w:r>
    </w:p>
    <w:p>
      <w:pPr>
        <w:sectPr>
          <w:pgSz w:w="11900" w:h="16838" w:orient="portrait"/>
          <w:cols w:equalWidth="0" w:num="1">
            <w:col w:w="11240"/>
          </w:cols>
          <w:pgMar w:left="320" w:top="1399" w:right="339" w:bottom="1440" w:gutter="0" w:footer="0" w:header="0"/>
        </w:sectPr>
      </w:pPr>
    </w:p>
    <w:bookmarkStart w:id="40" w:name="page41"/>
    <w:bookmarkEnd w:id="40"/>
    <w:p>
      <w:pPr>
        <w:jc w:val="both"/>
        <w:ind w:firstLine="8"/>
        <w:spacing w:after="0" w:line="215" w:lineRule="auto"/>
        <w:tabs>
          <w:tab w:leader="none" w:pos="376" w:val="left"/>
        </w:tabs>
        <w:numPr>
          <w:ilvl w:val="0"/>
          <w:numId w:val="19"/>
        </w:numPr>
        <w:rPr>
          <w:rFonts w:ascii="Arial" w:cs="Arial" w:eastAsia="Arial" w:hAnsi="Arial"/>
          <w:sz w:val="22"/>
          <w:szCs w:val="22"/>
          <w:color w:val="auto"/>
        </w:rPr>
      </w:pPr>
      <w:r>
        <w:rPr>
          <w:rFonts w:ascii="Arial" w:cs="Arial" w:eastAsia="Arial" w:hAnsi="Arial"/>
          <w:sz w:val="22"/>
          <w:szCs w:val="22"/>
          <w:color w:val="auto"/>
        </w:rPr>
        <w:t>relieve Tenant of the obligation to remove certain Alterations and equipment from the Leased Premises at the expiration of the term of the Lease in exchange for consideration payable by Tenant to Landlord; and (iv) amend existing Lease provisions and to incorporate additional provisions into the Lease to reflect the intentions of the parties.</w:t>
      </w:r>
    </w:p>
    <w:p>
      <w:pPr>
        <w:spacing w:after="0" w:line="201" w:lineRule="exact"/>
        <w:rPr>
          <w:sz w:val="20"/>
          <w:szCs w:val="20"/>
          <w:color w:val="auto"/>
        </w:rPr>
      </w:pPr>
    </w:p>
    <w:p>
      <w:pPr>
        <w:ind w:right="20" w:firstLine="411"/>
        <w:spacing w:after="0" w:line="225" w:lineRule="auto"/>
        <w:rPr>
          <w:sz w:val="20"/>
          <w:szCs w:val="20"/>
          <w:color w:val="auto"/>
        </w:rPr>
      </w:pPr>
      <w:r>
        <w:rPr>
          <w:rFonts w:ascii="Arial" w:cs="Arial" w:eastAsia="Arial" w:hAnsi="Arial"/>
          <w:sz w:val="22"/>
          <w:szCs w:val="22"/>
          <w:color w:val="auto"/>
        </w:rPr>
        <w:t>NOW, THEREFORE, in consideration of the premises and intending to be legally bound, the parties hereto promise, covenant and agree that the Lease be and is hereby amended as follows:</w:t>
      </w:r>
    </w:p>
    <w:p>
      <w:pPr>
        <w:spacing w:after="0" w:line="201" w:lineRule="exact"/>
        <w:rPr>
          <w:sz w:val="20"/>
          <w:szCs w:val="20"/>
          <w:color w:val="auto"/>
        </w:rPr>
      </w:pPr>
    </w:p>
    <w:p>
      <w:pPr>
        <w:jc w:val="both"/>
        <w:ind w:firstLine="656"/>
        <w:spacing w:after="0" w:line="215" w:lineRule="auto"/>
        <w:tabs>
          <w:tab w:leader="none" w:pos="1118" w:val="left"/>
        </w:tabs>
        <w:numPr>
          <w:ilvl w:val="0"/>
          <w:numId w:val="20"/>
        </w:numPr>
        <w:rPr>
          <w:rFonts w:ascii="Arial" w:cs="Arial" w:eastAsia="Arial" w:hAnsi="Arial"/>
          <w:sz w:val="22"/>
          <w:szCs w:val="22"/>
          <w:color w:val="auto"/>
        </w:rPr>
      </w:pPr>
      <w:r>
        <w:rPr>
          <w:rFonts w:ascii="Arial" w:cs="Arial" w:eastAsia="Arial" w:hAnsi="Arial"/>
          <w:sz w:val="22"/>
          <w:szCs w:val="22"/>
          <w:color w:val="auto"/>
        </w:rPr>
        <w:t>TERM: The Lease and the term thereof are hereby extended for the Sixth Extended Term to commence immediately following the expiration of the Fifth Extended Term of the Lease, i.e. April 1, 2022. The expiration date of the term of the Lease, as extended by the Sixth Extended Term, is hereby changed from March 31, 2022, to May 31, 2022.</w:t>
      </w:r>
    </w:p>
    <w:p>
      <w:pPr>
        <w:spacing w:after="0" w:line="200" w:lineRule="exact"/>
        <w:rPr>
          <w:rFonts w:ascii="Arial" w:cs="Arial" w:eastAsia="Arial" w:hAnsi="Arial"/>
          <w:sz w:val="22"/>
          <w:szCs w:val="22"/>
          <w:color w:val="auto"/>
        </w:rPr>
      </w:pPr>
    </w:p>
    <w:p>
      <w:pPr>
        <w:jc w:val="both"/>
        <w:ind w:firstLine="656"/>
        <w:spacing w:after="0" w:line="218" w:lineRule="auto"/>
        <w:tabs>
          <w:tab w:leader="none" w:pos="1239" w:val="left"/>
        </w:tabs>
        <w:numPr>
          <w:ilvl w:val="0"/>
          <w:numId w:val="20"/>
        </w:numPr>
        <w:rPr>
          <w:rFonts w:ascii="Arial" w:cs="Arial" w:eastAsia="Arial" w:hAnsi="Arial"/>
          <w:sz w:val="22"/>
          <w:szCs w:val="22"/>
          <w:color w:val="auto"/>
        </w:rPr>
      </w:pPr>
      <w:r>
        <w:rPr>
          <w:rFonts w:ascii="Arial" w:cs="Arial" w:eastAsia="Arial" w:hAnsi="Arial"/>
          <w:sz w:val="22"/>
          <w:szCs w:val="22"/>
          <w:color w:val="auto"/>
        </w:rPr>
        <w:t>RENT: Effective on the date of execution hereof, paragraph 2 (Rent) of the Thirteenth Amendment to Agreement of Lease dated December 21, 2020, shall be null and void and of no further force and effect and the following shall be substituted therefor:</w:t>
      </w:r>
    </w:p>
    <w:p>
      <w:pPr>
        <w:spacing w:after="0" w:line="202" w:lineRule="exact"/>
        <w:rPr>
          <w:sz w:val="20"/>
          <w:szCs w:val="20"/>
          <w:color w:val="auto"/>
        </w:rPr>
      </w:pPr>
    </w:p>
    <w:p>
      <w:pPr>
        <w:ind w:right="20" w:firstLine="264"/>
        <w:spacing w:after="0" w:line="225" w:lineRule="auto"/>
        <w:rPr>
          <w:sz w:val="20"/>
          <w:szCs w:val="20"/>
          <w:color w:val="auto"/>
        </w:rPr>
      </w:pPr>
      <w:r>
        <w:rPr>
          <w:rFonts w:ascii="Arial" w:cs="Arial" w:eastAsia="Arial" w:hAnsi="Arial"/>
          <w:sz w:val="22"/>
          <w:szCs w:val="22"/>
          <w:color w:val="auto"/>
        </w:rPr>
        <w:t>“2. RENT: Tenant shall pay to Landlord as rental for the Leased Premises the following amounts at the following times:</w:t>
      </w:r>
    </w:p>
    <w:p>
      <w:pPr>
        <w:spacing w:after="0" w:line="188" w:lineRule="exact"/>
        <w:rPr>
          <w:sz w:val="20"/>
          <w:szCs w:val="20"/>
          <w:color w:val="auto"/>
        </w:rPr>
      </w:pPr>
    </w:p>
    <w:p>
      <w:pPr>
        <w:jc w:val="both"/>
        <w:ind w:firstLine="656"/>
        <w:spacing w:after="0" w:line="197" w:lineRule="auto"/>
        <w:tabs>
          <w:tab w:leader="none" w:pos="1189" w:val="left"/>
        </w:tabs>
        <w:numPr>
          <w:ilvl w:val="0"/>
          <w:numId w:val="21"/>
        </w:numPr>
        <w:rPr>
          <w:rFonts w:ascii="Arial" w:cs="Arial" w:eastAsia="Arial" w:hAnsi="Arial"/>
          <w:sz w:val="22"/>
          <w:szCs w:val="22"/>
          <w:color w:val="auto"/>
        </w:rPr>
      </w:pPr>
      <w:r>
        <w:rPr>
          <w:rFonts w:ascii="Arial" w:cs="Arial" w:eastAsia="Arial" w:hAnsi="Arial"/>
          <w:sz w:val="22"/>
          <w:szCs w:val="22"/>
          <w:color w:val="auto"/>
        </w:rPr>
        <w:t>Tenant shall continue to pay to Landlord on the first (1</w:t>
      </w:r>
      <w:r>
        <w:rPr>
          <w:rFonts w:ascii="Arial" w:cs="Arial" w:eastAsia="Arial" w:hAnsi="Arial"/>
          <w:sz w:val="28"/>
          <w:szCs w:val="28"/>
          <w:color w:val="auto"/>
          <w:vertAlign w:val="superscript"/>
        </w:rPr>
        <w:t>st</w:t>
      </w:r>
      <w:r>
        <w:rPr>
          <w:rFonts w:ascii="Arial" w:cs="Arial" w:eastAsia="Arial" w:hAnsi="Arial"/>
          <w:sz w:val="22"/>
          <w:szCs w:val="22"/>
          <w:color w:val="auto"/>
        </w:rPr>
        <w:t>) day of each calendar month during the balance of the Fourth Extended Term of the Lease including December 1, 2021, as monthly rental for the Building 18 Expansion Space and the Building 18 Second Expansion Space portions of the Leased Premises the amount of $[***], and beginning on January 1, 2022 and continuing on the first (1</w:t>
      </w:r>
      <w:r>
        <w:rPr>
          <w:rFonts w:ascii="Arial" w:cs="Arial" w:eastAsia="Arial" w:hAnsi="Arial"/>
          <w:sz w:val="28"/>
          <w:szCs w:val="28"/>
          <w:color w:val="auto"/>
          <w:vertAlign w:val="superscript"/>
        </w:rPr>
        <w:t>st</w:t>
      </w:r>
      <w:r>
        <w:rPr>
          <w:rFonts w:ascii="Arial" w:cs="Arial" w:eastAsia="Arial" w:hAnsi="Arial"/>
          <w:sz w:val="22"/>
          <w:szCs w:val="22"/>
          <w:color w:val="auto"/>
        </w:rPr>
        <w:t>) day of each succeeding calendar month thereafter during the Fifth Extended Term and Sixth Extended Term of the Lease, Tenant shall pay to Landlord as monthly rental for the Building 18 Expansion Space and the Building 18 Second Expansion Space portions of the Leased Premises the amount of $[***].</w:t>
      </w:r>
    </w:p>
    <w:p>
      <w:pPr>
        <w:spacing w:after="0" w:line="188" w:lineRule="exact"/>
        <w:rPr>
          <w:rFonts w:ascii="Arial" w:cs="Arial" w:eastAsia="Arial" w:hAnsi="Arial"/>
          <w:sz w:val="22"/>
          <w:szCs w:val="22"/>
          <w:color w:val="auto"/>
        </w:rPr>
      </w:pPr>
    </w:p>
    <w:p>
      <w:pPr>
        <w:jc w:val="both"/>
        <w:ind w:firstLine="656"/>
        <w:spacing w:after="0" w:line="204" w:lineRule="auto"/>
        <w:tabs>
          <w:tab w:leader="none" w:pos="1216" w:val="left"/>
        </w:tabs>
        <w:numPr>
          <w:ilvl w:val="0"/>
          <w:numId w:val="21"/>
        </w:numPr>
        <w:rPr>
          <w:rFonts w:ascii="Arial" w:cs="Arial" w:eastAsia="Arial" w:hAnsi="Arial"/>
          <w:sz w:val="22"/>
          <w:szCs w:val="22"/>
          <w:color w:val="auto"/>
        </w:rPr>
      </w:pPr>
      <w:r>
        <w:rPr>
          <w:rFonts w:ascii="Arial" w:cs="Arial" w:eastAsia="Arial" w:hAnsi="Arial"/>
          <w:sz w:val="22"/>
          <w:szCs w:val="22"/>
          <w:color w:val="auto"/>
        </w:rPr>
        <w:t>Tenant shall continue to pay to Landlord on the first (1</w:t>
      </w:r>
      <w:r>
        <w:rPr>
          <w:rFonts w:ascii="Arial" w:cs="Arial" w:eastAsia="Arial" w:hAnsi="Arial"/>
          <w:sz w:val="28"/>
          <w:szCs w:val="28"/>
          <w:color w:val="auto"/>
          <w:vertAlign w:val="superscript"/>
        </w:rPr>
        <w:t>st</w:t>
      </w:r>
      <w:r>
        <w:rPr>
          <w:rFonts w:ascii="Arial" w:cs="Arial" w:eastAsia="Arial" w:hAnsi="Arial"/>
          <w:sz w:val="22"/>
          <w:szCs w:val="22"/>
          <w:color w:val="auto"/>
        </w:rPr>
        <w:t>) day of each calendar month during balance of the Fourth Extended Term of the Lease until and including December 1, 2021 as monthly rental for the Building 18, Building 18A, and the Parking Area portions of the Leased Premises the amount of $[***].</w:t>
      </w:r>
    </w:p>
    <w:p>
      <w:pPr>
        <w:spacing w:after="0" w:line="187" w:lineRule="exact"/>
        <w:rPr>
          <w:rFonts w:ascii="Arial" w:cs="Arial" w:eastAsia="Arial" w:hAnsi="Arial"/>
          <w:sz w:val="22"/>
          <w:szCs w:val="22"/>
          <w:color w:val="auto"/>
        </w:rPr>
      </w:pPr>
    </w:p>
    <w:p>
      <w:pPr>
        <w:jc w:val="both"/>
        <w:ind w:firstLine="656"/>
        <w:spacing w:after="0" w:line="204" w:lineRule="auto"/>
        <w:tabs>
          <w:tab w:leader="none" w:pos="1185" w:val="left"/>
        </w:tabs>
        <w:numPr>
          <w:ilvl w:val="0"/>
          <w:numId w:val="21"/>
        </w:numPr>
        <w:rPr>
          <w:rFonts w:ascii="Arial" w:cs="Arial" w:eastAsia="Arial" w:hAnsi="Arial"/>
          <w:sz w:val="22"/>
          <w:szCs w:val="22"/>
          <w:color w:val="auto"/>
        </w:rPr>
      </w:pPr>
      <w:r>
        <w:rPr>
          <w:rFonts w:ascii="Arial" w:cs="Arial" w:eastAsia="Arial" w:hAnsi="Arial"/>
          <w:sz w:val="22"/>
          <w:szCs w:val="22"/>
          <w:color w:val="auto"/>
        </w:rPr>
        <w:t>Beginning on January 1, 2022 and continuing on the first (1</w:t>
      </w:r>
      <w:r>
        <w:rPr>
          <w:rFonts w:ascii="Arial" w:cs="Arial" w:eastAsia="Arial" w:hAnsi="Arial"/>
          <w:sz w:val="28"/>
          <w:szCs w:val="28"/>
          <w:color w:val="auto"/>
          <w:vertAlign w:val="superscript"/>
        </w:rPr>
        <w:t>st</w:t>
      </w:r>
      <w:r>
        <w:rPr>
          <w:rFonts w:ascii="Arial" w:cs="Arial" w:eastAsia="Arial" w:hAnsi="Arial"/>
          <w:sz w:val="22"/>
          <w:szCs w:val="22"/>
          <w:color w:val="auto"/>
        </w:rPr>
        <w:t>) day of each succeeding calendar month thereafter during the Fifth Extended Term and the Sixth Extended Term of the Lease, Tenant shall pay to Landlord as monthly rental for the Building 18, Building 18A, and the Parking Area portions of the Leased Premises the amount of $[***].</w:t>
      </w:r>
    </w:p>
    <w:p>
      <w:pPr>
        <w:spacing w:after="0" w:line="201" w:lineRule="exact"/>
        <w:rPr>
          <w:sz w:val="20"/>
          <w:szCs w:val="20"/>
          <w:color w:val="auto"/>
        </w:rPr>
      </w:pPr>
    </w:p>
    <w:p>
      <w:pPr>
        <w:jc w:val="both"/>
        <w:ind w:firstLine="349"/>
        <w:spacing w:after="0" w:line="215" w:lineRule="auto"/>
        <w:rPr>
          <w:sz w:val="20"/>
          <w:szCs w:val="20"/>
          <w:color w:val="auto"/>
        </w:rPr>
      </w:pPr>
      <w:r>
        <w:rPr>
          <w:rFonts w:ascii="Arial" w:cs="Arial" w:eastAsia="Arial" w:hAnsi="Arial"/>
          <w:sz w:val="22"/>
          <w:szCs w:val="22"/>
          <w:color w:val="auto"/>
        </w:rPr>
        <w:t>The monthly rentals as set forth herein shall be payable in advance, without demand, deduction or set off. All rentals and other amounts payable under the Lease shall be paid to The Buncher Company at P. O. Box 768, Pittsburgh, Pennsylvania 15230-0768 or at such other place or to such other party as may be designated by Landlord in writing.</w:t>
      </w:r>
    </w:p>
    <w:p>
      <w:pPr>
        <w:spacing w:after="0" w:line="201" w:lineRule="exact"/>
        <w:rPr>
          <w:sz w:val="20"/>
          <w:szCs w:val="20"/>
          <w:color w:val="auto"/>
        </w:rPr>
      </w:pPr>
    </w:p>
    <w:p>
      <w:pPr>
        <w:jc w:val="both"/>
        <w:ind w:firstLine="245"/>
        <w:spacing w:after="0" w:line="218" w:lineRule="auto"/>
        <w:rPr>
          <w:sz w:val="20"/>
          <w:szCs w:val="20"/>
          <w:color w:val="auto"/>
        </w:rPr>
      </w:pPr>
      <w:r>
        <w:rPr>
          <w:rFonts w:ascii="Arial" w:cs="Arial" w:eastAsia="Arial" w:hAnsi="Arial"/>
          <w:sz w:val="22"/>
          <w:szCs w:val="22"/>
          <w:color w:val="auto"/>
        </w:rPr>
        <w:t>If any installment of monthly rental or additional rental becomes overdue for a period in excess of ten (10) business days, Tenant shall pay interest at a monthly rate equal to one percent (1%) accruing from the due date to the date of payment thereof.</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6" w:right="339" w:bottom="1440" w:gutter="0" w:footer="0" w:header="0"/>
        </w:sectPr>
      </w:pPr>
    </w:p>
    <w:bookmarkStart w:id="41" w:name="page42"/>
    <w:bookmarkEnd w:id="41"/>
    <w:p>
      <w:pPr>
        <w:jc w:val="both"/>
        <w:spacing w:after="0" w:line="215" w:lineRule="auto"/>
        <w:rPr>
          <w:sz w:val="20"/>
          <w:szCs w:val="20"/>
          <w:color w:val="auto"/>
        </w:rPr>
      </w:pPr>
      <w:r>
        <w:rPr>
          <w:rFonts w:ascii="Arial" w:cs="Arial" w:eastAsia="Arial" w:hAnsi="Arial"/>
          <w:sz w:val="22"/>
          <w:szCs w:val="22"/>
          <w:color w:val="auto"/>
        </w:rPr>
        <w:t>Such interest shall constitute additional rental due and payable to Landlord by Tenant. The interest charge will be in addition to, and not in lieu of, any other remedy Landlord may have under the Lease. If there are accrued and unpaid rental amounts, all payments of monthly rental and additional rental shall be applied in such order as Landlord shall determine.”</w:t>
      </w:r>
    </w:p>
    <w:p>
      <w:pPr>
        <w:spacing w:after="0" w:line="201" w:lineRule="exact"/>
        <w:rPr>
          <w:sz w:val="20"/>
          <w:szCs w:val="20"/>
          <w:color w:val="auto"/>
        </w:rPr>
      </w:pPr>
    </w:p>
    <w:p>
      <w:pPr>
        <w:ind w:firstLine="251"/>
        <w:spacing w:after="0" w:line="225" w:lineRule="auto"/>
        <w:tabs>
          <w:tab w:leader="none" w:pos="666" w:val="left"/>
        </w:tabs>
        <w:numPr>
          <w:ilvl w:val="0"/>
          <w:numId w:val="22"/>
        </w:numPr>
        <w:rPr>
          <w:rFonts w:ascii="Arial" w:cs="Arial" w:eastAsia="Arial" w:hAnsi="Arial"/>
          <w:sz w:val="22"/>
          <w:szCs w:val="22"/>
          <w:color w:val="auto"/>
        </w:rPr>
      </w:pPr>
      <w:r>
        <w:rPr>
          <w:rFonts w:ascii="Arial" w:cs="Arial" w:eastAsia="Arial" w:hAnsi="Arial"/>
          <w:sz w:val="22"/>
          <w:szCs w:val="22"/>
          <w:color w:val="auto"/>
        </w:rPr>
        <w:t>RELEASE OF OBLIGATION TO REMOVE CERTAIN ALTERATIONS AND EQUIPMENT FROM THE LEASED PREMISES AND RELEASE OF OBLIGATION TO MAKE CERTAIN FLOOR REPAIRS:</w:t>
      </w:r>
    </w:p>
    <w:p>
      <w:pPr>
        <w:spacing w:after="0" w:line="200" w:lineRule="exact"/>
        <w:rPr>
          <w:rFonts w:ascii="Arial" w:cs="Arial" w:eastAsia="Arial" w:hAnsi="Arial"/>
          <w:sz w:val="22"/>
          <w:szCs w:val="22"/>
          <w:color w:val="auto"/>
        </w:rPr>
      </w:pPr>
    </w:p>
    <w:p>
      <w:pPr>
        <w:jc w:val="both"/>
        <w:ind w:firstLine="656"/>
        <w:spacing w:after="0" w:line="208" w:lineRule="auto"/>
        <w:tabs>
          <w:tab w:leader="none" w:pos="1284" w:val="left"/>
        </w:tabs>
        <w:numPr>
          <w:ilvl w:val="2"/>
          <w:numId w:val="22"/>
        </w:numPr>
        <w:rPr>
          <w:rFonts w:ascii="Arial" w:cs="Arial" w:eastAsia="Arial" w:hAnsi="Arial"/>
          <w:sz w:val="22"/>
          <w:szCs w:val="22"/>
          <w:color w:val="auto"/>
        </w:rPr>
      </w:pPr>
      <w:r>
        <w:rPr>
          <w:rFonts w:ascii="Arial" w:cs="Arial" w:eastAsia="Arial" w:hAnsi="Arial"/>
          <w:sz w:val="22"/>
          <w:szCs w:val="22"/>
          <w:color w:val="auto"/>
        </w:rPr>
        <w:t>Subject to payment of $[***] by Tenant to Landlord within ten (10) days following the date of execution of this Fourteenth Amendment to Agreement of Lease, Landlord hereby releases Tenant from the obligation to, within fifteen (15) days following the expiration of the term of the Lease, (i) remove from the Leased Premises all existing alterations, fixtures and equipment located within the Leased Premises, installed by Tenant during the term of the Lease, including without limitation those items identified in that certain letter dated November 2, 2020, marked Exhibit D-14, attached hereto and made a part hereof; (ii) remove approximately 500 bolts that secure equipment to the warehouse concrete floor that Tenant is removing from the Leased Premises; and (iii) place epoxy or other filling material into the holes caused by the removal of the foregoing bolts. Tenant hereby warrants that, as to all alterations, fixtures and equipment to be abandoned by Tenant as set forth herein, it has good and marketable title free of all liens, encumbrances, liabilities and adverse claims. On the date of expiration or earlier termination of the term of the Lease, Tenant shall, if desired by Landlord, deliver to Landlord, its successors, assigns, or transferees, a Bill of Sale conveying to Landlord good and marketable title to all alterations, fixtures and equipment to be abandoned by Tenant as set forth herein.</w:t>
      </w:r>
    </w:p>
    <w:p>
      <w:pPr>
        <w:spacing w:after="0" w:line="200" w:lineRule="exact"/>
        <w:rPr>
          <w:rFonts w:ascii="Arial" w:cs="Arial" w:eastAsia="Arial" w:hAnsi="Arial"/>
          <w:sz w:val="22"/>
          <w:szCs w:val="22"/>
          <w:color w:val="auto"/>
        </w:rPr>
      </w:pPr>
    </w:p>
    <w:p>
      <w:pPr>
        <w:jc w:val="both"/>
        <w:ind w:firstLine="656"/>
        <w:spacing w:after="0" w:line="211" w:lineRule="auto"/>
        <w:tabs>
          <w:tab w:leader="none" w:pos="1284" w:val="left"/>
        </w:tabs>
        <w:numPr>
          <w:ilvl w:val="2"/>
          <w:numId w:val="22"/>
        </w:numPr>
        <w:rPr>
          <w:rFonts w:ascii="Arial" w:cs="Arial" w:eastAsia="Arial" w:hAnsi="Arial"/>
          <w:sz w:val="22"/>
          <w:szCs w:val="22"/>
          <w:color w:val="auto"/>
        </w:rPr>
      </w:pPr>
      <w:r>
        <w:rPr>
          <w:rFonts w:ascii="Arial" w:cs="Arial" w:eastAsia="Arial" w:hAnsi="Arial"/>
          <w:sz w:val="22"/>
          <w:szCs w:val="22"/>
          <w:color w:val="auto"/>
        </w:rPr>
        <w:t>Notwithstanding the foregoing, Tenant shall, at its sole cost and expense, (a) remove those alterations, fixtures and equipment itemized and described on Exhibit E-14 attached hereto and made a part hereof, and (b) remove, in compliance with the terms and conditions set forth in section 4 (Maintenance and Repair), section 5 (Alterations), section 10 (Surrender) and section 12 (Tenant’s Property) of the Agreement of Lease dated July 17, 1990, any and all future alterations, fixtures and equipment installed by Tenant following the date of this Fourteenth Amendment to Agreement of Lease.</w:t>
      </w:r>
    </w:p>
    <w:p>
      <w:pPr>
        <w:spacing w:after="0" w:line="204" w:lineRule="exact"/>
        <w:rPr>
          <w:rFonts w:ascii="Arial" w:cs="Arial" w:eastAsia="Arial" w:hAnsi="Arial"/>
          <w:sz w:val="22"/>
          <w:szCs w:val="22"/>
          <w:color w:val="auto"/>
        </w:rPr>
      </w:pPr>
    </w:p>
    <w:p>
      <w:pPr>
        <w:ind w:right="20" w:firstLine="302"/>
        <w:spacing w:after="0" w:line="225" w:lineRule="auto"/>
        <w:tabs>
          <w:tab w:leader="none" w:pos="768" w:val="left"/>
        </w:tabs>
        <w:numPr>
          <w:ilvl w:val="1"/>
          <w:numId w:val="22"/>
        </w:numPr>
        <w:rPr>
          <w:rFonts w:ascii="Arial" w:cs="Arial" w:eastAsia="Arial" w:hAnsi="Arial"/>
          <w:sz w:val="22"/>
          <w:szCs w:val="22"/>
          <w:color w:val="auto"/>
        </w:rPr>
      </w:pPr>
      <w:r>
        <w:rPr>
          <w:rFonts w:ascii="Arial" w:cs="Arial" w:eastAsia="Arial" w:hAnsi="Arial"/>
          <w:sz w:val="22"/>
          <w:szCs w:val="22"/>
          <w:color w:val="auto"/>
        </w:rPr>
        <w:t>CONFESSION OF JUDGMENT: Tenant hereby restates, ratifies and confirms paragraph 5 (Confession of Judgment) of the Thirteenth Amendment to Agreement of Lease dated December 21, 2020:</w:t>
      </w:r>
    </w:p>
    <w:p>
      <w:pPr>
        <w:spacing w:after="0" w:line="201" w:lineRule="exact"/>
        <w:rPr>
          <w:sz w:val="20"/>
          <w:szCs w:val="20"/>
          <w:color w:val="auto"/>
        </w:rPr>
      </w:pPr>
    </w:p>
    <w:p>
      <w:pPr>
        <w:jc w:val="both"/>
        <w:ind w:firstLine="488"/>
        <w:spacing w:after="0" w:line="209" w:lineRule="auto"/>
        <w:rPr>
          <w:sz w:val="20"/>
          <w:szCs w:val="20"/>
          <w:color w:val="auto"/>
        </w:rPr>
      </w:pPr>
      <w:r>
        <w:rPr>
          <w:rFonts w:ascii="Arial" w:cs="Arial" w:eastAsia="Arial" w:hAnsi="Arial"/>
          <w:sz w:val="22"/>
          <w:szCs w:val="22"/>
          <w:color w:val="auto"/>
        </w:rPr>
        <w:t>THE FOLLOWING PARAGRAPHS SET FORTH WARRANTS OR AUTHORITY FOR AN ATTORNEY TO CONFESS JUDGMENT AGAINST TENANT IN THE EVENT OF A DEFAULT BY TENANT AS DESCRIBED BELOW. IN GRANTING THESE WARRANTS OF ATTORNEY TO CONFESS JUDGMENT AGAINST TENANT, TENANT HEREBY KNOWINGLY, INTENTIONALLY, AND VOLUNTARILY AND ON THE ADVICE OF SEPARATE COUNSEL OF TENANT, UNCONDITIONALLY WAIVES ANY AND ALL RIGHT THAT TENANT HAS OR MAY HAVE TO PRIOR NOTICE AND OPPORTUNITY FOR A HEARING UNDER THE CONSTITUTION AND LAWS OF THE UNITED STATES AND THE COMMONWEALTH OF PENNSYLVANIA. USE OF THESE WARRANTS OF ATTORNEY SHALL NOT EXHAUST THE SAME OR THE POWER TO THEREAFTER CONFESS JUDGMENTS, AS A CONTINUING REMEDY, TO BE USED AS OFTEN AS IT MAY BE REQUIRED, AND NOTWITHSTANDING ANY LAW OR RULE TO THE CONTRARY, A REPRODUCED COPY OF THIS INSTRUMENT CERTIFIED BY AN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6" w:right="339" w:bottom="1440" w:gutter="0" w:footer="0" w:header="0"/>
        </w:sectPr>
      </w:pPr>
    </w:p>
    <w:bookmarkStart w:id="42" w:name="page43"/>
    <w:bookmarkEnd w:id="42"/>
    <w:p>
      <w:pPr>
        <w:jc w:val="both"/>
        <w:spacing w:after="0" w:line="225" w:lineRule="auto"/>
        <w:rPr>
          <w:sz w:val="20"/>
          <w:szCs w:val="20"/>
          <w:color w:val="auto"/>
        </w:rPr>
      </w:pPr>
      <w:r>
        <w:rPr>
          <w:rFonts w:ascii="Arial" w:cs="Arial" w:eastAsia="Arial" w:hAnsi="Arial"/>
          <w:sz w:val="22"/>
          <w:szCs w:val="22"/>
          <w:color w:val="auto"/>
        </w:rPr>
        <w:t>ATTORNEY OF ANY COURT OF RECORD TO BE TRUE AND CORRECT SHALL BE SUFFICIENT EVIDENCE OF THE CONTENTS HEREOF FOR THE PURPOSES HEREINAFTER SET FORTH.</w:t>
      </w:r>
    </w:p>
    <w:p>
      <w:pPr>
        <w:spacing w:after="0" w:line="20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1"/>
          <w:szCs w:val="21"/>
          <w:color w:val="auto"/>
        </w:rPr>
        <w:t>FOR VALUE RECEIVED AND FORTHWITH ON EVERY DEFAULT HEREUNDER OR ON ANY AND EVERY BREACH OF COVENANT HEREIN, TENANT HEREBY EMPOWERS ANY ATTORNEY OF ANY COURT OF RECORD WITHIN THE UNITED STATES OR ELSEWHERE TO APPEAR FOR TENANT AND WITH OR WITHOUT DECLARATION FILED, CONFESS JUDGMENT OR A SERIES OF JUDGMENTS AGAINST TENANT AND IN FAVOR OF LANDLORD, ITS SUCCESSORS OR ASSIGNS, AS OF ANY TERM FOR THE FULL SUM DUE BY REASON OF ANY DEFAULT HEREUNDER, INCLUDING UNPAID RENT FOR THE BALANCE OF THE TERM OF THE LEASE, TOGETHER WITH COSTS OF SUIT AND REASONABLE ATTORNEYS’ FEES. TENANT FURTHER AUTHORIZES THE ISSUANCE OF WRITS OF EXECUTION AS LANDLORD MAY ELECT UPON ANY SUCH JUDGMENT OR JUDGMENTS, WITH RELEASE OF ALL ERRORS AND WITHOUT STAY OF EXECUTION AND INQUISITION, AND EXTENSION UPON ANY LEVY OF REAL ESTATE IS HEREBY WAIVED AND CONDEMNATION AGREED TO AND THE EXEMPTION OF ANY AND ALL PROPERTY FROM LEVY OR SALE BY VIRTUE OF ANY LAW NOW IN FORCE OR HEREINAFTER ENACTED IS ALSO EXPRESSLY WAIVED.</w:t>
      </w:r>
    </w:p>
    <w:p>
      <w:pPr>
        <w:spacing w:after="0" w:line="203"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2"/>
          <w:szCs w:val="22"/>
          <w:color w:val="auto"/>
        </w:rPr>
        <w:t>FOR THE PURPOSE OF OBTAINING POSSESSION OF THE LEASED PREMISES IN THE EVENT OF THE FAILURE OF TENANT TO VACATE THE LEASED PREMISES ON OR BEFORE THE EXPIRATION OF THE TERM OF THE LEASE, AS MAY BE EXTENDED, OR PRIOR TO THE EXPIRATION OF THE TERM OF THE LEASE IN THE EVENT OF DEFAULT, TENANT HEREBY AUTHORIZES AND EMPOWERS ANY ATTORNEY OF ANY COURT OF RECORD WITHIN THE UNITED STATES OR ELSEWHERE, TO APPEAR FOR TENANT AND ALL PERSONS CLAIMING UNDER OR THROUGH TENANT, TO SIGN AN AGREEMENT FOR ENTERING IN ANY COMPETENT COURT AN AMICABLE ACTION IN EJECTMENT FOR POSSESSION OF THE LEASED PREMISES, AND/OR TO APPEAR FOR AND CONFESS JUDGMENT, OR A SERIES OF JUDGMENTS, AGAINST TENANT, AND AGAINST ALL PERSONS CLAIMING UNDER OR THROUGH TENANT IN FAVOR OF LANDLORD, FOR RECOVERY BY LANDLORD OF POSSESSION THEREOF, TOGETHER WITH COSTS OF SUIT AND REASONABLE ATTORNEYS’ FEES, FOR WHICH THE LEASE, OR A COPY THEREOF VERIFIED BY AFFIDAVIT, SHALL BE A SUFFICIENT WARRANT; AND THEREUPON A WRIT OF POSSESSION MAY IMMEDIATELY ISSUE FOR POSSESSION OF THE LEASED PREMISES, WITHOUT ANY PRIOR WRIT OR PROCEEDING WHATSOEVER AND WITHOUT ANY STAY OF EXECUTION.</w:t>
      </w:r>
    </w:p>
    <w:p>
      <w:pPr>
        <w:spacing w:after="0" w:line="307"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HAEMONETICS CORPORATION</w:t>
      </w:r>
    </w:p>
    <w:p>
      <w:pPr>
        <w:spacing w:after="0" w:line="314" w:lineRule="exact"/>
        <w:rPr>
          <w:sz w:val="20"/>
          <w:szCs w:val="20"/>
          <w:color w:val="auto"/>
        </w:rPr>
      </w:pPr>
    </w:p>
    <w:p>
      <w:pPr>
        <w:ind w:left="4240"/>
        <w:spacing w:after="0"/>
        <w:tabs>
          <w:tab w:leader="none" w:pos="4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William P.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23495</wp:posOffset>
            </wp:positionV>
            <wp:extent cx="31457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William P. Burke</w:t>
      </w:r>
    </w:p>
    <w:p>
      <w:pPr>
        <w:spacing w:after="0" w:line="85"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CFO</w:t>
      </w:r>
    </w:p>
    <w:p>
      <w:pPr>
        <w:spacing w:after="0" w:line="328" w:lineRule="exact"/>
        <w:rPr>
          <w:sz w:val="20"/>
          <w:szCs w:val="20"/>
          <w:color w:val="auto"/>
        </w:rPr>
      </w:pPr>
    </w:p>
    <w:p>
      <w:pPr>
        <w:ind w:right="20" w:firstLine="656"/>
        <w:spacing w:after="0" w:line="225" w:lineRule="auto"/>
        <w:tabs>
          <w:tab w:leader="none" w:pos="1287" w:val="left"/>
        </w:tabs>
        <w:numPr>
          <w:ilvl w:val="0"/>
          <w:numId w:val="23"/>
        </w:numPr>
        <w:rPr>
          <w:rFonts w:ascii="Arial" w:cs="Arial" w:eastAsia="Arial" w:hAnsi="Arial"/>
          <w:sz w:val="22"/>
          <w:szCs w:val="22"/>
          <w:color w:val="auto"/>
        </w:rPr>
      </w:pPr>
      <w:r>
        <w:rPr>
          <w:rFonts w:ascii="Arial" w:cs="Arial" w:eastAsia="Arial" w:hAnsi="Arial"/>
          <w:sz w:val="22"/>
          <w:szCs w:val="22"/>
          <w:color w:val="auto"/>
        </w:rPr>
        <w:t>TENANT’S PROPERTY: Section 12 (Tenant’s Property) of the Agreement of Lease dated July 17, 1990, as modified by sub-paragraphs 3.A. and 3.B., is hereby supplemented,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6" w:right="339" w:bottom="1440" w:gutter="0" w:footer="0" w:header="0"/>
        </w:sectPr>
      </w:pPr>
    </w:p>
    <w:bookmarkStart w:id="43" w:name="page44"/>
    <w:bookmarkEnd w:id="43"/>
    <w:p>
      <w:pPr>
        <w:jc w:val="both"/>
        <w:ind w:firstLine="656"/>
        <w:spacing w:after="0" w:line="215" w:lineRule="auto"/>
        <w:tabs>
          <w:tab w:leader="none" w:pos="1284" w:val="left"/>
        </w:tabs>
        <w:numPr>
          <w:ilvl w:val="4"/>
          <w:numId w:val="24"/>
        </w:numPr>
        <w:rPr>
          <w:rFonts w:ascii="Arial" w:cs="Arial" w:eastAsia="Arial" w:hAnsi="Arial"/>
          <w:sz w:val="22"/>
          <w:szCs w:val="22"/>
          <w:color w:val="auto"/>
        </w:rPr>
      </w:pPr>
      <w:r>
        <w:rPr>
          <w:rFonts w:ascii="Arial" w:cs="Arial" w:eastAsia="Arial" w:hAnsi="Arial"/>
          <w:sz w:val="22"/>
          <w:szCs w:val="22"/>
          <w:color w:val="auto"/>
        </w:rPr>
        <w:t>If any equipment (i) identified and described on Exhibit E-14 attached hereto, or (ii) installed by Tenant following the date of this Fourteenth Amendment to Agreement of this Lease is anchored to the concrete floor of the Leased Premises by anchor bolts, said bolts shall be removed pursuant to the instructions on Exhibit C-14 attached hereto and made a part hereof.</w:t>
      </w:r>
    </w:p>
    <w:p>
      <w:pPr>
        <w:spacing w:after="0" w:line="200" w:lineRule="exact"/>
        <w:rPr>
          <w:rFonts w:ascii="Arial" w:cs="Arial" w:eastAsia="Arial" w:hAnsi="Arial"/>
          <w:sz w:val="22"/>
          <w:szCs w:val="22"/>
          <w:color w:val="auto"/>
        </w:rPr>
      </w:pPr>
    </w:p>
    <w:p>
      <w:pPr>
        <w:jc w:val="both"/>
        <w:ind w:firstLine="314"/>
        <w:spacing w:after="0" w:line="213" w:lineRule="auto"/>
        <w:tabs>
          <w:tab w:leader="none" w:pos="792" w:val="left"/>
        </w:tabs>
        <w:numPr>
          <w:ilvl w:val="2"/>
          <w:numId w:val="25"/>
        </w:numPr>
        <w:rPr>
          <w:rFonts w:ascii="Arial" w:cs="Arial" w:eastAsia="Arial" w:hAnsi="Arial"/>
          <w:sz w:val="22"/>
          <w:szCs w:val="22"/>
          <w:color w:val="auto"/>
        </w:rPr>
      </w:pPr>
      <w:r>
        <w:rPr>
          <w:rFonts w:ascii="Arial" w:cs="Arial" w:eastAsia="Arial" w:hAnsi="Arial"/>
          <w:sz w:val="22"/>
          <w:szCs w:val="22"/>
          <w:color w:val="auto"/>
        </w:rPr>
        <w:t>BROKERAGE: Landlord and Tenant each hereby warrants to the other that no real estate broker has been involved in this transaction on its behalf and that no finder's fees or real estate commissions have been earned by any third party. If either party breaches the foregoing warranty, the breaching party shall indemnify, defend and hold harmless the other for any liability or claims for commissions or fees, including reasonable attorneys’ fees and costs, arising from a breach of this warranty.</w:t>
      </w:r>
    </w:p>
    <w:p>
      <w:pPr>
        <w:spacing w:after="0" w:line="200" w:lineRule="exact"/>
        <w:rPr>
          <w:rFonts w:ascii="Arial" w:cs="Arial" w:eastAsia="Arial" w:hAnsi="Arial"/>
          <w:sz w:val="22"/>
          <w:szCs w:val="22"/>
          <w:color w:val="auto"/>
        </w:rPr>
      </w:pPr>
    </w:p>
    <w:p>
      <w:pPr>
        <w:jc w:val="both"/>
        <w:ind w:right="20" w:firstLine="418"/>
        <w:spacing w:after="0" w:line="218" w:lineRule="auto"/>
        <w:tabs>
          <w:tab w:leader="none" w:pos="997" w:val="left"/>
        </w:tabs>
        <w:numPr>
          <w:ilvl w:val="3"/>
          <w:numId w:val="25"/>
        </w:numPr>
        <w:rPr>
          <w:rFonts w:ascii="Arial" w:cs="Arial" w:eastAsia="Arial" w:hAnsi="Arial"/>
          <w:sz w:val="22"/>
          <w:szCs w:val="22"/>
          <w:color w:val="auto"/>
        </w:rPr>
      </w:pPr>
      <w:r>
        <w:rPr>
          <w:rFonts w:ascii="Arial" w:cs="Arial" w:eastAsia="Arial" w:hAnsi="Arial"/>
          <w:sz w:val="22"/>
          <w:szCs w:val="22"/>
          <w:color w:val="auto"/>
        </w:rPr>
        <w:t>TENANT’S ACKNOWLEDGMENT: Tenant hereby acknowledges that as of the date of this Fourteenth Amendment to Agreement of Lease, Landlord is not in default of any of its obligations under the Lease, and Tenant has no claims, counterclaims, offsets or defenses with respect to Landlord’s obligations under the Lease.</w:t>
      </w:r>
    </w:p>
    <w:p>
      <w:pPr>
        <w:spacing w:after="0" w:line="201" w:lineRule="exact"/>
        <w:rPr>
          <w:rFonts w:ascii="Arial" w:cs="Arial" w:eastAsia="Arial" w:hAnsi="Arial"/>
          <w:sz w:val="22"/>
          <w:szCs w:val="22"/>
          <w:color w:val="auto"/>
        </w:rPr>
      </w:pPr>
    </w:p>
    <w:p>
      <w:pPr>
        <w:jc w:val="both"/>
        <w:ind w:firstLine="302"/>
        <w:spacing w:after="0" w:line="213" w:lineRule="auto"/>
        <w:tabs>
          <w:tab w:leader="none" w:pos="756" w:val="left"/>
        </w:tabs>
        <w:numPr>
          <w:ilvl w:val="1"/>
          <w:numId w:val="26"/>
        </w:numPr>
        <w:rPr>
          <w:rFonts w:ascii="Arial" w:cs="Arial" w:eastAsia="Arial" w:hAnsi="Arial"/>
          <w:sz w:val="22"/>
          <w:szCs w:val="22"/>
          <w:color w:val="auto"/>
        </w:rPr>
      </w:pPr>
      <w:r>
        <w:rPr>
          <w:rFonts w:ascii="Arial" w:cs="Arial" w:eastAsia="Arial" w:hAnsi="Arial"/>
          <w:sz w:val="22"/>
          <w:szCs w:val="22"/>
          <w:color w:val="auto"/>
        </w:rPr>
        <w:t>AUTHORIZATION: Tenant and Landlord each hereby represent and warrant that it has full authority to enter into, deliver, and perform its obligations hereunder; that the individual executing this Fourteenth Amendment to Agreement of Lease on behalf of such party has full authority to legally bind such party; that nothing herein conflicts with either of the party’s governing documents or any of its commitments or obligations; and that no consent or approval of any third party is required to perform its obligations hereunder.</w:t>
      </w:r>
    </w:p>
    <w:p>
      <w:pPr>
        <w:spacing w:after="0" w:line="200" w:lineRule="exact"/>
        <w:rPr>
          <w:rFonts w:ascii="Arial" w:cs="Arial" w:eastAsia="Arial" w:hAnsi="Arial"/>
          <w:sz w:val="22"/>
          <w:szCs w:val="22"/>
          <w:color w:val="auto"/>
        </w:rPr>
      </w:pPr>
    </w:p>
    <w:p>
      <w:pPr>
        <w:ind w:firstLine="258"/>
        <w:spacing w:after="0" w:line="225" w:lineRule="auto"/>
        <w:tabs>
          <w:tab w:leader="none" w:pos="6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NO OTHER MODIFICATIONS: Except as amended hereby, all terms and conditions of the Lease shall remain in full force and effect and are hereby ratified by Landlord and Tenant.</w:t>
      </w:r>
    </w:p>
    <w:p>
      <w:pPr>
        <w:spacing w:after="0" w:line="201" w:lineRule="exact"/>
        <w:rPr>
          <w:sz w:val="20"/>
          <w:szCs w:val="20"/>
          <w:color w:val="auto"/>
        </w:rPr>
      </w:pPr>
    </w:p>
    <w:p>
      <w:pPr>
        <w:ind w:firstLine="648"/>
        <w:spacing w:after="0" w:line="225" w:lineRule="auto"/>
        <w:rPr>
          <w:sz w:val="20"/>
          <w:szCs w:val="20"/>
          <w:color w:val="auto"/>
        </w:rPr>
      </w:pPr>
      <w:r>
        <w:rPr>
          <w:rFonts w:ascii="Arial" w:cs="Arial" w:eastAsia="Arial" w:hAnsi="Arial"/>
          <w:sz w:val="22"/>
          <w:szCs w:val="22"/>
          <w:color w:val="auto"/>
        </w:rPr>
        <w:t>IN WITNESS WHEREOF, the parties hereto intending to be legally bound have hereunto set their hands and seals the day and year first above written.</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760" w:type="dxa"/>
            <w:vAlign w:val="bottom"/>
            <w:gridSpan w:val="2"/>
          </w:tcPr>
          <w:p>
            <w:pPr>
              <w:ind w:left="20"/>
              <w:spacing w:after="0"/>
              <w:rPr>
                <w:sz w:val="20"/>
                <w:szCs w:val="20"/>
                <w:color w:val="auto"/>
              </w:rPr>
            </w:pPr>
            <w:r>
              <w:rPr>
                <w:rFonts w:ascii="Arial" w:cs="Arial" w:eastAsia="Arial" w:hAnsi="Arial"/>
                <w:sz w:val="22"/>
                <w:szCs w:val="22"/>
                <w:color w:val="auto"/>
              </w:rPr>
              <w:t>ATTEST:</w:t>
            </w:r>
          </w:p>
        </w:tc>
        <w:tc>
          <w:tcPr>
            <w:tcW w:w="6400" w:type="dxa"/>
            <w:vAlign w:val="bottom"/>
            <w:gridSpan w:val="2"/>
          </w:tcPr>
          <w:p>
            <w:pPr>
              <w:ind w:left="1320"/>
              <w:spacing w:after="0"/>
              <w:rPr>
                <w:sz w:val="20"/>
                <w:szCs w:val="20"/>
                <w:color w:val="auto"/>
              </w:rPr>
            </w:pPr>
            <w:r>
              <w:rPr>
                <w:rFonts w:ascii="Arial" w:cs="Arial" w:eastAsia="Arial" w:hAnsi="Arial"/>
                <w:sz w:val="22"/>
                <w:szCs w:val="22"/>
                <w:color w:val="auto"/>
              </w:rPr>
              <w:t>THE BUNCHER COMPANY</w:t>
            </w:r>
          </w:p>
        </w:tc>
      </w:tr>
      <w:tr>
        <w:trPr>
          <w:trHeight w:val="567"/>
        </w:trPr>
        <w:tc>
          <w:tcPr>
            <w:tcW w:w="680" w:type="dxa"/>
            <w:vAlign w:val="bottom"/>
          </w:tcPr>
          <w:p>
            <w:pPr>
              <w:ind w:left="20"/>
              <w:spacing w:after="0"/>
              <w:rPr>
                <w:sz w:val="20"/>
                <w:szCs w:val="20"/>
                <w:color w:val="auto"/>
              </w:rPr>
            </w:pPr>
            <w:r>
              <w:rPr>
                <w:rFonts w:ascii="Arial" w:cs="Arial" w:eastAsia="Arial" w:hAnsi="Arial"/>
                <w:sz w:val="22"/>
                <w:szCs w:val="22"/>
                <w:color w:val="auto"/>
              </w:rPr>
              <w:t>By:</w:t>
            </w:r>
          </w:p>
        </w:tc>
        <w:tc>
          <w:tcPr>
            <w:tcW w:w="4080" w:type="dxa"/>
            <w:vAlign w:val="bottom"/>
          </w:tcPr>
          <w:p>
            <w:pPr>
              <w:ind w:left="20"/>
              <w:spacing w:after="0"/>
              <w:rPr>
                <w:sz w:val="20"/>
                <w:szCs w:val="20"/>
                <w:color w:val="auto"/>
              </w:rPr>
            </w:pPr>
            <w:r>
              <w:rPr>
                <w:rFonts w:ascii="Arial" w:cs="Arial" w:eastAsia="Arial" w:hAnsi="Arial"/>
                <w:sz w:val="22"/>
                <w:szCs w:val="22"/>
                <w:color w:val="auto"/>
              </w:rPr>
              <w:t>/s/ Richard E. Werner</w:t>
            </w:r>
          </w:p>
        </w:tc>
        <w:tc>
          <w:tcPr>
            <w:tcW w:w="1980" w:type="dxa"/>
            <w:vAlign w:val="bottom"/>
          </w:tcPr>
          <w:p>
            <w:pPr>
              <w:ind w:left="1320"/>
              <w:spacing w:after="0"/>
              <w:rPr>
                <w:sz w:val="20"/>
                <w:szCs w:val="20"/>
                <w:color w:val="auto"/>
              </w:rPr>
            </w:pPr>
            <w:r>
              <w:rPr>
                <w:rFonts w:ascii="Arial" w:cs="Arial" w:eastAsia="Arial" w:hAnsi="Arial"/>
                <w:sz w:val="22"/>
                <w:szCs w:val="22"/>
                <w:color w:val="auto"/>
              </w:rPr>
              <w:t>By:</w:t>
            </w:r>
          </w:p>
        </w:tc>
        <w:tc>
          <w:tcPr>
            <w:tcW w:w="4420" w:type="dxa"/>
            <w:vAlign w:val="bottom"/>
          </w:tcPr>
          <w:p>
            <w:pPr>
              <w:ind w:left="20"/>
              <w:spacing w:after="0"/>
              <w:rPr>
                <w:sz w:val="20"/>
                <w:szCs w:val="20"/>
                <w:color w:val="auto"/>
              </w:rPr>
            </w:pPr>
            <w:r>
              <w:rPr>
                <w:rFonts w:ascii="Arial" w:cs="Arial" w:eastAsia="Arial" w:hAnsi="Arial"/>
                <w:sz w:val="22"/>
                <w:szCs w:val="22"/>
                <w:color w:val="auto"/>
              </w:rPr>
              <w:t>/s/ David B. Heaton</w:t>
            </w:r>
          </w:p>
        </w:tc>
      </w:tr>
      <w:tr>
        <w:trPr>
          <w:trHeight w:val="30"/>
        </w:trPr>
        <w:tc>
          <w:tcPr>
            <w:tcW w:w="68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301"/>
        </w:trPr>
        <w:tc>
          <w:tcPr>
            <w:tcW w:w="68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Arial" w:cs="Arial" w:eastAsia="Arial" w:hAnsi="Arial"/>
                <w:sz w:val="22"/>
                <w:szCs w:val="22"/>
                <w:color w:val="auto"/>
              </w:rPr>
              <w:t>Richard E. Werner</w:t>
            </w:r>
          </w:p>
        </w:tc>
        <w:tc>
          <w:tcPr>
            <w:tcW w:w="1980" w:type="dxa"/>
            <w:vAlign w:val="bottom"/>
          </w:tcPr>
          <w:p>
            <w:pPr>
              <w:spacing w:after="0"/>
              <w:rPr>
                <w:sz w:val="24"/>
                <w:szCs w:val="24"/>
                <w:color w:val="auto"/>
              </w:rPr>
            </w:pPr>
          </w:p>
        </w:tc>
        <w:tc>
          <w:tcPr>
            <w:tcW w:w="4420" w:type="dxa"/>
            <w:vAlign w:val="bottom"/>
          </w:tcPr>
          <w:p>
            <w:pPr>
              <w:ind w:left="20"/>
              <w:spacing w:after="0"/>
              <w:rPr>
                <w:sz w:val="20"/>
                <w:szCs w:val="20"/>
                <w:color w:val="auto"/>
              </w:rPr>
            </w:pPr>
            <w:r>
              <w:rPr>
                <w:rFonts w:ascii="Arial" w:cs="Arial" w:eastAsia="Arial" w:hAnsi="Arial"/>
                <w:sz w:val="22"/>
                <w:szCs w:val="22"/>
                <w:color w:val="auto"/>
              </w:rPr>
              <w:t>David B. Heaton</w:t>
            </w:r>
          </w:p>
        </w:tc>
      </w:tr>
      <w:tr>
        <w:trPr>
          <w:trHeight w:val="338"/>
        </w:trPr>
        <w:tc>
          <w:tcPr>
            <w:tcW w:w="68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Arial" w:cs="Arial" w:eastAsia="Arial" w:hAnsi="Arial"/>
                <w:sz w:val="22"/>
                <w:szCs w:val="22"/>
                <w:color w:val="auto"/>
              </w:rPr>
              <w:t>Vice President and General Counsel</w:t>
            </w:r>
          </w:p>
        </w:tc>
        <w:tc>
          <w:tcPr>
            <w:tcW w:w="1980" w:type="dxa"/>
            <w:vAlign w:val="bottom"/>
          </w:tcPr>
          <w:p>
            <w:pPr>
              <w:spacing w:after="0"/>
              <w:rPr>
                <w:sz w:val="24"/>
                <w:szCs w:val="24"/>
                <w:color w:val="auto"/>
              </w:rPr>
            </w:pPr>
          </w:p>
        </w:tc>
        <w:tc>
          <w:tcPr>
            <w:tcW w:w="4420" w:type="dxa"/>
            <w:vAlign w:val="bottom"/>
          </w:tcPr>
          <w:p>
            <w:pPr>
              <w:ind w:left="20"/>
              <w:spacing w:after="0"/>
              <w:rPr>
                <w:sz w:val="20"/>
                <w:szCs w:val="20"/>
                <w:color w:val="auto"/>
              </w:rPr>
            </w:pPr>
            <w:r>
              <w:rPr>
                <w:rFonts w:ascii="Arial" w:cs="Arial" w:eastAsia="Arial" w:hAnsi="Arial"/>
                <w:sz w:val="22"/>
                <w:szCs w:val="22"/>
                <w:color w:val="auto"/>
              </w:rPr>
              <w:t>President/CEO</w:t>
            </w:r>
          </w:p>
        </w:tc>
      </w:tr>
      <w:tr>
        <w:trPr>
          <w:trHeight w:val="364"/>
        </w:trPr>
        <w:tc>
          <w:tcPr>
            <w:tcW w:w="4760" w:type="dxa"/>
            <w:vAlign w:val="bottom"/>
            <w:gridSpan w:val="2"/>
          </w:tcPr>
          <w:p>
            <w:pPr>
              <w:spacing w:after="0"/>
              <w:rPr>
                <w:sz w:val="20"/>
                <w:szCs w:val="20"/>
                <w:color w:val="auto"/>
              </w:rPr>
            </w:pPr>
            <w:r>
              <w:rPr>
                <w:rFonts w:ascii="Arial" w:cs="Arial" w:eastAsia="Arial" w:hAnsi="Arial"/>
                <w:sz w:val="22"/>
                <w:szCs w:val="22"/>
                <w:color w:val="auto"/>
              </w:rPr>
              <w:t>(Corporate Seal)</w:t>
            </w:r>
          </w:p>
        </w:tc>
        <w:tc>
          <w:tcPr>
            <w:tcW w:w="198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554"/>
        </w:trPr>
        <w:tc>
          <w:tcPr>
            <w:tcW w:w="4760" w:type="dxa"/>
            <w:vAlign w:val="bottom"/>
            <w:gridSpan w:val="2"/>
          </w:tcPr>
          <w:p>
            <w:pPr>
              <w:ind w:left="20"/>
              <w:spacing w:after="0"/>
              <w:rPr>
                <w:sz w:val="20"/>
                <w:szCs w:val="20"/>
                <w:color w:val="auto"/>
              </w:rPr>
            </w:pPr>
            <w:r>
              <w:rPr>
                <w:rFonts w:ascii="Arial" w:cs="Arial" w:eastAsia="Arial" w:hAnsi="Arial"/>
                <w:sz w:val="22"/>
                <w:szCs w:val="22"/>
                <w:color w:val="auto"/>
              </w:rPr>
              <w:t>ATTEST:</w:t>
            </w:r>
          </w:p>
        </w:tc>
        <w:tc>
          <w:tcPr>
            <w:tcW w:w="6400" w:type="dxa"/>
            <w:vAlign w:val="bottom"/>
            <w:gridSpan w:val="2"/>
          </w:tcPr>
          <w:p>
            <w:pPr>
              <w:ind w:left="1320"/>
              <w:spacing w:after="0"/>
              <w:rPr>
                <w:sz w:val="20"/>
                <w:szCs w:val="20"/>
                <w:color w:val="auto"/>
              </w:rPr>
            </w:pPr>
            <w:r>
              <w:rPr>
                <w:rFonts w:ascii="Arial" w:cs="Arial" w:eastAsia="Arial" w:hAnsi="Arial"/>
                <w:sz w:val="22"/>
                <w:szCs w:val="22"/>
                <w:color w:val="auto"/>
              </w:rPr>
              <w:t>HAEMONETICS CORPORATION</w:t>
            </w:r>
          </w:p>
        </w:tc>
      </w:tr>
      <w:tr>
        <w:trPr>
          <w:trHeight w:val="567"/>
        </w:trPr>
        <w:tc>
          <w:tcPr>
            <w:tcW w:w="680" w:type="dxa"/>
            <w:vAlign w:val="bottom"/>
          </w:tcPr>
          <w:p>
            <w:pPr>
              <w:ind w:left="20"/>
              <w:spacing w:after="0"/>
              <w:rPr>
                <w:sz w:val="20"/>
                <w:szCs w:val="20"/>
                <w:color w:val="auto"/>
              </w:rPr>
            </w:pPr>
            <w:r>
              <w:rPr>
                <w:rFonts w:ascii="Arial" w:cs="Arial" w:eastAsia="Arial" w:hAnsi="Arial"/>
                <w:sz w:val="22"/>
                <w:szCs w:val="22"/>
                <w:color w:val="auto"/>
              </w:rPr>
              <w:t>By:</w:t>
            </w:r>
          </w:p>
        </w:tc>
        <w:tc>
          <w:tcPr>
            <w:tcW w:w="4080" w:type="dxa"/>
            <w:vAlign w:val="bottom"/>
          </w:tcPr>
          <w:p>
            <w:pPr>
              <w:ind w:left="40"/>
              <w:spacing w:after="0"/>
              <w:rPr>
                <w:sz w:val="20"/>
                <w:szCs w:val="20"/>
                <w:color w:val="auto"/>
              </w:rPr>
            </w:pPr>
            <w:r>
              <w:rPr>
                <w:rFonts w:ascii="Arial" w:cs="Arial" w:eastAsia="Arial" w:hAnsi="Arial"/>
                <w:sz w:val="22"/>
                <w:szCs w:val="22"/>
                <w:color w:val="auto"/>
              </w:rPr>
              <w:t>/s/ Thomas Powers</w:t>
            </w:r>
          </w:p>
        </w:tc>
        <w:tc>
          <w:tcPr>
            <w:tcW w:w="1980" w:type="dxa"/>
            <w:vAlign w:val="bottom"/>
          </w:tcPr>
          <w:p>
            <w:pPr>
              <w:ind w:left="1320"/>
              <w:spacing w:after="0"/>
              <w:rPr>
                <w:sz w:val="20"/>
                <w:szCs w:val="20"/>
                <w:color w:val="auto"/>
              </w:rPr>
            </w:pPr>
            <w:r>
              <w:rPr>
                <w:rFonts w:ascii="Arial" w:cs="Arial" w:eastAsia="Arial" w:hAnsi="Arial"/>
                <w:sz w:val="22"/>
                <w:szCs w:val="22"/>
                <w:color w:val="auto"/>
              </w:rPr>
              <w:t>By:</w:t>
            </w:r>
          </w:p>
        </w:tc>
        <w:tc>
          <w:tcPr>
            <w:tcW w:w="4420" w:type="dxa"/>
            <w:vAlign w:val="bottom"/>
          </w:tcPr>
          <w:p>
            <w:pPr>
              <w:ind w:left="40"/>
              <w:spacing w:after="0"/>
              <w:rPr>
                <w:sz w:val="20"/>
                <w:szCs w:val="20"/>
                <w:color w:val="auto"/>
              </w:rPr>
            </w:pPr>
            <w:r>
              <w:rPr>
                <w:rFonts w:ascii="Arial" w:cs="Arial" w:eastAsia="Arial" w:hAnsi="Arial"/>
                <w:sz w:val="22"/>
                <w:szCs w:val="22"/>
                <w:color w:val="auto"/>
              </w:rPr>
              <w:t>/s/ William P. Burke</w:t>
            </w:r>
          </w:p>
        </w:tc>
      </w:tr>
      <w:tr>
        <w:trPr>
          <w:trHeight w:val="30"/>
        </w:trPr>
        <w:tc>
          <w:tcPr>
            <w:tcW w:w="68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60"/>
        </w:trPr>
        <w:tc>
          <w:tcPr>
            <w:tcW w:w="680" w:type="dxa"/>
            <w:vAlign w:val="bottom"/>
          </w:tcPr>
          <w:p>
            <w:pPr>
              <w:spacing w:after="0"/>
              <w:rPr>
                <w:sz w:val="22"/>
                <w:szCs w:val="22"/>
                <w:color w:val="auto"/>
              </w:rPr>
            </w:pPr>
          </w:p>
        </w:tc>
        <w:tc>
          <w:tcPr>
            <w:tcW w:w="4080" w:type="dxa"/>
            <w:vAlign w:val="bottom"/>
          </w:tcPr>
          <w:p>
            <w:pPr>
              <w:ind w:left="40"/>
              <w:spacing w:after="0"/>
              <w:rPr>
                <w:sz w:val="20"/>
                <w:szCs w:val="20"/>
                <w:color w:val="auto"/>
              </w:rPr>
            </w:pPr>
            <w:r>
              <w:rPr>
                <w:rFonts w:ascii="Arial" w:cs="Arial" w:eastAsia="Arial" w:hAnsi="Arial"/>
                <w:sz w:val="22"/>
                <w:szCs w:val="22"/>
                <w:color w:val="auto"/>
              </w:rPr>
              <w:t>Thomas Powers</w:t>
            </w:r>
          </w:p>
        </w:tc>
        <w:tc>
          <w:tcPr>
            <w:tcW w:w="1980" w:type="dxa"/>
            <w:vAlign w:val="bottom"/>
          </w:tcPr>
          <w:p>
            <w:pPr>
              <w:spacing w:after="0"/>
              <w:rPr>
                <w:sz w:val="22"/>
                <w:szCs w:val="22"/>
                <w:color w:val="auto"/>
              </w:rPr>
            </w:pPr>
          </w:p>
        </w:tc>
        <w:tc>
          <w:tcPr>
            <w:tcW w:w="4420" w:type="dxa"/>
            <w:vAlign w:val="bottom"/>
          </w:tcPr>
          <w:p>
            <w:pPr>
              <w:ind w:left="40"/>
              <w:spacing w:after="0"/>
              <w:rPr>
                <w:sz w:val="20"/>
                <w:szCs w:val="20"/>
                <w:color w:val="auto"/>
              </w:rPr>
            </w:pPr>
            <w:r>
              <w:rPr>
                <w:rFonts w:ascii="Arial" w:cs="Arial" w:eastAsia="Arial" w:hAnsi="Arial"/>
                <w:sz w:val="22"/>
                <w:szCs w:val="22"/>
                <w:color w:val="auto"/>
              </w:rPr>
              <w:t>William P. Burke</w:t>
            </w:r>
          </w:p>
        </w:tc>
      </w:tr>
      <w:tr>
        <w:trPr>
          <w:trHeight w:val="270"/>
        </w:trPr>
        <w:tc>
          <w:tcPr>
            <w:tcW w:w="680" w:type="dxa"/>
            <w:vAlign w:val="bottom"/>
          </w:tcPr>
          <w:p>
            <w:pPr>
              <w:spacing w:after="0"/>
              <w:rPr>
                <w:sz w:val="23"/>
                <w:szCs w:val="23"/>
                <w:color w:val="auto"/>
              </w:rPr>
            </w:pPr>
          </w:p>
        </w:tc>
        <w:tc>
          <w:tcPr>
            <w:tcW w:w="4080" w:type="dxa"/>
            <w:vAlign w:val="bottom"/>
          </w:tcPr>
          <w:p>
            <w:pPr>
              <w:ind w:left="40"/>
              <w:spacing w:after="0"/>
              <w:rPr>
                <w:sz w:val="20"/>
                <w:szCs w:val="20"/>
                <w:color w:val="auto"/>
              </w:rPr>
            </w:pPr>
            <w:r>
              <w:rPr>
                <w:rFonts w:ascii="Arial" w:cs="Arial" w:eastAsia="Arial" w:hAnsi="Arial"/>
                <w:sz w:val="22"/>
                <w:szCs w:val="22"/>
                <w:color w:val="auto"/>
              </w:rPr>
              <w:t>Assistant Corporate Secretary</w:t>
            </w:r>
          </w:p>
        </w:tc>
        <w:tc>
          <w:tcPr>
            <w:tcW w:w="1980" w:type="dxa"/>
            <w:vAlign w:val="bottom"/>
          </w:tcPr>
          <w:p>
            <w:pPr>
              <w:spacing w:after="0"/>
              <w:rPr>
                <w:sz w:val="23"/>
                <w:szCs w:val="23"/>
                <w:color w:val="auto"/>
              </w:rPr>
            </w:pPr>
          </w:p>
        </w:tc>
        <w:tc>
          <w:tcPr>
            <w:tcW w:w="4420" w:type="dxa"/>
            <w:vAlign w:val="bottom"/>
          </w:tcPr>
          <w:p>
            <w:pPr>
              <w:ind w:left="40"/>
              <w:spacing w:after="0"/>
              <w:rPr>
                <w:sz w:val="20"/>
                <w:szCs w:val="20"/>
                <w:color w:val="auto"/>
              </w:rPr>
            </w:pPr>
            <w:r>
              <w:rPr>
                <w:rFonts w:ascii="Arial" w:cs="Arial" w:eastAsia="Arial" w:hAnsi="Arial"/>
                <w:sz w:val="22"/>
                <w:szCs w:val="22"/>
                <w:color w:val="auto"/>
              </w:rPr>
              <w:t>CFO</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(Corporate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6" w:right="339" w:bottom="1440" w:gutter="0" w:footer="0" w:header="0"/>
        </w:sectPr>
      </w:pPr>
    </w:p>
    <w:bookmarkStart w:id="44" w:name="page45"/>
    <w:bookmarkEnd w:id="44"/>
    <w:p>
      <w:pPr>
        <w:ind w:left="4540"/>
        <w:spacing w:after="0"/>
        <w:rPr>
          <w:sz w:val="20"/>
          <w:szCs w:val="20"/>
          <w:color w:val="auto"/>
        </w:rPr>
      </w:pPr>
      <w:r>
        <w:rPr>
          <w:rFonts w:ascii="Arial" w:cs="Arial" w:eastAsia="Arial" w:hAnsi="Arial"/>
          <w:sz w:val="22"/>
          <w:szCs w:val="22"/>
          <w:color w:val="auto"/>
        </w:rPr>
        <w:t>ACKNOWLEDGMENT</w:t>
      </w:r>
    </w:p>
    <w:p>
      <w:pPr>
        <w:spacing w:after="0" w:line="169" w:lineRule="exact"/>
        <w:rPr>
          <w:sz w:val="20"/>
          <w:szCs w:val="20"/>
          <w:color w:val="auto"/>
        </w:rPr>
      </w:pPr>
    </w:p>
    <w:p>
      <w:pPr>
        <w:spacing w:after="0"/>
        <w:tabs>
          <w:tab w:leader="none" w:pos="4460" w:val="left"/>
        </w:tabs>
        <w:rPr>
          <w:sz w:val="20"/>
          <w:szCs w:val="20"/>
          <w:color w:val="auto"/>
        </w:rPr>
      </w:pPr>
      <w:r>
        <w:rPr>
          <w:rFonts w:ascii="Arial" w:cs="Arial" w:eastAsia="Arial" w:hAnsi="Arial"/>
          <w:sz w:val="22"/>
          <w:szCs w:val="22"/>
          <w:color w:val="auto"/>
        </w:rPr>
        <w:t>COMMONWEALTH OF MASSACHUSETTS</w:t>
        <w:tab/>
        <w:t>)</w:t>
      </w:r>
    </w:p>
    <w:p>
      <w:pPr>
        <w:ind w:left="2060" w:hanging="371"/>
        <w:spacing w:after="0" w:line="204" w:lineRule="auto"/>
        <w:tabs>
          <w:tab w:leader="none" w:pos="20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ss:</w:t>
      </w:r>
    </w:p>
    <w:p>
      <w:pPr>
        <w:spacing w:after="0" w:line="1" w:lineRule="exact"/>
        <w:rPr>
          <w:sz w:val="20"/>
          <w:szCs w:val="20"/>
          <w:color w:val="auto"/>
        </w:rPr>
      </w:pPr>
    </w:p>
    <w:p>
      <w:pPr>
        <w:spacing w:after="0"/>
        <w:tabs>
          <w:tab w:leader="none" w:pos="3200" w:val="left"/>
        </w:tabs>
        <w:rPr>
          <w:sz w:val="20"/>
          <w:szCs w:val="20"/>
          <w:color w:val="auto"/>
        </w:rPr>
      </w:pPr>
      <w:r>
        <w:rPr>
          <w:rFonts w:ascii="Arial" w:cs="Arial" w:eastAsia="Arial" w:hAnsi="Arial"/>
          <w:sz w:val="22"/>
          <w:szCs w:val="22"/>
          <w:color w:val="auto"/>
        </w:rPr>
        <w:t>COUNTY OF BRISTOL</w:t>
      </w:r>
      <w:r>
        <w:rPr>
          <w:sz w:val="20"/>
          <w:szCs w:val="20"/>
          <w:color w:val="auto"/>
        </w:rPr>
        <w:tab/>
      </w:r>
      <w:r>
        <w:rPr>
          <w:rFonts w:ascii="Arial" w:cs="Arial" w:eastAsia="Arial" w:hAnsi="Arial"/>
          <w:sz w:val="18"/>
          <w:szCs w:val="18"/>
          <w:color w:val="auto"/>
        </w:rPr>
        <w:t>)</w:t>
      </w:r>
    </w:p>
    <w:p>
      <w:pPr>
        <w:spacing w:after="0" w:line="206" w:lineRule="exact"/>
        <w:rPr>
          <w:sz w:val="20"/>
          <w:szCs w:val="20"/>
          <w:color w:val="auto"/>
        </w:rPr>
      </w:pPr>
    </w:p>
    <w:p>
      <w:pPr>
        <w:jc w:val="both"/>
        <w:ind w:firstLine="361"/>
        <w:spacing w:after="0" w:line="213" w:lineRule="auto"/>
        <w:rPr>
          <w:sz w:val="20"/>
          <w:szCs w:val="20"/>
          <w:color w:val="auto"/>
        </w:rPr>
      </w:pPr>
      <w:r>
        <w:rPr>
          <w:rFonts w:ascii="Arial" w:cs="Arial" w:eastAsia="Arial" w:hAnsi="Arial"/>
          <w:sz w:val="22"/>
          <w:szCs w:val="22"/>
          <w:color w:val="auto"/>
        </w:rPr>
        <w:t>On this 11th day of November, 2021, before me, a Notary Public, personally appeared William P. Burke, who acknowledged himself to be the CFO of HAEMONETICS CORPORATION, a Massachusetts corporation, and that he as such CFO, being authorized to do so, executed the foregoing Fourteenth Amendment to Agreement of Lease, including but not limited to paragraph 4, for the purposes therein contained by signing in the name of the corporation by himself as CFO.</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WITNESS my hand and official seal the day and year aforesaid.</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u w:val="single" w:color="auto"/>
          <w:color w:val="auto"/>
        </w:rPr>
        <w:t>/s/ Sheryl A. Larkin</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Notary Public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My Commission Expires: February 5, 2027</w:t>
      </w:r>
    </w:p>
    <w:p>
      <w:pPr>
        <w:sectPr>
          <w:pgSz w:w="11900" w:h="16838" w:orient="portrait"/>
          <w:cols w:equalWidth="0" w:num="1">
            <w:col w:w="11240"/>
          </w:cols>
          <w:pgMar w:left="320" w:top="1416"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b w:val="1"/>
          <w:bCs w:val="1"/>
          <w:color w:val="auto"/>
        </w:rPr>
        <w:t>Exhibit 10.2</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November 8, 2021</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William P. Burke</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Address on file with the Company</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RE: CFO Retention and Transition Agreement</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Dear Bill:</w:t>
      </w:r>
    </w:p>
    <w:p>
      <w:pPr>
        <w:spacing w:after="0" w:line="223" w:lineRule="exact"/>
        <w:rPr>
          <w:sz w:val="20"/>
          <w:szCs w:val="20"/>
          <w:color w:val="auto"/>
        </w:rPr>
      </w:pPr>
    </w:p>
    <w:p>
      <w:pPr>
        <w:ind w:right="20" w:firstLine="648"/>
        <w:spacing w:after="0" w:line="222" w:lineRule="auto"/>
        <w:rPr>
          <w:sz w:val="20"/>
          <w:szCs w:val="20"/>
          <w:color w:val="auto"/>
        </w:rPr>
      </w:pPr>
      <w:r>
        <w:rPr>
          <w:rFonts w:ascii="Arial" w:cs="Arial" w:eastAsia="Arial" w:hAnsi="Arial"/>
          <w:sz w:val="19"/>
          <w:szCs w:val="19"/>
          <w:color w:val="auto"/>
        </w:rPr>
        <w:t>This Retention and Transition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sets forth the understanding between you and Haemonetics Corporation (the “</w:t>
      </w:r>
      <w:r>
        <w:rPr>
          <w:rFonts w:ascii="Arial" w:cs="Arial" w:eastAsia="Arial" w:hAnsi="Arial"/>
          <w:sz w:val="19"/>
          <w:szCs w:val="19"/>
          <w:b w:val="1"/>
          <w:bCs w:val="1"/>
          <w:color w:val="auto"/>
        </w:rPr>
        <w:t>Company</w:t>
      </w:r>
      <w:r>
        <w:rPr>
          <w:rFonts w:ascii="Arial" w:cs="Arial" w:eastAsia="Arial" w:hAnsi="Arial"/>
          <w:sz w:val="19"/>
          <w:szCs w:val="19"/>
          <w:color w:val="auto"/>
        </w:rPr>
        <w:t>”) regarding your continued employment as Chief Financial Officer of the Company and your planned retirement from the Company and transition. On behalf of the Board of Directors of the Company, I want to thank you for your willingness to provide continued service as Chief Financial Officer and then in the role of Special Advisor as provided in this Agreement in order to ensure a seamless and successful transition to the next Chief Financial Officer of the Company.</w:t>
      </w:r>
    </w:p>
    <w:p>
      <w:pPr>
        <w:spacing w:after="0" w:line="167"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20"/>
          <w:szCs w:val="20"/>
          <w:u w:val="single" w:color="auto"/>
          <w:color w:val="auto"/>
        </w:rPr>
        <w:t>Continued Service as Chief Financial Officer and Special Advisor</w:t>
      </w:r>
      <w:r>
        <w:rPr>
          <w:rFonts w:ascii="Arial" w:cs="Arial" w:eastAsia="Arial" w:hAnsi="Arial"/>
          <w:sz w:val="20"/>
          <w:szCs w:val="20"/>
          <w:color w:val="auto"/>
        </w:rPr>
        <w:t>.</w:t>
      </w:r>
    </w:p>
    <w:p>
      <w:pPr>
        <w:spacing w:after="0" w:line="175" w:lineRule="exact"/>
        <w:rPr>
          <w:rFonts w:ascii="Arial" w:cs="Arial" w:eastAsia="Arial" w:hAnsi="Arial"/>
          <w:sz w:val="22"/>
          <w:szCs w:val="22"/>
          <w:color w:val="auto"/>
        </w:rPr>
      </w:pPr>
    </w:p>
    <w:p>
      <w:pPr>
        <w:ind w:left="1300" w:right="60" w:hanging="644"/>
        <w:spacing w:after="0" w:line="217" w:lineRule="auto"/>
        <w:tabs>
          <w:tab w:leader="none" w:pos="1288" w:val="left"/>
        </w:tabs>
        <w:numPr>
          <w:ilvl w:val="1"/>
          <w:numId w:val="29"/>
        </w:numPr>
        <w:rPr>
          <w:rFonts w:ascii="Arial" w:cs="Arial" w:eastAsia="Arial" w:hAnsi="Arial"/>
          <w:sz w:val="21"/>
          <w:szCs w:val="21"/>
          <w:color w:val="auto"/>
        </w:rPr>
      </w:pPr>
      <w:r>
        <w:rPr>
          <w:rFonts w:ascii="Arial" w:cs="Arial" w:eastAsia="Arial" w:hAnsi="Arial"/>
          <w:sz w:val="19"/>
          <w:szCs w:val="19"/>
          <w:u w:val="single" w:color="auto"/>
          <w:color w:val="auto"/>
        </w:rPr>
        <w:t>Transition</w:t>
      </w:r>
      <w:r>
        <w:rPr>
          <w:rFonts w:ascii="Arial" w:cs="Arial" w:eastAsia="Arial" w:hAnsi="Arial"/>
          <w:sz w:val="19"/>
          <w:szCs w:val="19"/>
          <w:color w:val="auto"/>
        </w:rPr>
        <w:t>. Your service as Executive Vice President and Chief Financial Officer (“</w:t>
      </w:r>
      <w:r>
        <w:rPr>
          <w:rFonts w:ascii="Arial" w:cs="Arial" w:eastAsia="Arial" w:hAnsi="Arial"/>
          <w:sz w:val="19"/>
          <w:szCs w:val="19"/>
          <w:b w:val="1"/>
          <w:bCs w:val="1"/>
          <w:color w:val="auto"/>
        </w:rPr>
        <w:t>CFO</w:t>
      </w:r>
      <w:r>
        <w:rPr>
          <w:rFonts w:ascii="Arial" w:cs="Arial" w:eastAsia="Arial" w:hAnsi="Arial"/>
          <w:sz w:val="19"/>
          <w:szCs w:val="19"/>
          <w:color w:val="auto"/>
        </w:rPr>
        <w:t>”) of the Company will continue until the earlier of (1) the date your successor to the position of CFO of the Company commences employment with the Company and (2) June 30, 2022. After your successor to the position of CFO of the Company commences employment (if prior to June 30, 2022), you will continue to be employed by the Company and agree to serve as a Special Advisor to the Company’s Chief Executive Officer (the “</w:t>
      </w:r>
      <w:r>
        <w:rPr>
          <w:rFonts w:ascii="Arial" w:cs="Arial" w:eastAsia="Arial" w:hAnsi="Arial"/>
          <w:sz w:val="19"/>
          <w:szCs w:val="19"/>
          <w:b w:val="1"/>
          <w:bCs w:val="1"/>
          <w:color w:val="auto"/>
        </w:rPr>
        <w:t>CEO</w:t>
      </w:r>
      <w:r>
        <w:rPr>
          <w:rFonts w:ascii="Arial" w:cs="Arial" w:eastAsia="Arial" w:hAnsi="Arial"/>
          <w:sz w:val="19"/>
          <w:szCs w:val="19"/>
          <w:color w:val="auto"/>
        </w:rPr>
        <w:t>”). As Special Advisor, your duties may include providing guidance to the CEO, supporting and advising the new CFO and such other reasonable duties related to the finance function of the Company as assigned to you by the CEO.</w:t>
      </w:r>
    </w:p>
    <w:p>
      <w:pPr>
        <w:spacing w:after="0" w:line="162" w:lineRule="exact"/>
        <w:rPr>
          <w:rFonts w:ascii="Arial" w:cs="Arial" w:eastAsia="Arial" w:hAnsi="Arial"/>
          <w:sz w:val="21"/>
          <w:szCs w:val="21"/>
          <w:color w:val="auto"/>
        </w:rPr>
      </w:pPr>
    </w:p>
    <w:p>
      <w:pPr>
        <w:ind w:left="1300" w:right="140" w:hanging="644"/>
        <w:spacing w:after="0" w:line="213" w:lineRule="auto"/>
        <w:tabs>
          <w:tab w:leader="none" w:pos="1300" w:val="left"/>
        </w:tabs>
        <w:numPr>
          <w:ilvl w:val="1"/>
          <w:numId w:val="29"/>
        </w:numPr>
        <w:rPr>
          <w:rFonts w:ascii="Arial" w:cs="Arial" w:eastAsia="Arial" w:hAnsi="Arial"/>
          <w:sz w:val="22"/>
          <w:szCs w:val="22"/>
          <w:color w:val="auto"/>
        </w:rPr>
      </w:pPr>
      <w:r>
        <w:rPr>
          <w:rFonts w:ascii="Arial" w:cs="Arial" w:eastAsia="Arial" w:hAnsi="Arial"/>
          <w:sz w:val="20"/>
          <w:szCs w:val="20"/>
          <w:u w:val="single" w:color="auto"/>
          <w:color w:val="auto"/>
        </w:rPr>
        <w:t>Retention Date</w:t>
      </w:r>
      <w:r>
        <w:rPr>
          <w:rFonts w:ascii="Arial" w:cs="Arial" w:eastAsia="Arial" w:hAnsi="Arial"/>
          <w:sz w:val="20"/>
          <w:szCs w:val="20"/>
          <w:color w:val="auto"/>
        </w:rPr>
        <w:t>. Your service as an employee with the Company will end on June 30, 2022 (the “</w:t>
      </w:r>
      <w:r>
        <w:rPr>
          <w:rFonts w:ascii="Arial" w:cs="Arial" w:eastAsia="Arial" w:hAnsi="Arial"/>
          <w:sz w:val="20"/>
          <w:szCs w:val="20"/>
          <w:b w:val="1"/>
          <w:bCs w:val="1"/>
          <w:color w:val="auto"/>
        </w:rPr>
        <w:t>Retention Date</w:t>
      </w:r>
      <w:r>
        <w:rPr>
          <w:rFonts w:ascii="Arial" w:cs="Arial" w:eastAsia="Arial" w:hAnsi="Arial"/>
          <w:sz w:val="20"/>
          <w:szCs w:val="20"/>
          <w:color w:val="auto"/>
        </w:rPr>
        <w:t>”). For avoidance of doubt, the termination of your employment on the Retention Date, under the terms of this Agreement, is not a Qualifying Termination under the Executive Severance Agreement between you and the Company dated November 7, 2017 (the “</w:t>
      </w:r>
      <w:r>
        <w:rPr>
          <w:rFonts w:ascii="Arial" w:cs="Arial" w:eastAsia="Arial" w:hAnsi="Arial"/>
          <w:sz w:val="20"/>
          <w:szCs w:val="20"/>
          <w:b w:val="1"/>
          <w:bCs w:val="1"/>
          <w:color w:val="auto"/>
        </w:rPr>
        <w:t>Executive Severance Agreement</w:t>
      </w:r>
      <w:r>
        <w:rPr>
          <w:rFonts w:ascii="Arial" w:cs="Arial" w:eastAsia="Arial" w:hAnsi="Arial"/>
          <w:sz w:val="20"/>
          <w:szCs w:val="20"/>
          <w:color w:val="auto"/>
        </w:rPr>
        <w:t>”).</w:t>
      </w:r>
    </w:p>
    <w:p>
      <w:pPr>
        <w:spacing w:after="0" w:line="165" w:lineRule="exact"/>
        <w:rPr>
          <w:rFonts w:ascii="Arial" w:cs="Arial" w:eastAsia="Arial" w:hAnsi="Arial"/>
          <w:sz w:val="22"/>
          <w:szCs w:val="22"/>
          <w:color w:val="auto"/>
        </w:rPr>
      </w:pPr>
    </w:p>
    <w:p>
      <w:pPr>
        <w:ind w:left="660" w:hanging="652"/>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20"/>
          <w:szCs w:val="20"/>
          <w:u w:val="single" w:color="auto"/>
          <w:color w:val="auto"/>
        </w:rPr>
        <w:t>Compensation and Retention Payment</w:t>
      </w:r>
      <w:r>
        <w:rPr>
          <w:rFonts w:ascii="Arial" w:cs="Arial" w:eastAsia="Arial" w:hAnsi="Arial"/>
          <w:sz w:val="20"/>
          <w:szCs w:val="20"/>
          <w:color w:val="auto"/>
        </w:rPr>
        <w:t>.</w:t>
      </w:r>
    </w:p>
    <w:p>
      <w:pPr>
        <w:spacing w:after="0" w:line="175" w:lineRule="exact"/>
        <w:rPr>
          <w:rFonts w:ascii="Arial" w:cs="Arial" w:eastAsia="Arial" w:hAnsi="Arial"/>
          <w:sz w:val="22"/>
          <w:szCs w:val="22"/>
          <w:color w:val="auto"/>
        </w:rPr>
      </w:pPr>
    </w:p>
    <w:p>
      <w:pPr>
        <w:ind w:left="1300" w:right="560" w:hanging="644"/>
        <w:spacing w:after="0" w:line="228" w:lineRule="auto"/>
        <w:tabs>
          <w:tab w:leader="none" w:pos="1288" w:val="left"/>
        </w:tabs>
        <w:numPr>
          <w:ilvl w:val="1"/>
          <w:numId w:val="29"/>
        </w:numPr>
        <w:rPr>
          <w:rFonts w:ascii="Arial" w:cs="Arial" w:eastAsia="Arial" w:hAnsi="Arial"/>
          <w:sz w:val="22"/>
          <w:szCs w:val="22"/>
          <w:color w:val="auto"/>
        </w:rPr>
      </w:pPr>
      <w:r>
        <w:rPr>
          <w:rFonts w:ascii="Arial" w:cs="Arial" w:eastAsia="Arial" w:hAnsi="Arial"/>
          <w:sz w:val="20"/>
          <w:szCs w:val="20"/>
          <w:u w:val="single" w:color="auto"/>
          <w:color w:val="auto"/>
        </w:rPr>
        <w:t>Salary</w:t>
      </w:r>
      <w:r>
        <w:rPr>
          <w:rFonts w:ascii="Arial" w:cs="Arial" w:eastAsia="Arial" w:hAnsi="Arial"/>
          <w:sz w:val="20"/>
          <w:szCs w:val="20"/>
          <w:color w:val="auto"/>
        </w:rPr>
        <w:t>. From now until the Retention Date (the “</w:t>
      </w:r>
      <w:r>
        <w:rPr>
          <w:rFonts w:ascii="Arial" w:cs="Arial" w:eastAsia="Arial" w:hAnsi="Arial"/>
          <w:sz w:val="20"/>
          <w:szCs w:val="20"/>
          <w:b w:val="1"/>
          <w:bCs w:val="1"/>
          <w:color w:val="auto"/>
        </w:rPr>
        <w:t>Transition Period</w:t>
      </w:r>
      <w:r>
        <w:rPr>
          <w:rFonts w:ascii="Arial" w:cs="Arial" w:eastAsia="Arial" w:hAnsi="Arial"/>
          <w:sz w:val="20"/>
          <w:szCs w:val="20"/>
          <w:color w:val="auto"/>
        </w:rPr>
        <w:t>”), you will continue to receive your current salary, provided that your employment does not earlier terminate.</w:t>
      </w:r>
    </w:p>
    <w:p>
      <w:pPr>
        <w:spacing w:after="0" w:line="168" w:lineRule="exact"/>
        <w:rPr>
          <w:rFonts w:ascii="Arial" w:cs="Arial" w:eastAsia="Arial" w:hAnsi="Arial"/>
          <w:sz w:val="22"/>
          <w:szCs w:val="22"/>
          <w:color w:val="auto"/>
        </w:rPr>
      </w:pPr>
    </w:p>
    <w:p>
      <w:pPr>
        <w:ind w:left="1300" w:right="300" w:hanging="644"/>
        <w:spacing w:after="0" w:line="229" w:lineRule="auto"/>
        <w:tabs>
          <w:tab w:leader="none" w:pos="1300" w:val="left"/>
        </w:tabs>
        <w:numPr>
          <w:ilvl w:val="1"/>
          <w:numId w:val="29"/>
        </w:numPr>
        <w:rPr>
          <w:rFonts w:ascii="Arial" w:cs="Arial" w:eastAsia="Arial" w:hAnsi="Arial"/>
          <w:sz w:val="19"/>
          <w:szCs w:val="19"/>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The execution of this Agreement will not affect your eligibility to receive an annual bonus for fiscal 2022, which will be based on actual Company performance assuming full achievement of any individual performance goals and will be paid when fiscal year 2022 bonuses are generally paid to senior executives of the Company subject to and in accordance with the terms of such annual bonus program. Provided you remain employed with the Company through the Retention Date and satisfy the other conditions to receive the Retention Bonus set forth in Section 2(e), the Company will pay you a Pro Rata Bonus for fiscal year 2023 within 21 days after the expiration of the Revocation Period, as defined in Exhibit A hereto. A “</w:t>
      </w:r>
      <w:r>
        <w:rPr>
          <w:rFonts w:ascii="Arial" w:cs="Arial" w:eastAsia="Arial" w:hAnsi="Arial"/>
          <w:sz w:val="18"/>
          <w:szCs w:val="18"/>
          <w:b w:val="1"/>
          <w:bCs w:val="1"/>
          <w:color w:val="auto"/>
        </w:rPr>
        <w:t>Pro Rata Bonus</w:t>
      </w:r>
      <w:r>
        <w:rPr>
          <w:rFonts w:ascii="Arial" w:cs="Arial" w:eastAsia="Arial" w:hAnsi="Arial"/>
          <w:sz w:val="18"/>
          <w:szCs w:val="18"/>
          <w:color w:val="auto"/>
        </w:rPr>
        <w:t>” means an amount equal to</w:t>
      </w:r>
    </w:p>
    <w:p>
      <w:pPr>
        <w:sectPr>
          <w:pgSz w:w="11900" w:h="16838" w:orient="portrait"/>
          <w:cols w:equalWidth="0" w:num="1">
            <w:col w:w="11240"/>
          </w:cols>
          <w:pgMar w:left="320" w:top="1426" w:right="339" w:bottom="1440" w:gutter="0" w:footer="0" w:header="0"/>
        </w:sectPr>
      </w:pPr>
    </w:p>
    <w:bookmarkStart w:id="46" w:name="page47"/>
    <w:bookmarkEnd w:id="46"/>
    <w:p>
      <w:pPr>
        <w:spacing w:after="0" w:line="155" w:lineRule="exact"/>
        <w:rPr>
          <w:sz w:val="20"/>
          <w:szCs w:val="20"/>
          <w:color w:val="auto"/>
        </w:rPr>
      </w:pPr>
    </w:p>
    <w:p>
      <w:pPr>
        <w:jc w:val="both"/>
        <w:ind w:left="644"/>
        <w:spacing w:after="0" w:line="236" w:lineRule="auto"/>
        <w:rPr>
          <w:sz w:val="20"/>
          <w:szCs w:val="20"/>
          <w:color w:val="auto"/>
        </w:rPr>
      </w:pPr>
      <w:r>
        <w:rPr>
          <w:rFonts w:ascii="Arial" w:cs="Arial" w:eastAsia="Arial" w:hAnsi="Arial"/>
          <w:sz w:val="18"/>
          <w:szCs w:val="18"/>
          <w:color w:val="auto"/>
        </w:rPr>
        <w:t>your Annual Target Bonus multiplied by a fraction the numerator of which is the number of days in fiscal 2023 that you were employed through the Retention Date and the denominator of which is 365. “</w:t>
      </w:r>
      <w:r>
        <w:rPr>
          <w:rFonts w:ascii="Arial" w:cs="Arial" w:eastAsia="Arial" w:hAnsi="Arial"/>
          <w:sz w:val="18"/>
          <w:szCs w:val="18"/>
          <w:b w:val="1"/>
          <w:bCs w:val="1"/>
          <w:color w:val="auto"/>
        </w:rPr>
        <w:t>Target Bonus</w:t>
      </w:r>
      <w:r>
        <w:rPr>
          <w:rFonts w:ascii="Arial" w:cs="Arial" w:eastAsia="Arial" w:hAnsi="Arial"/>
          <w:sz w:val="18"/>
          <w:szCs w:val="18"/>
          <w:color w:val="auto"/>
        </w:rPr>
        <w:t>” means an amount equal to 75% of your current annual salary. The Company will only pay the Pro Rata Bonus for fiscal 2023 once the Supplemental Release attached hereto as Exhibit A has been timely executed by you and become effective in accordance with its terms.</w:t>
      </w:r>
    </w:p>
    <w:p>
      <w:pPr>
        <w:spacing w:after="0" w:line="171" w:lineRule="exact"/>
        <w:rPr>
          <w:sz w:val="20"/>
          <w:szCs w:val="20"/>
          <w:color w:val="auto"/>
        </w:rPr>
      </w:pPr>
    </w:p>
    <w:p>
      <w:pPr>
        <w:ind w:left="644" w:hanging="644"/>
        <w:spacing w:after="0" w:line="211" w:lineRule="auto"/>
        <w:tabs>
          <w:tab w:leader="none" w:pos="632" w:val="left"/>
        </w:tabs>
        <w:numPr>
          <w:ilvl w:val="0"/>
          <w:numId w:val="30"/>
        </w:numPr>
        <w:rPr>
          <w:rFonts w:ascii="Arial" w:cs="Arial" w:eastAsia="Arial" w:hAnsi="Arial"/>
          <w:sz w:val="22"/>
          <w:szCs w:val="22"/>
          <w:color w:val="auto"/>
        </w:rPr>
      </w:pPr>
      <w:r>
        <w:rPr>
          <w:rFonts w:ascii="Arial" w:cs="Arial" w:eastAsia="Arial" w:hAnsi="Arial"/>
          <w:sz w:val="20"/>
          <w:szCs w:val="20"/>
          <w:u w:val="single" w:color="auto"/>
          <w:color w:val="auto"/>
        </w:rPr>
        <w:t>Equity Incentive Awards</w:t>
      </w:r>
      <w:r>
        <w:rPr>
          <w:rFonts w:ascii="Arial" w:cs="Arial" w:eastAsia="Arial" w:hAnsi="Arial"/>
          <w:sz w:val="20"/>
          <w:szCs w:val="20"/>
          <w:color w:val="auto"/>
        </w:rPr>
        <w:t>. All of your outstanding equity incentive awards, including stock options, restricted stock units, and performance-based restricted stock units, will continue to vest (and, for stock options, to be exercisable) subject to and in accordance with their current terms. You will not receive any further equity incentive awards under the Company’s long-term incentive plans.</w:t>
      </w:r>
    </w:p>
    <w:p>
      <w:pPr>
        <w:spacing w:after="0" w:line="170" w:lineRule="exact"/>
        <w:rPr>
          <w:rFonts w:ascii="Arial" w:cs="Arial" w:eastAsia="Arial" w:hAnsi="Arial"/>
          <w:sz w:val="22"/>
          <w:szCs w:val="22"/>
          <w:color w:val="auto"/>
        </w:rPr>
      </w:pPr>
    </w:p>
    <w:p>
      <w:pPr>
        <w:ind w:left="644" w:right="180" w:hanging="644"/>
        <w:spacing w:after="0" w:line="245" w:lineRule="auto"/>
        <w:tabs>
          <w:tab w:leader="none" w:pos="644" w:val="left"/>
        </w:tabs>
        <w:numPr>
          <w:ilvl w:val="0"/>
          <w:numId w:val="30"/>
        </w:numPr>
        <w:rPr>
          <w:rFonts w:ascii="Arial" w:cs="Arial" w:eastAsia="Arial" w:hAnsi="Arial"/>
          <w:sz w:val="19"/>
          <w:szCs w:val="19"/>
          <w:color w:val="auto"/>
        </w:rPr>
      </w:pPr>
      <w:r>
        <w:rPr>
          <w:rFonts w:ascii="Arial" w:cs="Arial" w:eastAsia="Arial" w:hAnsi="Arial"/>
          <w:sz w:val="18"/>
          <w:szCs w:val="18"/>
          <w:u w:val="single" w:color="auto"/>
          <w:color w:val="auto"/>
        </w:rPr>
        <w:t>Benefit Plans and Programs</w:t>
      </w:r>
      <w:r>
        <w:rPr>
          <w:rFonts w:ascii="Arial" w:cs="Arial" w:eastAsia="Arial" w:hAnsi="Arial"/>
          <w:sz w:val="18"/>
          <w:szCs w:val="18"/>
          <w:color w:val="auto"/>
        </w:rPr>
        <w:t>. During the Transition Period, subject to your continued service, you will continue to remain eligible to participate in the Company employee benefit plans and programs in which you currently participate on the same terms and conditions as other senior executives of the Company, except as otherwise set forth in this Agreement.</w:t>
      </w:r>
    </w:p>
    <w:p>
      <w:pPr>
        <w:spacing w:after="0" w:line="161" w:lineRule="exact"/>
        <w:rPr>
          <w:rFonts w:ascii="Arial" w:cs="Arial" w:eastAsia="Arial" w:hAnsi="Arial"/>
          <w:sz w:val="19"/>
          <w:szCs w:val="19"/>
          <w:color w:val="auto"/>
        </w:rPr>
      </w:pPr>
    </w:p>
    <w:p>
      <w:pPr>
        <w:ind w:left="644" w:hanging="644"/>
        <w:spacing w:after="0"/>
        <w:tabs>
          <w:tab w:leader="none" w:pos="644" w:val="left"/>
        </w:tabs>
        <w:numPr>
          <w:ilvl w:val="0"/>
          <w:numId w:val="30"/>
        </w:numPr>
        <w:rPr>
          <w:rFonts w:ascii="Arial" w:cs="Arial" w:eastAsia="Arial" w:hAnsi="Arial"/>
          <w:sz w:val="22"/>
          <w:szCs w:val="22"/>
          <w:color w:val="auto"/>
        </w:rPr>
      </w:pPr>
      <w:r>
        <w:rPr>
          <w:rFonts w:ascii="Arial" w:cs="Arial" w:eastAsia="Arial" w:hAnsi="Arial"/>
          <w:sz w:val="20"/>
          <w:szCs w:val="20"/>
          <w:u w:val="single" w:color="auto"/>
          <w:color w:val="auto"/>
        </w:rPr>
        <w:t>Retention Bonus</w:t>
      </w:r>
      <w:r>
        <w:rPr>
          <w:rFonts w:ascii="Arial" w:cs="Arial" w:eastAsia="Arial" w:hAnsi="Arial"/>
          <w:sz w:val="20"/>
          <w:szCs w:val="20"/>
          <w:color w:val="auto"/>
        </w:rPr>
        <w:t>.</w:t>
      </w:r>
    </w:p>
    <w:p>
      <w:pPr>
        <w:spacing w:after="0" w:line="168" w:lineRule="exact"/>
        <w:rPr>
          <w:rFonts w:ascii="Arial" w:cs="Arial" w:eastAsia="Arial" w:hAnsi="Arial"/>
          <w:sz w:val="22"/>
          <w:szCs w:val="22"/>
          <w:color w:val="auto"/>
        </w:rPr>
      </w:pPr>
    </w:p>
    <w:p>
      <w:pPr>
        <w:ind w:left="644"/>
        <w:spacing w:after="0" w:line="223" w:lineRule="auto"/>
        <w:rPr>
          <w:rFonts w:ascii="Arial" w:cs="Arial" w:eastAsia="Arial" w:hAnsi="Arial"/>
          <w:sz w:val="22"/>
          <w:szCs w:val="22"/>
          <w:color w:val="auto"/>
        </w:rPr>
      </w:pPr>
      <w:r>
        <w:rPr>
          <w:rFonts w:ascii="Arial" w:cs="Arial" w:eastAsia="Arial" w:hAnsi="Arial"/>
          <w:sz w:val="18"/>
          <w:szCs w:val="18"/>
          <w:color w:val="auto"/>
        </w:rPr>
        <w:t>In addition, if you (1) do not resign (for any reason) and are not terminated by the Company for Cause (as defined in your Executive Severance Agreement) prior to the Retention Date, (2) cooperate fully in transitioning your job, (3) agree to the terms of this Agreement and timely sign, return, and do not revoke it, and (4) timely sign, return, and do not revoke the Supplemental Release attached hereto as Exhibit A, the Company will provide you with a retention bonus (the “</w:t>
      </w:r>
      <w:r>
        <w:rPr>
          <w:rFonts w:ascii="Arial" w:cs="Arial" w:eastAsia="Arial" w:hAnsi="Arial"/>
          <w:sz w:val="18"/>
          <w:szCs w:val="18"/>
          <w:b w:val="1"/>
          <w:bCs w:val="1"/>
          <w:color w:val="auto"/>
        </w:rPr>
        <w:t>Retention</w:t>
      </w:r>
      <w:r>
        <w:rPr>
          <w:rFonts w:ascii="Arial" w:cs="Arial" w:eastAsia="Arial" w:hAnsi="Arial"/>
          <w:sz w:val="18"/>
          <w:szCs w:val="18"/>
          <w:color w:val="auto"/>
        </w:rPr>
        <w:t xml:space="preserve"> </w:t>
      </w:r>
      <w:r>
        <w:rPr>
          <w:rFonts w:ascii="Arial" w:cs="Arial" w:eastAsia="Arial" w:hAnsi="Arial"/>
          <w:sz w:val="18"/>
          <w:szCs w:val="18"/>
          <w:b w:val="1"/>
          <w:bCs w:val="1"/>
          <w:color w:val="auto"/>
        </w:rPr>
        <w:t>Bonus</w:t>
      </w:r>
      <w:r>
        <w:rPr>
          <w:rFonts w:ascii="Arial" w:cs="Arial" w:eastAsia="Arial" w:hAnsi="Arial"/>
          <w:sz w:val="18"/>
          <w:szCs w:val="18"/>
          <w:color w:val="auto"/>
        </w:rPr>
        <w:t>”). The Retention Bonus will be calculated as follows: (1) if your successor commences employment on or before</w:t>
      </w:r>
      <w:r>
        <w:rPr>
          <w:rFonts w:ascii="Arial" w:cs="Arial" w:eastAsia="Arial" w:hAnsi="Arial"/>
          <w:sz w:val="18"/>
          <w:szCs w:val="18"/>
          <w:b w:val="1"/>
          <w:bCs w:val="1"/>
          <w:color w:val="auto"/>
        </w:rPr>
        <w:t xml:space="preserve"> </w:t>
      </w:r>
      <w:r>
        <w:rPr>
          <w:rFonts w:ascii="Arial" w:cs="Arial" w:eastAsia="Arial" w:hAnsi="Arial"/>
          <w:sz w:val="18"/>
          <w:szCs w:val="18"/>
          <w:color w:val="auto"/>
        </w:rPr>
        <w:t>April 2, 2022, the Retention Bonus will be an aggregate amount equal to 25% of your base salary at the annualized rate in effect as of the date hereof, paid to you in approximately equal installments over the course of the three (3) months following the Retention Date; or (2) if your successor commences employment after April 2, 2022, the Retention Bonus will be an aggregate amount equal to 50% of your base salary at the annualized rate in effect as of the date hereof, paid to you in approximately equal installments over the course of the six (6) months following the Retention Date. The Retention Bonus will be paid to you in accordance with the Company’s regular payroll practices, beginning on the first regularly scheduled payroll date of the Company following the date on which the Supplemental Release becomes effective in accordance with its terms. The Company will pay the Retention Bonus only after you have timely executed the Supplement Release, attached hereto as Exhibit A, that is not revoked as provided herein. The Retention Bonus payment is not considered compensation for purposes of the Company’s 401(k) or other retirement plans.</w:t>
      </w:r>
    </w:p>
    <w:p>
      <w:pPr>
        <w:spacing w:after="0" w:line="166" w:lineRule="exact"/>
        <w:rPr>
          <w:rFonts w:ascii="Arial" w:cs="Arial" w:eastAsia="Arial" w:hAnsi="Arial"/>
          <w:sz w:val="22"/>
          <w:szCs w:val="22"/>
          <w:color w:val="auto"/>
        </w:rPr>
      </w:pPr>
    </w:p>
    <w:p>
      <w:pPr>
        <w:ind w:left="644" w:right="60"/>
        <w:spacing w:after="0" w:line="333" w:lineRule="auto"/>
        <w:rPr>
          <w:rFonts w:ascii="Arial" w:cs="Arial" w:eastAsia="Arial" w:hAnsi="Arial"/>
          <w:sz w:val="22"/>
          <w:szCs w:val="22"/>
          <w:color w:val="auto"/>
        </w:rPr>
      </w:pPr>
      <w:r>
        <w:rPr>
          <w:rFonts w:ascii="Arial" w:cs="Arial" w:eastAsia="Arial" w:hAnsi="Arial"/>
          <w:sz w:val="16"/>
          <w:szCs w:val="16"/>
          <w:color w:val="auto"/>
        </w:rPr>
        <w:t>For avoidance of doubt, in the event that you are terminated without Cause before the Retention Date, you are not entitled to the Retention Bonus, and your Executive Severance Agreement will govern the terms of you departure from the Company.</w:t>
      </w:r>
    </w:p>
    <w:p>
      <w:pPr>
        <w:spacing w:after="0" w:line="110" w:lineRule="exact"/>
        <w:rPr>
          <w:rFonts w:ascii="Arial" w:cs="Arial" w:eastAsia="Arial" w:hAnsi="Arial"/>
          <w:sz w:val="22"/>
          <w:szCs w:val="22"/>
          <w:color w:val="auto"/>
        </w:rPr>
      </w:pPr>
    </w:p>
    <w:p>
      <w:pPr>
        <w:ind w:left="644" w:right="240"/>
        <w:spacing w:after="0" w:line="274" w:lineRule="auto"/>
        <w:rPr>
          <w:rFonts w:ascii="Arial" w:cs="Arial" w:eastAsia="Arial" w:hAnsi="Arial"/>
          <w:sz w:val="22"/>
          <w:szCs w:val="22"/>
          <w:color w:val="auto"/>
        </w:rPr>
      </w:pPr>
      <w:r>
        <w:rPr>
          <w:rFonts w:ascii="Arial" w:cs="Arial" w:eastAsia="Arial" w:hAnsi="Arial"/>
          <w:sz w:val="20"/>
          <w:szCs w:val="20"/>
          <w:color w:val="auto"/>
        </w:rPr>
        <w:t>The Company may withhold from any and all amounts payable under this Agreement such federal, state and local taxes as may be required to be withheld pursuant to any applicable law or regulation.</w:t>
      </w:r>
    </w:p>
    <w:p>
      <w:pPr>
        <w:sectPr>
          <w:pgSz w:w="11900" w:h="16838" w:orient="portrait"/>
          <w:cols w:equalWidth="0" w:num="1">
            <w:col w:w="10564"/>
          </w:cols>
          <w:pgMar w:left="976" w:top="1440" w:right="359" w:bottom="1440" w:gutter="0" w:footer="0" w:header="0"/>
        </w:sectPr>
      </w:pPr>
    </w:p>
    <w:bookmarkStart w:id="47" w:name="page48"/>
    <w:bookmarkEnd w:id="47"/>
    <w:p>
      <w:pPr>
        <w:ind w:left="652" w:hanging="652"/>
        <w:spacing w:after="0" w:line="237" w:lineRule="auto"/>
        <w:tabs>
          <w:tab w:leader="none" w:pos="652" w:val="left"/>
        </w:tabs>
        <w:numPr>
          <w:ilvl w:val="0"/>
          <w:numId w:val="31"/>
        </w:numPr>
        <w:rPr>
          <w:rFonts w:ascii="Arial" w:cs="Arial" w:eastAsia="Arial" w:hAnsi="Arial"/>
          <w:sz w:val="18"/>
          <w:szCs w:val="18"/>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You voluntarily release and discharge the Company and its current and former predecessors, successors, assigns, parent companies, subsidiaries, affiliates, and other related entities, as well as all of their current and former agents, officers, directors, employees, representatives, attorneys, and all persons acting by, through, under, or in concert with any of them (any and all of which are referred to as “</w:t>
      </w:r>
      <w:r>
        <w:rPr>
          <w:rFonts w:ascii="Arial" w:cs="Arial" w:eastAsia="Arial" w:hAnsi="Arial"/>
          <w:sz w:val="17"/>
          <w:szCs w:val="17"/>
          <w:b w:val="1"/>
          <w:bCs w:val="1"/>
          <w:color w:val="auto"/>
        </w:rPr>
        <w:t>Releasees</w:t>
      </w:r>
      <w:r>
        <w:rPr>
          <w:rFonts w:ascii="Arial" w:cs="Arial" w:eastAsia="Arial" w:hAnsi="Arial"/>
          <w:sz w:val="17"/>
          <w:szCs w:val="17"/>
          <w:color w:val="auto"/>
        </w:rPr>
        <w:t>”), from any and all charges, complaints, claims, liabilities, obligations, promises, agreements, causes of action, damages, losses, expenses, and debts of any nature whatsoever, known or unknown (“</w:t>
      </w:r>
      <w:r>
        <w:rPr>
          <w:rFonts w:ascii="Arial" w:cs="Arial" w:eastAsia="Arial" w:hAnsi="Arial"/>
          <w:sz w:val="17"/>
          <w:szCs w:val="17"/>
          <w:b w:val="1"/>
          <w:bCs w:val="1"/>
          <w:color w:val="auto"/>
        </w:rPr>
        <w:t>Claims</w:t>
      </w:r>
      <w:r>
        <w:rPr>
          <w:rFonts w:ascii="Arial" w:cs="Arial" w:eastAsia="Arial" w:hAnsi="Arial"/>
          <w:sz w:val="17"/>
          <w:szCs w:val="17"/>
          <w:color w:val="auto"/>
        </w:rPr>
        <w:t xml:space="preserve">”), which you have, claim to have, ever had, or ever claimed to have had against Releasees. This general release of Claims includes, without implication of limitation, all Claims relating to your employment and separation from employment with the Company; all Claims of discrimination, harassment and retaliation prohibited by any federal, state, or local statute, regulation, or ordinance, including without implication of limitation, Title VII of the Civil Rights Act of 1964, the Age Discrimination in Employment Act, the Americans With Disabilities Act, Massachusetts General Laws chapter 151B, the Massachusetts Wage Act (including but not limited to paid time off, overtime and other wages), the Family and Medical Leave Act, and the Employee Retirement Income Securities Act; and all other statutory and common law Claims. You also waive any Claim for reinstatement, attorney’s fees, interest, or costs, and all Claims for wages or other compensation (including but not limited to those under the Massachusetts Wage Act),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this Release shall not be construed to impair your right to enforce the terms of this Agreement or to waive any claims that may not by law be waived.</w:t>
      </w:r>
    </w:p>
    <w:p>
      <w:pPr>
        <w:spacing w:after="0" w:line="161" w:lineRule="exact"/>
        <w:rPr>
          <w:rFonts w:ascii="Arial" w:cs="Arial" w:eastAsia="Arial" w:hAnsi="Arial"/>
          <w:sz w:val="18"/>
          <w:szCs w:val="18"/>
          <w:color w:val="auto"/>
        </w:rPr>
      </w:pPr>
    </w:p>
    <w:p>
      <w:pPr>
        <w:ind w:left="652" w:right="80"/>
        <w:spacing w:after="0" w:line="217" w:lineRule="auto"/>
        <w:rPr>
          <w:rFonts w:ascii="Arial" w:cs="Arial" w:eastAsia="Arial" w:hAnsi="Arial"/>
          <w:sz w:val="18"/>
          <w:szCs w:val="18"/>
          <w:color w:val="auto"/>
        </w:rPr>
      </w:pPr>
      <w:r>
        <w:rPr>
          <w:rFonts w:ascii="Arial" w:cs="Arial" w:eastAsia="Arial" w:hAnsi="Arial"/>
          <w:sz w:val="19"/>
          <w:szCs w:val="19"/>
          <w:color w:val="auto"/>
        </w:rPr>
        <w:t>Notwithstanding the foregoing, this Agreement will not be construed to (i) impair your right to enforce the terms of this Agreement, (ii) waive any Claims that may not by law be waived, (iii) impair your rights under any equity or equity award agreement, any subscription agreement, any stockholders’ agreement, or any other written agreement between you and the Company, insofar as you have continuing rights under any such agreement after the effective date of this Agreement, (iv) release or discharge any rights you may have to indemnification as a current or former manager, director, officer or employee under the organizational documents of the Company, under applicable law, or otherwise, or to protection under any insurance policy maintained by the Company, or (v) impair any rights that you may have to vested retirement benefits.</w:t>
      </w:r>
    </w:p>
    <w:p>
      <w:pPr>
        <w:spacing w:after="0" w:line="156" w:lineRule="exact"/>
        <w:rPr>
          <w:sz w:val="20"/>
          <w:szCs w:val="20"/>
          <w:color w:val="auto"/>
        </w:rPr>
      </w:pPr>
    </w:p>
    <w:p>
      <w:pPr>
        <w:ind w:left="652" w:right="120" w:hanging="5"/>
        <w:spacing w:after="0" w:line="215" w:lineRule="auto"/>
        <w:rPr>
          <w:sz w:val="20"/>
          <w:szCs w:val="20"/>
          <w:color w:val="auto"/>
        </w:rPr>
      </w:pPr>
      <w:r>
        <w:rPr>
          <w:rFonts w:ascii="Arial" w:cs="Arial" w:eastAsia="Arial" w:hAnsi="Arial"/>
          <w:sz w:val="19"/>
          <w:szCs w:val="19"/>
          <w:color w:val="auto"/>
        </w:rPr>
        <w:t>In addition, nothing in this Agreement (including but not limited to the release of claims, confidentiality, cooperation, and non-disparagement provisions) shall be construed to prevent you from communicating or filing a charge or complaint with, or from participating in an investigation or proceeding conducted by, the Equal Employment Opportunity Commission, National Labor Relations Board, the Securities and Exchange Commission (“SEC”), or any other any federal, state or local agency charged with the enforcement of any laws, or from exercising rights under Section 7 of the National Labor Relations Act to engage in joint activity with other employees, although by signing this Agreement you are waiving and hereby do waive any and all rights to individual relief (monetary or otherwise) based on claims asserted in such a charge or complaint, or asserted by any third-party on your behalf, except where such a waiver of individual relief is prohibited (such as, for example in connection with an award for information provided to the SEC).</w:t>
      </w:r>
    </w:p>
    <w:p>
      <w:pPr>
        <w:spacing w:after="0" w:line="169" w:lineRule="exact"/>
        <w:rPr>
          <w:sz w:val="20"/>
          <w:szCs w:val="20"/>
          <w:color w:val="auto"/>
        </w:rPr>
      </w:pPr>
    </w:p>
    <w:p>
      <w:pPr>
        <w:ind w:left="652" w:right="60" w:hanging="652"/>
        <w:spacing w:after="0" w:line="208" w:lineRule="auto"/>
        <w:tabs>
          <w:tab w:leader="none" w:pos="652" w:val="left"/>
        </w:tabs>
        <w:numPr>
          <w:ilvl w:val="0"/>
          <w:numId w:val="32"/>
        </w:numPr>
        <w:rPr>
          <w:rFonts w:ascii="Arial" w:cs="Arial" w:eastAsia="Arial" w:hAnsi="Arial"/>
          <w:sz w:val="22"/>
          <w:szCs w:val="22"/>
          <w:color w:val="auto"/>
        </w:rPr>
      </w:pPr>
      <w:r>
        <w:rPr>
          <w:rFonts w:ascii="Arial" w:cs="Arial" w:eastAsia="Arial" w:hAnsi="Arial"/>
          <w:sz w:val="20"/>
          <w:szCs w:val="20"/>
          <w:u w:val="single" w:color="auto"/>
          <w:color w:val="auto"/>
        </w:rPr>
        <w:t>Professional Transition</w:t>
      </w:r>
      <w:r>
        <w:rPr>
          <w:rFonts w:ascii="Arial" w:cs="Arial" w:eastAsia="Arial" w:hAnsi="Arial"/>
          <w:sz w:val="20"/>
          <w:szCs w:val="20"/>
          <w:color w:val="auto"/>
        </w:rPr>
        <w:t>. For the period during which you are receiving payments of the Retention Bonus, you agree (i) to cooperate with the Company and its accountants and legal counsel, as reasonably requested by the Company, with respect to legal and business issues of which you have personal or corporate knowledge and (ii) to make yourself available at reasonable times and upon reasonable notice to answer questions or provide information within your possession as requested by the Company relating to the Company, its subsidiaries and/or their respective</w:t>
      </w:r>
    </w:p>
    <w:p>
      <w:pPr>
        <w:sectPr>
          <w:pgSz w:w="11900" w:h="16838" w:orient="portrait"/>
          <w:cols w:equalWidth="0" w:num="1">
            <w:col w:w="11232"/>
          </w:cols>
          <w:pgMar w:left="328" w:top="1419" w:right="33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52"/>
        <w:spacing w:after="0" w:line="218" w:lineRule="auto"/>
        <w:rPr>
          <w:sz w:val="20"/>
          <w:szCs w:val="20"/>
          <w:color w:val="auto"/>
        </w:rPr>
      </w:pPr>
      <w:r>
        <w:rPr>
          <w:rFonts w:ascii="Arial" w:cs="Arial" w:eastAsia="Arial" w:hAnsi="Arial"/>
          <w:sz w:val="20"/>
          <w:szCs w:val="20"/>
          <w:color w:val="auto"/>
        </w:rPr>
        <w:t>operations. You acknowledge that the Company’s obligations under this Agreement are expressly contingent on such cooperation and assistance, and on your dealing with any issues relating to your employment with or separation from the Company in a responsible, positive and professional manner.</w:t>
      </w:r>
    </w:p>
    <w:p>
      <w:pPr>
        <w:spacing w:after="0" w:line="167" w:lineRule="exact"/>
        <w:rPr>
          <w:sz w:val="20"/>
          <w:szCs w:val="20"/>
          <w:color w:val="auto"/>
        </w:rPr>
      </w:pPr>
    </w:p>
    <w:p>
      <w:pPr>
        <w:ind w:left="652" w:hanging="652"/>
        <w:spacing w:after="0"/>
        <w:tabs>
          <w:tab w:leader="none" w:pos="652" w:val="left"/>
        </w:tabs>
        <w:numPr>
          <w:ilvl w:val="0"/>
          <w:numId w:val="33"/>
        </w:numPr>
        <w:rPr>
          <w:rFonts w:ascii="Arial" w:cs="Arial" w:eastAsia="Arial" w:hAnsi="Arial"/>
          <w:sz w:val="22"/>
          <w:szCs w:val="22"/>
          <w:color w:val="auto"/>
        </w:rPr>
      </w:pP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You agree that during your employment with the Company and at all times thereafter:</w:t>
      </w:r>
    </w:p>
    <w:p>
      <w:pPr>
        <w:spacing w:after="0" w:line="181" w:lineRule="exact"/>
        <w:rPr>
          <w:rFonts w:ascii="Arial" w:cs="Arial" w:eastAsia="Arial" w:hAnsi="Arial"/>
          <w:sz w:val="22"/>
          <w:szCs w:val="22"/>
          <w:color w:val="auto"/>
        </w:rPr>
      </w:pPr>
    </w:p>
    <w:p>
      <w:pPr>
        <w:ind w:left="1292" w:hanging="644"/>
        <w:spacing w:after="0" w:line="213" w:lineRule="auto"/>
        <w:tabs>
          <w:tab w:leader="none" w:pos="1280" w:val="left"/>
        </w:tabs>
        <w:numPr>
          <w:ilvl w:val="1"/>
          <w:numId w:val="33"/>
        </w:numPr>
        <w:rPr>
          <w:rFonts w:ascii="Arial" w:cs="Arial" w:eastAsia="Arial" w:hAnsi="Arial"/>
          <w:sz w:val="21"/>
          <w:szCs w:val="21"/>
          <w:color w:val="auto"/>
        </w:rPr>
      </w:pPr>
      <w:r>
        <w:rPr>
          <w:rFonts w:ascii="Arial" w:cs="Arial" w:eastAsia="Arial" w:hAnsi="Arial"/>
          <w:sz w:val="19"/>
          <w:szCs w:val="19"/>
          <w:color w:val="auto"/>
        </w:rPr>
        <w:t>You will not at any time, directly or indirectly, disclose or divulge any Confidential Information (as hereinafter defined), except as required in connection with your work for the Company or requested in writing by the Company, and except to the extent required by law, subpoena or court order (but only after you have provided the Company with reasonable notice and opportunity to take action against any legally required disclosure to the extent permitted by law). As used herein,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all trade secrets and all other proprietary information of a business, financial, marketing, technical or other nature relating to the business of the Company including, without limitation, any customer or vendor lists, financial statements and projections, know-how, pricing policies, operational methods, methods of doing business, technical processes, formulae, designs and design projects, inventions, computer hardware, software programs, business strategy, plans and projects (actual or prospective) pertaining to the Company and including any information of others that the Company has agreed to keep confidential; provided that Confidential Information shall not include any information that has entered or enters the public domain through no fault of you.</w:t>
      </w:r>
    </w:p>
    <w:p>
      <w:pPr>
        <w:spacing w:after="0" w:line="168" w:lineRule="exact"/>
        <w:rPr>
          <w:rFonts w:ascii="Arial" w:cs="Arial" w:eastAsia="Arial" w:hAnsi="Arial"/>
          <w:sz w:val="21"/>
          <w:szCs w:val="21"/>
          <w:color w:val="auto"/>
        </w:rPr>
      </w:pPr>
    </w:p>
    <w:p>
      <w:pPr>
        <w:ind w:left="1292" w:right="520" w:hanging="644"/>
        <w:spacing w:after="0" w:line="225" w:lineRule="auto"/>
        <w:tabs>
          <w:tab w:leader="none" w:pos="1292" w:val="left"/>
        </w:tabs>
        <w:numPr>
          <w:ilvl w:val="1"/>
          <w:numId w:val="33"/>
        </w:numPr>
        <w:rPr>
          <w:rFonts w:ascii="Arial" w:cs="Arial" w:eastAsia="Arial" w:hAnsi="Arial"/>
          <w:sz w:val="22"/>
          <w:szCs w:val="22"/>
          <w:color w:val="auto"/>
        </w:rPr>
      </w:pPr>
      <w:r>
        <w:rPr>
          <w:rFonts w:ascii="Arial" w:cs="Arial" w:eastAsia="Arial" w:hAnsi="Arial"/>
          <w:sz w:val="20"/>
          <w:szCs w:val="20"/>
          <w:color w:val="auto"/>
        </w:rPr>
        <w:t>You shall make no use whatsoever, directly or indirectly, of any Confidential Information at any time except as may be required in connection with your work for the Company.</w:t>
      </w:r>
    </w:p>
    <w:p>
      <w:pPr>
        <w:spacing w:after="0" w:line="168" w:lineRule="exact"/>
        <w:rPr>
          <w:rFonts w:ascii="Arial" w:cs="Arial" w:eastAsia="Arial" w:hAnsi="Arial"/>
          <w:sz w:val="22"/>
          <w:szCs w:val="22"/>
          <w:color w:val="auto"/>
        </w:rPr>
      </w:pPr>
    </w:p>
    <w:p>
      <w:pPr>
        <w:ind w:left="1292" w:right="80" w:hanging="644"/>
        <w:spacing w:after="0" w:line="219" w:lineRule="auto"/>
        <w:tabs>
          <w:tab w:leader="none" w:pos="1280" w:val="left"/>
        </w:tabs>
        <w:numPr>
          <w:ilvl w:val="1"/>
          <w:numId w:val="33"/>
        </w:numPr>
        <w:rPr>
          <w:rFonts w:ascii="Arial" w:cs="Arial" w:eastAsia="Arial" w:hAnsi="Arial"/>
          <w:sz w:val="21"/>
          <w:szCs w:val="21"/>
          <w:color w:val="auto"/>
        </w:rPr>
      </w:pPr>
      <w:r>
        <w:rPr>
          <w:rFonts w:ascii="Arial" w:cs="Arial" w:eastAsia="Arial" w:hAnsi="Arial"/>
          <w:sz w:val="19"/>
          <w:szCs w:val="19"/>
          <w:color w:val="auto"/>
        </w:rPr>
        <w:t>Prior to the Retention Date, or upon the Company’s request at any time and for any reason, you shall immediately deliver to the Company all materials (including all soft and hard copies) in your possession that contain or relate to Confidential Information (including without limitation copies of contracts, contract analyses, and product development plans and product marketing and sales plans related to the Company’s business) and all other Company documents and property (including without limitation Company laptop computer and telephone).</w:t>
      </w:r>
    </w:p>
    <w:p>
      <w:pPr>
        <w:spacing w:after="0" w:line="170" w:lineRule="exact"/>
        <w:rPr>
          <w:rFonts w:ascii="Arial" w:cs="Arial" w:eastAsia="Arial" w:hAnsi="Arial"/>
          <w:sz w:val="21"/>
          <w:szCs w:val="21"/>
          <w:color w:val="auto"/>
        </w:rPr>
      </w:pPr>
    </w:p>
    <w:p>
      <w:pPr>
        <w:ind w:left="1292" w:hanging="644"/>
        <w:spacing w:after="0" w:line="213" w:lineRule="auto"/>
        <w:tabs>
          <w:tab w:leader="none" w:pos="1292" w:val="left"/>
        </w:tabs>
        <w:numPr>
          <w:ilvl w:val="1"/>
          <w:numId w:val="33"/>
        </w:numPr>
        <w:rPr>
          <w:rFonts w:ascii="Arial" w:cs="Arial" w:eastAsia="Arial" w:hAnsi="Arial"/>
          <w:sz w:val="21"/>
          <w:szCs w:val="21"/>
          <w:color w:val="auto"/>
        </w:rPr>
      </w:pPr>
      <w:r>
        <w:rPr>
          <w:rFonts w:ascii="Arial" w:cs="Arial" w:eastAsia="Arial" w:hAnsi="Arial"/>
          <w:sz w:val="19"/>
          <w:szCs w:val="19"/>
          <w:color w:val="auto"/>
        </w:rPr>
        <w:t>All Developments made by you, either alone or in conjunction with others, at any time or at any place during your employment with the Company, whether or not reduced to writing or practice during such period of employment, shall be and hereby are the exclusive property of the Company without any further compensation to you. In addition, without limiting the generality of the prior sentence, all Developments which are copyrightable work by you are intended to be “work made for hire” as defined in Section 101 of the Copyright Act of 1976, as amended, and shall be and hereby are the property of the Company. “</w:t>
      </w:r>
      <w:r>
        <w:rPr>
          <w:rFonts w:ascii="Arial" w:cs="Arial" w:eastAsia="Arial" w:hAnsi="Arial"/>
          <w:sz w:val="19"/>
          <w:szCs w:val="19"/>
          <w:b w:val="1"/>
          <w:bCs w:val="1"/>
          <w:color w:val="auto"/>
        </w:rPr>
        <w:t>Developments</w:t>
      </w:r>
      <w:r>
        <w:rPr>
          <w:rFonts w:ascii="Arial" w:cs="Arial" w:eastAsia="Arial" w:hAnsi="Arial"/>
          <w:sz w:val="19"/>
          <w:szCs w:val="19"/>
          <w:color w:val="auto"/>
        </w:rPr>
        <w:t>” means any and all inventions, modifications, discoveries, designs, developments, improvements, processes, software programs, works of authorship, documentation, formulae, data, techniques, know-how, secrets or intellectual property rights or any interest therein that (i) relate to the business in which the Company is engaged or in which the Company intended to engage in during your employment with the Company, (ii) are or were created or improved in whole or in part by using any Company resources, data, facilities or equipment, or (iii) are or were created or improved within the scope of your employment.</w:t>
      </w:r>
    </w:p>
    <w:p>
      <w:pPr>
        <w:sectPr>
          <w:pgSz w:w="11900" w:h="16838" w:orient="portrait"/>
          <w:cols w:equalWidth="0" w:num="1">
            <w:col w:w="11212"/>
          </w:cols>
          <w:pgMar w:left="328" w:top="1440" w:right="359" w:bottom="1440" w:gutter="0" w:footer="0" w:header="0"/>
        </w:sectPr>
      </w:pPr>
    </w:p>
    <w:bookmarkStart w:id="49" w:name="page50"/>
    <w:bookmarkEnd w:id="49"/>
    <w:p>
      <w:pPr>
        <w:ind w:left="1292" w:right="40" w:hanging="644"/>
        <w:spacing w:after="0" w:line="225" w:lineRule="auto"/>
        <w:tabs>
          <w:tab w:leader="none" w:pos="1280" w:val="left"/>
        </w:tabs>
        <w:numPr>
          <w:ilvl w:val="1"/>
          <w:numId w:val="34"/>
        </w:numPr>
        <w:rPr>
          <w:rFonts w:ascii="Arial" w:cs="Arial" w:eastAsia="Arial" w:hAnsi="Arial"/>
          <w:sz w:val="19"/>
          <w:szCs w:val="19"/>
          <w:color w:val="auto"/>
        </w:rPr>
      </w:pPr>
      <w:r>
        <w:rPr>
          <w:rFonts w:ascii="Arial" w:cs="Arial" w:eastAsia="Arial" w:hAnsi="Arial"/>
          <w:sz w:val="18"/>
          <w:szCs w:val="18"/>
          <w:color w:val="auto"/>
        </w:rPr>
        <w:t>You have promptly disclosed any Developments to the Company. If any Development is not the property of the Company by operation of law, this Agreement or otherwise, you will, and hereby do, assign to the Company all right, title and interest in such Development, without further consideration, and will assist the Company and its nominees in every way, at the Company’s expense, to secure, maintain and defend the Company’s rights in such Development. You shall sign all instruments necessary for the filing and prosecution of any applications for, or extension or renewals of, letters patent (or other intellectual property registrations or filings) of the United States or any foreign country in which the Company desires to file and that relate to any Development. You hereby irrevocably designates and appoints the Company and its duly authorized officers and agents as your agent and attorney-in-fact (which designation and appointment shall be deemed coupled with an interest and shall survive your death or incapacity), to act for and in your behalf to execute and file any such applications, extensions or renewals and to do all other lawfully permitted acts to further the prosecution and issuance of such letters patent, other intellectual property registrations or filings or such other similar documents with the same legal force and effect as if executed by you. You waive all claims to moral rights in the Developments.</w:t>
      </w:r>
    </w:p>
    <w:p>
      <w:pPr>
        <w:spacing w:after="0" w:line="171" w:lineRule="exact"/>
        <w:rPr>
          <w:rFonts w:ascii="Arial" w:cs="Arial" w:eastAsia="Arial" w:hAnsi="Arial"/>
          <w:sz w:val="19"/>
          <w:szCs w:val="19"/>
          <w:color w:val="auto"/>
        </w:rPr>
      </w:pPr>
    </w:p>
    <w:p>
      <w:pPr>
        <w:ind w:left="652" w:right="100" w:hanging="652"/>
        <w:spacing w:after="0" w:line="208" w:lineRule="auto"/>
        <w:tabs>
          <w:tab w:leader="none" w:pos="652" w:val="left"/>
        </w:tabs>
        <w:numPr>
          <w:ilvl w:val="0"/>
          <w:numId w:val="35"/>
        </w:numPr>
        <w:rPr>
          <w:rFonts w:ascii="Arial" w:cs="Arial" w:eastAsia="Arial" w:hAnsi="Arial"/>
          <w:sz w:val="22"/>
          <w:szCs w:val="22"/>
          <w:color w:val="auto"/>
        </w:rPr>
      </w:pPr>
      <w:r>
        <w:rPr>
          <w:rFonts w:ascii="Arial" w:cs="Arial" w:eastAsia="Arial" w:hAnsi="Arial"/>
          <w:sz w:val="20"/>
          <w:szCs w:val="20"/>
          <w:u w:val="single" w:color="auto"/>
          <w:color w:val="auto"/>
        </w:rPr>
        <w:t>Restrictive Covenants</w:t>
      </w:r>
      <w:r>
        <w:rPr>
          <w:rFonts w:ascii="Arial" w:cs="Arial" w:eastAsia="Arial" w:hAnsi="Arial"/>
          <w:sz w:val="20"/>
          <w:szCs w:val="20"/>
          <w:color w:val="auto"/>
        </w:rPr>
        <w:t>. You acknowledge that (i) the services performed by you while employed by the Company were of a special, unique, unusual, extraordinary, and intellectual character, (ii) the provisions of this Section 6 are reasonable and necessary to protect the Company’s business, goodwill and Confidential Information, and (iii) the Retention Bonus and other consideration provided herein constitute adequate consideration for this Section 6. You therefore agree that for a period of one (1) year after the Retention Date:</w:t>
      </w:r>
    </w:p>
    <w:p>
      <w:pPr>
        <w:spacing w:after="0" w:line="171" w:lineRule="exact"/>
        <w:rPr>
          <w:rFonts w:ascii="Arial" w:cs="Arial" w:eastAsia="Arial" w:hAnsi="Arial"/>
          <w:sz w:val="22"/>
          <w:szCs w:val="22"/>
          <w:color w:val="auto"/>
        </w:rPr>
      </w:pPr>
    </w:p>
    <w:p>
      <w:pPr>
        <w:ind w:left="1292" w:hanging="644"/>
        <w:spacing w:after="0" w:line="215" w:lineRule="auto"/>
        <w:tabs>
          <w:tab w:leader="none" w:pos="1280" w:val="left"/>
        </w:tabs>
        <w:numPr>
          <w:ilvl w:val="1"/>
          <w:numId w:val="35"/>
        </w:numPr>
        <w:rPr>
          <w:rFonts w:ascii="Arial" w:cs="Arial" w:eastAsia="Arial" w:hAnsi="Arial"/>
          <w:sz w:val="21"/>
          <w:szCs w:val="21"/>
          <w:color w:val="auto"/>
        </w:rPr>
      </w:pPr>
      <w:r>
        <w:rPr>
          <w:rFonts w:ascii="Arial" w:cs="Arial" w:eastAsia="Arial" w:hAnsi="Arial"/>
          <w:sz w:val="19"/>
          <w:szCs w:val="19"/>
          <w:color w:val="auto"/>
        </w:rPr>
        <w:t>You will not, directly or indirectly, individually or as a consultant to, or an employee, officer, director, manager, stockholder, partner, member, investor, lender or other owner or participant in any business entity, other than the Company, engage in, or assist any other person or entity to engage in, any business which competes with the Business anywhere in the United States or anywhere else in the world where the Company does business or planned to do business during your employment. For purpose of this section, the “Business” shall mean the research, development, production, distribution, marketing, providing and/or selling of hematology and other blood-related products and solutions, including without limitation those for blood and plasma component collection, cell processing, autologous blood transfusion, hemostasis management, vascular closure and transfusion services;</w:t>
      </w:r>
    </w:p>
    <w:p>
      <w:pPr>
        <w:spacing w:after="0" w:line="168" w:lineRule="exact"/>
        <w:rPr>
          <w:rFonts w:ascii="Arial" w:cs="Arial" w:eastAsia="Arial" w:hAnsi="Arial"/>
          <w:sz w:val="21"/>
          <w:szCs w:val="21"/>
          <w:color w:val="auto"/>
        </w:rPr>
      </w:pPr>
    </w:p>
    <w:p>
      <w:pPr>
        <w:ind w:left="1292" w:right="120" w:hanging="644"/>
        <w:spacing w:after="0" w:line="219" w:lineRule="auto"/>
        <w:tabs>
          <w:tab w:leader="none" w:pos="1292" w:val="left"/>
        </w:tabs>
        <w:numPr>
          <w:ilvl w:val="1"/>
          <w:numId w:val="35"/>
        </w:numPr>
        <w:rPr>
          <w:rFonts w:ascii="Arial" w:cs="Arial" w:eastAsia="Arial" w:hAnsi="Arial"/>
          <w:sz w:val="21"/>
          <w:szCs w:val="21"/>
          <w:color w:val="auto"/>
        </w:rPr>
      </w:pPr>
      <w:r>
        <w:rPr>
          <w:rFonts w:ascii="Arial" w:cs="Arial" w:eastAsia="Arial" w:hAnsi="Arial"/>
          <w:sz w:val="19"/>
          <w:szCs w:val="19"/>
          <w:color w:val="auto"/>
        </w:rPr>
        <w:t>You will not, directly or indirectly, (i) solicit, divert or take away, or attempt to solicit, divert or take away, the business or relationship of the Company with any of its customers, clients, distributors, dealers, referral sources, business partners, suppliers, vendors, service providers, consultants, lenders, investors, landlords, licensors or attorneys or any other person or entity with whom the Company does business (collectively, “</w:t>
      </w:r>
      <w:r>
        <w:rPr>
          <w:rFonts w:ascii="Arial" w:cs="Arial" w:eastAsia="Arial" w:hAnsi="Arial"/>
          <w:sz w:val="19"/>
          <w:szCs w:val="19"/>
          <w:b w:val="1"/>
          <w:bCs w:val="1"/>
          <w:color w:val="auto"/>
        </w:rPr>
        <w:t>Business Partners</w:t>
      </w:r>
      <w:r>
        <w:rPr>
          <w:rFonts w:ascii="Arial" w:cs="Arial" w:eastAsia="Arial" w:hAnsi="Arial"/>
          <w:sz w:val="19"/>
          <w:szCs w:val="19"/>
          <w:color w:val="auto"/>
        </w:rPr>
        <w:t>”), or (ii) otherwise interfere with the Company’s business relationship with any of its Business Partners;</w:t>
      </w:r>
    </w:p>
    <w:p>
      <w:pPr>
        <w:spacing w:after="0" w:line="170" w:lineRule="exact"/>
        <w:rPr>
          <w:rFonts w:ascii="Arial" w:cs="Arial" w:eastAsia="Arial" w:hAnsi="Arial"/>
          <w:sz w:val="21"/>
          <w:szCs w:val="21"/>
          <w:color w:val="auto"/>
        </w:rPr>
      </w:pPr>
    </w:p>
    <w:p>
      <w:pPr>
        <w:ind w:left="1292" w:right="100" w:hanging="644"/>
        <w:spacing w:after="0" w:line="216" w:lineRule="auto"/>
        <w:tabs>
          <w:tab w:leader="none" w:pos="1280" w:val="left"/>
        </w:tabs>
        <w:numPr>
          <w:ilvl w:val="1"/>
          <w:numId w:val="35"/>
        </w:numPr>
        <w:rPr>
          <w:rFonts w:ascii="Arial" w:cs="Arial" w:eastAsia="Arial" w:hAnsi="Arial"/>
          <w:sz w:val="22"/>
          <w:szCs w:val="22"/>
          <w:color w:val="auto"/>
        </w:rPr>
      </w:pPr>
      <w:r>
        <w:rPr>
          <w:rFonts w:ascii="Arial" w:cs="Arial" w:eastAsia="Arial" w:hAnsi="Arial"/>
          <w:sz w:val="20"/>
          <w:szCs w:val="20"/>
          <w:color w:val="auto"/>
        </w:rPr>
        <w:t>You will not, directly or indirectly, solicit, recruit, hire or engage, or otherwise interfere with the business relationship of the Company with, any current or former employee of the Company, other than any person who ceased to be employed by the Company for a period of at least six (6) months;</w:t>
      </w:r>
    </w:p>
    <w:p>
      <w:pPr>
        <w:sectPr>
          <w:pgSz w:w="11900" w:h="16838" w:orient="portrait"/>
          <w:cols w:equalWidth="0" w:num="1">
            <w:col w:w="11212"/>
          </w:cols>
          <w:pgMar w:left="328" w:top="1419" w:right="359" w:bottom="1440" w:gutter="0" w:footer="0" w:header="0"/>
        </w:sectPr>
      </w:pPr>
    </w:p>
    <w:bookmarkStart w:id="50" w:name="page51"/>
    <w:bookmarkEnd w:id="50"/>
    <w:p>
      <w:pPr>
        <w:ind w:left="1292" w:hanging="644"/>
        <w:spacing w:after="0" w:line="227" w:lineRule="auto"/>
        <w:tabs>
          <w:tab w:leader="none" w:pos="1292" w:val="left"/>
        </w:tabs>
        <w:numPr>
          <w:ilvl w:val="1"/>
          <w:numId w:val="36"/>
        </w:numPr>
        <w:rPr>
          <w:rFonts w:ascii="Arial" w:cs="Arial" w:eastAsia="Arial" w:hAnsi="Arial"/>
          <w:sz w:val="19"/>
          <w:szCs w:val="19"/>
          <w:color w:val="auto"/>
        </w:rPr>
      </w:pPr>
      <w:r>
        <w:rPr>
          <w:rFonts w:ascii="Arial" w:cs="Arial" w:eastAsia="Arial" w:hAnsi="Arial"/>
          <w:sz w:val="18"/>
          <w:szCs w:val="18"/>
          <w:color w:val="auto"/>
        </w:rPr>
        <w:t>You will give notice to the Company of each new business activity you plan to undertake, no later than ten (10) business days after beginning any such activity. The notice shall state the name and address of the person, corporation, association or other entity or organization (each, an “</w:t>
      </w:r>
      <w:r>
        <w:rPr>
          <w:rFonts w:ascii="Arial" w:cs="Arial" w:eastAsia="Arial" w:hAnsi="Arial"/>
          <w:sz w:val="18"/>
          <w:szCs w:val="18"/>
          <w:b w:val="1"/>
          <w:bCs w:val="1"/>
          <w:color w:val="auto"/>
        </w:rPr>
        <w:t>Entity</w:t>
      </w:r>
      <w:r>
        <w:rPr>
          <w:rFonts w:ascii="Arial" w:cs="Arial" w:eastAsia="Arial" w:hAnsi="Arial"/>
          <w:sz w:val="18"/>
          <w:szCs w:val="18"/>
          <w:color w:val="auto"/>
        </w:rPr>
        <w:t>”) for whom such activity is undertaken and the nature of your business relationship or position with the Entity. You further agree to provide the Company with other pertinent information concerning such business activity as you may reasonably request in order to determine your continued compliance with your obligations under this Agreement. However, in all cases, your obligation to notify the Company shall be limited to information that is public and non-confidential and that subsequently becomes public and non-confidential during the one (1) year following the Retention Date. You consent to notification by the Company to your new employer or its agents regarding your rights and obligations under this Agreement or any other agreement or understanding with the Company; and</w:t>
      </w:r>
    </w:p>
    <w:p>
      <w:pPr>
        <w:spacing w:after="0" w:line="171" w:lineRule="exact"/>
        <w:rPr>
          <w:rFonts w:ascii="Arial" w:cs="Arial" w:eastAsia="Arial" w:hAnsi="Arial"/>
          <w:sz w:val="19"/>
          <w:szCs w:val="19"/>
          <w:color w:val="auto"/>
        </w:rPr>
      </w:pPr>
    </w:p>
    <w:p>
      <w:pPr>
        <w:ind w:left="1292" w:right="60" w:hanging="644"/>
        <w:spacing w:after="0" w:line="225" w:lineRule="auto"/>
        <w:tabs>
          <w:tab w:leader="none" w:pos="1280" w:val="left"/>
        </w:tabs>
        <w:numPr>
          <w:ilvl w:val="1"/>
          <w:numId w:val="36"/>
        </w:numPr>
        <w:rPr>
          <w:rFonts w:ascii="Arial" w:cs="Arial" w:eastAsia="Arial" w:hAnsi="Arial"/>
          <w:sz w:val="22"/>
          <w:szCs w:val="22"/>
          <w:color w:val="auto"/>
        </w:rPr>
      </w:pPr>
      <w:r>
        <w:rPr>
          <w:rFonts w:ascii="Arial" w:cs="Arial" w:eastAsia="Arial" w:hAnsi="Arial"/>
          <w:sz w:val="20"/>
          <w:szCs w:val="20"/>
          <w:color w:val="auto"/>
        </w:rPr>
        <w:t>You will not, directly or indirectly, assist any person or entity in performing any activity prohibited by Sections 6(a), 6(b), or 6(c).</w:t>
      </w:r>
    </w:p>
    <w:p>
      <w:pPr>
        <w:spacing w:after="0" w:line="168" w:lineRule="exact"/>
        <w:rPr>
          <w:rFonts w:ascii="Arial" w:cs="Arial" w:eastAsia="Arial" w:hAnsi="Arial"/>
          <w:sz w:val="22"/>
          <w:szCs w:val="22"/>
          <w:color w:val="auto"/>
        </w:rPr>
      </w:pPr>
    </w:p>
    <w:p>
      <w:pPr>
        <w:ind w:left="652" w:right="140" w:hanging="652"/>
        <w:spacing w:after="0" w:line="228" w:lineRule="auto"/>
        <w:tabs>
          <w:tab w:leader="none" w:pos="652" w:val="left"/>
        </w:tabs>
        <w:numPr>
          <w:ilvl w:val="0"/>
          <w:numId w:val="37"/>
        </w:numPr>
        <w:rPr>
          <w:rFonts w:ascii="Arial" w:cs="Arial" w:eastAsia="Arial" w:hAnsi="Arial"/>
          <w:sz w:val="19"/>
          <w:szCs w:val="19"/>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Other than as permitted in Section 3 above, you agree not to make any disparaging statements, written or oral, about the Company, the Company’s products or services, or any of the Company’s directors, officers, executives, stockholders, investors, lenders, affiliates, managers, members, partners, agents, attorneys or representatives. The Company agrees that it will not issue any press release or public statement that disparages you or your employment with the Company. In addition, the Company agrees that the members of its Board of Directors and its executive officers shall not make any disparaging statements, written or oral, about you or your employment with the Company. Notwithstanding anything in this Section 7 or elsewhere in this Agreement, nothing in this Agreement shall prohibit either party (and, in the case of the Company, its Board of Directors or executive officers) from making truthful statements that are required by applicable law, regulation or legal process.</w:t>
      </w:r>
    </w:p>
    <w:p>
      <w:pPr>
        <w:spacing w:after="0" w:line="170" w:lineRule="exact"/>
        <w:rPr>
          <w:rFonts w:ascii="Arial" w:cs="Arial" w:eastAsia="Arial" w:hAnsi="Arial"/>
          <w:sz w:val="19"/>
          <w:szCs w:val="19"/>
          <w:color w:val="auto"/>
        </w:rPr>
      </w:pPr>
    </w:p>
    <w:p>
      <w:pPr>
        <w:ind w:left="652" w:hanging="652"/>
        <w:spacing w:after="0" w:line="211" w:lineRule="auto"/>
        <w:tabs>
          <w:tab w:leader="none" w:pos="652" w:val="left"/>
        </w:tabs>
        <w:numPr>
          <w:ilvl w:val="0"/>
          <w:numId w:val="37"/>
        </w:numPr>
        <w:rPr>
          <w:rFonts w:ascii="Arial" w:cs="Arial" w:eastAsia="Arial" w:hAnsi="Arial"/>
          <w:sz w:val="21"/>
          <w:szCs w:val="21"/>
          <w:color w:val="auto"/>
        </w:rPr>
      </w:pPr>
      <w:r>
        <w:rPr>
          <w:rFonts w:ascii="Arial" w:cs="Arial" w:eastAsia="Arial" w:hAnsi="Arial"/>
          <w:sz w:val="19"/>
          <w:szCs w:val="19"/>
          <w:u w:val="single" w:color="auto"/>
          <w:color w:val="auto"/>
        </w:rPr>
        <w:t>Litigation Cooperation</w:t>
      </w:r>
      <w:r>
        <w:rPr>
          <w:rFonts w:ascii="Arial" w:cs="Arial" w:eastAsia="Arial" w:hAnsi="Arial"/>
          <w:sz w:val="19"/>
          <w:szCs w:val="19"/>
          <w:color w:val="auto"/>
        </w:rPr>
        <w:t>. You agree to cooperate in good faith with the Company in the defense or prosecution of any claims, arbitration or regulatory proceedings or action which already have been brought or which may be brought in the future against or on behalf of the Company or any of its directors, officers, employees, or agents which relate to events or occurrences that transpired during your employment with the Company. Your full cooperation in connection with such claims or actions shall include, without implication of limitation, being available to meet with counsel to prepare for discovery or trial and to testify truthfully as a witness when reasonably requested by the Company at reasonable times designated in good faith by the Company (all such services referred to herein as “</w:t>
      </w:r>
      <w:r>
        <w:rPr>
          <w:rFonts w:ascii="Arial" w:cs="Arial" w:eastAsia="Arial" w:hAnsi="Arial"/>
          <w:sz w:val="19"/>
          <w:szCs w:val="19"/>
          <w:b w:val="1"/>
          <w:bCs w:val="1"/>
          <w:color w:val="auto"/>
        </w:rPr>
        <w:t>Litigation Cooperation</w:t>
      </w:r>
      <w:r>
        <w:rPr>
          <w:rFonts w:ascii="Arial" w:cs="Arial" w:eastAsia="Arial" w:hAnsi="Arial"/>
          <w:sz w:val="19"/>
          <w:szCs w:val="19"/>
          <w:color w:val="auto"/>
        </w:rPr>
        <w:t>”). Except as required by law, you agree that you will not voluntarily disclose any information to any person or party that is adverse to the Company and you will maintain the confidences and privileges of the Company. The Company agrees to reimburse you for any reasonable and customary out-of-pocket expenses that you incur in connection with such Litigation Cooperation, subject to reasonable documentation. The Company further agrees that if such Litigation Cooperation occurs more than six (6) months after the Retention Date, the Company will in good faith negotiate with you for reasonable payment for his services, at an hourly rate commensurate with your salary as of the Retention Date, provided that the Company and you acknowledge and agree that you shall not be entitled to compensation for time spent actually testifying under oath in any proceeding. The Company will try, in good faith, to exercise its rights under this Section so as not to unreasonably interfere with your ability to engage in gainful employment.</w:t>
      </w:r>
    </w:p>
    <w:p>
      <w:pPr>
        <w:sectPr>
          <w:pgSz w:w="11900" w:h="16838" w:orient="portrait"/>
          <w:cols w:equalWidth="0" w:num="1">
            <w:col w:w="11212"/>
          </w:cols>
          <w:pgMar w:left="328" w:top="1419" w:right="359" w:bottom="1440" w:gutter="0" w:footer="0" w:header="0"/>
        </w:sectPr>
      </w:pPr>
    </w:p>
    <w:bookmarkStart w:id="51" w:name="page52"/>
    <w:bookmarkEnd w:id="51"/>
    <w:p>
      <w:pPr>
        <w:ind w:left="652" w:right="20" w:hanging="652"/>
        <w:spacing w:after="0" w:line="245" w:lineRule="auto"/>
        <w:tabs>
          <w:tab w:leader="none" w:pos="652" w:val="left"/>
        </w:tabs>
        <w:numPr>
          <w:ilvl w:val="0"/>
          <w:numId w:val="38"/>
        </w:numPr>
        <w:rPr>
          <w:rFonts w:ascii="Arial" w:cs="Arial" w:eastAsia="Arial" w:hAnsi="Arial"/>
          <w:sz w:val="19"/>
          <w:szCs w:val="19"/>
          <w:color w:val="auto"/>
        </w:rPr>
      </w:pPr>
      <w:r>
        <w:rPr>
          <w:rFonts w:ascii="Arial" w:cs="Arial" w:eastAsia="Arial" w:hAnsi="Arial"/>
          <w:sz w:val="18"/>
          <w:szCs w:val="18"/>
          <w:u w:val="single" w:color="auto"/>
          <w:color w:val="auto"/>
        </w:rPr>
        <w:t>Limited Disclosure</w:t>
      </w:r>
      <w:r>
        <w:rPr>
          <w:rFonts w:ascii="Arial" w:cs="Arial" w:eastAsia="Arial" w:hAnsi="Arial"/>
          <w:sz w:val="18"/>
          <w:szCs w:val="18"/>
          <w:color w:val="auto"/>
        </w:rPr>
        <w:t>. You agree not to disclose the substance of this Agreement, except to your spouse, tax advisor, an attorney with whom you choose to consult regarding your consideration of this Agreement, and/or to any federal, state or local government agency. You agree and acknowledge that the Company will disclose this Agreement, as required by applicable law.</w:t>
      </w:r>
    </w:p>
    <w:p>
      <w:pPr>
        <w:spacing w:after="0" w:line="164" w:lineRule="exact"/>
        <w:rPr>
          <w:rFonts w:ascii="Arial" w:cs="Arial" w:eastAsia="Arial" w:hAnsi="Arial"/>
          <w:sz w:val="19"/>
          <w:szCs w:val="19"/>
          <w:color w:val="auto"/>
        </w:rPr>
      </w:pPr>
    </w:p>
    <w:p>
      <w:pPr>
        <w:ind w:left="652" w:right="20" w:hanging="652"/>
        <w:spacing w:after="0" w:line="223" w:lineRule="auto"/>
        <w:tabs>
          <w:tab w:leader="none" w:pos="652" w:val="left"/>
        </w:tabs>
        <w:numPr>
          <w:ilvl w:val="0"/>
          <w:numId w:val="38"/>
        </w:numPr>
        <w:rPr>
          <w:rFonts w:ascii="Arial" w:cs="Arial" w:eastAsia="Arial" w:hAnsi="Arial"/>
          <w:sz w:val="19"/>
          <w:szCs w:val="19"/>
          <w:color w:val="auto"/>
        </w:rPr>
      </w:pPr>
      <w:r>
        <w:rPr>
          <w:rFonts w:ascii="Arial" w:cs="Arial" w:eastAsia="Arial" w:hAnsi="Arial"/>
          <w:sz w:val="18"/>
          <w:szCs w:val="18"/>
          <w:u w:val="single" w:color="auto"/>
          <w:color w:val="auto"/>
        </w:rPr>
        <w:t>Effect of Breach</w:t>
      </w:r>
      <w:r>
        <w:rPr>
          <w:rFonts w:ascii="Arial" w:cs="Arial" w:eastAsia="Arial" w:hAnsi="Arial"/>
          <w:sz w:val="18"/>
          <w:szCs w:val="18"/>
          <w:color w:val="auto"/>
        </w:rPr>
        <w:t>. You recognize and agree that the compensation and benefits offered to you hereunder are in consideration for your full and complete compliance with the covenants and provisions of this Agreement. Accordingly, you agree that if you willfully violate this Agreement, including but not limited to the terms of Sections 5 through 10, and fail to remedy such violation within the period of ten (10) days following your receipt of written notice from the Company, the Company may immediately terminate payment of further compensation or benefits otherwise owed to you hereunder, and may recover the full value of any such compensation and benefits already provided to you to the maximum extent permitted by law. You acknowledge that a breach of any of the covenants continued in Sections 5 through 10 of this Agreement could result in irreparable injury to the Company for which there might be no adequate remedy at law, and that, in the event of such a breach or threat thereof, the Company shall be entitled to obtain a temporary restraining order and/or preliminary injunction and a permanent injunction restraining you from engaging in any activities prohibited by Sections 5 through 10 herein or such other equitable relief as may be required to enforce specifically any covenants of Sections 5 through 10. In the event the Company prevails in any action against you arising from such a breach, the Company shall be entitled to recover from you all reasonable attorneys’ fees and costs incurred by it in connection with such breach. In the event that you prevail in any action involving the enforcement of the provisions of this Agreement, you shall be entitled to recover from the Company all reasonable attorneys’ fees and costs incurred by you in such action. Additionally, if you violate Section 6 of this Agreement, the temporal period applicable to that Section shall be extended by the period of time during which such violation occurred. Any event of a breach by you will not affect the release set forth or any other of your continuing obligations under this Agreement.</w:t>
      </w:r>
    </w:p>
    <w:p>
      <w:pPr>
        <w:spacing w:after="0" w:line="173" w:lineRule="exact"/>
        <w:rPr>
          <w:rFonts w:ascii="Arial" w:cs="Arial" w:eastAsia="Arial" w:hAnsi="Arial"/>
          <w:sz w:val="19"/>
          <w:szCs w:val="19"/>
          <w:color w:val="auto"/>
        </w:rPr>
      </w:pPr>
    </w:p>
    <w:p>
      <w:pPr>
        <w:ind w:left="632" w:hanging="632"/>
        <w:spacing w:after="0"/>
        <w:tabs>
          <w:tab w:leader="none" w:pos="632" w:val="left"/>
        </w:tabs>
        <w:numPr>
          <w:ilvl w:val="0"/>
          <w:numId w:val="38"/>
        </w:numPr>
        <w:rPr>
          <w:rFonts w:ascii="Arial" w:cs="Arial" w:eastAsia="Arial" w:hAnsi="Arial"/>
          <w:sz w:val="22"/>
          <w:szCs w:val="22"/>
          <w:color w:val="auto"/>
        </w:rPr>
      </w:pPr>
      <w:r>
        <w:rPr>
          <w:rFonts w:ascii="Arial" w:cs="Arial" w:eastAsia="Arial" w:hAnsi="Arial"/>
          <w:sz w:val="20"/>
          <w:szCs w:val="20"/>
          <w:u w:val="single" w:color="auto"/>
          <w:color w:val="auto"/>
        </w:rPr>
        <w:t>Tax Withholding; Section 409A</w:t>
      </w:r>
      <w:r>
        <w:rPr>
          <w:rFonts w:ascii="Arial" w:cs="Arial" w:eastAsia="Arial" w:hAnsi="Arial"/>
          <w:sz w:val="20"/>
          <w:szCs w:val="20"/>
          <w:color w:val="auto"/>
        </w:rPr>
        <w:t>.</w:t>
      </w:r>
    </w:p>
    <w:p>
      <w:pPr>
        <w:spacing w:after="0" w:line="181" w:lineRule="exact"/>
        <w:rPr>
          <w:rFonts w:ascii="Arial" w:cs="Arial" w:eastAsia="Arial" w:hAnsi="Arial"/>
          <w:sz w:val="22"/>
          <w:szCs w:val="22"/>
          <w:color w:val="auto"/>
        </w:rPr>
      </w:pPr>
    </w:p>
    <w:p>
      <w:pPr>
        <w:ind w:left="1292" w:right="200" w:hanging="644"/>
        <w:spacing w:after="0" w:line="225" w:lineRule="auto"/>
        <w:tabs>
          <w:tab w:leader="none" w:pos="1280" w:val="left"/>
        </w:tabs>
        <w:numPr>
          <w:ilvl w:val="1"/>
          <w:numId w:val="38"/>
        </w:numPr>
        <w:rPr>
          <w:rFonts w:ascii="Arial" w:cs="Arial" w:eastAsia="Arial" w:hAnsi="Arial"/>
          <w:sz w:val="22"/>
          <w:szCs w:val="22"/>
          <w:color w:val="auto"/>
        </w:rPr>
      </w:pPr>
      <w:r>
        <w:rPr>
          <w:rFonts w:ascii="Arial" w:cs="Arial" w:eastAsia="Arial" w:hAnsi="Arial"/>
          <w:sz w:val="20"/>
          <w:szCs w:val="20"/>
          <w:color w:val="auto"/>
        </w:rPr>
        <w:t>All payments made by the Company to you or your dependents, beneficiaries or estate will be subject to the withholding of such amounts relating to tax and/or other payroll deductions as may be required by law.</w:t>
      </w:r>
    </w:p>
    <w:p>
      <w:pPr>
        <w:spacing w:after="0" w:line="168" w:lineRule="exact"/>
        <w:rPr>
          <w:rFonts w:ascii="Arial" w:cs="Arial" w:eastAsia="Arial" w:hAnsi="Arial"/>
          <w:sz w:val="22"/>
          <w:szCs w:val="22"/>
          <w:color w:val="auto"/>
        </w:rPr>
      </w:pPr>
    </w:p>
    <w:p>
      <w:pPr>
        <w:ind w:left="1292" w:hanging="644"/>
        <w:spacing w:after="0" w:line="208" w:lineRule="auto"/>
        <w:tabs>
          <w:tab w:leader="none" w:pos="1292" w:val="left"/>
        </w:tabs>
        <w:numPr>
          <w:ilvl w:val="1"/>
          <w:numId w:val="38"/>
        </w:numPr>
        <w:rPr>
          <w:rFonts w:ascii="Arial" w:cs="Arial" w:eastAsia="Arial" w:hAnsi="Arial"/>
          <w:sz w:val="22"/>
          <w:szCs w:val="22"/>
          <w:color w:val="auto"/>
        </w:rPr>
      </w:pPr>
      <w:r>
        <w:rPr>
          <w:rFonts w:ascii="Arial" w:cs="Arial" w:eastAsia="Arial" w:hAnsi="Arial"/>
          <w:sz w:val="20"/>
          <w:szCs w:val="20"/>
          <w:color w:val="auto"/>
        </w:rPr>
        <w:t>The parties intend that the benefits and payments provided under this Agreement shall be exempt from, or comply with, the requirements of Section 409A of the Internal Revenue Code (the “</w:t>
      </w:r>
      <w:r>
        <w:rPr>
          <w:rFonts w:ascii="Arial" w:cs="Arial" w:eastAsia="Arial" w:hAnsi="Arial"/>
          <w:sz w:val="20"/>
          <w:szCs w:val="20"/>
          <w:b w:val="1"/>
          <w:bCs w:val="1"/>
          <w:color w:val="auto"/>
        </w:rPr>
        <w:t>Code</w:t>
      </w:r>
      <w:r>
        <w:rPr>
          <w:rFonts w:ascii="Arial" w:cs="Arial" w:eastAsia="Arial" w:hAnsi="Arial"/>
          <w:sz w:val="20"/>
          <w:szCs w:val="20"/>
          <w:color w:val="auto"/>
        </w:rPr>
        <w:t>”). Notwithstanding the foregoing, the Company shall in no event be obligated to indemnify you for any taxes or interest that may be assessed by the Internal Revenue Service pursuant to Section 409A of the Code. Each payment or installment under this Agreement is intended to be a “separate payment” for purposes of Section 409A.</w:t>
      </w:r>
    </w:p>
    <w:p>
      <w:pPr>
        <w:spacing w:after="0" w:line="171" w:lineRule="exact"/>
        <w:rPr>
          <w:rFonts w:ascii="Arial" w:cs="Arial" w:eastAsia="Arial" w:hAnsi="Arial"/>
          <w:sz w:val="22"/>
          <w:szCs w:val="22"/>
          <w:color w:val="auto"/>
        </w:rPr>
      </w:pPr>
    </w:p>
    <w:p>
      <w:pPr>
        <w:ind w:left="652" w:right="140" w:hanging="652"/>
        <w:spacing w:after="0" w:line="231" w:lineRule="auto"/>
        <w:tabs>
          <w:tab w:leader="none" w:pos="652" w:val="left"/>
        </w:tabs>
        <w:numPr>
          <w:ilvl w:val="0"/>
          <w:numId w:val="38"/>
        </w:numPr>
        <w:rPr>
          <w:rFonts w:ascii="Arial" w:cs="Arial" w:eastAsia="Arial" w:hAnsi="Arial"/>
          <w:sz w:val="19"/>
          <w:szCs w:val="19"/>
          <w:color w:val="auto"/>
        </w:rPr>
      </w:pPr>
      <w:r>
        <w:rPr>
          <w:rFonts w:ascii="Arial" w:cs="Arial" w:eastAsia="Arial" w:hAnsi="Arial"/>
          <w:sz w:val="18"/>
          <w:szCs w:val="18"/>
          <w:u w:val="single" w:color="auto"/>
          <w:color w:val="auto"/>
        </w:rPr>
        <w:t>Governing Law and Interpretation</w:t>
      </w:r>
      <w:r>
        <w:rPr>
          <w:rFonts w:ascii="Arial" w:cs="Arial" w:eastAsia="Arial" w:hAnsi="Arial"/>
          <w:sz w:val="18"/>
          <w:szCs w:val="18"/>
          <w:color w:val="auto"/>
        </w:rPr>
        <w:t>. This Agreement, and any dispute arising under or relating to this Agreement, will in all respects, be governed by and construed in accordance with the internal substantive and procedural laws of the Commonwealth of Massachusetts, without regard to any conflicts of laws principles. The parties irrevocably and unconditionally (a) submit to the exclusive jurisdiction of the Commonwealth of Massachusetts, in any court therein as may be permitted by applicable law (the “</w:t>
      </w:r>
      <w:r>
        <w:rPr>
          <w:rFonts w:ascii="Arial" w:cs="Arial" w:eastAsia="Arial" w:hAnsi="Arial"/>
          <w:sz w:val="18"/>
          <w:szCs w:val="18"/>
          <w:b w:val="1"/>
          <w:bCs w:val="1"/>
          <w:color w:val="auto"/>
        </w:rPr>
        <w:t>Courts</w:t>
      </w:r>
      <w:r>
        <w:rPr>
          <w:rFonts w:ascii="Arial" w:cs="Arial" w:eastAsia="Arial" w:hAnsi="Arial"/>
          <w:sz w:val="18"/>
          <w:szCs w:val="18"/>
          <w:color w:val="auto"/>
        </w:rPr>
        <w:t>”) for the purpose of any suit, action or other proceeding arising under or relating to this Agreement, (b) agree not to commence any suit, action or other proceeding arising under or relating to this Agreement except in the Courts, and (c) waive, and</w:t>
      </w:r>
    </w:p>
    <w:p>
      <w:pPr>
        <w:sectPr>
          <w:pgSz w:w="11900" w:h="16838" w:orient="portrait"/>
          <w:cols w:equalWidth="0" w:num="1">
            <w:col w:w="11232"/>
          </w:cols>
          <w:pgMar w:left="328" w:top="1419" w:right="339" w:bottom="1440" w:gutter="0" w:footer="0" w:header="0"/>
        </w:sectPr>
      </w:pPr>
    </w:p>
    <w:bookmarkStart w:id="52" w:name="page53"/>
    <w:bookmarkEnd w:id="52"/>
    <w:p>
      <w:pPr>
        <w:spacing w:after="0" w:line="155" w:lineRule="exact"/>
        <w:rPr>
          <w:sz w:val="20"/>
          <w:szCs w:val="20"/>
          <w:color w:val="auto"/>
        </w:rPr>
      </w:pPr>
    </w:p>
    <w:p>
      <w:pPr>
        <w:ind w:left="660" w:right="140"/>
        <w:spacing w:after="0" w:line="236" w:lineRule="auto"/>
        <w:rPr>
          <w:sz w:val="20"/>
          <w:szCs w:val="20"/>
          <w:color w:val="auto"/>
        </w:rPr>
      </w:pPr>
      <w:r>
        <w:rPr>
          <w:rFonts w:ascii="Arial" w:cs="Arial" w:eastAsia="Arial" w:hAnsi="Arial"/>
          <w:sz w:val="18"/>
          <w:szCs w:val="18"/>
          <w:color w:val="auto"/>
        </w:rPr>
        <w:t>agree not to assert, by way of motion, as a defense, counterclaim or otherwise, in any such suit, action or proceeding, any claim that such party is not subject personally to the jurisdiction of the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the Courts.</w:t>
      </w:r>
    </w:p>
    <w:p>
      <w:pPr>
        <w:spacing w:after="0" w:line="171" w:lineRule="exact"/>
        <w:rPr>
          <w:sz w:val="20"/>
          <w:szCs w:val="20"/>
          <w:color w:val="auto"/>
        </w:rPr>
      </w:pPr>
    </w:p>
    <w:p>
      <w:pPr>
        <w:ind w:left="660" w:right="80" w:hanging="652"/>
        <w:spacing w:after="0" w:line="208" w:lineRule="auto"/>
        <w:tabs>
          <w:tab w:leader="none" w:pos="660" w:val="left"/>
        </w:tabs>
        <w:numPr>
          <w:ilvl w:val="0"/>
          <w:numId w:val="39"/>
        </w:numPr>
        <w:rPr>
          <w:rFonts w:ascii="Arial" w:cs="Arial" w:eastAsia="Arial" w:hAnsi="Arial"/>
          <w:sz w:val="22"/>
          <w:szCs w:val="22"/>
          <w:color w:val="auto"/>
        </w:rPr>
      </w:pPr>
      <w:r>
        <w:rPr>
          <w:rFonts w:ascii="Arial" w:cs="Arial" w:eastAsia="Arial" w:hAnsi="Arial"/>
          <w:sz w:val="20"/>
          <w:szCs w:val="20"/>
          <w:u w:val="single" w:color="auto"/>
          <w:color w:val="auto"/>
        </w:rPr>
        <w:t>WAIVER OF JURY TRIAL</w:t>
      </w:r>
      <w:r>
        <w:rPr>
          <w:rFonts w:ascii="Arial" w:cs="Arial" w:eastAsia="Arial" w:hAnsi="Arial"/>
          <w:sz w:val="20"/>
          <w:szCs w:val="20"/>
          <w:color w:val="auto"/>
        </w:rPr>
        <w:t>. EACH PARTY AGREES THAT ANY CONTROVERSY WHICH MAY ARISE UNDER OR OTHERWISE RELATES TO THIS AGREEMENT IS LIKELY TO INVOLVE COMPLICATED AND DIFFICULT ISSUES, AND EACH PARTY HEREBY IRREVOCABLY AND UNCONDITIONALLY WAIVES ANY RIGHT IT MAY HAVE TO A TRIAL BY JURY IN RESPECT OF ANY LITIGATION DIRECTLY OR INDIRECTLY ARISING OUT OF OR RELATING TO THIS AGREEMENT.</w:t>
      </w:r>
    </w:p>
    <w:p>
      <w:pPr>
        <w:spacing w:after="0" w:line="171" w:lineRule="exact"/>
        <w:rPr>
          <w:rFonts w:ascii="Arial" w:cs="Arial" w:eastAsia="Arial" w:hAnsi="Arial"/>
          <w:sz w:val="22"/>
          <w:szCs w:val="22"/>
          <w:color w:val="auto"/>
        </w:rPr>
      </w:pPr>
    </w:p>
    <w:p>
      <w:pPr>
        <w:ind w:left="660" w:hanging="652"/>
        <w:spacing w:after="0" w:line="216" w:lineRule="auto"/>
        <w:tabs>
          <w:tab w:leader="none" w:pos="660" w:val="left"/>
        </w:tabs>
        <w:numPr>
          <w:ilvl w:val="0"/>
          <w:numId w:val="39"/>
        </w:numPr>
        <w:rPr>
          <w:rFonts w:ascii="Arial" w:cs="Arial" w:eastAsia="Arial" w:hAnsi="Arial"/>
          <w:sz w:val="22"/>
          <w:szCs w:val="22"/>
          <w:color w:val="auto"/>
        </w:rPr>
      </w:pPr>
      <w:r>
        <w:rPr>
          <w:rFonts w:ascii="Arial" w:cs="Arial" w:eastAsia="Arial" w:hAnsi="Arial"/>
          <w:sz w:val="20"/>
          <w:szCs w:val="20"/>
          <w:u w:val="single" w:color="auto"/>
          <w:color w:val="auto"/>
        </w:rPr>
        <w:t>Non-admission of Wrongdoing</w:t>
      </w:r>
      <w:r>
        <w:rPr>
          <w:rFonts w:ascii="Arial" w:cs="Arial" w:eastAsia="Arial" w:hAnsi="Arial"/>
          <w:sz w:val="20"/>
          <w:szCs w:val="20"/>
          <w:color w:val="auto"/>
        </w:rPr>
        <w:t>. The parties agree that neither this Agreement nor the furnishing of the consideration for this Agreement shall be deemed or construed at any time for any purpose as an admission by Releasees of wrongdoing or evidence of any liability or unlawful conduct of any kind.</w:t>
      </w:r>
    </w:p>
    <w:p>
      <w:pPr>
        <w:spacing w:after="0" w:line="168" w:lineRule="exact"/>
        <w:rPr>
          <w:rFonts w:ascii="Arial" w:cs="Arial" w:eastAsia="Arial" w:hAnsi="Arial"/>
          <w:sz w:val="22"/>
          <w:szCs w:val="22"/>
          <w:color w:val="auto"/>
        </w:rPr>
      </w:pPr>
    </w:p>
    <w:p>
      <w:pPr>
        <w:ind w:left="660" w:right="80" w:hanging="652"/>
        <w:spacing w:after="0" w:line="225" w:lineRule="auto"/>
        <w:tabs>
          <w:tab w:leader="none" w:pos="660" w:val="left"/>
        </w:tabs>
        <w:numPr>
          <w:ilvl w:val="0"/>
          <w:numId w:val="39"/>
        </w:numPr>
        <w:rPr>
          <w:rFonts w:ascii="Arial" w:cs="Arial" w:eastAsia="Arial" w:hAnsi="Arial"/>
          <w:sz w:val="22"/>
          <w:szCs w:val="22"/>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This Agreement may not be modified, altered or changed except in writing and signed by both parties wherein specific reference is made to this Agreement.</w:t>
      </w:r>
    </w:p>
    <w:p>
      <w:pPr>
        <w:spacing w:after="0" w:line="168" w:lineRule="exact"/>
        <w:rPr>
          <w:rFonts w:ascii="Arial" w:cs="Arial" w:eastAsia="Arial" w:hAnsi="Arial"/>
          <w:sz w:val="22"/>
          <w:szCs w:val="22"/>
          <w:color w:val="auto"/>
        </w:rPr>
      </w:pPr>
    </w:p>
    <w:p>
      <w:pPr>
        <w:ind w:left="660" w:right="40" w:hanging="652"/>
        <w:spacing w:after="0" w:line="245" w:lineRule="auto"/>
        <w:tabs>
          <w:tab w:leader="none" w:pos="660" w:val="left"/>
        </w:tabs>
        <w:numPr>
          <w:ilvl w:val="0"/>
          <w:numId w:val="39"/>
        </w:numPr>
        <w:rPr>
          <w:rFonts w:ascii="Arial" w:cs="Arial" w:eastAsia="Arial" w:hAnsi="Arial"/>
          <w:sz w:val="19"/>
          <w:szCs w:val="19"/>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its Exhibits) constitutes the entire agreement between you and the Company regarding your termination of employment with the Company. You acknowledge that you have not relied on any representations, promises, or agreements of any kind made to you in connection with your decision to accept this Agreement (including its Exhibits).</w:t>
      </w:r>
    </w:p>
    <w:p>
      <w:pPr>
        <w:spacing w:after="0" w:line="164" w:lineRule="exact"/>
        <w:rPr>
          <w:rFonts w:ascii="Arial" w:cs="Arial" w:eastAsia="Arial" w:hAnsi="Arial"/>
          <w:sz w:val="19"/>
          <w:szCs w:val="19"/>
          <w:color w:val="auto"/>
        </w:rPr>
      </w:pPr>
    </w:p>
    <w:p>
      <w:pPr>
        <w:ind w:left="660" w:right="80" w:hanging="652"/>
        <w:spacing w:after="0" w:line="245" w:lineRule="auto"/>
        <w:tabs>
          <w:tab w:leader="none" w:pos="660" w:val="left"/>
        </w:tabs>
        <w:numPr>
          <w:ilvl w:val="0"/>
          <w:numId w:val="39"/>
        </w:numPr>
        <w:rPr>
          <w:rFonts w:ascii="Arial" w:cs="Arial" w:eastAsia="Arial" w:hAnsi="Arial"/>
          <w:sz w:val="19"/>
          <w:szCs w:val="19"/>
          <w:color w:val="auto"/>
        </w:rPr>
      </w:pPr>
      <w:r>
        <w:rPr>
          <w:rFonts w:ascii="Arial" w:cs="Arial" w:eastAsia="Arial" w:hAnsi="Arial"/>
          <w:sz w:val="18"/>
          <w:szCs w:val="18"/>
          <w:u w:val="single" w:color="auto"/>
          <w:color w:val="auto"/>
        </w:rPr>
        <w:t>Severability; Counterparts</w:t>
      </w:r>
      <w:r>
        <w:rPr>
          <w:rFonts w:ascii="Arial" w:cs="Arial" w:eastAsia="Arial" w:hAnsi="Arial"/>
          <w:sz w:val="18"/>
          <w:szCs w:val="18"/>
          <w:color w:val="auto"/>
        </w:rPr>
        <w:t>. The provisions of this Agreement will be deemed severable, and the invalidity or unenforceability of any provision will not affect the validity or enforceability of the other provisions hereof. This Agreement may be executed in several counterparts, each of which will be deemed to be an original but all of which together will constitute one and the same instruments.</w:t>
      </w:r>
    </w:p>
    <w:p>
      <w:pPr>
        <w:spacing w:after="0" w:line="178"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color w:val="auto"/>
        </w:rPr>
        <w:t>YOU ARE ADVISED THAT YOU HAVE UP TO TWENTY-ONE (21) CALENDAR DAYS TO CONSIDER THIS AGREEMENT AND GENERAL RELEASE IN WHICH YOU WAIVE IMPORTANT RIGHTS, INCLUDING THOSE UNDER THE ADEA. YOU ARE ALSO ADVISED TO CONSULT WITH AN ATTORNEY BEFORE SIGNING THIS AGREEMENT AND GENERAL RELEASE CONCERNING THE RIGHTS BEING WAIVED AS WELL AS ALL OTHER TERMS OF THIS AGREEMENT AND GENERAL RELEASE.</w:t>
      </w:r>
    </w:p>
    <w:p>
      <w:pPr>
        <w:spacing w:after="0" w:line="222" w:lineRule="exact"/>
        <w:rPr>
          <w:sz w:val="20"/>
          <w:szCs w:val="20"/>
          <w:color w:val="auto"/>
        </w:rPr>
      </w:pPr>
    </w:p>
    <w:p>
      <w:pPr>
        <w:ind w:right="540"/>
        <w:spacing w:after="0" w:line="274" w:lineRule="auto"/>
        <w:rPr>
          <w:sz w:val="20"/>
          <w:szCs w:val="20"/>
          <w:color w:val="auto"/>
        </w:rPr>
      </w:pPr>
      <w:r>
        <w:rPr>
          <w:rFonts w:ascii="Arial" w:cs="Arial" w:eastAsia="Arial" w:hAnsi="Arial"/>
          <w:sz w:val="20"/>
          <w:szCs w:val="20"/>
          <w:color w:val="auto"/>
        </w:rPr>
        <w:t>THE SIGNED AGREEMENT MUST BE RETURNED TO: LAURIE MILLER, HAEMONETICS, CORPORATION, 125 SUMMER STREET, BOSTON MA, 02110.</w:t>
      </w:r>
    </w:p>
    <w:p>
      <w:pPr>
        <w:spacing w:after="0" w:line="204"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YOU MAY REVOKE THIS AGREEMENT AND GENERAL RELEASE FOR A PERIOD OF SEVEN (7) BUSINESS DAYS FOLLOWING THE DAY YOU SIGN THIS AGREEMENT. ANY REVOCATION WITHIN THIS PERIOD MUST BE SUBMITTED, IN WRITING, TO LAURIE MILLER, AND MUST STATE, “I HEREBY REVOKE MY ACCEPTANCE OF OUR AGREEMENT AND GENERAL RELEASE.” THE REVOCATION MUST BE PERSONALLY DELIVERED OR MAILED TO LAURIE MILLER, HAEMONETICS CORP., 125 SUMMER STREET, BOSTON, MA 02110. IF MAILED THE REVOCATION MUST BE POSTMARKED WITHIN SEVEN (7)</w:t>
      </w:r>
    </w:p>
    <w:p>
      <w:pPr>
        <w:sectPr>
          <w:pgSz w:w="11900" w:h="16838" w:orient="portrait"/>
          <w:cols w:equalWidth="0" w:num="1">
            <w:col w:w="11220"/>
          </w:cols>
          <w:pgMar w:left="320" w:top="1440" w:right="359" w:bottom="1440" w:gutter="0" w:footer="0" w:header="0"/>
        </w:sectPr>
      </w:pPr>
    </w:p>
    <w:bookmarkStart w:id="53" w:name="page54"/>
    <w:bookmarkEnd w:id="53"/>
    <w:p>
      <w:pPr>
        <w:spacing w:after="0" w:line="264" w:lineRule="auto"/>
        <w:rPr>
          <w:sz w:val="20"/>
          <w:szCs w:val="20"/>
          <w:color w:val="auto"/>
        </w:rPr>
      </w:pPr>
      <w:r>
        <w:rPr>
          <w:rFonts w:ascii="Arial" w:cs="Arial" w:eastAsia="Arial" w:hAnsi="Arial"/>
          <w:sz w:val="20"/>
          <w:szCs w:val="20"/>
          <w:color w:val="auto"/>
        </w:rPr>
        <w:t>BUSINESS DAYS AFTER YOU SIGN THIS AGREEMENT. YOU AGREE THAT ANY MODIFICATIONS, MATERIAL OR OTHERWISE, MADE TO THIS AGREEMENT AND GENERAL RELEASE DO NOT RESTART OR AFFECT IN ANY MANNER THE ORIGINAL UP TO TWENTY-ONE (21) CALENDAR DAY CONSIDERATION PERIOD.</w:t>
      </w:r>
    </w:p>
    <w:p>
      <w:pPr>
        <w:spacing w:after="0" w:line="213" w:lineRule="exact"/>
        <w:rPr>
          <w:sz w:val="20"/>
          <w:szCs w:val="20"/>
          <w:color w:val="auto"/>
        </w:rPr>
      </w:pPr>
    </w:p>
    <w:p>
      <w:pPr>
        <w:ind w:right="120"/>
        <w:spacing w:after="0" w:line="264" w:lineRule="auto"/>
        <w:rPr>
          <w:sz w:val="20"/>
          <w:szCs w:val="20"/>
          <w:color w:val="auto"/>
        </w:rPr>
      </w:pPr>
      <w:r>
        <w:rPr>
          <w:rFonts w:ascii="Arial" w:cs="Arial" w:eastAsia="Arial" w:hAnsi="Arial"/>
          <w:sz w:val="20"/>
          <w:szCs w:val="20"/>
          <w:color w:val="auto"/>
        </w:rPr>
        <w:t>YOU VOLUNTARILY, FREELY AND KNOWINGLY, AND AFTER DUE CONSIDERATION, ENTERS INTO THIS AGREEMENT AND GENERAL RELEASE INTENDING TO WAIVE, SETTLE AND RELEASE ALL CLAIMS, INCLUDING ADEA CLAIMS, YOU HAVE OR MIGHT HAVE AGAINST THE COMPANY AND ANY RELATED PERSONS OR ENTITIES.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Thank you again for your dedicated leadership and your continued service.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To indicate agreement with the foregoing, please sign and return this Agreement to me.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On behalf of the Company:</w:t>
      </w:r>
    </w:p>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360" w:type="dxa"/>
            <w:vAlign w:val="bottom"/>
          </w:tcPr>
          <w:p>
            <w:pPr>
              <w:ind w:left="80"/>
              <w:spacing w:after="0"/>
              <w:rPr>
                <w:sz w:val="20"/>
                <w:szCs w:val="20"/>
                <w:color w:val="auto"/>
              </w:rPr>
            </w:pPr>
            <w:r>
              <w:rPr>
                <w:rFonts w:ascii="Arial" w:cs="Arial" w:eastAsia="Arial" w:hAnsi="Arial"/>
                <w:sz w:val="20"/>
                <w:szCs w:val="20"/>
                <w:color w:val="auto"/>
              </w:rPr>
              <w:t>/s/ Christopher A. Simon</w:t>
            </w:r>
          </w:p>
        </w:tc>
        <w:tc>
          <w:tcPr>
            <w:tcW w:w="0" w:type="dxa"/>
            <w:vAlign w:val="bottom"/>
          </w:tcPr>
          <w:p>
            <w:pPr>
              <w:spacing w:after="0"/>
              <w:rPr>
                <w:sz w:val="1"/>
                <w:szCs w:val="1"/>
                <w:color w:val="auto"/>
              </w:rPr>
            </w:pPr>
          </w:p>
        </w:tc>
      </w:tr>
      <w:tr>
        <w:trPr>
          <w:trHeight w:val="23"/>
        </w:trPr>
        <w:tc>
          <w:tcPr>
            <w:tcW w:w="8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80" w:type="dxa"/>
            <w:vAlign w:val="bottom"/>
            <w:vMerge w:val="continue"/>
          </w:tcPr>
          <w:p>
            <w:pPr>
              <w:spacing w:after="0"/>
              <w:rPr>
                <w:sz w:val="23"/>
                <w:szCs w:val="23"/>
                <w:color w:val="auto"/>
              </w:rPr>
            </w:pPr>
          </w:p>
        </w:tc>
        <w:tc>
          <w:tcPr>
            <w:tcW w:w="4360" w:type="dxa"/>
            <w:vAlign w:val="bottom"/>
          </w:tcPr>
          <w:p>
            <w:pPr>
              <w:ind w:left="80"/>
              <w:spacing w:after="0"/>
              <w:rPr>
                <w:sz w:val="20"/>
                <w:szCs w:val="20"/>
                <w:color w:val="auto"/>
              </w:rPr>
            </w:pPr>
            <w:r>
              <w:rPr>
                <w:rFonts w:ascii="Arial" w:cs="Arial" w:eastAsia="Arial" w:hAnsi="Arial"/>
                <w:sz w:val="20"/>
                <w:szCs w:val="20"/>
                <w:color w:val="auto"/>
              </w:rPr>
              <w:t>Christopher A. Simon</w:t>
            </w:r>
          </w:p>
        </w:tc>
        <w:tc>
          <w:tcPr>
            <w:tcW w:w="0" w:type="dxa"/>
            <w:vAlign w:val="bottom"/>
          </w:tcPr>
          <w:p>
            <w:pPr>
              <w:spacing w:after="0"/>
              <w:rPr>
                <w:sz w:val="1"/>
                <w:szCs w:val="1"/>
                <w:color w:val="auto"/>
              </w:rPr>
            </w:pPr>
          </w:p>
        </w:tc>
      </w:tr>
      <w:tr>
        <w:trPr>
          <w:trHeight w:val="297"/>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360" w:type="dxa"/>
            <w:vAlign w:val="bottom"/>
          </w:tcPr>
          <w:p>
            <w:pPr>
              <w:ind w:left="80"/>
              <w:spacing w:after="0"/>
              <w:rPr>
                <w:sz w:val="20"/>
                <w:szCs w:val="20"/>
                <w:color w:val="auto"/>
              </w:rPr>
            </w:pPr>
            <w:r>
              <w:rPr>
                <w:rFonts w:ascii="Arial" w:cs="Arial" w:eastAsia="Arial" w:hAnsi="Arial"/>
                <w:sz w:val="20"/>
                <w:szCs w:val="20"/>
                <w:color w:val="auto"/>
              </w:rPr>
              <w:t>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ind w:left="80"/>
        <w:spacing w:after="0"/>
        <w:rPr>
          <w:sz w:val="20"/>
          <w:szCs w:val="20"/>
          <w:color w:val="auto"/>
        </w:rPr>
      </w:pPr>
      <w:r>
        <w:rPr>
          <w:rFonts w:ascii="Arial" w:cs="Arial" w:eastAsia="Arial" w:hAnsi="Arial"/>
          <w:sz w:val="20"/>
          <w:szCs w:val="20"/>
          <w:color w:val="auto"/>
        </w:rPr>
        <w:t>Accepted and Agreed:</w:t>
      </w:r>
    </w:p>
    <w:p>
      <w:pPr>
        <w:spacing w:after="0" w:line="283" w:lineRule="exact"/>
        <w:rPr>
          <w:sz w:val="20"/>
          <w:szCs w:val="20"/>
          <w:color w:val="auto"/>
        </w:rPr>
      </w:pPr>
    </w:p>
    <w:p>
      <w:pPr>
        <w:ind w:left="80"/>
        <w:spacing w:after="0"/>
        <w:rPr>
          <w:sz w:val="20"/>
          <w:szCs w:val="20"/>
          <w:color w:val="auto"/>
        </w:rPr>
      </w:pPr>
      <w:r>
        <w:rPr>
          <w:rFonts w:ascii="Arial" w:cs="Arial" w:eastAsia="Arial" w:hAnsi="Arial"/>
          <w:sz w:val="20"/>
          <w:szCs w:val="20"/>
          <w:color w:val="auto"/>
        </w:rPr>
        <w:t>/s/ William P.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3686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ectPr>
          <w:pgSz w:w="11900" w:h="16838" w:orient="portrait"/>
          <w:cols w:equalWidth="0" w:num="1">
            <w:col w:w="11140"/>
          </w:cols>
          <w:pgMar w:left="320" w:top="1432" w:right="439" w:bottom="1440" w:gutter="0" w:footer="0" w:header="0"/>
        </w:sectPr>
      </w:pPr>
    </w:p>
    <w:p>
      <w:pPr>
        <w:spacing w:after="0" w:line="81" w:lineRule="exact"/>
        <w:rPr>
          <w:sz w:val="20"/>
          <w:szCs w:val="20"/>
          <w:color w:val="auto"/>
        </w:rPr>
      </w:pPr>
    </w:p>
    <w:p>
      <w:pPr>
        <w:ind w:left="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William P. Burke</w:t>
      </w:r>
    </w:p>
    <w:p>
      <w:pPr>
        <w:spacing w:after="0" w:line="200" w:lineRule="exact"/>
        <w:rPr>
          <w:sz w:val="20"/>
          <w:szCs w:val="20"/>
          <w:color w:val="auto"/>
        </w:rPr>
      </w:pPr>
    </w:p>
    <w:p>
      <w:pPr>
        <w:sectPr>
          <w:pgSz w:w="11900" w:h="16838" w:orient="portrait"/>
          <w:cols w:equalWidth="0" w:num="2">
            <w:col w:w="600" w:space="440"/>
            <w:col w:w="10100"/>
          </w:cols>
          <w:pgMar w:left="320" w:top="1432" w:right="439" w:bottom="1440" w:gutter="0" w:footer="0" w:header="0"/>
          <w:type w:val="continuous"/>
        </w:sectPr>
      </w:pPr>
    </w:p>
    <w:p>
      <w:pPr>
        <w:spacing w:after="0" w:line="106" w:lineRule="exact"/>
        <w:rPr>
          <w:sz w:val="20"/>
          <w:szCs w:val="20"/>
          <w:color w:val="auto"/>
        </w:rPr>
      </w:pPr>
    </w:p>
    <w:p>
      <w:pPr>
        <w:ind w:left="8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November 8, 2021</w:t>
      </w:r>
    </w:p>
    <w:p>
      <w:pPr>
        <w:sectPr>
          <w:pgSz w:w="11900" w:h="16838" w:orient="portrait"/>
          <w:cols w:equalWidth="0" w:num="2">
            <w:col w:w="500" w:space="540"/>
            <w:col w:w="10100"/>
          </w:cols>
          <w:pgMar w:left="320" w:top="1432" w:right="439" w:bottom="1440" w:gutter="0" w:footer="0" w:header="0"/>
          <w:type w:val="continuous"/>
        </w:sectPr>
      </w:pPr>
    </w:p>
    <w:bookmarkStart w:id="54" w:name="page55"/>
    <w:bookmarkEnd w:id="54"/>
    <w:p>
      <w:pPr>
        <w:jc w:val="center"/>
        <w:ind w:right="-39"/>
        <w:spacing w:after="0"/>
        <w:rPr>
          <w:sz w:val="20"/>
          <w:szCs w:val="20"/>
          <w:color w:val="auto"/>
        </w:rPr>
      </w:pPr>
      <w:r>
        <w:rPr>
          <w:rFonts w:ascii="Arial" w:cs="Arial" w:eastAsia="Arial" w:hAnsi="Arial"/>
          <w:sz w:val="20"/>
          <w:szCs w:val="20"/>
          <w:b w:val="1"/>
          <w:bCs w:val="1"/>
          <w:color w:val="auto"/>
        </w:rPr>
        <w:t>Exhibit A</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u w:val="single" w:color="auto"/>
          <w:color w:val="auto"/>
        </w:rPr>
        <w:t>SUPPLEMENTAL RELEASE OF CLAIMS</w:t>
      </w:r>
    </w:p>
    <w:p>
      <w:pPr>
        <w:spacing w:after="0" w:line="175" w:lineRule="exact"/>
        <w:rPr>
          <w:sz w:val="20"/>
          <w:szCs w:val="20"/>
          <w:color w:val="auto"/>
        </w:rPr>
      </w:pPr>
    </w:p>
    <w:p>
      <w:pPr>
        <w:ind w:right="500" w:firstLine="648"/>
        <w:spacing w:after="0" w:line="276" w:lineRule="auto"/>
        <w:rPr>
          <w:sz w:val="20"/>
          <w:szCs w:val="20"/>
          <w:color w:val="auto"/>
        </w:rPr>
      </w:pPr>
      <w:r>
        <w:rPr>
          <w:rFonts w:ascii="Arial" w:cs="Arial" w:eastAsia="Arial" w:hAnsi="Arial"/>
          <w:sz w:val="18"/>
          <w:szCs w:val="18"/>
          <w:color w:val="auto"/>
        </w:rPr>
        <w:t>This Release of Claims (this “</w:t>
      </w:r>
      <w:r>
        <w:rPr>
          <w:rFonts w:ascii="Arial" w:cs="Arial" w:eastAsia="Arial" w:hAnsi="Arial"/>
          <w:sz w:val="18"/>
          <w:szCs w:val="18"/>
          <w:b w:val="1"/>
          <w:bCs w:val="1"/>
          <w:color w:val="auto"/>
        </w:rPr>
        <w:t>Release</w:t>
      </w:r>
      <w:r>
        <w:rPr>
          <w:rFonts w:ascii="Arial" w:cs="Arial" w:eastAsia="Arial" w:hAnsi="Arial"/>
          <w:sz w:val="18"/>
          <w:szCs w:val="18"/>
          <w:color w:val="auto"/>
        </w:rPr>
        <w:t>”) is entered into as of the last date indicated on the signature page of this Release by and between Haemonetics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William P. Burke (“</w:t>
      </w:r>
      <w:r>
        <w:rPr>
          <w:rFonts w:ascii="Arial" w:cs="Arial" w:eastAsia="Arial" w:hAnsi="Arial"/>
          <w:sz w:val="18"/>
          <w:szCs w:val="18"/>
          <w:b w:val="1"/>
          <w:bCs w:val="1"/>
          <w:color w:val="auto"/>
        </w:rPr>
        <w:t>you</w:t>
      </w:r>
      <w:r>
        <w:rPr>
          <w:rFonts w:ascii="Arial" w:cs="Arial" w:eastAsia="Arial" w:hAnsi="Arial"/>
          <w:sz w:val="18"/>
          <w:szCs w:val="18"/>
          <w:color w:val="auto"/>
        </w:rPr>
        <w:t>”). You and the Company agree as follows:</w:t>
      </w:r>
    </w:p>
    <w:p>
      <w:pPr>
        <w:spacing w:after="0" w:line="145" w:lineRule="exact"/>
        <w:rPr>
          <w:sz w:val="20"/>
          <w:szCs w:val="20"/>
          <w:color w:val="auto"/>
        </w:rPr>
      </w:pPr>
    </w:p>
    <w:p>
      <w:pPr>
        <w:ind w:right="20" w:firstLine="8"/>
        <w:spacing w:after="0" w:line="286" w:lineRule="auto"/>
        <w:tabs>
          <w:tab w:leader="none" w:pos="346"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Release of Claims. </w:t>
      </w:r>
      <w:r>
        <w:rPr>
          <w:rFonts w:ascii="Arial" w:cs="Arial" w:eastAsia="Arial" w:hAnsi="Arial"/>
          <w:sz w:val="18"/>
          <w:szCs w:val="18"/>
          <w:color w:val="auto"/>
        </w:rPr>
        <w:t>You voluntarily release and discharge the Company and its current and former predecessors, successors,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parent companies, subsidiaries, affiliates, and other related entities, as well as all of their current and former agents, officers, directors, employees, representatives, attorneys, and all persons acting by, through, under, or in concert with any of them (any and all of which are referred to as “</w:t>
      </w:r>
      <w:r>
        <w:rPr>
          <w:rFonts w:ascii="Arial" w:cs="Arial" w:eastAsia="Arial" w:hAnsi="Arial"/>
          <w:sz w:val="18"/>
          <w:szCs w:val="18"/>
          <w:b w:val="1"/>
          <w:bCs w:val="1"/>
          <w:color w:val="auto"/>
        </w:rPr>
        <w:t>Releasees</w:t>
      </w:r>
      <w:r>
        <w:rPr>
          <w:rFonts w:ascii="Arial" w:cs="Arial" w:eastAsia="Arial" w:hAnsi="Arial"/>
          <w:sz w:val="18"/>
          <w:szCs w:val="18"/>
          <w:color w:val="auto"/>
        </w:rPr>
        <w:t>”), from any and all charges, complaints, claims, liabilities, obligations, promises, agreements, causes of action, damages, losses, expenses, and debts of any nature whatsoever, known or unknown (“</w:t>
      </w:r>
      <w:r>
        <w:rPr>
          <w:rFonts w:ascii="Arial" w:cs="Arial" w:eastAsia="Arial" w:hAnsi="Arial"/>
          <w:sz w:val="18"/>
          <w:szCs w:val="18"/>
          <w:b w:val="1"/>
          <w:bCs w:val="1"/>
          <w:color w:val="auto"/>
        </w:rPr>
        <w:t>Claims</w:t>
      </w:r>
      <w:r>
        <w:rPr>
          <w:rFonts w:ascii="Arial" w:cs="Arial" w:eastAsia="Arial" w:hAnsi="Arial"/>
          <w:sz w:val="18"/>
          <w:szCs w:val="18"/>
          <w:color w:val="auto"/>
        </w:rPr>
        <w:t xml:space="preserve">”), which you have, claim to have, ever had, or ever claimed to have had against Releasees. This general release of Claims includes, without implication of limitation, all Claims relating to your employment and separation from employment with the Company; all Claims of discrimination, harassment and retaliation prohibited by any federal, state, or local statute, regulation, or ordinance, including without implication of limitation, Title VII of the Civil Rights Act of 1964, the Age Discrimination in Employment Act, the Americans With Disabilities Act, Massachusetts General Laws chapter 151B, the Massachusetts Wage Act (including but not limited to paid time off, overtime and other wages), the Family and Medical Leave Act, and the Employee Retirement Income Securities Act; and all other statutory and common law Claims. You also waive any Claim for reinstatement, attorney’s fees, interest, or costs, and all Claims for wages or other compensation (including but not limited to those under the Massachusetts Wage Act),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this Release shall not be construed to impair your right to enforce the terms of this Agreement or to waive any claims that may not by law be waived.</w:t>
      </w:r>
    </w:p>
    <w:p>
      <w:pPr>
        <w:spacing w:after="0" w:line="171" w:lineRule="exact"/>
        <w:rPr>
          <w:sz w:val="20"/>
          <w:szCs w:val="20"/>
          <w:color w:val="auto"/>
        </w:rPr>
      </w:pPr>
    </w:p>
    <w:p>
      <w:pPr>
        <w:ind w:left="660" w:right="20"/>
        <w:spacing w:after="0" w:line="217" w:lineRule="auto"/>
        <w:rPr>
          <w:sz w:val="20"/>
          <w:szCs w:val="20"/>
          <w:color w:val="auto"/>
        </w:rPr>
      </w:pPr>
      <w:r>
        <w:rPr>
          <w:rFonts w:ascii="Arial" w:cs="Arial" w:eastAsia="Arial" w:hAnsi="Arial"/>
          <w:sz w:val="19"/>
          <w:szCs w:val="19"/>
          <w:color w:val="auto"/>
        </w:rPr>
        <w:t>Notwithstanding the foregoing, this Release will not be construed to (i) impair your right to enforce the terms of this Release or the Agreement, (ii) waive any Claims that may not by law be waived, (iii) impair your rights under any equity or equity award agreement, any subscription agreement, any stockholders’ agreement, or any other written agreement between you and the Company, insofar as you have continuing rights under any such agreement after the effective date of this Agreement, (iv) release or discharge any rights you may have to indemnification as a current or former manager, director, officer or employee under the organizational documents of the Company, under applicable law, or otherwise, or to protection under any insurance policy maintained by the Company, or (v) impair any rights that you may have to vested retirement benefits</w:t>
      </w:r>
      <w:r>
        <w:rPr>
          <w:rFonts w:ascii="Arial" w:cs="Arial" w:eastAsia="Arial" w:hAnsi="Arial"/>
          <w:sz w:val="19"/>
          <w:szCs w:val="19"/>
          <w:b w:val="1"/>
          <w:bCs w:val="1"/>
          <w:color w:val="auto"/>
        </w:rPr>
        <w:t>.</w:t>
      </w:r>
    </w:p>
    <w:p>
      <w:pPr>
        <w:spacing w:after="0" w:line="183" w:lineRule="exact"/>
        <w:rPr>
          <w:sz w:val="20"/>
          <w:szCs w:val="20"/>
          <w:color w:val="auto"/>
        </w:rPr>
      </w:pPr>
    </w:p>
    <w:p>
      <w:pPr>
        <w:spacing w:after="0" w:line="288" w:lineRule="auto"/>
        <w:rPr>
          <w:sz w:val="20"/>
          <w:szCs w:val="20"/>
          <w:color w:val="auto"/>
        </w:rPr>
      </w:pPr>
      <w:r>
        <w:rPr>
          <w:rFonts w:ascii="Arial" w:cs="Arial" w:eastAsia="Arial" w:hAnsi="Arial"/>
          <w:sz w:val="18"/>
          <w:szCs w:val="18"/>
          <w:color w:val="auto"/>
        </w:rPr>
        <w:t>In addition, nothing in this Agreement (including but not limited to the release of claims, confidentiality, cooperation, and non-disparagement provisions) shall be construed to prevent you from communicating or filing a charge or complaint with, or from participating in an investigation or proceeding conducted by, the Equal Employment Opportunity Commission, National Labor Relations Board,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or any other any federal, state or local agency charged with the enforcement of any laws, or from exercising rights under Section 7 of the National Labor Relations Act to engage in joint activity with other employees, although by signing this Agreement you are waiving and hereby do waive any and all rights to individual relief (monetary or otherwise) based on claims asserted in such a charge or complaint, or asserted by any third-party on your behalf, except where such a waiver of individual relief is prohibited (such as, for example in connection with an award for information provided to the SEC).</w:t>
      </w:r>
    </w:p>
    <w:p>
      <w:pPr>
        <w:sectPr>
          <w:pgSz w:w="11900" w:h="16838" w:orient="portrait"/>
          <w:cols w:equalWidth="0" w:num="1">
            <w:col w:w="11220"/>
          </w:cols>
          <w:pgMar w:left="320" w:top="1426" w:right="359" w:bottom="1440" w:gutter="0" w:footer="0" w:header="0"/>
        </w:sectPr>
      </w:pPr>
    </w:p>
    <w:bookmarkStart w:id="55" w:name="page56"/>
    <w:bookmarkEnd w:id="55"/>
    <w:p>
      <w:pPr>
        <w:ind w:left="-8" w:firstLine="8"/>
        <w:spacing w:after="0" w:line="278" w:lineRule="auto"/>
        <w:tabs>
          <w:tab w:leader="none" w:pos="338"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Consideration</w:t>
      </w:r>
      <w:r>
        <w:rPr>
          <w:rFonts w:ascii="Arial" w:cs="Arial" w:eastAsia="Arial" w:hAnsi="Arial"/>
          <w:sz w:val="16"/>
          <w:szCs w:val="16"/>
          <w:color w:val="auto"/>
        </w:rPr>
        <w:t>. In consideration of your execution of this Release, the Company will provide you with the Retention Bonus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set forth in the Agreement, which consideration you would not otherwise be entitled to receive. Except as set forth in this Section 2, it is expressly agreed that the Company does not have any obligation to provide you at any time in the future with any payments, equity, benefits or other consideration. This Release shall not supersede any continuing obligations you may have under the terms of the Agreement.</w:t>
      </w:r>
    </w:p>
    <w:p>
      <w:pPr>
        <w:spacing w:after="0" w:line="119" w:lineRule="exact"/>
        <w:rPr>
          <w:rFonts w:ascii="Arial" w:cs="Arial" w:eastAsia="Arial" w:hAnsi="Arial"/>
          <w:sz w:val="16"/>
          <w:szCs w:val="16"/>
          <w:b w:val="1"/>
          <w:bCs w:val="1"/>
          <w:color w:val="auto"/>
        </w:rPr>
      </w:pPr>
    </w:p>
    <w:p>
      <w:pPr>
        <w:ind w:left="-8" w:right="160" w:firstLine="8"/>
        <w:spacing w:after="0" w:line="226" w:lineRule="auto"/>
        <w:tabs>
          <w:tab w:leader="none" w:pos="338"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Non-Filing of Complaint or Charges</w:t>
      </w:r>
      <w:r>
        <w:rPr>
          <w:rFonts w:ascii="Arial" w:cs="Arial" w:eastAsia="Arial" w:hAnsi="Arial"/>
          <w:sz w:val="19"/>
          <w:szCs w:val="19"/>
          <w:color w:val="auto"/>
        </w:rPr>
        <w:t>. By signing this Release, you represent and warrant that you have not filed any complaints,</w:t>
      </w:r>
      <w:r>
        <w:rPr>
          <w:rFonts w:ascii="Arial" w:cs="Arial" w:eastAsia="Arial" w:hAnsi="Arial"/>
          <w:sz w:val="19"/>
          <w:szCs w:val="19"/>
          <w:b w:val="1"/>
          <w:bCs w:val="1"/>
          <w:color w:val="auto"/>
        </w:rPr>
        <w:t xml:space="preserve"> </w:t>
      </w:r>
      <w:r>
        <w:rPr>
          <w:rFonts w:ascii="Arial" w:cs="Arial" w:eastAsia="Arial" w:hAnsi="Arial"/>
          <w:sz w:val="19"/>
          <w:szCs w:val="19"/>
          <w:color w:val="auto"/>
        </w:rPr>
        <w:t>charges or claims for relief against any of the Releasees with any local, state or federal court or administrative agency. You further acknowledge and agree that you have waived any relief available to you (including with limitation, monetary damages, equitable relief and reinstatement) under any of the claims and/or causes of action referenced in Section 1 of this Release.</w:t>
      </w:r>
    </w:p>
    <w:p>
      <w:pPr>
        <w:spacing w:after="0" w:line="149" w:lineRule="exact"/>
        <w:rPr>
          <w:rFonts w:ascii="Arial" w:cs="Arial" w:eastAsia="Arial" w:hAnsi="Arial"/>
          <w:sz w:val="19"/>
          <w:szCs w:val="19"/>
          <w:b w:val="1"/>
          <w:bCs w:val="1"/>
          <w:color w:val="auto"/>
        </w:rPr>
      </w:pPr>
    </w:p>
    <w:p>
      <w:pPr>
        <w:ind w:left="-8" w:firstLine="8"/>
        <w:spacing w:after="0" w:line="218" w:lineRule="auto"/>
        <w:tabs>
          <w:tab w:leader="none" w:pos="335"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Voluntary Waiver and Acknowledgement. </w:t>
      </w:r>
      <w:r>
        <w:rPr>
          <w:rFonts w:ascii="Arial" w:cs="Arial" w:eastAsia="Arial" w:hAnsi="Arial"/>
          <w:sz w:val="19"/>
          <w:szCs w:val="19"/>
          <w:color w:val="auto"/>
        </w:rPr>
        <w:t>You acknowledge that you have been advised to and given the opportunity to consult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attorney of your choice in connection with executing this Release, and that you have been given the opportunity, if so desired, to consider this Release for twenty-one (21) days before executing it. If you sign this Release prior to the Separation Date, or later than twenty-one (21) days following the Separation Date, it will not be valid. The Company acknowledges that, for a period of seven (7) days from the date that you sign this Release (the “</w:t>
      </w:r>
      <w:r>
        <w:rPr>
          <w:rFonts w:ascii="Arial" w:cs="Arial" w:eastAsia="Arial" w:hAnsi="Arial"/>
          <w:sz w:val="19"/>
          <w:szCs w:val="19"/>
          <w:b w:val="1"/>
          <w:bCs w:val="1"/>
          <w:color w:val="auto"/>
        </w:rPr>
        <w:t>Revocation Period</w:t>
      </w:r>
      <w:r>
        <w:rPr>
          <w:rFonts w:ascii="Arial" w:cs="Arial" w:eastAsia="Arial" w:hAnsi="Arial"/>
          <w:sz w:val="19"/>
          <w:szCs w:val="19"/>
          <w:color w:val="auto"/>
        </w:rPr>
        <w:t>”), you will retain the right to revoke this Release by written notice to Human Resources Department at the Company, received before the end of the Revocation Period, and that this Release will not become effective or enforceable until the expiration of the Revocation Period.</w:t>
      </w:r>
    </w:p>
    <w:p>
      <w:pPr>
        <w:spacing w:after="0" w:line="149" w:lineRule="exact"/>
        <w:rPr>
          <w:rFonts w:ascii="Arial" w:cs="Arial" w:eastAsia="Arial" w:hAnsi="Arial"/>
          <w:sz w:val="19"/>
          <w:szCs w:val="19"/>
          <w:b w:val="1"/>
          <w:bCs w:val="1"/>
          <w:color w:val="auto"/>
        </w:rPr>
      </w:pPr>
    </w:p>
    <w:p>
      <w:pPr>
        <w:ind w:left="-8" w:firstLine="8"/>
        <w:spacing w:after="0" w:line="219" w:lineRule="auto"/>
        <w:tabs>
          <w:tab w:leader="none" w:pos="338"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Other Terms. </w:t>
      </w:r>
      <w:r>
        <w:rPr>
          <w:rFonts w:ascii="Arial" w:cs="Arial" w:eastAsia="Arial" w:hAnsi="Arial"/>
          <w:sz w:val="19"/>
          <w:szCs w:val="19"/>
          <w:color w:val="auto"/>
        </w:rPr>
        <w:t>You and the Company acknowledge that the performance of the promises of each is contingent upon the fulfillment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of the other party as set forth in this Release and the Agreement. You and the Company agree that this Release is not, and shall not be construed to be, an admission of any violation of any federal, state or local statute or regulation, or of any duty owed by either party. This Release shall take effect as an instrument under seal and shall be governed and construed in accordance with the law of Massachusetts, without regard for its choice of law principles. If any provision of this Release is deemed invalid, the remaining provisions shall not be affected and shall be enforced to the maximum extent permitted by law.</w:t>
      </w:r>
    </w:p>
    <w:p>
      <w:pPr>
        <w:spacing w:after="0" w:line="160" w:lineRule="exact"/>
        <w:rPr>
          <w:sz w:val="20"/>
          <w:szCs w:val="20"/>
          <w:color w:val="auto"/>
        </w:rPr>
      </w:pPr>
    </w:p>
    <w:p>
      <w:pPr>
        <w:ind w:left="652"/>
        <w:spacing w:after="0"/>
        <w:rPr>
          <w:sz w:val="20"/>
          <w:szCs w:val="20"/>
          <w:color w:val="auto"/>
        </w:rPr>
      </w:pPr>
      <w:r>
        <w:rPr>
          <w:rFonts w:ascii="Arial" w:cs="Arial" w:eastAsia="Arial" w:hAnsi="Arial"/>
          <w:sz w:val="20"/>
          <w:szCs w:val="20"/>
          <w:color w:val="auto"/>
        </w:rPr>
        <w:t>IN WITNESS WHEREOF, you and the Company have executed this Release as of the date last written below.</w:t>
      </w:r>
    </w:p>
    <w:p>
      <w:pPr>
        <w:spacing w:after="0" w:line="218" w:lineRule="exact"/>
        <w:rPr>
          <w:sz w:val="20"/>
          <w:szCs w:val="20"/>
          <w:color w:val="auto"/>
        </w:rPr>
      </w:pPr>
    </w:p>
    <w:p>
      <w:pPr>
        <w:ind w:left="12"/>
        <w:spacing w:after="0"/>
        <w:tabs>
          <w:tab w:leader="none" w:pos="4772" w:val="left"/>
        </w:tabs>
        <w:rPr>
          <w:sz w:val="20"/>
          <w:szCs w:val="20"/>
          <w:color w:val="auto"/>
        </w:rPr>
      </w:pPr>
      <w:r>
        <w:rPr>
          <w:rFonts w:ascii="Arial" w:cs="Arial" w:eastAsia="Arial" w:hAnsi="Arial"/>
          <w:sz w:val="22"/>
          <w:szCs w:val="22"/>
          <w:b w:val="1"/>
          <w:bCs w:val="1"/>
          <w:color w:val="auto"/>
        </w:rPr>
        <w:t>William P. Burke</w:t>
      </w:r>
      <w:r>
        <w:rPr>
          <w:sz w:val="20"/>
          <w:szCs w:val="20"/>
          <w:color w:val="auto"/>
        </w:rPr>
        <w:tab/>
      </w:r>
      <w:r>
        <w:rPr>
          <w:rFonts w:ascii="Arial" w:cs="Arial" w:eastAsia="Arial" w:hAnsi="Arial"/>
          <w:sz w:val="19"/>
          <w:szCs w:val="19"/>
          <w:b w:val="1"/>
          <w:bCs w:val="1"/>
          <w:color w:val="auto"/>
        </w:rPr>
        <w:t>Haemonetics Corporation</w:t>
      </w:r>
    </w:p>
    <w:p>
      <w:pPr>
        <w:spacing w:after="0" w:line="293" w:lineRule="exact"/>
        <w:rPr>
          <w:sz w:val="20"/>
          <w:szCs w:val="20"/>
          <w:color w:val="auto"/>
        </w:rPr>
      </w:pPr>
    </w:p>
    <w:p>
      <w:pPr>
        <w:ind w:left="4792"/>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792"/>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0090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009005" cy="8890"/>
                    </a:xfrm>
                    <a:prstGeom prst="rect">
                      <a:avLst/>
                    </a:prstGeom>
                    <a:noFill/>
                  </pic:spPr>
                </pic:pic>
              </a:graphicData>
            </a:graphic>
          </wp:anchor>
        </w:drawing>
      </w:r>
    </w:p>
    <w:p>
      <w:pPr>
        <w:ind w:left="4792"/>
        <w:spacing w:after="0"/>
        <w:rPr>
          <w:sz w:val="20"/>
          <w:szCs w:val="20"/>
          <w:color w:val="auto"/>
        </w:rPr>
      </w:pPr>
      <w:r>
        <w:rPr>
          <w:rFonts w:ascii="Arial" w:cs="Arial" w:eastAsia="Arial" w:hAnsi="Arial"/>
          <w:sz w:val="22"/>
          <w:szCs w:val="22"/>
          <w:color w:val="auto"/>
        </w:rPr>
        <w:t>Title:</w:t>
      </w:r>
    </w:p>
    <w:p>
      <w:pPr>
        <w:spacing w:after="0" w:line="283" w:lineRule="exact"/>
        <w:rPr>
          <w:sz w:val="20"/>
          <w:szCs w:val="20"/>
          <w:color w:val="auto"/>
        </w:rPr>
      </w:pPr>
    </w:p>
    <w:p>
      <w:pPr>
        <w:ind w:left="12"/>
        <w:spacing w:after="0"/>
        <w:tabs>
          <w:tab w:leader="none" w:pos="4772" w:val="left"/>
        </w:tabs>
        <w:rPr>
          <w:sz w:val="20"/>
          <w:szCs w:val="20"/>
          <w:color w:val="auto"/>
        </w:rPr>
      </w:pPr>
      <w:r>
        <w:rPr>
          <w:rFonts w:ascii="Arial" w:cs="Arial" w:eastAsia="Arial" w:hAnsi="Arial"/>
          <w:sz w:val="22"/>
          <w:szCs w:val="22"/>
          <w:color w:val="auto"/>
        </w:rPr>
        <w:t>Date:_____________________</w:t>
      </w:r>
      <w:r>
        <w:rPr>
          <w:sz w:val="20"/>
          <w:szCs w:val="20"/>
          <w:color w:val="auto"/>
        </w:rPr>
        <w:tab/>
      </w:r>
      <w:r>
        <w:rPr>
          <w:rFonts w:ascii="Arial" w:cs="Arial" w:eastAsia="Arial" w:hAnsi="Arial"/>
          <w:sz w:val="19"/>
          <w:szCs w:val="19"/>
          <w:color w:val="auto"/>
        </w:rPr>
        <w:t>Date:______________________</w:t>
      </w:r>
    </w:p>
    <w:p>
      <w:pPr>
        <w:sectPr>
          <w:pgSz w:w="11900" w:h="16838" w:orient="portrait"/>
          <w:cols w:equalWidth="0" w:num="1">
            <w:col w:w="11172"/>
          </w:cols>
          <w:pgMar w:left="328" w:top="1399" w:right="39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Simon, certify that:</w:t>
      </w:r>
    </w:p>
    <w:p>
      <w:pPr>
        <w:spacing w:after="0" w:line="11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60" w:hanging="324"/>
        <w:spacing w:after="0" w:line="342" w:lineRule="auto"/>
        <w:tabs>
          <w:tab w:leader="none" w:pos="971"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February 8, 2022</w:t>
      </w:r>
    </w:p>
    <w:p>
      <w:pPr>
        <w:spacing w:after="0" w:line="14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14605</wp:posOffset>
            </wp:positionV>
            <wp:extent cx="30689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Christopher A. Simon, President and Chief Executive Officer</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Burke, certify that:</w:t>
      </w:r>
    </w:p>
    <w:p>
      <w:pPr>
        <w:spacing w:after="0" w:line="117"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20" w:hanging="324"/>
        <w:spacing w:after="0" w:line="342" w:lineRule="auto"/>
        <w:tabs>
          <w:tab w:leader="none" w:pos="1016"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February 8, 2022</w:t>
      </w:r>
    </w:p>
    <w:p>
      <w:pPr>
        <w:spacing w:after="0" w:line="14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30600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William Burke, Executive Vice President, Chief Financial Officer</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January 1, 2022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February 8, 2022</w:t>
      </w:r>
    </w:p>
    <w:p>
      <w:pPr>
        <w:spacing w:after="0" w:line="14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8117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Christopher A. Simon,</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240"/>
          </w:cols>
          <w:pgMar w:left="320" w:top="1107"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January 1, 2022 as filed with the Securities and Exchange Commission on the date hereof (the “Report”), I, William Burke,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February 8, 2022</w:t>
      </w:r>
    </w:p>
    <w:p>
      <w:pPr>
        <w:spacing w:after="0" w:line="14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8117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William Burke,</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Executive Vice President, Chief Financial Officer</w:t>
      </w:r>
    </w:p>
    <w:p>
      <w:pPr>
        <w:spacing w:after="0" w:line="200" w:lineRule="exact"/>
        <w:rPr>
          <w:sz w:val="20"/>
          <w:szCs w:val="20"/>
          <w:color w:val="auto"/>
        </w:rPr>
      </w:pPr>
    </w:p>
    <w:p>
      <w:pPr>
        <w:spacing w:after="0" w:line="26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lowerRoman"/>
      <w:start w:val="3"/>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upperLetter"/>
      <w:start w:val="1"/>
    </w:lvl>
  </w:abstractNum>
  <w:abstractNum w:abstractNumId="21">
    <w:nsid w:val="22221A70"/>
    <w:multiLevelType w:val="hybridMultilevel"/>
    <w:lvl w:ilvl="0">
      <w:lvlJc w:val="left"/>
      <w:lvlText w:val="%1."/>
      <w:numFmt w:val="decimal"/>
      <w:start w:val="3"/>
    </w:lvl>
    <w:lvl w:ilvl="1">
      <w:lvlJc w:val="left"/>
      <w:lvlText w:val="%2."/>
      <w:numFmt w:val="decimal"/>
      <w:start w:val="3"/>
    </w:lvl>
    <w:lvl w:ilvl="2">
      <w:lvlJc w:val="left"/>
      <w:lvlText w:val="%3."/>
      <w:numFmt w:val="upperLetter"/>
      <w:start w:val="1"/>
    </w:lvl>
  </w:abstractNum>
  <w:abstractNum w:abstractNumId="22">
    <w:nsid w:val="4516DDE9"/>
    <w:multiLevelType w:val="hybridMultilevel"/>
    <w:lvl w:ilvl="0">
      <w:lvlJc w:val="left"/>
      <w:lvlText w:val="%1."/>
      <w:numFmt w:val="decimal"/>
      <w:start w:val="5"/>
    </w:lvl>
  </w:abstractNum>
  <w:abstractNum w:abstractNumId="23">
    <w:nsid w:val="3006C83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upperLetter"/>
      <w:start w:val="1"/>
    </w:lvl>
  </w:abstractNum>
  <w:abstractNum w:abstractNumId="24">
    <w:nsid w:val="614FD4A1"/>
    <w:multiLevelType w:val="hybridMultilevel"/>
    <w:lvl w:ilvl="0">
      <w:lvlJc w:val="left"/>
      <w:lvlText w:val="%1"/>
      <w:numFmt w:val="decimal"/>
      <w:start w:val="1"/>
    </w:lvl>
    <w:lvl w:ilvl="1">
      <w:lvlJc w:val="left"/>
      <w:lvlText w:val="%2"/>
      <w:numFmt w:val="decimal"/>
      <w:start w:val="1"/>
    </w:lvl>
    <w:lvl w:ilvl="2">
      <w:lvlJc w:val="left"/>
      <w:lvlText w:val="%3."/>
      <w:numFmt w:val="decimal"/>
      <w:start w:val="6"/>
    </w:lvl>
    <w:lvl w:ilvl="3">
      <w:lvlJc w:val="left"/>
      <w:lvlText w:val="%4."/>
      <w:numFmt w:val="decimal"/>
      <w:start w:val="7"/>
    </w:lvl>
    <w:lvl w:ilvl="4">
      <w:lvlJc w:val="left"/>
      <w:lvlText w:val="%5"/>
      <w:numFmt w:val="upperLetter"/>
      <w:start w:val="1"/>
    </w:lvl>
  </w:abstractNum>
  <w:abstractNum w:abstractNumId="25">
    <w:nsid w:val="419AC241"/>
    <w:multiLevelType w:val="hybridMultilevel"/>
    <w:lvl w:ilvl="0">
      <w:lvlJc w:val="left"/>
      <w:lvlText w:val="%1"/>
      <w:numFmt w:val="decimal"/>
      <w:start w:val="1"/>
    </w:lvl>
    <w:lvl w:ilvl="1">
      <w:lvlJc w:val="left"/>
      <w:lvlText w:val="%2."/>
      <w:numFmt w:val="decimal"/>
      <w:start w:val="8"/>
    </w:lvl>
    <w:lvl w:ilvl="2">
      <w:lvlJc w:val="left"/>
      <w:lvlText w:val="%3"/>
      <w:numFmt w:val="decimal"/>
      <w:start w:val="1"/>
    </w:lvl>
    <w:lvl w:ilvl="3">
      <w:lvlJc w:val="left"/>
      <w:lvlText w:val="%4"/>
      <w:numFmt w:val="decimal"/>
      <w:start w:val="1"/>
    </w:lvl>
    <w:lvl w:ilvl="4">
      <w:lvlJc w:val="left"/>
      <w:lvlText w:val="%5"/>
      <w:numFmt w:val="upperLetter"/>
      <w:start w:val="1"/>
    </w:lvl>
  </w:abstractNum>
  <w:abstractNum w:abstractNumId="26">
    <w:nsid w:val="5577F8E1"/>
    <w:multiLevelType w:val="hybridMultilevel"/>
    <w:lvl w:ilvl="0">
      <w:lvlJc w:val="left"/>
      <w:lvlText w:val="%1."/>
      <w:numFmt w:val="decimal"/>
      <w:start w:val="9"/>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upperLetter"/>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1"/>
    </w:lvl>
    <w:lvl w:ilvl="1">
      <w:lvlJc w:val="left"/>
      <w:lvlText w:val="%2."/>
      <w:numFmt w:val="lowerLetter"/>
      <w:start w:val="1"/>
    </w:lvl>
  </w:abstractNum>
  <w:abstractNum w:abstractNumId="29">
    <w:nsid w:val="3804823E"/>
    <w:multiLevelType w:val="hybridMultilevel"/>
    <w:lvl w:ilvl="0">
      <w:lvlJc w:val="left"/>
      <w:lvlText w:val="%1."/>
      <w:numFmt w:val="lowerLetter"/>
      <w:start w:val="3"/>
    </w:lvl>
  </w:abstractNum>
  <w:abstractNum w:abstractNumId="30">
    <w:nsid w:val="77465F01"/>
    <w:multiLevelType w:val="hybridMultilevel"/>
    <w:lvl w:ilvl="0">
      <w:lvlJc w:val="left"/>
      <w:lvlText w:val="%1."/>
      <w:numFmt w:val="decimal"/>
      <w:start w:val="3"/>
    </w:lvl>
  </w:abstractNum>
  <w:abstractNum w:abstractNumId="31">
    <w:nsid w:val="7724C67E"/>
    <w:multiLevelType w:val="hybridMultilevel"/>
    <w:lvl w:ilvl="0">
      <w:lvlJc w:val="left"/>
      <w:lvlText w:val="%1."/>
      <w:numFmt w:val="decimal"/>
      <w:start w:val="4"/>
    </w:lvl>
  </w:abstractNum>
  <w:abstractNum w:abstractNumId="32">
    <w:nsid w:val="5C482A97"/>
    <w:multiLevelType w:val="hybridMultilevel"/>
    <w:lvl w:ilvl="0">
      <w:lvlJc w:val="left"/>
      <w:lvlText w:val="%1."/>
      <w:numFmt w:val="decimal"/>
      <w:start w:val="5"/>
    </w:lvl>
    <w:lvl w:ilvl="1">
      <w:lvlJc w:val="left"/>
      <w:lvlText w:val="%2."/>
      <w:numFmt w:val="lowerLetter"/>
      <w:start w:val="1"/>
    </w:lvl>
  </w:abstractNum>
  <w:abstractNum w:abstractNumId="33">
    <w:nsid w:val="2463B9EA"/>
    <w:multiLevelType w:val="hybridMultilevel"/>
    <w:lvl w:ilvl="0">
      <w:lvlJc w:val="left"/>
      <w:lvlText w:val="%1"/>
      <w:numFmt w:val="decimal"/>
      <w:start w:val="1"/>
    </w:lvl>
    <w:lvl w:ilvl="1">
      <w:lvlJc w:val="left"/>
      <w:lvlText w:val="%2."/>
      <w:numFmt w:val="lowerLetter"/>
      <w:start w:val="5"/>
    </w:lvl>
  </w:abstractNum>
  <w:abstractNum w:abstractNumId="34">
    <w:nsid w:val="5E884ADC"/>
    <w:multiLevelType w:val="hybridMultilevel"/>
    <w:lvl w:ilvl="0">
      <w:lvlJc w:val="left"/>
      <w:lvlText w:val="%1."/>
      <w:numFmt w:val="decimal"/>
      <w:start w:val="6"/>
    </w:lvl>
    <w:lvl w:ilvl="1">
      <w:lvlJc w:val="left"/>
      <w:lvlText w:val="%2."/>
      <w:numFmt w:val="lowerLetter"/>
      <w:start w:val="1"/>
    </w:lvl>
  </w:abstractNum>
  <w:abstractNum w:abstractNumId="35">
    <w:nsid w:val="51EAD36B"/>
    <w:multiLevelType w:val="hybridMultilevel"/>
    <w:lvl w:ilvl="0">
      <w:lvlJc w:val="left"/>
      <w:lvlText w:val="%1"/>
      <w:numFmt w:val="decimal"/>
      <w:start w:val="1"/>
    </w:lvl>
    <w:lvl w:ilvl="1">
      <w:lvlJc w:val="left"/>
      <w:lvlText w:val="%2."/>
      <w:numFmt w:val="lowerLetter"/>
      <w:start w:val="4"/>
    </w:lvl>
  </w:abstractNum>
  <w:abstractNum w:abstractNumId="36">
    <w:nsid w:val="2D517796"/>
    <w:multiLevelType w:val="hybridMultilevel"/>
    <w:lvl w:ilvl="0">
      <w:lvlJc w:val="left"/>
      <w:lvlText w:val="%1."/>
      <w:numFmt w:val="decimal"/>
      <w:start w:val="7"/>
    </w:lvl>
    <w:lvl w:ilvl="1">
      <w:lvlJc w:val="left"/>
      <w:lvlText w:val="%2"/>
      <w:numFmt w:val="lowerLetter"/>
      <w:start w:val="1"/>
    </w:lvl>
  </w:abstractNum>
  <w:abstractNum w:abstractNumId="37">
    <w:nsid w:val="580BD78F"/>
    <w:multiLevelType w:val="hybridMultilevel"/>
    <w:lvl w:ilvl="0">
      <w:lvlJc w:val="left"/>
      <w:lvlText w:val="%1."/>
      <w:numFmt w:val="decimal"/>
      <w:start w:val="9"/>
    </w:lvl>
    <w:lvl w:ilvl="1">
      <w:lvlJc w:val="left"/>
      <w:lvlText w:val="%2."/>
      <w:numFmt w:val="lowerLetter"/>
      <w:start w:val="1"/>
    </w:lvl>
  </w:abstractNum>
  <w:abstractNum w:abstractNumId="38">
    <w:nsid w:val="153EA438"/>
    <w:multiLevelType w:val="hybridMultilevel"/>
    <w:lvl w:ilvl="0">
      <w:lvlJc w:val="left"/>
      <w:lvlText w:val="%1."/>
      <w:numFmt w:val="decimal"/>
      <w:start w:val="13"/>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2"/>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50" Type="http://schemas.openxmlformats.org/officeDocument/2006/relationships/hyperlink" Target="http://www.sec.gov/Archives/edgar/data/313143/000031314319000035/exhibit31-restatedarticles.htm" TargetMode="External"/><Relationship Id="rId51" Type="http://schemas.openxmlformats.org/officeDocument/2006/relationships/hyperlink" Target="http://www.sec.gov/Archives/edgar/data/313143/000031314320000052/by-lawsasamended629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2022-02-08T05:36:33Z</dcterms:created>
  <dcterms:modified xsi:type="dcterms:W3CDTF">2022-02-08T05:36:33Z</dcterms:modified>
</cp:coreProperties>
</file>