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34" w:lineRule="exact"/>
        <w:rPr>
          <w:sz w:val="24"/>
          <w:szCs w:val="24"/>
          <w:color w:val="auto"/>
        </w:rPr>
      </w:pPr>
    </w:p>
    <w:p>
      <w:pPr>
        <w:ind w:right="3100" w:firstLine="8"/>
        <w:spacing w:after="0" w:line="287" w:lineRule="auto"/>
        <w:tabs>
          <w:tab w:leader="none" w:pos="19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April 3, 2021</w:t>
      </w:r>
    </w:p>
    <w:p>
      <w:pPr>
        <w:spacing w:after="0" w:line="20" w:lineRule="exact"/>
        <w:rPr>
          <w:sz w:val="24"/>
          <w:szCs w:val="24"/>
          <w:color w:val="auto"/>
        </w:rPr>
      </w:pPr>
    </w:p>
    <w:p>
      <w:pPr>
        <w:ind w:right="2780" w:firstLine="8"/>
        <w:spacing w:after="0" w:line="280" w:lineRule="auto"/>
        <w:tabs>
          <w:tab w:leader="none" w:pos="193"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to</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001-14041</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HAEMONETICS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500" w:type="dxa"/>
            <w:vAlign w:val="bottom"/>
            <w:gridSpan w:val="2"/>
          </w:tcPr>
          <w:p>
            <w:pPr>
              <w:jc w:val="center"/>
              <w:ind w:left="40"/>
              <w:spacing w:after="0"/>
              <w:rPr>
                <w:sz w:val="20"/>
                <w:szCs w:val="20"/>
                <w:color w:val="auto"/>
              </w:rPr>
            </w:pPr>
            <w:r>
              <w:rPr>
                <w:rFonts w:ascii="Arial" w:cs="Arial" w:eastAsia="Arial" w:hAnsi="Arial"/>
                <w:sz w:val="17"/>
                <w:szCs w:val="17"/>
                <w:b w:val="1"/>
                <w:bCs w:val="1"/>
                <w:color w:val="auto"/>
                <w:w w:val="86"/>
              </w:rPr>
              <w:t>Massachusetts</w:t>
            </w:r>
          </w:p>
        </w:tc>
        <w:tc>
          <w:tcPr>
            <w:tcW w:w="1800" w:type="dxa"/>
            <w:vAlign w:val="bottom"/>
          </w:tcPr>
          <w:p>
            <w:pPr>
              <w:spacing w:after="0"/>
              <w:rPr>
                <w:sz w:val="19"/>
                <w:szCs w:val="19"/>
                <w:color w:val="auto"/>
              </w:rPr>
            </w:pPr>
          </w:p>
        </w:tc>
        <w:tc>
          <w:tcPr>
            <w:tcW w:w="4920" w:type="dxa"/>
            <w:vAlign w:val="bottom"/>
            <w:gridSpan w:val="2"/>
          </w:tcPr>
          <w:p>
            <w:pPr>
              <w:jc w:val="right"/>
              <w:ind w:right="3164"/>
              <w:spacing w:after="0"/>
              <w:rPr>
                <w:sz w:val="20"/>
                <w:szCs w:val="20"/>
                <w:color w:val="auto"/>
              </w:rPr>
            </w:pPr>
            <w:r>
              <w:rPr>
                <w:rFonts w:ascii="Arial" w:cs="Arial" w:eastAsia="Arial" w:hAnsi="Arial"/>
                <w:sz w:val="17"/>
                <w:szCs w:val="17"/>
                <w:b w:val="1"/>
                <w:bCs w:val="1"/>
                <w:color w:val="auto"/>
              </w:rPr>
              <w:t>04-2882273</w:t>
            </w:r>
          </w:p>
        </w:tc>
      </w:tr>
      <w:tr>
        <w:trPr>
          <w:trHeight w:val="194"/>
        </w:trPr>
        <w:tc>
          <w:tcPr>
            <w:tcW w:w="4500" w:type="dxa"/>
            <w:vAlign w:val="bottom"/>
            <w:gridSpan w:val="2"/>
          </w:tcPr>
          <w:p>
            <w:pPr>
              <w:jc w:val="center"/>
              <w:ind w:left="4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1800" w:type="dxa"/>
            <w:vAlign w:val="bottom"/>
          </w:tcPr>
          <w:p>
            <w:pPr>
              <w:spacing w:after="0"/>
              <w:rPr>
                <w:sz w:val="16"/>
                <w:szCs w:val="16"/>
                <w:color w:val="auto"/>
              </w:rPr>
            </w:pPr>
          </w:p>
        </w:tc>
        <w:tc>
          <w:tcPr>
            <w:tcW w:w="4920" w:type="dxa"/>
            <w:vAlign w:val="bottom"/>
            <w:gridSpan w:val="2"/>
          </w:tcPr>
          <w:p>
            <w:pPr>
              <w:jc w:val="center"/>
              <w:ind w:right="2304"/>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260"/>
        </w:trPr>
        <w:tc>
          <w:tcPr>
            <w:tcW w:w="4500" w:type="dxa"/>
            <w:vAlign w:val="bottom"/>
            <w:gridSpan w:val="2"/>
          </w:tcPr>
          <w:p>
            <w:pPr>
              <w:jc w:val="center"/>
              <w:ind w:left="60"/>
              <w:spacing w:after="0"/>
              <w:rPr>
                <w:sz w:val="20"/>
                <w:szCs w:val="20"/>
                <w:color w:val="auto"/>
              </w:rPr>
            </w:pPr>
            <w:r>
              <w:rPr>
                <w:rFonts w:ascii="Arial" w:cs="Arial" w:eastAsia="Arial" w:hAnsi="Arial"/>
                <w:sz w:val="17"/>
                <w:szCs w:val="17"/>
                <w:b w:val="1"/>
                <w:bCs w:val="1"/>
                <w:color w:val="auto"/>
                <w:w w:val="90"/>
              </w:rPr>
              <w:t>125 Summer Street,</w:t>
            </w:r>
          </w:p>
        </w:tc>
        <w:tc>
          <w:tcPr>
            <w:tcW w:w="1800" w:type="dxa"/>
            <w:vAlign w:val="bottom"/>
          </w:tcPr>
          <w:p>
            <w:pPr>
              <w:spacing w:after="0"/>
              <w:rPr>
                <w:sz w:val="22"/>
                <w:szCs w:val="22"/>
                <w:color w:val="auto"/>
              </w:rPr>
            </w:pPr>
          </w:p>
        </w:tc>
        <w:tc>
          <w:tcPr>
            <w:tcW w:w="4920" w:type="dxa"/>
            <w:vAlign w:val="bottom"/>
            <w:gridSpan w:val="2"/>
          </w:tcPr>
          <w:p>
            <w:pPr>
              <w:jc w:val="right"/>
              <w:ind w:right="3364"/>
              <w:spacing w:after="0"/>
              <w:rPr>
                <w:sz w:val="20"/>
                <w:szCs w:val="20"/>
                <w:color w:val="auto"/>
              </w:rPr>
            </w:pPr>
            <w:r>
              <w:rPr>
                <w:rFonts w:ascii="Arial" w:cs="Arial" w:eastAsia="Arial" w:hAnsi="Arial"/>
                <w:sz w:val="17"/>
                <w:szCs w:val="17"/>
                <w:b w:val="1"/>
                <w:bCs w:val="1"/>
                <w:color w:val="auto"/>
              </w:rPr>
              <w:t>02110</w:t>
            </w:r>
          </w:p>
        </w:tc>
      </w:tr>
      <w:tr>
        <w:trPr>
          <w:trHeight w:val="219"/>
        </w:trPr>
        <w:tc>
          <w:tcPr>
            <w:tcW w:w="4500" w:type="dxa"/>
            <w:vAlign w:val="bottom"/>
            <w:gridSpan w:val="2"/>
          </w:tcPr>
          <w:p>
            <w:pPr>
              <w:ind w:left="1560"/>
              <w:spacing w:after="0"/>
              <w:rPr>
                <w:sz w:val="20"/>
                <w:szCs w:val="20"/>
                <w:color w:val="auto"/>
              </w:rPr>
            </w:pPr>
            <w:r>
              <w:rPr>
                <w:rFonts w:ascii="Arial" w:cs="Arial" w:eastAsia="Arial" w:hAnsi="Arial"/>
                <w:sz w:val="17"/>
                <w:szCs w:val="17"/>
                <w:b w:val="1"/>
                <w:bCs w:val="1"/>
                <w:color w:val="auto"/>
              </w:rPr>
              <w:t>Boston, Massachusetts</w:t>
            </w: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80" w:type="dxa"/>
            <w:vAlign w:val="bottom"/>
          </w:tcPr>
          <w:p>
            <w:pPr>
              <w:jc w:val="center"/>
              <w:ind w:right="2604"/>
              <w:spacing w:after="0"/>
              <w:rPr>
                <w:sz w:val="20"/>
                <w:szCs w:val="20"/>
                <w:color w:val="auto"/>
              </w:rPr>
            </w:pPr>
            <w:r>
              <w:rPr>
                <w:rFonts w:ascii="Arial" w:cs="Arial" w:eastAsia="Arial" w:hAnsi="Arial"/>
                <w:sz w:val="14"/>
                <w:szCs w:val="14"/>
                <w:i w:val="1"/>
                <w:iCs w:val="1"/>
                <w:color w:val="auto"/>
                <w:w w:val="93"/>
              </w:rPr>
              <w:t>(Zip Code)</w:t>
            </w:r>
          </w:p>
        </w:tc>
      </w:tr>
      <w:tr>
        <w:trPr>
          <w:trHeight w:val="182"/>
        </w:trPr>
        <w:tc>
          <w:tcPr>
            <w:tcW w:w="4500" w:type="dxa"/>
            <w:vAlign w:val="bottom"/>
            <w:gridSpan w:val="2"/>
          </w:tcPr>
          <w:p>
            <w:pPr>
              <w:jc w:val="center"/>
              <w:ind w:left="10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1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spacing w:after="0"/>
              <w:rPr>
                <w:sz w:val="15"/>
                <w:szCs w:val="15"/>
                <w:color w:val="auto"/>
              </w:rPr>
            </w:pPr>
          </w:p>
        </w:tc>
      </w:tr>
      <w:tr>
        <w:trPr>
          <w:trHeight w:val="223"/>
        </w:trPr>
        <w:tc>
          <w:tcPr>
            <w:tcW w:w="4160" w:type="dxa"/>
            <w:vAlign w:val="bottom"/>
          </w:tcPr>
          <w:p>
            <w:pPr>
              <w:jc w:val="right"/>
              <w:ind w:right="1280"/>
              <w:spacing w:after="0"/>
              <w:rPr>
                <w:sz w:val="20"/>
                <w:szCs w:val="20"/>
                <w:color w:val="auto"/>
              </w:rPr>
            </w:pPr>
            <w:r>
              <w:rPr>
                <w:rFonts w:ascii="Arial" w:cs="Arial" w:eastAsia="Arial" w:hAnsi="Arial"/>
                <w:sz w:val="17"/>
                <w:szCs w:val="17"/>
                <w:b w:val="1"/>
                <w:bCs w:val="1"/>
                <w:color w:val="auto"/>
              </w:rPr>
              <w:t>(781) 848-7100</w:t>
            </w: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182"/>
        </w:trPr>
        <w:tc>
          <w:tcPr>
            <w:tcW w:w="4500" w:type="dxa"/>
            <w:vAlign w:val="bottom"/>
            <w:gridSpan w:val="2"/>
          </w:tcPr>
          <w:p>
            <w:pPr>
              <w:jc w:val="center"/>
              <w:ind w:left="80"/>
              <w:spacing w:after="0"/>
              <w:rPr>
                <w:sz w:val="20"/>
                <w:szCs w:val="20"/>
                <w:color w:val="auto"/>
              </w:rPr>
            </w:pPr>
            <w:r>
              <w:rPr>
                <w:rFonts w:ascii="Arial" w:cs="Arial" w:eastAsia="Arial" w:hAnsi="Arial"/>
                <w:sz w:val="14"/>
                <w:szCs w:val="14"/>
                <w:i w:val="1"/>
                <w:iCs w:val="1"/>
                <w:color w:val="auto"/>
                <w:w w:val="93"/>
              </w:rPr>
              <w:t>(Registrant's telephone number, including area code)</w:t>
            </w:r>
          </w:p>
        </w:tc>
        <w:tc>
          <w:tcPr>
            <w:tcW w:w="1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spacing w:after="0"/>
              <w:rPr>
                <w:sz w:val="15"/>
                <w:szCs w:val="15"/>
                <w:color w:val="auto"/>
              </w:rPr>
            </w:pPr>
          </w:p>
        </w:tc>
      </w:tr>
      <w:tr>
        <w:trPr>
          <w:trHeight w:val="343"/>
        </w:trPr>
        <w:tc>
          <w:tcPr>
            <w:tcW w:w="112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297"/>
        </w:trPr>
        <w:tc>
          <w:tcPr>
            <w:tcW w:w="4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Title of Each Class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16"/>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Common stock, $.01 par value per share</w:t>
            </w:r>
          </w:p>
        </w:tc>
        <w:tc>
          <w:tcPr>
            <w:tcW w:w="340" w:type="dxa"/>
            <w:vAlign w:val="bottom"/>
          </w:tcPr>
          <w:p>
            <w:pPr>
              <w:spacing w:after="0"/>
              <w:rPr>
                <w:sz w:val="18"/>
                <w:szCs w:val="18"/>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HAE</w:t>
            </w:r>
          </w:p>
        </w:tc>
        <w:tc>
          <w:tcPr>
            <w:tcW w:w="340" w:type="dxa"/>
            <w:vAlign w:val="bottom"/>
          </w:tcPr>
          <w:p>
            <w:pPr>
              <w:spacing w:after="0"/>
              <w:rPr>
                <w:sz w:val="18"/>
                <w:szCs w:val="18"/>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New York Stock Exchange</w:t>
            </w:r>
          </w:p>
        </w:tc>
      </w:tr>
      <w:tr>
        <w:trPr>
          <w:trHeight w:val="304"/>
        </w:trPr>
        <w:tc>
          <w:tcPr>
            <w:tcW w:w="112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r>
      <w:tr>
        <w:trPr>
          <w:trHeight w:val="243"/>
        </w:trPr>
        <w:tc>
          <w:tcPr>
            <w:tcW w:w="4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tcPr>
          <w:p>
            <w:pPr>
              <w:jc w:val="center"/>
              <w:ind w:left="361"/>
              <w:spacing w:after="0"/>
              <w:rPr>
                <w:sz w:val="20"/>
                <w:szCs w:val="20"/>
                <w:color w:val="auto"/>
              </w:rPr>
            </w:pPr>
            <w:r>
              <w:rPr>
                <w:rFonts w:ascii="Arial" w:cs="Arial" w:eastAsia="Arial" w:hAnsi="Arial"/>
                <w:sz w:val="16"/>
                <w:szCs w:val="16"/>
                <w:b w:val="1"/>
                <w:bCs w:val="1"/>
                <w:color w:val="auto"/>
                <w:w w:val="89"/>
              </w:rPr>
              <w:t>None</w:t>
            </w:r>
          </w:p>
        </w:tc>
        <w:tc>
          <w:tcPr>
            <w:tcW w:w="340" w:type="dxa"/>
            <w:vAlign w:val="bottom"/>
          </w:tcPr>
          <w:p>
            <w:pPr>
              <w:spacing w:after="0"/>
              <w:rPr>
                <w:sz w:val="21"/>
                <w:szCs w:val="21"/>
                <w:color w:val="auto"/>
              </w:rPr>
            </w:pPr>
          </w:p>
        </w:tc>
        <w:tc>
          <w:tcPr>
            <w:tcW w:w="4580" w:type="dxa"/>
            <w:vAlign w:val="bottom"/>
          </w:tcPr>
          <w:p>
            <w:pPr>
              <w:spacing w:after="0"/>
              <w:rPr>
                <w:sz w:val="21"/>
                <w:szCs w:val="21"/>
                <w:color w:val="auto"/>
              </w:rPr>
            </w:pPr>
          </w:p>
        </w:tc>
      </w:tr>
      <w:tr>
        <w:trPr>
          <w:trHeight w:val="209"/>
        </w:trPr>
        <w:tc>
          <w:tcPr>
            <w:tcW w:w="11220" w:type="dxa"/>
            <w:vAlign w:val="bottom"/>
            <w:gridSpan w:val="5"/>
          </w:tcPr>
          <w:p>
            <w:pPr>
              <w:ind w:left="340"/>
              <w:spacing w:after="0"/>
              <w:rPr>
                <w:sz w:val="20"/>
                <w:szCs w:val="20"/>
                <w:color w:val="auto"/>
              </w:rPr>
            </w:pPr>
            <w:r>
              <w:rPr>
                <w:rFonts w:ascii="Arial" w:cs="Arial" w:eastAsia="Arial" w:hAnsi="Arial"/>
                <w:sz w:val="16"/>
                <w:szCs w:val="16"/>
                <w:color w:val="auto"/>
              </w:rPr>
              <w:t>Indicate by check mark whether the registrant is a well-known seasoned issuer, as defined in Rule 405 of the Securities</w:t>
            </w:r>
          </w:p>
        </w:tc>
      </w:tr>
      <w:tr>
        <w:trPr>
          <w:trHeight w:val="254"/>
        </w:trPr>
        <w:tc>
          <w:tcPr>
            <w:tcW w:w="4500" w:type="dxa"/>
            <w:vAlign w:val="bottom"/>
            <w:gridSpan w:val="2"/>
          </w:tcPr>
          <w:p>
            <w:pPr>
              <w:spacing w:after="0" w:line="184" w:lineRule="exact"/>
              <w:rPr>
                <w:sz w:val="20"/>
                <w:szCs w:val="20"/>
                <w:color w:val="auto"/>
              </w:rPr>
            </w:pPr>
            <w:r>
              <w:rPr>
                <w:rFonts w:ascii="Arial" w:cs="Arial" w:eastAsia="Arial" w:hAnsi="Arial"/>
                <w:sz w:val="16"/>
                <w:szCs w:val="16"/>
                <w:color w:val="auto"/>
              </w:rPr>
              <w:t xml:space="preserve">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1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580" w:type="dxa"/>
            <w:vAlign w:val="bottom"/>
          </w:tcPr>
          <w:p>
            <w:pPr>
              <w:spacing w:after="0"/>
              <w:rPr>
                <w:sz w:val="22"/>
                <w:szCs w:val="22"/>
                <w:color w:val="auto"/>
              </w:rPr>
            </w:pPr>
          </w:p>
        </w:tc>
      </w:tr>
    </w:tbl>
    <w:p>
      <w:pPr>
        <w:ind w:left="340"/>
        <w:spacing w:after="0" w:line="173" w:lineRule="exact"/>
        <w:tabs>
          <w:tab w:leader="none" w:pos="8620" w:val="left"/>
        </w:tabs>
        <w:rPr>
          <w:sz w:val="20"/>
          <w:szCs w:val="20"/>
          <w:color w:val="auto"/>
        </w:rPr>
      </w:pPr>
      <w:r>
        <w:rPr>
          <w:rFonts w:ascii="Arial" w:cs="Arial" w:eastAsia="Arial" w:hAnsi="Arial"/>
          <w:sz w:val="15"/>
          <w:szCs w:val="15"/>
          <w:color w:val="auto"/>
        </w:rPr>
        <w:t xml:space="preserve">Indicate by check mark whether the registrant is not required to file reports pursuant to Section 13 or 15(d) of the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2" w:lineRule="exact"/>
        <w:rPr>
          <w:sz w:val="24"/>
          <w:szCs w:val="24"/>
          <w:color w:val="auto"/>
        </w:rPr>
      </w:pPr>
    </w:p>
    <w:p>
      <w:pPr>
        <w:ind w:right="6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60" w:firstLine="324"/>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 w:lineRule="exact"/>
        <w:rPr>
          <w:sz w:val="24"/>
          <w:szCs w:val="24"/>
          <w:color w:val="auto"/>
        </w:rPr>
      </w:pPr>
    </w:p>
    <w:p>
      <w:pPr>
        <w:ind w:right="2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035" w:right="359" w:bottom="1440" w:gutter="0" w:footer="0" w:header="0"/>
        </w:sectPr>
      </w:pPr>
    </w:p>
    <w:p>
      <w:pPr>
        <w:spacing w:after="0" w:line="129" w:lineRule="exact"/>
        <w:rPr>
          <w:sz w:val="24"/>
          <w:szCs w:val="24"/>
          <w:color w:val="auto"/>
        </w:rPr>
      </w:pPr>
    </w:p>
    <w:p>
      <w:pPr>
        <w:ind w:left="20" w:right="20"/>
        <w:spacing w:after="0" w:line="389"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ind w:left="6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9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8" w:lineRule="exact"/>
        <w:rPr>
          <w:sz w:val="24"/>
          <w:szCs w:val="24"/>
          <w:color w:val="auto"/>
        </w:rPr>
      </w:pPr>
    </w:p>
    <w:p>
      <w:pPr>
        <w:sectPr>
          <w:pgSz w:w="11900" w:h="16838" w:orient="portrait"/>
          <w:cols w:equalWidth="0" w:num="3">
            <w:col w:w="1580" w:space="720"/>
            <w:col w:w="3600" w:space="720"/>
            <w:col w:w="4600"/>
          </w:cols>
          <w:pgMar w:left="320" w:top="1035" w:right="359" w:bottom="1440" w:gutter="0" w:footer="0" w:header="0"/>
          <w:type w:val="continuous"/>
        </w:sectPr>
      </w:pPr>
    </w:p>
    <w:p>
      <w:pPr>
        <w:ind w:right="5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p>
    <w:p>
      <w:pPr>
        <w:ind w:right="20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left="340"/>
        <w:spacing w:after="0" w:line="173" w:lineRule="exact"/>
        <w:tabs>
          <w:tab w:leader="none" w:pos="84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9" w:lineRule="exact"/>
        <w:rPr>
          <w:sz w:val="24"/>
          <w:szCs w:val="24"/>
          <w:color w:val="auto"/>
        </w:rPr>
      </w:pPr>
    </w:p>
    <w:p>
      <w:pPr>
        <w:ind w:right="40" w:firstLine="324"/>
        <w:spacing w:after="0" w:line="281"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(assuming for these purposes that all executive officers and directors are “affiliates” of the registrant) as of September 26, 2020, the last business day of the registrant’s most recently completed second fiscal quarter was $4,379,572,930 (based on the closing sale price of the registrant’s common stock on that date as reported on the New York Stock Exchange).</w:t>
      </w:r>
    </w:p>
    <w:p>
      <w:pPr>
        <w:spacing w:after="0" w:line="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number of shares of $0.01 par value common stock outstanding as of May 24, 2021 was 50,953,411.</w:t>
      </w:r>
    </w:p>
    <w:p>
      <w:pPr>
        <w:spacing w:after="0" w:line="28"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Portions of the definitive proxy statement for our Annual Meeting of Shareholders to be held on August 6, 2021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80" w:type="dxa"/>
            <w:vAlign w:val="bottom"/>
            <w:gridSpan w:val="7"/>
          </w:tcPr>
          <w:p>
            <w:pPr>
              <w:ind w:left="26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53"/>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9"/>
              </w:rPr>
              <w:t>Page</w:t>
            </w:r>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8"/>
              </w:rPr>
              <w:t>Number</w:t>
            </w:r>
          </w:p>
        </w:tc>
      </w:tr>
      <w:tr>
        <w:trPr>
          <w:trHeight w:val="185"/>
        </w:trPr>
        <w:tc>
          <w:tcPr>
            <w:tcW w:w="1060" w:type="dxa"/>
            <w:vAlign w:val="bottom"/>
          </w:tcPr>
          <w:p>
            <w:pPr>
              <w:ind w:left="20"/>
              <w:spacing w:after="0" w:line="185" w:lineRule="exact"/>
              <w:rPr>
                <w:sz w:val="20"/>
                <w:szCs w:val="20"/>
                <w:color w:val="auto"/>
              </w:rPr>
            </w:pPr>
            <w:r>
              <w:rPr>
                <w:rFonts w:ascii="Arial" w:cs="Arial" w:eastAsia="Arial" w:hAnsi="Arial"/>
                <w:sz w:val="18"/>
                <w:szCs w:val="18"/>
                <w:color w:val="auto"/>
              </w:rPr>
              <w:t>Item 1.</w:t>
            </w:r>
          </w:p>
        </w:tc>
        <w:tc>
          <w:tcPr>
            <w:tcW w:w="9320" w:type="dxa"/>
            <w:vAlign w:val="bottom"/>
            <w:gridSpan w:val="17"/>
          </w:tcPr>
          <w:p>
            <w:pPr>
              <w:spacing w:after="0" w:line="185" w:lineRule="exact"/>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820" w:type="dxa"/>
            <w:vAlign w:val="bottom"/>
            <w:tcBorders>
              <w:top w:val="single" w:sz="8" w:color="auto"/>
            </w:tcBorders>
            <w:gridSpan w:val="5"/>
          </w:tcPr>
          <w:p>
            <w:pPr>
              <w:jc w:val="right"/>
              <w:ind w:right="20"/>
              <w:spacing w:after="0" w:line="185"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40" w:type="dxa"/>
            <w:vAlign w:val="bottom"/>
          </w:tcPr>
          <w:p>
            <w:pPr>
              <w:spacing w:after="0"/>
              <w:rPr>
                <w:sz w:val="16"/>
                <w:szCs w:val="16"/>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gridSpan w:val="3"/>
          </w:tcPr>
          <w:p>
            <w:pPr>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Risk Factors</w:t>
              </w:r>
            </w:hyperlink>
          </w:p>
        </w:tc>
        <w:tc>
          <w:tcPr>
            <w:tcW w:w="8400" w:type="dxa"/>
            <w:vAlign w:val="bottom"/>
            <w:gridSpan w:val="14"/>
          </w:tcPr>
          <w:p>
            <w:pPr>
              <w:spacing w:after="0"/>
              <w:rPr>
                <w:sz w:val="18"/>
                <w:szCs w:val="18"/>
                <w:color w:val="auto"/>
              </w:rPr>
            </w:pPr>
          </w:p>
        </w:tc>
        <w:tc>
          <w:tcPr>
            <w:tcW w:w="62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17</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1B.</w:t>
            </w:r>
          </w:p>
        </w:tc>
        <w:tc>
          <w:tcPr>
            <w:tcW w:w="2060" w:type="dxa"/>
            <w:vAlign w:val="bottom"/>
            <w:gridSpan w:val="7"/>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Unresolved Staff Comments</w:t>
              </w:r>
            </w:hyperlink>
          </w:p>
        </w:tc>
        <w:tc>
          <w:tcPr>
            <w:tcW w:w="7260" w:type="dxa"/>
            <w:vAlign w:val="bottom"/>
            <w:gridSpan w:val="10"/>
          </w:tcPr>
          <w:p>
            <w:pPr>
              <w:spacing w:after="0"/>
              <w:rPr>
                <w:sz w:val="18"/>
                <w:szCs w:val="18"/>
                <w:color w:val="auto"/>
              </w:rPr>
            </w:pPr>
          </w:p>
        </w:tc>
        <w:tc>
          <w:tcPr>
            <w:tcW w:w="62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Properties</w:t>
              </w:r>
            </w:hyperlink>
          </w:p>
        </w:tc>
        <w:tc>
          <w:tcPr>
            <w:tcW w:w="1320" w:type="dxa"/>
            <w:vAlign w:val="bottom"/>
            <w:gridSpan w:val="5"/>
          </w:tcPr>
          <w:p>
            <w:pPr>
              <w:spacing w:after="0"/>
              <w:rPr>
                <w:sz w:val="18"/>
                <w:szCs w:val="18"/>
                <w:color w:val="auto"/>
              </w:rPr>
            </w:pPr>
          </w:p>
        </w:tc>
        <w:tc>
          <w:tcPr>
            <w:tcW w:w="7260" w:type="dxa"/>
            <w:vAlign w:val="bottom"/>
            <w:gridSpan w:val="10"/>
          </w:tcPr>
          <w:p>
            <w:pPr>
              <w:spacing w:after="0"/>
              <w:rPr>
                <w:sz w:val="18"/>
                <w:szCs w:val="18"/>
                <w:color w:val="auto"/>
              </w:rPr>
            </w:pPr>
          </w:p>
        </w:tc>
        <w:tc>
          <w:tcPr>
            <w:tcW w:w="62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3.</w:t>
            </w:r>
          </w:p>
        </w:tc>
        <w:tc>
          <w:tcPr>
            <w:tcW w:w="1320" w:type="dxa"/>
            <w:vAlign w:val="bottom"/>
            <w:gridSpan w:val="4"/>
          </w:tcPr>
          <w:p>
            <w:pPr>
              <w:spacing w:after="0"/>
              <w:rPr>
                <w:rFonts w:ascii="Arial" w:cs="Arial" w:eastAsia="Arial" w:hAnsi="Arial"/>
                <w:sz w:val="18"/>
                <w:szCs w:val="18"/>
                <w:color w:val="0000FF"/>
                <w:w w:val="85"/>
              </w:rPr>
            </w:pPr>
            <w:hyperlink w:anchor="page32">
              <w:r>
                <w:rPr>
                  <w:rFonts w:ascii="Arial" w:cs="Arial" w:eastAsia="Arial" w:hAnsi="Arial"/>
                  <w:sz w:val="18"/>
                  <w:szCs w:val="18"/>
                  <w:color w:val="0000FF"/>
                  <w:w w:val="85"/>
                </w:rPr>
                <w:t>Legal Proceedings</w:t>
              </w:r>
            </w:hyperlink>
          </w:p>
        </w:tc>
        <w:tc>
          <w:tcPr>
            <w:tcW w:w="8000" w:type="dxa"/>
            <w:vAlign w:val="bottom"/>
            <w:gridSpan w:val="13"/>
          </w:tcPr>
          <w:p>
            <w:pPr>
              <w:spacing w:after="0"/>
              <w:rPr>
                <w:sz w:val="18"/>
                <w:szCs w:val="18"/>
                <w:color w:val="auto"/>
              </w:rPr>
            </w:pPr>
          </w:p>
        </w:tc>
        <w:tc>
          <w:tcPr>
            <w:tcW w:w="62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30</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Mine Safety Disclosures</w:t>
              </w:r>
            </w:hyperlink>
          </w:p>
        </w:tc>
        <w:tc>
          <w:tcPr>
            <w:tcW w:w="7540" w:type="dxa"/>
            <w:vAlign w:val="bottom"/>
            <w:gridSpan w:val="11"/>
          </w:tcPr>
          <w:p>
            <w:pPr>
              <w:spacing w:after="0"/>
              <w:rPr>
                <w:sz w:val="18"/>
                <w:szCs w:val="18"/>
                <w:color w:val="auto"/>
              </w:rPr>
            </w:pPr>
          </w:p>
        </w:tc>
        <w:tc>
          <w:tcPr>
            <w:tcW w:w="62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30</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5.</w:t>
            </w:r>
          </w:p>
        </w:tc>
        <w:tc>
          <w:tcPr>
            <w:tcW w:w="9320" w:type="dxa"/>
            <w:vAlign w:val="bottom"/>
            <w:gridSpan w:val="1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Market for the Registrant’s Common Equity, Related Stockholder Matters and Issuer Purchases of Equity Securities</w:t>
              </w:r>
            </w:hyperlink>
          </w:p>
        </w:tc>
        <w:tc>
          <w:tcPr>
            <w:tcW w:w="820" w:type="dxa"/>
            <w:vAlign w:val="bottom"/>
            <w:gridSpan w:val="5"/>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6.</w:t>
            </w:r>
          </w:p>
        </w:tc>
        <w:tc>
          <w:tcPr>
            <w:tcW w:w="1700" w:type="dxa"/>
            <w:vAlign w:val="bottom"/>
            <w:gridSpan w:val="5"/>
          </w:tcPr>
          <w:p>
            <w:pPr>
              <w:spacing w:after="0"/>
              <w:rPr>
                <w:rFonts w:ascii="Arial" w:cs="Arial" w:eastAsia="Arial" w:hAnsi="Arial"/>
                <w:sz w:val="18"/>
                <w:szCs w:val="18"/>
                <w:color w:val="0000FF"/>
                <w:w w:val="87"/>
              </w:rPr>
            </w:pPr>
            <w:hyperlink w:anchor="page32">
              <w:r>
                <w:rPr>
                  <w:rFonts w:ascii="Arial" w:cs="Arial" w:eastAsia="Arial" w:hAnsi="Arial"/>
                  <w:sz w:val="18"/>
                  <w:szCs w:val="18"/>
                  <w:color w:val="0000FF"/>
                  <w:w w:val="87"/>
                </w:rPr>
                <w:t>Selected Financial Data</w:t>
              </w:r>
            </w:hyperlink>
          </w:p>
        </w:tc>
        <w:tc>
          <w:tcPr>
            <w:tcW w:w="6640" w:type="dxa"/>
            <w:vAlign w:val="bottom"/>
            <w:gridSpan w:val="11"/>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7.</w:t>
            </w:r>
          </w:p>
        </w:tc>
        <w:tc>
          <w:tcPr>
            <w:tcW w:w="9320" w:type="dxa"/>
            <w:vAlign w:val="bottom"/>
            <w:gridSpan w:val="17"/>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 Results of Operations</w:t>
              </w:r>
            </w:hyperlink>
          </w:p>
        </w:tc>
        <w:tc>
          <w:tcPr>
            <w:tcW w:w="820" w:type="dxa"/>
            <w:vAlign w:val="bottom"/>
            <w:gridSpan w:val="5"/>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7A.</w:t>
            </w:r>
          </w:p>
        </w:tc>
        <w:tc>
          <w:tcPr>
            <w:tcW w:w="4320" w:type="dxa"/>
            <w:vAlign w:val="bottom"/>
            <w:gridSpan w:val="11"/>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Quantitative and Qualitative Disclosures about Market Risk</w:t>
              </w:r>
            </w:hyperlink>
          </w:p>
        </w:tc>
        <w:tc>
          <w:tcPr>
            <w:tcW w:w="2140" w:type="dxa"/>
            <w:vAlign w:val="bottom"/>
            <w:gridSpan w:val="3"/>
          </w:tcPr>
          <w:p>
            <w:pPr>
              <w:spacing w:after="0"/>
              <w:rPr>
                <w:sz w:val="18"/>
                <w:szCs w:val="18"/>
                <w:color w:val="auto"/>
              </w:rPr>
            </w:pPr>
          </w:p>
        </w:tc>
        <w:tc>
          <w:tcPr>
            <w:tcW w:w="2860" w:type="dxa"/>
            <w:vAlign w:val="bottom"/>
            <w:gridSpan w:val="3"/>
          </w:tcPr>
          <w:p>
            <w:pPr>
              <w:spacing w:after="0"/>
              <w:rPr>
                <w:sz w:val="18"/>
                <w:szCs w:val="18"/>
                <w:color w:val="auto"/>
              </w:rPr>
            </w:pPr>
          </w:p>
        </w:tc>
        <w:tc>
          <w:tcPr>
            <w:tcW w:w="62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50</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8.</w:t>
            </w:r>
          </w:p>
        </w:tc>
        <w:tc>
          <w:tcPr>
            <w:tcW w:w="3340" w:type="dxa"/>
            <w:vAlign w:val="bottom"/>
            <w:gridSpan w:val="10"/>
          </w:tcPr>
          <w:p>
            <w:pP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Financial Statements and Supplementary Data</w:t>
              </w:r>
            </w:hyperlink>
          </w:p>
        </w:tc>
        <w:tc>
          <w:tcPr>
            <w:tcW w:w="980" w:type="dxa"/>
            <w:vAlign w:val="bottom"/>
          </w:tcPr>
          <w:p>
            <w:pPr>
              <w:spacing w:after="0"/>
              <w:rPr>
                <w:sz w:val="18"/>
                <w:szCs w:val="18"/>
                <w:color w:val="auto"/>
              </w:rPr>
            </w:pPr>
          </w:p>
        </w:tc>
        <w:tc>
          <w:tcPr>
            <w:tcW w:w="5000" w:type="dxa"/>
            <w:vAlign w:val="bottom"/>
            <w:gridSpan w:val="6"/>
          </w:tcPr>
          <w:p>
            <w:pPr>
              <w:spacing w:after="0"/>
              <w:rPr>
                <w:sz w:val="18"/>
                <w:szCs w:val="18"/>
                <w:color w:val="auto"/>
              </w:rPr>
            </w:pPr>
          </w:p>
        </w:tc>
        <w:tc>
          <w:tcPr>
            <w:tcW w:w="62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55</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9.</w:t>
            </w:r>
          </w:p>
        </w:tc>
        <w:tc>
          <w:tcPr>
            <w:tcW w:w="9320" w:type="dxa"/>
            <w:vAlign w:val="bottom"/>
            <w:gridSpan w:val="17"/>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Changes in and Disagreements with Accountants on Accounting and Financial Disclosure</w:t>
              </w:r>
            </w:hyperlink>
          </w:p>
        </w:tc>
        <w:tc>
          <w:tcPr>
            <w:tcW w:w="820" w:type="dxa"/>
            <w:vAlign w:val="bottom"/>
            <w:gridSpan w:val="5"/>
          </w:tcPr>
          <w:p>
            <w:pPr>
              <w:jc w:val="right"/>
              <w:ind w:right="20"/>
              <w:spacing w:after="0"/>
              <w:rPr>
                <w:rFonts w:ascii="Arial" w:cs="Arial" w:eastAsia="Arial" w:hAnsi="Arial"/>
                <w:sz w:val="18"/>
                <w:szCs w:val="18"/>
                <w:color w:val="0000FF"/>
              </w:rPr>
            </w:pPr>
            <w:hyperlink w:anchor="page106">
              <w:r>
                <w:rPr>
                  <w:rFonts w:ascii="Arial" w:cs="Arial" w:eastAsia="Arial" w:hAnsi="Arial"/>
                  <w:sz w:val="18"/>
                  <w:szCs w:val="18"/>
                  <w:color w:val="0000FF"/>
                </w:rPr>
                <w:t>105</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9A.</w:t>
            </w:r>
          </w:p>
        </w:tc>
        <w:tc>
          <w:tcPr>
            <w:tcW w:w="6460" w:type="dxa"/>
            <w:vAlign w:val="bottom"/>
            <w:gridSpan w:val="14"/>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Control and Procedures</w:t>
              </w:r>
            </w:hyperlink>
          </w:p>
        </w:tc>
        <w:tc>
          <w:tcPr>
            <w:tcW w:w="2860" w:type="dxa"/>
            <w:vAlign w:val="bottom"/>
            <w:gridSpan w:val="3"/>
          </w:tcPr>
          <w:p>
            <w:pPr>
              <w:spacing w:after="0"/>
              <w:rPr>
                <w:sz w:val="18"/>
                <w:szCs w:val="18"/>
                <w:color w:val="auto"/>
              </w:rPr>
            </w:pPr>
          </w:p>
        </w:tc>
        <w:tc>
          <w:tcPr>
            <w:tcW w:w="820" w:type="dxa"/>
            <w:vAlign w:val="bottom"/>
            <w:gridSpan w:val="5"/>
          </w:tcPr>
          <w:p>
            <w:pPr>
              <w:jc w:val="right"/>
              <w:ind w:right="20"/>
              <w:spacing w:after="0"/>
              <w:rPr>
                <w:rFonts w:ascii="Arial" w:cs="Arial" w:eastAsia="Arial" w:hAnsi="Arial"/>
                <w:sz w:val="18"/>
                <w:szCs w:val="18"/>
                <w:color w:val="0000FF"/>
              </w:rPr>
            </w:pPr>
            <w:hyperlink w:anchor="page107">
              <w:r>
                <w:rPr>
                  <w:rFonts w:ascii="Arial" w:cs="Arial" w:eastAsia="Arial" w:hAnsi="Arial"/>
                  <w:sz w:val="18"/>
                  <w:szCs w:val="18"/>
                  <w:color w:val="0000FF"/>
                </w:rPr>
                <w:t>105</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9B.</w:t>
            </w:r>
          </w:p>
        </w:tc>
        <w:tc>
          <w:tcPr>
            <w:tcW w:w="1320" w:type="dxa"/>
            <w:vAlign w:val="bottom"/>
            <w:gridSpan w:val="4"/>
          </w:tcPr>
          <w:p>
            <w:pPr>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Other Information</w:t>
              </w:r>
            </w:hyperlink>
          </w:p>
        </w:tc>
        <w:tc>
          <w:tcPr>
            <w:tcW w:w="380" w:type="dxa"/>
            <w:vAlign w:val="bottom"/>
          </w:tcPr>
          <w:p>
            <w:pPr>
              <w:spacing w:after="0"/>
              <w:rPr>
                <w:sz w:val="18"/>
                <w:szCs w:val="18"/>
                <w:color w:val="auto"/>
              </w:rPr>
            </w:pPr>
          </w:p>
        </w:tc>
        <w:tc>
          <w:tcPr>
            <w:tcW w:w="7620" w:type="dxa"/>
            <w:vAlign w:val="bottom"/>
            <w:gridSpan w:val="12"/>
          </w:tcPr>
          <w:p>
            <w:pPr>
              <w:spacing w:after="0"/>
              <w:rPr>
                <w:sz w:val="18"/>
                <w:szCs w:val="18"/>
                <w:color w:val="auto"/>
              </w:rPr>
            </w:pPr>
          </w:p>
        </w:tc>
        <w:tc>
          <w:tcPr>
            <w:tcW w:w="820" w:type="dxa"/>
            <w:vAlign w:val="bottom"/>
            <w:gridSpan w:val="5"/>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107</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10.</w:t>
            </w:r>
          </w:p>
        </w:tc>
        <w:tc>
          <w:tcPr>
            <w:tcW w:w="9320" w:type="dxa"/>
            <w:vAlign w:val="bottom"/>
            <w:gridSpan w:val="17"/>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Directors and Executive Officers of the Registrant and Corporate Governance</w:t>
              </w:r>
            </w:hyperlink>
          </w:p>
        </w:tc>
        <w:tc>
          <w:tcPr>
            <w:tcW w:w="820" w:type="dxa"/>
            <w:vAlign w:val="bottom"/>
            <w:gridSpan w:val="5"/>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107</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11.</w:t>
            </w:r>
          </w:p>
        </w:tc>
        <w:tc>
          <w:tcPr>
            <w:tcW w:w="5600" w:type="dxa"/>
            <w:vAlign w:val="bottom"/>
            <w:gridSpan w:val="13"/>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Executive Compensation</w:t>
              </w:r>
            </w:hyperlink>
          </w:p>
        </w:tc>
        <w:tc>
          <w:tcPr>
            <w:tcW w:w="3720" w:type="dxa"/>
            <w:vAlign w:val="bottom"/>
            <w:gridSpan w:val="4"/>
          </w:tcPr>
          <w:p>
            <w:pPr>
              <w:spacing w:after="0"/>
              <w:rPr>
                <w:sz w:val="18"/>
                <w:szCs w:val="18"/>
                <w:color w:val="auto"/>
              </w:rPr>
            </w:pPr>
          </w:p>
        </w:tc>
        <w:tc>
          <w:tcPr>
            <w:tcW w:w="820" w:type="dxa"/>
            <w:vAlign w:val="bottom"/>
            <w:gridSpan w:val="5"/>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107</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12.</w:t>
            </w:r>
          </w:p>
        </w:tc>
        <w:tc>
          <w:tcPr>
            <w:tcW w:w="7300" w:type="dxa"/>
            <w:vAlign w:val="bottom"/>
            <w:gridSpan w:val="15"/>
          </w:tcPr>
          <w:p>
            <w:pPr>
              <w:spacing w:after="0"/>
              <w:rPr>
                <w:rFonts w:ascii="Arial" w:cs="Arial" w:eastAsia="Arial" w:hAnsi="Arial"/>
                <w:sz w:val="18"/>
                <w:szCs w:val="18"/>
                <w:color w:val="0000FF"/>
                <w:w w:val="90"/>
              </w:rPr>
            </w:pPr>
            <w:hyperlink w:anchor="page109">
              <w:r>
                <w:rPr>
                  <w:rFonts w:ascii="Arial" w:cs="Arial" w:eastAsia="Arial" w:hAnsi="Arial"/>
                  <w:sz w:val="18"/>
                  <w:szCs w:val="18"/>
                  <w:color w:val="0000FF"/>
                  <w:w w:val="90"/>
                </w:rPr>
                <w:t>Security Ownership of Certain Beneficial Owners and Management and Related Stockholder Matters</w:t>
              </w:r>
            </w:hyperlink>
          </w:p>
        </w:tc>
        <w:tc>
          <w:tcPr>
            <w:tcW w:w="2020" w:type="dxa"/>
            <w:vAlign w:val="bottom"/>
            <w:gridSpan w:val="2"/>
          </w:tcPr>
          <w:p>
            <w:pPr>
              <w:spacing w:after="0"/>
              <w:rPr>
                <w:sz w:val="18"/>
                <w:szCs w:val="18"/>
                <w:color w:val="auto"/>
              </w:rPr>
            </w:pPr>
          </w:p>
        </w:tc>
        <w:tc>
          <w:tcPr>
            <w:tcW w:w="820" w:type="dxa"/>
            <w:vAlign w:val="bottom"/>
            <w:gridSpan w:val="5"/>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107</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288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13.</w:t>
            </w:r>
          </w:p>
        </w:tc>
        <w:tc>
          <w:tcPr>
            <w:tcW w:w="5420" w:type="dxa"/>
            <w:vAlign w:val="bottom"/>
            <w:gridSpan w:val="12"/>
          </w:tcPr>
          <w:p>
            <w:pPr>
              <w:spacing w:after="0"/>
              <w:rPr>
                <w:rFonts w:ascii="Arial" w:cs="Arial" w:eastAsia="Arial" w:hAnsi="Arial"/>
                <w:sz w:val="18"/>
                <w:szCs w:val="18"/>
                <w:color w:val="0000FF"/>
                <w:w w:val="89"/>
              </w:rPr>
            </w:pPr>
            <w:hyperlink w:anchor="page109">
              <w:r>
                <w:rPr>
                  <w:rFonts w:ascii="Arial" w:cs="Arial" w:eastAsia="Arial" w:hAnsi="Arial"/>
                  <w:sz w:val="18"/>
                  <w:szCs w:val="18"/>
                  <w:color w:val="0000FF"/>
                  <w:w w:val="89"/>
                </w:rPr>
                <w:t>Certain Relationships and Related Transactions and Director Independence</w:t>
              </w:r>
            </w:hyperlink>
          </w:p>
        </w:tc>
        <w:tc>
          <w:tcPr>
            <w:tcW w:w="1880" w:type="dxa"/>
            <w:vAlign w:val="bottom"/>
            <w:gridSpan w:val="3"/>
          </w:tcPr>
          <w:p>
            <w:pPr>
              <w:spacing w:after="0"/>
              <w:rPr>
                <w:sz w:val="18"/>
                <w:szCs w:val="18"/>
                <w:color w:val="auto"/>
              </w:rPr>
            </w:pPr>
          </w:p>
        </w:tc>
        <w:tc>
          <w:tcPr>
            <w:tcW w:w="2020" w:type="dxa"/>
            <w:vAlign w:val="bottom"/>
            <w:gridSpan w:val="2"/>
          </w:tcPr>
          <w:p>
            <w:pPr>
              <w:spacing w:after="0"/>
              <w:rPr>
                <w:sz w:val="18"/>
                <w:szCs w:val="18"/>
                <w:color w:val="auto"/>
              </w:rPr>
            </w:pPr>
          </w:p>
        </w:tc>
        <w:tc>
          <w:tcPr>
            <w:tcW w:w="820" w:type="dxa"/>
            <w:vAlign w:val="bottom"/>
            <w:gridSpan w:val="5"/>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107</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14.</w:t>
            </w:r>
          </w:p>
        </w:tc>
        <w:tc>
          <w:tcPr>
            <w:tcW w:w="2880" w:type="dxa"/>
            <w:vAlign w:val="bottom"/>
            <w:gridSpan w:val="8"/>
          </w:tcPr>
          <w:p>
            <w:pPr>
              <w:spacing w:after="0"/>
              <w:rPr>
                <w:rFonts w:ascii="Arial" w:cs="Arial" w:eastAsia="Arial" w:hAnsi="Arial"/>
                <w:sz w:val="18"/>
                <w:szCs w:val="18"/>
                <w:color w:val="0000FF"/>
                <w:w w:val="90"/>
              </w:rPr>
            </w:pPr>
            <w:hyperlink w:anchor="page109">
              <w:r>
                <w:rPr>
                  <w:rFonts w:ascii="Arial" w:cs="Arial" w:eastAsia="Arial" w:hAnsi="Arial"/>
                  <w:sz w:val="18"/>
                  <w:szCs w:val="18"/>
                  <w:color w:val="0000FF"/>
                  <w:w w:val="90"/>
                </w:rPr>
                <w:t>Principal Accounting Fees and Services</w:t>
              </w:r>
            </w:hyperlink>
          </w:p>
        </w:tc>
        <w:tc>
          <w:tcPr>
            <w:tcW w:w="2540" w:type="dxa"/>
            <w:vAlign w:val="bottom"/>
            <w:gridSpan w:val="4"/>
          </w:tcPr>
          <w:p>
            <w:pPr>
              <w:spacing w:after="0"/>
              <w:rPr>
                <w:sz w:val="18"/>
                <w:szCs w:val="18"/>
                <w:color w:val="auto"/>
              </w:rPr>
            </w:pPr>
          </w:p>
        </w:tc>
        <w:tc>
          <w:tcPr>
            <w:tcW w:w="3900" w:type="dxa"/>
            <w:vAlign w:val="bottom"/>
            <w:gridSpan w:val="5"/>
          </w:tcPr>
          <w:p>
            <w:pPr>
              <w:spacing w:after="0"/>
              <w:rPr>
                <w:sz w:val="18"/>
                <w:szCs w:val="18"/>
                <w:color w:val="auto"/>
              </w:rPr>
            </w:pPr>
          </w:p>
        </w:tc>
        <w:tc>
          <w:tcPr>
            <w:tcW w:w="820" w:type="dxa"/>
            <w:vAlign w:val="bottom"/>
            <w:gridSpan w:val="5"/>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107</w:t>
              </w:r>
            </w:hyperlink>
          </w:p>
        </w:tc>
        <w:tc>
          <w:tcPr>
            <w:tcW w:w="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15.</w:t>
            </w:r>
          </w:p>
        </w:tc>
        <w:tc>
          <w:tcPr>
            <w:tcW w:w="9320" w:type="dxa"/>
            <w:vAlign w:val="bottom"/>
            <w:gridSpan w:val="17"/>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Exhibits, Financial Statement Schedules</w:t>
              </w:r>
            </w:hyperlink>
          </w:p>
        </w:tc>
        <w:tc>
          <w:tcPr>
            <w:tcW w:w="820" w:type="dxa"/>
            <w:vAlign w:val="bottom"/>
            <w:gridSpan w:val="5"/>
          </w:tcPr>
          <w:p>
            <w:pPr>
              <w:jc w:val="right"/>
              <w:ind w:right="20"/>
              <w:spacing w:after="0"/>
              <w:rPr>
                <w:rFonts w:ascii="Arial" w:cs="Arial" w:eastAsia="Arial" w:hAnsi="Arial"/>
                <w:sz w:val="18"/>
                <w:szCs w:val="18"/>
                <w:color w:val="0000FF"/>
              </w:rPr>
            </w:pPr>
            <w:hyperlink w:anchor="page110">
              <w:r>
                <w:rPr>
                  <w:rFonts w:ascii="Arial" w:cs="Arial" w:eastAsia="Arial" w:hAnsi="Arial"/>
                  <w:sz w:val="18"/>
                  <w:szCs w:val="18"/>
                  <w:color w:val="0000FF"/>
                </w:rPr>
                <w:t>108</w:t>
              </w:r>
            </w:hyperlink>
          </w:p>
        </w:tc>
        <w:tc>
          <w:tcPr>
            <w:tcW w:w="40" w:type="dxa"/>
            <w:vAlign w:val="bottom"/>
          </w:tcPr>
          <w:p>
            <w:pPr>
              <w:spacing w:after="0"/>
              <w:rPr>
                <w:sz w:val="18"/>
                <w:szCs w:val="18"/>
                <w:color w:val="auto"/>
              </w:rPr>
            </w:pPr>
          </w:p>
        </w:tc>
      </w:tr>
      <w:tr>
        <w:trPr>
          <w:trHeight w:val="1027"/>
        </w:trPr>
        <w:tc>
          <w:tcPr>
            <w:tcW w:w="106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Company Overview</w:t>
      </w:r>
    </w:p>
    <w:p>
      <w:pPr>
        <w:spacing w:after="0" w:line="25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Haemonetics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 When used in this report, the terms “we,” “us,” “our” and “the Company” mean Haemonetics.</w:t>
      </w:r>
    </w:p>
    <w:p>
      <w:pPr>
        <w:spacing w:after="0" w:line="17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Blood is essential to a modern healthcare system. Blood and its components (plasma, red cells and platelets)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w:t>
      </w:r>
    </w:p>
    <w:p>
      <w:pPr>
        <w:spacing w:after="0" w:line="184"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Cell Salvage, Transfusion Management and Vascular Closure products, includes devices and methodologies for measuring coagulation characteristics of blood, surgical blood salvage systems, specialized blood cell processing systems and disposables, blood transfusion management software and vascular closure devices. Financial information concerning these segments is provided in Note 18 to our audited consolidated financial statements contained in Item 8 of this Annual Report on Form 10-K.</w:t>
      </w:r>
    </w:p>
    <w:p>
      <w:pPr>
        <w:spacing w:after="0" w:line="204"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and Products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Lines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212529"/>
        </w:rPr>
        <w:t>The following describes our principal products in each of our segments.</w:t>
      </w:r>
    </w:p>
    <w:p>
      <w:pPr>
        <w:spacing w:after="0" w:line="12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Plasma</w:t>
      </w:r>
    </w:p>
    <w:p>
      <w:pPr>
        <w:spacing w:after="0" w:line="256" w:lineRule="exact"/>
        <w:rPr>
          <w:rFonts w:ascii="Arial" w:cs="Arial" w:eastAsia="Arial" w:hAnsi="Arial"/>
          <w:sz w:val="18"/>
          <w:szCs w:val="18"/>
          <w:b w:val="1"/>
          <w:bCs w:val="1"/>
          <w:color w:val="auto"/>
        </w:rPr>
      </w:pPr>
    </w:p>
    <w:p>
      <w:pPr>
        <w:ind w:left="66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Our Plasma business offers automated plasma collection and donor management software systems that improve the yield, efficiency, quality, safety and overall donor experience at plasma collection centers. We continue to invest in technology that lowers the overall cost to collect plasma while maintaining high standards of quality and safety.</w:t>
      </w:r>
    </w:p>
    <w:p>
      <w:pPr>
        <w:spacing w:after="0" w:line="102" w:lineRule="exact"/>
        <w:rPr>
          <w:rFonts w:ascii="Arial" w:cs="Arial" w:eastAsia="Arial" w:hAnsi="Arial"/>
          <w:sz w:val="18"/>
          <w:szCs w:val="18"/>
          <w:b w:val="1"/>
          <w:bCs w:val="1"/>
          <w:color w:val="auto"/>
        </w:rPr>
      </w:pPr>
    </w:p>
    <w:p>
      <w:pPr>
        <w:ind w:left="660" w:right="120"/>
        <w:spacing w:after="0" w:line="263"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Plasma Collection Market for Fractionation </w:t>
      </w:r>
      <w:r>
        <w:rPr>
          <w:rFonts w:ascii="Arial" w:cs="Arial" w:eastAsia="Arial" w:hAnsi="Arial"/>
          <w:sz w:val="18"/>
          <w:szCs w:val="18"/>
          <w:color w:val="auto"/>
        </w:rPr>
        <w:t>— Human plasma is collected for two purposes. First, it is used for transfusions in patients,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trauma victims who need to compensate for extreme blood loss, and second, it is processed into pharmaceuticals that aid in the treatment of immune diseases and coagulation disorders.</w:t>
      </w:r>
    </w:p>
    <w:p>
      <w:pPr>
        <w:spacing w:after="0" w:line="210"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Plasma for transfusion is almost exclusively collected by blood centers as part of their broader mission to supply blood components. Plasma that is fractionated and manufactured into pharmaceuticals - frequently referred to as “source plasma” - is mainly collected by vertically integrated biopharmaceutical companies who operate their own collection centers and recruit donors specifically for source plasma donation. The markets for transfusion plasma and source plasma have different participants, product requirements and growth profiles. We serve the market for plasma that is processed into pharmaceuticals through our Plasma business, and we serve the market for transfusion plasma through our Blood Center business.</w:t>
      </w:r>
    </w:p>
    <w:p>
      <w:pPr>
        <w:spacing w:after="0" w:line="219" w:lineRule="exact"/>
        <w:rPr>
          <w:rFonts w:ascii="Arial" w:cs="Arial" w:eastAsia="Arial" w:hAnsi="Arial"/>
          <w:sz w:val="18"/>
          <w:szCs w:val="18"/>
          <w:b w:val="1"/>
          <w:bCs w:val="1"/>
          <w:color w:val="auto"/>
        </w:rPr>
      </w:pPr>
    </w:p>
    <w:p>
      <w:pPr>
        <w:ind w:left="660" w:right="8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One of the distinguishing features of the source plasma market is the method of collection. There are three primary ways to collect plasma. The first is to collect it from whole blood donations. When whole blood is processed, plasma can be separated at the same time as red cells and platelets and stored for future use. The second is as part of an apheresis procedure that also collects another blood component. These two methods are mainly used by blood centers to collect plasma for transfusions. The third method is a dedicated apheresis procedure that only collects plasma and returns the other blood components to the donor. This third method is mainly used for source plasma collection.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right="220"/>
        <w:spacing w:after="0" w:line="259" w:lineRule="auto"/>
        <w:rPr>
          <w:sz w:val="20"/>
          <w:szCs w:val="20"/>
          <w:color w:val="auto"/>
        </w:rPr>
      </w:pPr>
      <w:r>
        <w:rPr>
          <w:rFonts w:ascii="Arial" w:cs="Arial" w:eastAsia="Arial" w:hAnsi="Arial"/>
          <w:sz w:val="18"/>
          <w:szCs w:val="18"/>
          <w:color w:val="auto"/>
        </w:rPr>
        <w:t>Our Plasma business unit focuses on the collection of source plasma by pharmaceutical manufacturers using apheresis devices that only collect plasma and software solutions that support the efficient operation of dedicated source plasma collection centers. Our Blood Center business supports the collection of plasma for blood collectors, such as the American Red Cross, using both whole blood and multi-component apheresis collection devices.</w:t>
      </w:r>
    </w:p>
    <w:p>
      <w:pPr>
        <w:spacing w:after="0" w:line="214" w:lineRule="exact"/>
        <w:rPr>
          <w:sz w:val="20"/>
          <w:szCs w:val="20"/>
          <w:color w:val="auto"/>
        </w:rPr>
      </w:pPr>
    </w:p>
    <w:p>
      <w:pPr>
        <w:ind w:left="660" w:right="200"/>
        <w:spacing w:after="0" w:line="257" w:lineRule="auto"/>
        <w:rPr>
          <w:sz w:val="20"/>
          <w:szCs w:val="20"/>
          <w:color w:val="auto"/>
        </w:rPr>
      </w:pPr>
      <w:r>
        <w:rPr>
          <w:rFonts w:ascii="Arial" w:cs="Arial" w:eastAsia="Arial" w:hAnsi="Arial"/>
          <w:sz w:val="18"/>
          <w:szCs w:val="18"/>
          <w:color w:val="auto"/>
        </w:rPr>
        <w:t>Over the last 20 years, the collection of source plasma has increasingly been done by vertically integrated biopharmaceutical companies such as CSL Limited (together with its affiliates, “CSL”), Grifols S.A. (together with its affiliates, “Grifols”), Octapharma AG and Takeda's BioLife Plasma subsidiary. With their global operations and management expertise, these companies are focused on efficient plasma supply chain management and leveraging information technology to manage operations from the point of plasma donation through fractionation to the production of the final product.</w:t>
      </w:r>
    </w:p>
    <w:p>
      <w:pPr>
        <w:spacing w:after="0" w:line="215" w:lineRule="exact"/>
        <w:rPr>
          <w:sz w:val="20"/>
          <w:szCs w:val="20"/>
          <w:color w:val="auto"/>
        </w:rPr>
      </w:pPr>
    </w:p>
    <w:p>
      <w:pPr>
        <w:ind w:left="660" w:right="20"/>
        <w:spacing w:after="0" w:line="290" w:lineRule="auto"/>
        <w:rPr>
          <w:sz w:val="20"/>
          <w:szCs w:val="20"/>
          <w:color w:val="auto"/>
        </w:rPr>
      </w:pPr>
      <w:r>
        <w:rPr>
          <w:rFonts w:ascii="Arial" w:cs="Arial" w:eastAsia="Arial" w:hAnsi="Arial"/>
          <w:sz w:val="16"/>
          <w:szCs w:val="16"/>
          <w:color w:val="auto"/>
        </w:rPr>
        <w:t>Demand for source plasma has continued to grow because of an expanding end user market for plasma-derived biopharmaceuticals. In particular, therapies that require a significant quantity of plasma to create have fueled an increase in the number of donations and dedicated source plasma collection centers. A significant portion of this growth has occurred in the United States with U.S. produced plasma now meeting an increasing percentage of plasma volume demand worldwide. The U.S. has regulations that are significantly more favorable relative to other markets for plasma collectors. The frequency with which a donor may donate, the volume of plasma that may be donated each time and the ability to remunerate donors are all optimal in the U.S., leading to over 70% of worldwide source plasma collections occurring in the U.S. Plasma collectors have long sought changes to plasma collection regulations outside of the U.S. to allow for greater frequency, volume per donation, and remuneration but achievements have been limited and no changes are foreseen in the prevalence of U.S. collections.</w:t>
      </w:r>
    </w:p>
    <w:p>
      <w:pPr>
        <w:spacing w:after="0" w:line="71" w:lineRule="exact"/>
        <w:rPr>
          <w:sz w:val="20"/>
          <w:szCs w:val="20"/>
          <w:color w:val="auto"/>
        </w:rPr>
      </w:pPr>
    </w:p>
    <w:p>
      <w:pPr>
        <w:ind w:left="660" w:right="280"/>
        <w:spacing w:after="0" w:line="279" w:lineRule="auto"/>
        <w:rPr>
          <w:sz w:val="20"/>
          <w:szCs w:val="20"/>
          <w:color w:val="auto"/>
        </w:rPr>
      </w:pPr>
      <w:r>
        <w:rPr>
          <w:rFonts w:ascii="Arial" w:cs="Arial" w:eastAsia="Arial" w:hAnsi="Arial"/>
          <w:sz w:val="17"/>
          <w:szCs w:val="17"/>
          <w:b w:val="1"/>
          <w:bCs w:val="1"/>
          <w:i w:val="1"/>
          <w:iCs w:val="1"/>
          <w:color w:val="auto"/>
        </w:rPr>
        <w:t xml:space="preserve">Plasma Products </w:t>
      </w:r>
      <w:r>
        <w:rPr>
          <w:rFonts w:ascii="Arial" w:cs="Arial" w:eastAsia="Arial" w:hAnsi="Arial"/>
          <w:sz w:val="17"/>
          <w:szCs w:val="17"/>
          <w:color w:val="auto"/>
        </w:rPr>
        <w:t>— Built around our automated plasma collection devices, related disposables, and software, our portfolio of products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is designed to support multiple facets of plasma collector operations. We have a long-standing commitment to understanding our customers' collection and manufacturing processes. As a result, we aim to design equipment that is durable, dependable, and easy to use and to provide comprehensive training and support to our plasma collection customers.</w:t>
      </w:r>
    </w:p>
    <w:p>
      <w:pPr>
        <w:spacing w:after="0" w:line="198" w:lineRule="exact"/>
        <w:rPr>
          <w:sz w:val="20"/>
          <w:szCs w:val="20"/>
          <w:color w:val="auto"/>
        </w:rPr>
      </w:pPr>
    </w:p>
    <w:p>
      <w:pPr>
        <w:ind w:left="660" w:right="20"/>
        <w:spacing w:after="0" w:line="250" w:lineRule="auto"/>
        <w:rPr>
          <w:sz w:val="20"/>
          <w:szCs w:val="20"/>
          <w:color w:val="auto"/>
        </w:rPr>
      </w:pPr>
      <w:r>
        <w:rPr>
          <w:rFonts w:ascii="Arial" w:cs="Arial" w:eastAsia="Arial" w:hAnsi="Arial"/>
          <w:sz w:val="17"/>
          <w:szCs w:val="17"/>
          <w:color w:val="auto"/>
        </w:rPr>
        <w:t>Today, nearly all source plasma collections worldwide are performed using automated collection technology at dedicated facilities. We offer multiple products to support these dedicated source plasma operations, including our NexSys PCS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PCS2</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plasmapheresis equipment, related disposables and intravenous solutions. We also offer a portfolio of integrated information technology platforms for plasma customers to manage their donors, operations and supply chain. Our software products, including our latest NexLynk DMS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donor management system,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ensure quality and compliance business process support, react quickly to business changes and implement opportunities to reduce costs.</w:t>
      </w:r>
    </w:p>
    <w:p>
      <w:pPr>
        <w:spacing w:after="0" w:line="222" w:lineRule="exact"/>
        <w:rPr>
          <w:sz w:val="20"/>
          <w:szCs w:val="20"/>
          <w:color w:val="auto"/>
        </w:rPr>
      </w:pPr>
    </w:p>
    <w:p>
      <w:pPr>
        <w:ind w:left="660" w:right="80"/>
        <w:spacing w:after="0" w:line="286" w:lineRule="auto"/>
        <w:rPr>
          <w:sz w:val="20"/>
          <w:szCs w:val="20"/>
          <w:color w:val="auto"/>
        </w:rPr>
      </w:pPr>
      <w:r>
        <w:rPr>
          <w:rFonts w:ascii="Arial" w:cs="Arial" w:eastAsia="Arial" w:hAnsi="Arial"/>
          <w:sz w:val="17"/>
          <w:szCs w:val="17"/>
          <w:color w:val="auto"/>
        </w:rPr>
        <w:t>With our PCS brand, we have provided an automated platform dedicated to the collection of plasma for over 20 years. In fiscal 2018, we received U.S. Food and Drug Administration (“FDA”) 510(k) clearance for our next generation device, the NexSys PCS and CE mark clearance of the NexSys PCS device in the European Union, or EU, and Australia, subject to additional local requirements.</w:t>
      </w:r>
    </w:p>
    <w:p>
      <w:pPr>
        <w:spacing w:after="0" w:line="192" w:lineRule="exact"/>
        <w:rPr>
          <w:sz w:val="20"/>
          <w:szCs w:val="20"/>
          <w:color w:val="auto"/>
        </w:rPr>
      </w:pPr>
    </w:p>
    <w:p>
      <w:pPr>
        <w:ind w:left="660" w:right="280"/>
        <w:spacing w:after="0" w:line="259" w:lineRule="auto"/>
        <w:rPr>
          <w:sz w:val="20"/>
          <w:szCs w:val="20"/>
          <w:color w:val="auto"/>
        </w:rPr>
      </w:pPr>
      <w:r>
        <w:rPr>
          <w:rFonts w:ascii="Arial" w:cs="Arial" w:eastAsia="Arial" w:hAnsi="Arial"/>
          <w:sz w:val="18"/>
          <w:szCs w:val="18"/>
          <w:color w:val="auto"/>
        </w:rPr>
        <w:t>NexSys PCS is designed to enable higher plasma yield collections, improve productivity in our customers’ centers, enhance the overall donor experience and provide safe and reliable collections that will become life-changing medicines for patients. NexSys PCS includes bi-directional connectivity to the NexLynk DMS donor management system to improve operational efficiency within plasma centers, through automated programming of donation procedures and automated data capture of procedure data.</w:t>
      </w:r>
    </w:p>
    <w:p>
      <w:pPr>
        <w:spacing w:after="0" w:line="214" w:lineRule="exact"/>
        <w:rPr>
          <w:sz w:val="20"/>
          <w:szCs w:val="20"/>
          <w:color w:val="auto"/>
        </w:rPr>
      </w:pPr>
    </w:p>
    <w:p>
      <w:pPr>
        <w:ind w:left="660"/>
        <w:spacing w:after="0" w:line="260" w:lineRule="auto"/>
        <w:rPr>
          <w:sz w:val="20"/>
          <w:szCs w:val="20"/>
          <w:color w:val="auto"/>
        </w:rPr>
      </w:pPr>
      <w:r>
        <w:rPr>
          <w:rFonts w:ascii="Arial" w:cs="Arial" w:eastAsia="Arial" w:hAnsi="Arial"/>
          <w:sz w:val="16"/>
          <w:szCs w:val="16"/>
          <w:color w:val="auto"/>
        </w:rPr>
        <w:t>The NexSys PCS capabilities enable collections with higher plasma yields. Our YES</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technology is a yield-enhancing solution that enables increases in plasma yield per collection by an additional 18-26 mL per donation, on average. In fiscal 2021, we received FDA 510(k) clearance for our NexSys PCS with Persona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technology. NexSys PCS with Persona technology uses a percent plasma nomogram that customizes plasma collection based on an individual donor's body composition. The new, proprietary Persona technology strengthens the NexSys PCS value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proposition and reinforces our commitment to supporting the plasma industry. We expect to pursue further regulatory clearances for additional enhancements to the overall product offering.</w:t>
      </w:r>
    </w:p>
    <w:p>
      <w:pPr>
        <w:spacing w:after="0" w:line="76"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We have entered into long-term commercial contracts and are continuing the rollout and support of NexSys PCS devices and NexLynk DMS donor management software for these Plasma customers.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Plasma business unit represented 38.2%, 46.4% and 44.1% of our total revenue in fiscal 2021, 2020 and 2019, respectively.</w:t>
      </w:r>
    </w:p>
    <w:p>
      <w:pPr>
        <w:spacing w:after="0" w:line="12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Blood Center</w:t>
      </w:r>
    </w:p>
    <w:p>
      <w:pPr>
        <w:spacing w:after="0" w:line="134" w:lineRule="exact"/>
        <w:rPr>
          <w:rFonts w:ascii="Arial" w:cs="Arial" w:eastAsia="Arial" w:hAnsi="Arial"/>
          <w:sz w:val="18"/>
          <w:szCs w:val="18"/>
          <w:b w:val="1"/>
          <w:bCs w:val="1"/>
          <w:color w:val="auto"/>
        </w:rPr>
      </w:pPr>
    </w:p>
    <w:p>
      <w:pPr>
        <w:ind w:left="660" w:right="3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Our Blood Center business offers a range of solutions that improve donor collection centers' ability to acquire blood, filter blood and separate blood components. We continue to look for solutions to improve donor safety and control costs through the existing product portfolio. Our products and technologies help donor collection centers optimize blood collection capabilities and donor processing management.</w:t>
      </w:r>
    </w:p>
    <w:p>
      <w:pPr>
        <w:spacing w:after="0" w:line="67" w:lineRule="exact"/>
        <w:rPr>
          <w:rFonts w:ascii="Arial" w:cs="Arial" w:eastAsia="Arial" w:hAnsi="Arial"/>
          <w:sz w:val="18"/>
          <w:szCs w:val="18"/>
          <w:b w:val="1"/>
          <w:bCs w:val="1"/>
          <w:color w:val="auto"/>
        </w:rPr>
      </w:pPr>
    </w:p>
    <w:p>
      <w:pPr>
        <w:ind w:left="660" w:right="12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Blood Center Market </w:t>
      </w:r>
      <w:r>
        <w:rPr>
          <w:rFonts w:ascii="Arial" w:cs="Arial" w:eastAsia="Arial" w:hAnsi="Arial"/>
          <w:sz w:val="18"/>
          <w:szCs w:val="18"/>
          <w:color w:val="auto"/>
        </w:rPr>
        <w:t>— There are millions of blood donations throughout the world every year that produce blood products for transfusion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surgical, trauma, or chronically ill patients. Patients typically receive only the blood components necessary to treat a particular clinical condition. Platelet therapy is frequently used to alleviate the effects of chemotherapy and to help patients with bleeding disorders. Red cells are often transfused to patients to replace blood lost during surgery and transfused to patients with blood disorders, such as sickle cell anemia or aplastic anemia. Plasma, in addition to its role in creating life-saving pharmaceuticals, is frequently transfused to replace blood volume in trauma victims and surgical patients.</w:t>
      </w:r>
    </w:p>
    <w:p>
      <w:pPr>
        <w:spacing w:after="0" w:line="97" w:lineRule="exact"/>
        <w:rPr>
          <w:rFonts w:ascii="Arial" w:cs="Arial" w:eastAsia="Arial" w:hAnsi="Arial"/>
          <w:sz w:val="18"/>
          <w:szCs w:val="18"/>
          <w:b w:val="1"/>
          <w:bCs w:val="1"/>
          <w:color w:val="auto"/>
        </w:rPr>
      </w:pPr>
    </w:p>
    <w:p>
      <w:pPr>
        <w:ind w:left="6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When collecting blood components there are two primary collection methods, manual whole blood donations and automated component blood collections. While most donations are manual whole blood, the benefit of automated component blood collections is the ability to collect more than one unit of the targeted blood component. Manual whole blood donations are collected from the donor and then transported to a laboratory where the blood is separated into its components. Automated component blood collections separate the blood component real-time while a person is donating blood. In this method, only the specific target blood component is collected and the remaining components are returned to the blood donor.</w:t>
      </w:r>
    </w:p>
    <w:p>
      <w:pPr>
        <w:spacing w:after="0" w:line="97" w:lineRule="exact"/>
        <w:rPr>
          <w:rFonts w:ascii="Arial" w:cs="Arial" w:eastAsia="Arial" w:hAnsi="Arial"/>
          <w:sz w:val="18"/>
          <w:szCs w:val="18"/>
          <w:b w:val="1"/>
          <w:bCs w:val="1"/>
          <w:color w:val="auto"/>
        </w:rPr>
      </w:pPr>
    </w:p>
    <w:p>
      <w:pPr>
        <w:ind w:left="6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While overall we expect total demand for blood to remain stable to slightly declining, demand in individual markets can vary greatly. The development in mature markets of more minimally invasive procedures with lower associated blood loss, as well as hospitals' improved blood management techniques and protocols have more than offset the increasing demand for blood from aging populations. Emerging markets are seeing demand growth with expanded healthcare coverage and greater access to more advanced medical treatments.</w:t>
      </w:r>
    </w:p>
    <w:p>
      <w:pPr>
        <w:spacing w:after="0" w:line="90" w:lineRule="exact"/>
        <w:rPr>
          <w:rFonts w:ascii="Arial" w:cs="Arial" w:eastAsia="Arial" w:hAnsi="Arial"/>
          <w:sz w:val="18"/>
          <w:szCs w:val="18"/>
          <w:b w:val="1"/>
          <w:bCs w:val="1"/>
          <w:color w:val="auto"/>
        </w:rPr>
      </w:pPr>
    </w:p>
    <w:p>
      <w:pPr>
        <w:ind w:left="660" w:right="4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Blood Center Products </w:t>
      </w:r>
      <w:r>
        <w:rPr>
          <w:rFonts w:ascii="Arial" w:cs="Arial" w:eastAsia="Arial" w:hAnsi="Arial"/>
          <w:sz w:val="18"/>
          <w:szCs w:val="18"/>
          <w:color w:val="auto"/>
        </w:rPr>
        <w:t>— We offer automated blood component and manual whole blood collection systems to blood collection centers to 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blood products efficiently and cost effectively.</w:t>
      </w:r>
    </w:p>
    <w:p>
      <w:pPr>
        <w:spacing w:after="0" w:line="70" w:lineRule="exact"/>
        <w:rPr>
          <w:rFonts w:ascii="Arial" w:cs="Arial" w:eastAsia="Arial" w:hAnsi="Arial"/>
          <w:sz w:val="18"/>
          <w:szCs w:val="18"/>
          <w:b w:val="1"/>
          <w:bCs w:val="1"/>
          <w:color w:val="auto"/>
        </w:rPr>
      </w:pPr>
    </w:p>
    <w:p>
      <w:pPr>
        <w:ind w:left="1300" w:right="80" w:hanging="158"/>
        <w:spacing w:after="0" w:line="289" w:lineRule="auto"/>
        <w:tabs>
          <w:tab w:leader="none" w:pos="1295" w:val="left"/>
        </w:tabs>
        <w:numPr>
          <w:ilvl w:val="1"/>
          <w:numId w:val="4"/>
        </w:numPr>
        <w:rPr>
          <w:rFonts w:ascii="Arial" w:cs="Arial" w:eastAsia="Arial" w:hAnsi="Arial"/>
          <w:sz w:val="16"/>
          <w:szCs w:val="16"/>
          <w:color w:val="auto"/>
        </w:rPr>
      </w:pPr>
      <w:r>
        <w:rPr>
          <w:rFonts w:ascii="Arial" w:cs="Arial" w:eastAsia="Arial" w:hAnsi="Arial"/>
          <w:sz w:val="16"/>
          <w:szCs w:val="16"/>
          <w:color w:val="auto"/>
        </w:rPr>
        <w:t>We market the MCS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apheresis equipment which is designed to collect specific blood components from the donor. Utilizing the MCS automated platelet collection protocols, blood centers collect one or more therapeutic “doses” of platelets during a single donation.</w:t>
      </w:r>
    </w:p>
    <w:p>
      <w:pPr>
        <w:spacing w:after="0" w:line="60" w:lineRule="exact"/>
        <w:rPr>
          <w:rFonts w:ascii="Arial" w:cs="Arial" w:eastAsia="Arial" w:hAnsi="Arial"/>
          <w:sz w:val="16"/>
          <w:szCs w:val="16"/>
          <w:color w:val="auto"/>
        </w:rPr>
      </w:pPr>
    </w:p>
    <w:p>
      <w:pPr>
        <w:ind w:left="1300" w:hanging="158"/>
        <w:spacing w:after="0" w:line="308" w:lineRule="auto"/>
        <w:tabs>
          <w:tab w:leader="none" w:pos="1295" w:val="left"/>
        </w:tabs>
        <w:numPr>
          <w:ilvl w:val="1"/>
          <w:numId w:val="4"/>
        </w:numPr>
        <w:rPr>
          <w:rFonts w:ascii="Arial" w:cs="Arial" w:eastAsia="Arial" w:hAnsi="Arial"/>
          <w:sz w:val="17"/>
          <w:szCs w:val="17"/>
          <w:color w:val="auto"/>
        </w:rPr>
      </w:pPr>
      <w:r>
        <w:rPr>
          <w:rFonts w:ascii="Arial" w:cs="Arial" w:eastAsia="Arial" w:hAnsi="Arial"/>
          <w:sz w:val="17"/>
          <w:szCs w:val="17"/>
          <w:color w:val="auto"/>
        </w:rPr>
        <w:t>Our portfolio of disposable whole blood collection and component storage sets offer flexibility in collecting a unit of whole blood and the subsequent production and storage of blood components, including options for in-line or dockable filters for leukoreduction.</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Blood Center business unit represented 35.3%, 32.1% and 34.1% of our total revenue in fiscal 2021, 2020 and 2019, respectively.</w:t>
      </w:r>
    </w:p>
    <w:p>
      <w:pPr>
        <w:spacing w:after="0" w:line="13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Hospital</w:t>
      </w:r>
    </w:p>
    <w:p>
      <w:pPr>
        <w:spacing w:after="0" w:line="134" w:lineRule="exact"/>
        <w:rPr>
          <w:rFonts w:ascii="Arial" w:cs="Arial" w:eastAsia="Arial" w:hAnsi="Arial"/>
          <w:sz w:val="18"/>
          <w:szCs w:val="18"/>
          <w:b w:val="1"/>
          <w:bCs w:val="1"/>
          <w:color w:val="auto"/>
        </w:rPr>
      </w:pPr>
    </w:p>
    <w:p>
      <w:pPr>
        <w:ind w:left="660" w:right="1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Hospitals are called upon to provide the highest standard of patient care while at the same time reduce operating costs. Haemonetics' Hospital business has four product lines which include Hemostasis Management, Cell Salvage, Transfusion Management and Vascular Closure. Vascular Closure became a product line during fiscal 2021 as a result of the March 2021 acquisition of Cardiva Medical, Inc. (“Cardiva”), a market leader in vascular closure devices. Each product line has a leading market position and a mission of helping hospitals and clinicians provide the highest standard of patient care while at the same time reducing operating and procedural costs and helping decision makers in hospitals optimize blood acquisition, storage and usage in critical settings.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Hemostasis Management</w:t>
      </w:r>
    </w:p>
    <w:p>
      <w:pPr>
        <w:spacing w:after="0" w:line="144"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b w:val="1"/>
          <w:bCs w:val="1"/>
          <w:i w:val="1"/>
          <w:iCs w:val="1"/>
          <w:color w:val="auto"/>
        </w:rPr>
        <w:t xml:space="preserve">Hemostasis Management Market </w:t>
      </w:r>
      <w:r>
        <w:rPr>
          <w:rFonts w:ascii="Arial" w:cs="Arial" w:eastAsia="Arial" w:hAnsi="Arial"/>
          <w:sz w:val="16"/>
          <w:szCs w:val="16"/>
          <w:color w:val="auto"/>
        </w:rPr>
        <w:t>— Hemostasis refers to a patient's ability to form and maintain blood clots. The clinical management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hemostasis requires that physicians have the most complete information to make decisions on how to best maintain a patient’s coagulation equilibrium between hemorrhage (bleeding) and thrombosis (clotting). Hemostasis is a critical challenge in various medical procedures, including cardiovascular surgery, organ transplantation, trauma, post-partum hemorrhage and percutaneous coronary intervention. By understanding a patient’s hemostasis status, clinicians can better plan for the patient’s care pathway. For example, they may decide whether to start or discontinue the use of certain drugs or determine the need for a transfusion and which specific blood components would be most effective in minimizing blood loss and reducing clotting risk. Such planning supports better care, which can lead to lower hospital costs through a reduction in unnecessary blood product transfusions, reduced adverse transfusion reactions and shorter intensive care unit and hospital stays.</w:t>
      </w:r>
    </w:p>
    <w:p>
      <w:pPr>
        <w:spacing w:after="0" w:line="71" w:lineRule="exact"/>
        <w:rPr>
          <w:sz w:val="20"/>
          <w:szCs w:val="20"/>
          <w:color w:val="auto"/>
        </w:rPr>
      </w:pPr>
    </w:p>
    <w:p>
      <w:pPr>
        <w:ind w:left="660" w:right="120"/>
        <w:spacing w:after="0" w:line="231" w:lineRule="auto"/>
        <w:rPr>
          <w:sz w:val="20"/>
          <w:szCs w:val="20"/>
          <w:color w:val="auto"/>
        </w:rPr>
      </w:pPr>
      <w:r>
        <w:rPr>
          <w:rFonts w:ascii="Arial" w:cs="Arial" w:eastAsia="Arial" w:hAnsi="Arial"/>
          <w:sz w:val="18"/>
          <w:szCs w:val="18"/>
          <w:b w:val="1"/>
          <w:bCs w:val="1"/>
          <w:i w:val="1"/>
          <w:iCs w:val="1"/>
          <w:color w:val="auto"/>
        </w:rPr>
        <w:t xml:space="preserve">Hemostasis Management Products </w:t>
      </w:r>
      <w:r>
        <w:rPr>
          <w:rFonts w:ascii="Arial" w:cs="Arial" w:eastAsia="Arial" w:hAnsi="Arial"/>
          <w:sz w:val="18"/>
          <w:szCs w:val="18"/>
          <w:color w:val="auto"/>
        </w:rPr>
        <w:t>— Our portfolio of hemostasis diagnostic systems enables clinicians to assess holistically the coagulation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status of a patient at the point-of-care or laboratory setting. We have four viscoelastic testing systems that we market to hospitals and laboratories as an alternative to routine blood tests: the TEG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5000 hemostasis analyzer system, the TEG 6s hemostasis analyzer system, the ClotPro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hemostasis analyzer system, and the HAS-100 hemostasis analyzer system. While the TEG and HAS platforms utilize thromboelastography and the ClotPro system utilizes thromboelastometry, all of the platforms provide a method of testing the efficiency of blood coagulation using whole blood samples.</w:t>
      </w:r>
    </w:p>
    <w:p>
      <w:pPr>
        <w:spacing w:after="0" w:line="228" w:lineRule="exact"/>
        <w:rPr>
          <w:sz w:val="20"/>
          <w:szCs w:val="20"/>
          <w:color w:val="auto"/>
        </w:rPr>
      </w:pPr>
    </w:p>
    <w:p>
      <w:pPr>
        <w:ind w:left="660" w:right="180"/>
        <w:spacing w:after="0" w:line="236" w:lineRule="auto"/>
        <w:rPr>
          <w:sz w:val="20"/>
          <w:szCs w:val="20"/>
          <w:color w:val="auto"/>
        </w:rPr>
      </w:pPr>
      <w:r>
        <w:rPr>
          <w:rFonts w:ascii="Arial" w:cs="Arial" w:eastAsia="Arial" w:hAnsi="Arial"/>
          <w:sz w:val="18"/>
          <w:szCs w:val="18"/>
          <w:color w:val="auto"/>
        </w:rPr>
        <w:t>Each hemostasis diagnostic system consists of an analyzer that is used with single-use reagents and disposables. In addition, TEG Manager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software connects multiple TEG 5000 and TEG 6S analyzers throughout the hospital, providing clinicians with remote access to both active and historical test results that inform treatment decisions.</w:t>
      </w:r>
    </w:p>
    <w:p>
      <w:pPr>
        <w:spacing w:after="0" w:line="229"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The TEG 5000 system is approved for a broad set of indications in all of our markets. The TEG 6s system is approved for the same set of indications as the TEG 5000 in Europe, Australia and Japan. We continue to pursue a broader set of indications for TEG 6s in the U.S. During fiscal 2020, we received FDA clearance for the use of TEG 6s in adult trauma settings. This clearance builds on the current indication for the TEG 6s system in cardiovascular surgery and cardiology procedures, making it the first cartridge-based system available in the U.S. to evaluate the hemostasis condition in adult trauma patients. The ClotPro system received CE mark clearance in March 2019 and is currently available in select European and Asia Pacific markets. The HAS-100 device is currently commercialized in China.</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Cell Salvage</w:t>
      </w:r>
    </w:p>
    <w:p>
      <w:pPr>
        <w:spacing w:after="0" w:line="144" w:lineRule="exact"/>
        <w:rPr>
          <w:sz w:val="20"/>
          <w:szCs w:val="20"/>
          <w:color w:val="auto"/>
        </w:rPr>
      </w:pPr>
    </w:p>
    <w:p>
      <w:pPr>
        <w:jc w:val="both"/>
        <w:ind w:left="660" w:right="20"/>
        <w:spacing w:after="0" w:line="301" w:lineRule="auto"/>
        <w:rPr>
          <w:sz w:val="20"/>
          <w:szCs w:val="20"/>
          <w:color w:val="auto"/>
        </w:rPr>
      </w:pPr>
      <w:r>
        <w:rPr>
          <w:rFonts w:ascii="Arial" w:cs="Arial" w:eastAsia="Arial" w:hAnsi="Arial"/>
          <w:sz w:val="16"/>
          <w:szCs w:val="16"/>
          <w:b w:val="1"/>
          <w:bCs w:val="1"/>
          <w:i w:val="1"/>
          <w:iCs w:val="1"/>
          <w:color w:val="auto"/>
        </w:rPr>
        <w:t xml:space="preserve">Cell Salvage Market </w:t>
      </w:r>
      <w:r>
        <w:rPr>
          <w:rFonts w:ascii="Arial" w:cs="Arial" w:eastAsia="Arial" w:hAnsi="Arial"/>
          <w:sz w:val="16"/>
          <w:szCs w:val="16"/>
          <w:color w:val="auto"/>
        </w:rPr>
        <w:t>— The Cell Salvage market is mainly comprised of devices designed to transfuse back a patient’s own blood during or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surgery. Loss of blood is common in many surgical procedures, including open heart, trauma, transplant, vascular and orthopedic procedures, and the need for transfusion of oxygen-carrying red cells to make up for lost blood volume is routine. Patients commonly receive donor (or allogeneic) blood which carries various risks for transfusion reactions including chills, fevers or other side effects that can prolong a patient’s recovery.</w:t>
      </w:r>
    </w:p>
    <w:p>
      <w:pPr>
        <w:spacing w:after="0" w:line="184" w:lineRule="exact"/>
        <w:rPr>
          <w:sz w:val="20"/>
          <w:szCs w:val="20"/>
          <w:color w:val="auto"/>
        </w:rPr>
      </w:pPr>
    </w:p>
    <w:p>
      <w:pPr>
        <w:ind w:left="660" w:right="80"/>
        <w:spacing w:after="0" w:line="272" w:lineRule="auto"/>
        <w:rPr>
          <w:sz w:val="20"/>
          <w:szCs w:val="20"/>
          <w:color w:val="auto"/>
        </w:rPr>
      </w:pPr>
      <w:r>
        <w:rPr>
          <w:rFonts w:ascii="Arial" w:cs="Arial" w:eastAsia="Arial" w:hAnsi="Arial"/>
          <w:sz w:val="17"/>
          <w:szCs w:val="17"/>
          <w:color w:val="auto"/>
        </w:rPr>
        <w:t>An alternative to allogeneic blood is surgical cell salvage, also known as autotransfusion, which reduces or eliminates a patient’s need for blood donated from others and ensures that the patient receives the freshest and safest blood possible - his or her own. Surgical cell salvage involves the collection of a patient’s own blood during or after surgery for reinfusion of red cells to that patient. Blood is suctioned from the surgical site or collected from a wound or chest drain, processed and washed through a centrifuge-based system that yields concentrated red cells available for transfusion back to the patient. This process occurs in a sterile, closed-circuit, single-use consumable set that is fitted into an electromechanical device. We market our surgical blood salvage products to surgical specialists, primarily cardiovascular, orthopedic and trauma surgeons, and to anesthesiologists and surgical suite service providers.</w:t>
      </w:r>
    </w:p>
    <w:p>
      <w:pPr>
        <w:spacing w:after="0" w:line="199" w:lineRule="exact"/>
        <w:rPr>
          <w:sz w:val="20"/>
          <w:szCs w:val="20"/>
          <w:color w:val="auto"/>
        </w:rPr>
      </w:pPr>
    </w:p>
    <w:p>
      <w:pPr>
        <w:ind w:left="660" w:right="300"/>
        <w:spacing w:after="0" w:line="280" w:lineRule="auto"/>
        <w:rPr>
          <w:sz w:val="20"/>
          <w:szCs w:val="20"/>
          <w:color w:val="auto"/>
        </w:rPr>
      </w:pPr>
      <w:r>
        <w:rPr>
          <w:rFonts w:ascii="Arial" w:cs="Arial" w:eastAsia="Arial" w:hAnsi="Arial"/>
          <w:sz w:val="16"/>
          <w:szCs w:val="16"/>
          <w:b w:val="1"/>
          <w:bCs w:val="1"/>
          <w:i w:val="1"/>
          <w:iCs w:val="1"/>
          <w:color w:val="auto"/>
        </w:rPr>
        <w:t xml:space="preserve">Cell Salvage Products </w:t>
      </w:r>
      <w:r>
        <w:rPr>
          <w:rFonts w:ascii="Arial" w:cs="Arial" w:eastAsia="Arial" w:hAnsi="Arial"/>
          <w:sz w:val="16"/>
          <w:szCs w:val="16"/>
          <w:color w:val="auto"/>
        </w:rPr>
        <w:t>— Our Cell Saver</w:t>
      </w:r>
      <w:r>
        <w:rPr>
          <w:rFonts w:ascii="Arial" w:cs="Arial" w:eastAsia="Arial" w:hAnsi="Arial"/>
          <w:sz w:val="20"/>
          <w:szCs w:val="20"/>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Elite</w:t>
      </w:r>
      <w:r>
        <w:rPr>
          <w:rFonts w:ascii="Arial" w:cs="Arial" w:eastAsia="Arial" w:hAnsi="Arial"/>
          <w:sz w:val="20"/>
          <w:szCs w:val="20"/>
          <w:color w:val="auto"/>
          <w:vertAlign w:val="superscript"/>
        </w:rPr>
        <w:t>®</w:t>
      </w:r>
      <w:r>
        <w:rPr>
          <w:rFonts w:ascii="Arial" w:cs="Arial" w:eastAsia="Arial" w:hAnsi="Arial"/>
          <w:sz w:val="16"/>
          <w:szCs w:val="16"/>
          <w:color w:val="auto"/>
        </w:rPr>
        <w:t>+ autologous blood recovery system is a surgical blood salvage system targeted to medium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 blood loss procedures, such as cardiovascular, orthopedic, trauma, transplant, vascular, obstetrical and gynecological surgeries. The Cell Saver Elite + is designed to minimize allogeneic blood use and reliably recover and transfuse a patient’s own high-quality blood.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Transfusion Management</w:t>
      </w:r>
    </w:p>
    <w:p>
      <w:pPr>
        <w:spacing w:after="0" w:line="144" w:lineRule="exact"/>
        <w:rPr>
          <w:sz w:val="20"/>
          <w:szCs w:val="20"/>
          <w:color w:val="auto"/>
        </w:rPr>
      </w:pPr>
    </w:p>
    <w:p>
      <w:pPr>
        <w:ind w:left="660" w:right="360"/>
        <w:spacing w:after="0" w:line="272" w:lineRule="auto"/>
        <w:rPr>
          <w:sz w:val="20"/>
          <w:szCs w:val="20"/>
          <w:color w:val="auto"/>
        </w:rPr>
      </w:pPr>
      <w:r>
        <w:rPr>
          <w:rFonts w:ascii="Arial" w:cs="Arial" w:eastAsia="Arial" w:hAnsi="Arial"/>
          <w:sz w:val="17"/>
          <w:szCs w:val="17"/>
          <w:b w:val="1"/>
          <w:bCs w:val="1"/>
          <w:i w:val="1"/>
          <w:iCs w:val="1"/>
          <w:color w:val="auto"/>
        </w:rPr>
        <w:t xml:space="preserve">Transfusion Management Market </w:t>
      </w:r>
      <w:r>
        <w:rPr>
          <w:rFonts w:ascii="Arial" w:cs="Arial" w:eastAsia="Arial" w:hAnsi="Arial"/>
          <w:sz w:val="17"/>
          <w:szCs w:val="17"/>
          <w:color w:val="auto"/>
        </w:rPr>
        <w:t>— Hospital transfusion services professionals and clinicians are facing cost restraints in addition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pressure to enhance patient safety, compliance and operational efficiency. Managing the safety and traceability of the blood supply chain and comprehensive management of patients, orders, specimens, blood products, derivatives and accessories across the hospital network is challenging. In addition, providing clinicians with the vital access to blood when needed most while maintaining traceability is a key priority. Frequently when blood products leave the blood bank, the transfusion management staff loses control and visibility of the blood components. They often do not know if the blood was handled, stored or transfused properly, which may lead to negative effects on patient safety, product quality, inventory availability and staff efficiency as well as increased waste.</w:t>
      </w:r>
    </w:p>
    <w:p>
      <w:pPr>
        <w:spacing w:after="0" w:line="204" w:lineRule="exact"/>
        <w:rPr>
          <w:sz w:val="20"/>
          <w:szCs w:val="20"/>
          <w:color w:val="auto"/>
        </w:rPr>
      </w:pPr>
    </w:p>
    <w:p>
      <w:pPr>
        <w:ind w:left="660" w:right="160"/>
        <w:spacing w:after="0" w:line="234" w:lineRule="auto"/>
        <w:rPr>
          <w:sz w:val="20"/>
          <w:szCs w:val="20"/>
          <w:color w:val="auto"/>
        </w:rPr>
      </w:pPr>
      <w:r>
        <w:rPr>
          <w:rFonts w:ascii="Arial" w:cs="Arial" w:eastAsia="Arial" w:hAnsi="Arial"/>
          <w:sz w:val="18"/>
          <w:szCs w:val="18"/>
          <w:b w:val="1"/>
          <w:bCs w:val="1"/>
          <w:i w:val="1"/>
          <w:iCs w:val="1"/>
          <w:color w:val="auto"/>
        </w:rPr>
        <w:t xml:space="preserve">Transfusion Management Products </w:t>
      </w:r>
      <w:r>
        <w:rPr>
          <w:rFonts w:ascii="Arial" w:cs="Arial" w:eastAsia="Arial" w:hAnsi="Arial"/>
          <w:sz w:val="18"/>
          <w:szCs w:val="18"/>
          <w:color w:val="auto"/>
        </w:rPr>
        <w:t>— Our Transfusion Management solutions are designed to help provide safety, traceability and compliance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hospital blood bank to the patient bedside and enable consistent care across the hospital network. Our SafeTrace Tx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transfusion management software is considered the system of record for all hospital blood bank and transfusion service information. BloodTrack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blood management software is a modular suite of blood management and bedside transfusion solutions that combines software with hardware components and acts as an extension of the hospital’s blood bank information system. The software is designed to work with blood storage devices, including the BloodTrack HaemoBank</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Vascular Closure</w:t>
      </w:r>
    </w:p>
    <w:p>
      <w:pPr>
        <w:spacing w:after="0" w:line="131"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b w:val="1"/>
          <w:bCs w:val="1"/>
          <w:i w:val="1"/>
          <w:iCs w:val="1"/>
          <w:color w:val="auto"/>
        </w:rPr>
        <w:t xml:space="preserve">Vascular Closure Market </w:t>
      </w:r>
      <w:r>
        <w:rPr>
          <w:rFonts w:ascii="Arial" w:cs="Arial" w:eastAsia="Arial" w:hAnsi="Arial"/>
          <w:sz w:val="17"/>
          <w:szCs w:val="17"/>
          <w:color w:val="auto"/>
        </w:rPr>
        <w:t>— Catheter-based, minimally invasive alternatives to open surgery have transformed cardiovascular medicine.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majority of these procedures gain access to the vascular system through the femoral artery or vein. These access sites in the vessel require closure post procedure. Even with the major advances in technology over the last 40 years, the most common complications in coronary and peripheral procedures are still related to the access site. Manual compression, the traditional standard of care, involves the application of pressure in order to facilitate the formation of a blood clot at the access site. Vascular closure devices improve upon manual compression by rapidly closing the access site and facilitating more efficient workflow.</w:t>
      </w:r>
    </w:p>
    <w:p>
      <w:pPr>
        <w:spacing w:after="0" w:line="92" w:lineRule="exact"/>
        <w:rPr>
          <w:sz w:val="20"/>
          <w:szCs w:val="20"/>
          <w:color w:val="auto"/>
        </w:rPr>
      </w:pPr>
    </w:p>
    <w:p>
      <w:pPr>
        <w:ind w:left="660" w:right="80"/>
        <w:spacing w:after="0" w:line="246" w:lineRule="auto"/>
        <w:rPr>
          <w:sz w:val="20"/>
          <w:szCs w:val="20"/>
          <w:color w:val="auto"/>
        </w:rPr>
      </w:pPr>
      <w:r>
        <w:rPr>
          <w:rFonts w:ascii="Arial" w:cs="Arial" w:eastAsia="Arial" w:hAnsi="Arial"/>
          <w:sz w:val="17"/>
          <w:szCs w:val="17"/>
          <w:b w:val="1"/>
          <w:bCs w:val="1"/>
          <w:i w:val="1"/>
          <w:iCs w:val="1"/>
          <w:color w:val="auto"/>
        </w:rPr>
        <w:t xml:space="preserve">Vascular Closure Products </w:t>
      </w:r>
      <w:r>
        <w:rPr>
          <w:rFonts w:ascii="Arial" w:cs="Arial" w:eastAsia="Arial" w:hAnsi="Arial"/>
          <w:sz w:val="17"/>
          <w:szCs w:val="17"/>
          <w:color w:val="auto"/>
        </w:rPr>
        <w:t>— The VASCADE</w:t>
      </w:r>
      <w:r>
        <w:rPr>
          <w:rFonts w:ascii="Arial" w:cs="Arial" w:eastAsia="Arial" w:hAnsi="Arial"/>
          <w:sz w:val="22"/>
          <w:szCs w:val="22"/>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platform was developed to address the limitations of manual compression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vascular closure devices. Our VASCADE family of products consists of two devices, VASCADE and VASCADE MVP</w:t>
      </w:r>
      <w:r>
        <w:rPr>
          <w:rFonts w:ascii="Arial" w:cs="Arial" w:eastAsia="Arial" w:hAnsi="Arial"/>
          <w:sz w:val="22"/>
          <w:szCs w:val="22"/>
          <w:color w:val="auto"/>
          <w:vertAlign w:val="superscript"/>
        </w:rPr>
        <w:t>®</w:t>
      </w:r>
      <w:r>
        <w:rPr>
          <w:rFonts w:ascii="Arial" w:cs="Arial" w:eastAsia="Arial" w:hAnsi="Arial"/>
          <w:sz w:val="17"/>
          <w:szCs w:val="17"/>
          <w:color w:val="auto"/>
        </w:rPr>
        <w:t>, which share a common, innovative technology that features a simple, catheter-based delivery system and leverages the natural clot-inducing properties of collagen. This novel design significantly reduces access site complications, increases patient satisfaction and improves hospital workflow metrics that, in turn, drive economic benefits and cost savings. Our Vascular Closure devices address the growing number of catheter-based coronary, peripheral and electrophysiology procedures that require vascular access site closure each year.</w:t>
      </w:r>
    </w:p>
    <w:p>
      <w:pPr>
        <w:spacing w:after="0" w:line="103" w:lineRule="exact"/>
        <w:rPr>
          <w:sz w:val="20"/>
          <w:szCs w:val="20"/>
          <w:color w:val="auto"/>
        </w:rPr>
      </w:pPr>
    </w:p>
    <w:p>
      <w:pPr>
        <w:ind w:left="660"/>
        <w:spacing w:after="0" w:line="296" w:lineRule="auto"/>
        <w:rPr>
          <w:sz w:val="20"/>
          <w:szCs w:val="20"/>
          <w:color w:val="auto"/>
        </w:rPr>
      </w:pPr>
      <w:r>
        <w:rPr>
          <w:rFonts w:ascii="Arial" w:cs="Arial" w:eastAsia="Arial" w:hAnsi="Arial"/>
          <w:sz w:val="16"/>
          <w:szCs w:val="16"/>
          <w:color w:val="auto"/>
        </w:rPr>
        <w:t>Designed around an easy to use, catheter-based delivery system and the natural clot-inducing properties of collagen, our VASCADE product is the only marketed vascular closure device clinically proven to both increase workflow efficiency and reduce access site complications relative to manual compression for coronary and peripheral procedures. Similarly, our VASCADE MVP device is the only marketed vascular closure device clinically proven and labeled to improve workflow relative to manual compression for electrophysiology procedures. Importantly, these improvements drive meaningful cost savings for hospitals, ambulatory surgery centers, and other treatment facilities.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Hospital business unit represented 24.2%, 19.6% and 19.9% of our total revenue in fiscal 2021, 2020 and 2019,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Marketing/Sales/Distribution</w:t>
      </w:r>
    </w:p>
    <w:p>
      <w:pPr>
        <w:spacing w:after="0" w:line="252"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We market and sell our products to biopharmaceutical companies, blood collection groups and independent blood centers, hospitals and hospital service providers, group purchasing organizations and national health organizations through our own direct sales force (including full-time sales representatives and clinical specialists) as well as independent distributors. Sales representatives target the primary decision-makers within each of those organizations.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research and development centers in the U.S. ensure that protocol variations are incorporated to closely match local customer requirements. In addition, Haemonetics maintains software development operations in Canada.</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Customer collaborations are also an important part of our technical strength and competitive advantage. These collaborations with customers and transfusion experts provide us with ideas for new products and applications, enhanced protocols and potential test sites as well as objective evaluations and expert opinions regarding technical and performance issues.</w:t>
      </w:r>
    </w:p>
    <w:p>
      <w:pPr>
        <w:spacing w:after="0" w:line="21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development of blood component separation products, hemostasis analyzers and software has required us to maintain technical expertise in various engineering disciplines, including mechanical, electrical, software, biomedical engineering and chemistry. Innovations resulting from these various engineering efforts enable us to develop systems that are faster, smaller and more user-friendly, or that incorporate additional features important to our customer base.</w:t>
      </w:r>
    </w:p>
    <w:p>
      <w:pPr>
        <w:spacing w:after="0" w:line="21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fiscal 2021, research and development resources were allocated to support innovation across our product portfolio. In October 2020, we announced FDA clearance for our NexSys PCS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with Persona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technology. In April 2020, we also announced the commercial availability of the next generation of SafeTrace Tx Transfusion Management Software in the United Kingdom. This software version features significant improvements to the user experience and workflow efficiency. Additionally, we have continued to make investments related to our next generation plasma collection and software systems, the European Medical Device Regulation, our Hemostasis Management produce line, and our recent product acquisitions in Hospital.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5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endeavor to supply products that are both high quality and cost competitive for our customers by leveraging continuous improvement methodologies, focusing on our core competencies and partnering with strategic suppliers that complement our capabilities. In general, we design our equipment and consumables and use contract manufacturers to build the devices, while the majority of consumables are manufactured by us.</w:t>
      </w:r>
    </w:p>
    <w:p>
      <w:pPr>
        <w:spacing w:after="0" w:line="19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production activities occur in controlled settings or “clean room” environments and have built-in quality checks throughout the manufacturing processes. Our manufacturing teams are focused on continuously improving our productivity, product cost and product quality through change control procedures, validations and strong supplier management programs. We regularly review our logistics capabilities, inventory and safety stock levels and maintain business continuity plans to address supply disruptions that may occur.</w:t>
      </w:r>
    </w:p>
    <w:p>
      <w:pPr>
        <w:spacing w:after="0" w:line="21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primary consumable manufacturing operations are located in North America and Malaysia. Contract manufacturers also supply component sets and liquid solutions according to our specifications and manufacture in Mexico, Japan, Singapore, Thailand and the Philippines. Our capital equipment is principally manufactured in Malaysia, Australia and the U.S.</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Plastics and other petroleum-based products are the principal component of our disposable products and can be affected by oil and gas prices. Contracts with our suppliers help to mitigate some of the short term effects of price volatility in this market. However, increases in the price of petroleum derivatives could result in corresponding increases in our costs to procure plastic raw materials.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consider our intellectual property rights to be important to our business. We rely on a combination of patent, trademark, copyright and trade secret laws, as well as provisions in our agreements with third parties, to protect our intellectual property rights.</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hold numerous patents in the United States and have applied for numerous additional U.S. patents relating to our products and related technologies. We also own or have applied for corresponding patents in selected foreign countries. These patents cover certain elements of our products and processes, including protocols employed in our equipment and aspects of certain of our disposables. Our patents may cover current products, products in markets we plan to enter, or products in markets we plan to license to others. Certain patents may also be defensive in that they are directed to technologies not currently embodied in our current products. We also license patent rights from third parties that cover technologies that we use or plan to use in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own various trademarks that have been registered in the United States and certain other countries.</w:t>
      </w:r>
    </w:p>
    <w:p>
      <w:pPr>
        <w:spacing w:after="0" w:line="25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trademarks, that patents issued to or licensed by us will not be challenged or circumvented by competitors, or that our patents will not be determined invalid.</w:t>
      </w:r>
    </w:p>
    <w:p>
      <w:pPr>
        <w:spacing w:after="0" w:line="19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To maintain our competitive position, we also rely on the technical expertise and know-how of our personnel. We believe that unpatented know-how and trade secrets relied upon in connection with our business and products are generally as important as patent protection in establishing and maintaining a competitive advantage.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remain competitive, we must continue to develop and acquire new cost-effective products, information technology platforms and business services. We believe that our ability to maintain a competitive advantage will continue to depend on a combination of factors. Some factors are largely within our control such as: (i) maintenance of a positive reputation among our customers, (ii) development of new products that meet our customer's needs, (iii) obtaining regulatory approvals for our products in key markets, (iv) obtaining patents that protect our innovations, (v) development and protection of proprietary know-how in important technological areas, (vi) product quality, safety and cost effectiveness and (vii) continual and rigorous documentation of clinical performance. Other factors are outside of our control. We could see changes in regulatory standards or clinical practice that favor a competitor's technology or reduce revenues in key areas of our business.</w:t>
      </w:r>
    </w:p>
    <w:p>
      <w:pPr>
        <w:spacing w:after="0" w:line="22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technical staff is highly skilled, but certain competitors have substantially greater financial resources and larger technical staff at their disposal. There can be no assurance that competitors will not direct substantial efforts and resources toward the development and marketing of products competitive with those of Haemonetics.</w:t>
      </w:r>
    </w:p>
    <w:p>
      <w:pPr>
        <w:spacing w:after="0" w:line="211"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In addition, we face competition from several large, global companies with product offerings similar to ours. Terumo Blood and Cell Technologies (“Terumo BCT”) and Fresenius SE &amp; Co. KGaA, in particular, have significantly greater financial and other resources than we do and are strong competitors in a number of our businesses. The following provides an overview of the key competitors in each of our three global product enterprises.</w:t>
      </w:r>
    </w:p>
    <w:p>
      <w:pPr>
        <w:spacing w:after="0" w:line="5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Plasma</w:t>
      </w:r>
    </w:p>
    <w:p>
      <w:pPr>
        <w:spacing w:after="0" w:line="252" w:lineRule="exact"/>
        <w:rPr>
          <w:rFonts w:ascii="Arial" w:cs="Arial" w:eastAsia="Arial" w:hAnsi="Arial"/>
          <w:sz w:val="18"/>
          <w:szCs w:val="18"/>
          <w:i w:val="1"/>
          <w:iCs w:val="1"/>
          <w:color w:val="auto"/>
        </w:rPr>
      </w:pPr>
    </w:p>
    <w:p>
      <w:pPr>
        <w:ind w:left="660" w:right="60"/>
        <w:spacing w:after="0" w:line="296" w:lineRule="auto"/>
        <w:rPr>
          <w:rFonts w:ascii="Arial" w:cs="Arial" w:eastAsia="Arial" w:hAnsi="Arial"/>
          <w:sz w:val="18"/>
          <w:szCs w:val="18"/>
          <w:i w:val="1"/>
          <w:iCs w:val="1"/>
          <w:color w:val="auto"/>
        </w:rPr>
      </w:pPr>
      <w:r>
        <w:rPr>
          <w:rFonts w:ascii="Arial" w:cs="Arial" w:eastAsia="Arial" w:hAnsi="Arial"/>
          <w:sz w:val="16"/>
          <w:szCs w:val="16"/>
          <w:color w:val="auto"/>
        </w:rPr>
        <w:t>In the automated plasma collection market, we principally compete with Fresenius' Fenwal Aurora and Aurora Xi product lines on the basis of speed, plasma yield per donation, quality, reliability, ease of use, services and technical features of the collection systems and on the long-term cost-effectiveness of equipment and disposables. In China, the market is populated by local producers of a product that is intended to be similar to ours. Recently, those competitors have expanded to markets beyond China, including European and South American countries. In the field of plasma related software, MAK Systems is the primary competitor along with applications developed internally by our customers.</w:t>
      </w:r>
    </w:p>
    <w:p>
      <w:pPr>
        <w:spacing w:after="0" w:line="188" w:lineRule="exact"/>
        <w:rPr>
          <w:rFonts w:ascii="Arial" w:cs="Arial" w:eastAsia="Arial" w:hAnsi="Arial"/>
          <w:sz w:val="18"/>
          <w:szCs w:val="18"/>
          <w:i w:val="1"/>
          <w:iCs w:val="1"/>
          <w:color w:val="auto"/>
        </w:rPr>
      </w:pPr>
    </w:p>
    <w:p>
      <w:pPr>
        <w:ind w:left="660" w:right="32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In April 2021, Terumo BCT and CSL announced a collaboration to deliver a new plasma collection platform for CSL's U.S. collection centers. This potential new entrant to the market is undergoing a clinical trial and will require FDA device clearance prior to use in the U.S.</w:t>
      </w:r>
    </w:p>
    <w:p>
      <w:pPr>
        <w:spacing w:after="0" w:line="42"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Blood Center</w:t>
      </w:r>
    </w:p>
    <w:p>
      <w:pPr>
        <w:spacing w:after="0" w:line="252" w:lineRule="exact"/>
        <w:rPr>
          <w:rFonts w:ascii="Arial" w:cs="Arial" w:eastAsia="Arial" w:hAnsi="Arial"/>
          <w:sz w:val="18"/>
          <w:szCs w:val="18"/>
          <w:i w:val="1"/>
          <w:iCs w:val="1"/>
          <w:color w:val="auto"/>
        </w:rPr>
      </w:pPr>
    </w:p>
    <w:p>
      <w:pPr>
        <w:ind w:left="660" w:right="1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Most donations worldwide are traditional manual whole blood collections and approximately 30% of the Blood Center portfolio competes in this space. We face intense competition in our whole blood business on the basis of quality and price. Our main competitors are Fresenius, MacoPharma and Terumo BCT.</w:t>
      </w:r>
    </w:p>
    <w:p>
      <w:pPr>
        <w:spacing w:after="0" w:line="210" w:lineRule="exact"/>
        <w:rPr>
          <w:rFonts w:ascii="Arial" w:cs="Arial" w:eastAsia="Arial" w:hAnsi="Arial"/>
          <w:sz w:val="18"/>
          <w:szCs w:val="18"/>
          <w:i w:val="1"/>
          <w:iCs w:val="1"/>
          <w:color w:val="auto"/>
        </w:rPr>
      </w:pPr>
    </w:p>
    <w:p>
      <w:pPr>
        <w:ind w:left="660" w:right="4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Our MCS automated component blood collections, which represents approximately 60% of the Blood Center portfolio, not only compete against the traditional manual whole blood collection market (particularly in red cells) but also compete with products from Terumo BCT and Fresenius. Technology is the key differentiator in automated component blood collections, as measured by the time to collect more than one unit of a specific targeted blood component. While not all donors are eligible to donate more than one unit, it continues to become more prevalent in markets with a significant number of eligible donors. Therefore, both Haemonetics and our competitors continue to experience downward pressure on collection through single platelet collection procedures.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Hospital</w:t>
      </w:r>
    </w:p>
    <w:p>
      <w:pPr>
        <w:spacing w:after="0" w:line="144"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u w:val="single" w:color="auto"/>
          <w:color w:val="auto"/>
        </w:rPr>
        <w:t>Hemostasis Management</w:t>
      </w:r>
    </w:p>
    <w:p>
      <w:pPr>
        <w:spacing w:after="0" w:line="252" w:lineRule="exact"/>
        <w:rPr>
          <w:rFonts w:ascii="Arial" w:cs="Arial" w:eastAsia="Arial" w:hAnsi="Arial"/>
          <w:sz w:val="18"/>
          <w:szCs w:val="18"/>
          <w:i w:val="1"/>
          <w:iCs w:val="1"/>
          <w:color w:val="auto"/>
        </w:rPr>
      </w:pPr>
    </w:p>
    <w:p>
      <w:pPr>
        <w:ind w:left="660" w:right="120"/>
        <w:spacing w:after="0" w:line="301" w:lineRule="auto"/>
        <w:rPr>
          <w:rFonts w:ascii="Arial" w:cs="Arial" w:eastAsia="Arial" w:hAnsi="Arial"/>
          <w:sz w:val="18"/>
          <w:szCs w:val="18"/>
          <w:i w:val="1"/>
          <w:iCs w:val="1"/>
          <w:color w:val="auto"/>
        </w:rPr>
      </w:pPr>
      <w:r>
        <w:rPr>
          <w:rFonts w:ascii="Arial" w:cs="Arial" w:eastAsia="Arial" w:hAnsi="Arial"/>
          <w:sz w:val="16"/>
          <w:szCs w:val="16"/>
          <w:color w:val="auto"/>
        </w:rPr>
        <w:t>Our hemostasis analyzer systems are used primarily in surgical applications. Competition includes routine coagulation tests, such as prothrombin time, partial thromboplastin time and platelet count marketed by various manufacturers, such as Instrumentation Laboratory, Diagnostica Stago SAS and Sysmex. The TEG analyzer competes with these routine laboratory tests based on its ability to provide a more complete picture of a patient's hemostasis at a single point in time and to measure the clinically relevant platelet function for an individual patient.</w:t>
      </w:r>
    </w:p>
    <w:p>
      <w:pPr>
        <w:spacing w:after="0" w:line="178" w:lineRule="exact"/>
        <w:rPr>
          <w:rFonts w:ascii="Arial" w:cs="Arial" w:eastAsia="Arial" w:hAnsi="Arial"/>
          <w:sz w:val="18"/>
          <w:szCs w:val="18"/>
          <w:i w:val="1"/>
          <w:iCs w:val="1"/>
          <w:color w:val="auto"/>
        </w:rPr>
      </w:pPr>
    </w:p>
    <w:p>
      <w:pPr>
        <w:ind w:left="660"/>
        <w:spacing w:after="0" w:line="229" w:lineRule="auto"/>
        <w:rPr>
          <w:rFonts w:ascii="Arial" w:cs="Arial" w:eastAsia="Arial" w:hAnsi="Arial"/>
          <w:sz w:val="18"/>
          <w:szCs w:val="18"/>
          <w:i w:val="1"/>
          <w:iCs w:val="1"/>
          <w:color w:val="auto"/>
        </w:rPr>
      </w:pPr>
      <w:r>
        <w:rPr>
          <w:rFonts w:ascii="Arial" w:cs="Arial" w:eastAsia="Arial" w:hAnsi="Arial"/>
          <w:sz w:val="18"/>
          <w:szCs w:val="18"/>
          <w:color w:val="auto"/>
        </w:rPr>
        <w:t>In addition, TEG and ClotPro systems compete more directly with other viscoelastic testing systems, including ROTEM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analyzers, the VerifyNow</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and HemoSonics Quantra™. ROTEM and VerifyNow instruments are marketed by Instrumentation Laboratory, a subsidiary of Werfen. HemoSonics is owned and offered by Diagnostica Stago. There are also additional technologies being explored to assess viscoelasticity and other characteristics that can provide insights into the coagulation status of a patient. In the advanced viscoelastic testing segment, Haemonetics is the global market leader.</w:t>
      </w:r>
    </w:p>
    <w:p>
      <w:pPr>
        <w:spacing w:after="0" w:line="109"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u w:val="single" w:color="auto"/>
          <w:color w:val="auto"/>
        </w:rPr>
        <w:t>Cell Salvage</w:t>
      </w:r>
    </w:p>
    <w:p>
      <w:pPr>
        <w:spacing w:after="0" w:line="252" w:lineRule="exact"/>
        <w:rPr>
          <w:rFonts w:ascii="Arial" w:cs="Arial" w:eastAsia="Arial" w:hAnsi="Arial"/>
          <w:sz w:val="18"/>
          <w:szCs w:val="18"/>
          <w:i w:val="1"/>
          <w:iCs w:val="1"/>
          <w:color w:val="auto"/>
        </w:rPr>
      </w:pPr>
    </w:p>
    <w:p>
      <w:pPr>
        <w:ind w:left="660" w:right="2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In the intraoperative autotransfusion market, competition is based on reliability, ease of use, service, support and price. For high-volume platforms, each manufacturer's technology is similar and our Cell Saver technology competes principally with products offered by LivaNova PLC, Medtronic and Fresenius.</w:t>
      </w:r>
    </w:p>
    <w:p>
      <w:pPr>
        <w:spacing w:after="0" w:line="89"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u w:val="single" w:color="auto"/>
          <w:color w:val="auto"/>
        </w:rPr>
        <w:t>Transfusion Management</w:t>
      </w:r>
    </w:p>
    <w:p>
      <w:pPr>
        <w:spacing w:after="0" w:line="252" w:lineRule="exact"/>
        <w:rPr>
          <w:rFonts w:ascii="Arial" w:cs="Arial" w:eastAsia="Arial" w:hAnsi="Arial"/>
          <w:sz w:val="18"/>
          <w:szCs w:val="18"/>
          <w:i w:val="1"/>
          <w:iCs w:val="1"/>
          <w:color w:val="auto"/>
        </w:rPr>
      </w:pPr>
    </w:p>
    <w:p>
      <w:pPr>
        <w:ind w:left="660" w:right="200"/>
        <w:spacing w:after="0" w:line="296" w:lineRule="auto"/>
        <w:rPr>
          <w:rFonts w:ascii="Arial" w:cs="Arial" w:eastAsia="Arial" w:hAnsi="Arial"/>
          <w:sz w:val="18"/>
          <w:szCs w:val="18"/>
          <w:i w:val="1"/>
          <w:iCs w:val="1"/>
          <w:color w:val="auto"/>
        </w:rPr>
      </w:pPr>
      <w:r>
        <w:rPr>
          <w:rFonts w:ascii="Arial" w:cs="Arial" w:eastAsia="Arial" w:hAnsi="Arial"/>
          <w:sz w:val="16"/>
          <w:szCs w:val="16"/>
          <w:color w:val="auto"/>
        </w:rPr>
        <w:t>SafeTrace Tx and BloodTrack compete in the transfusion management software market within the broader category of hospital information systems. SafeTrace Tx is an FDA regulated blood bank information system (“BBIS”) that integrates and communicates with other healthcare information systems such as the electronic health record and laboratory information system within the hospital. The BloodTrack software, also FDA regulated, is an extension of the BBIS and provides secure, traceable blood units at the point-of-care, including trauma, surgery, outpatient and critical care settings. Growth drivers for these markets include patient safety, operational efficiencies and compliance.</w:t>
      </w:r>
    </w:p>
    <w:p>
      <w:pPr>
        <w:spacing w:after="0" w:line="188" w:lineRule="exact"/>
        <w:rPr>
          <w:rFonts w:ascii="Arial" w:cs="Arial" w:eastAsia="Arial" w:hAnsi="Arial"/>
          <w:sz w:val="18"/>
          <w:szCs w:val="18"/>
          <w:i w:val="1"/>
          <w:iCs w:val="1"/>
          <w:color w:val="auto"/>
        </w:rPr>
      </w:pPr>
    </w:p>
    <w:p>
      <w:pPr>
        <w:ind w:left="660" w:right="140"/>
        <w:spacing w:after="0" w:line="279" w:lineRule="auto"/>
        <w:rPr>
          <w:rFonts w:ascii="Arial" w:cs="Arial" w:eastAsia="Arial" w:hAnsi="Arial"/>
          <w:sz w:val="18"/>
          <w:szCs w:val="18"/>
          <w:i w:val="1"/>
          <w:iCs w:val="1"/>
          <w:color w:val="auto"/>
        </w:rPr>
      </w:pPr>
      <w:r>
        <w:rPr>
          <w:rFonts w:ascii="Arial" w:cs="Arial" w:eastAsia="Arial" w:hAnsi="Arial"/>
          <w:sz w:val="17"/>
          <w:szCs w:val="17"/>
          <w:color w:val="auto"/>
        </w:rPr>
        <w:t>SafeTrace Tx competition primarily consists of stand-alone BBIS including WellSky and some electronic health record software that includes a built-in transfusion management solution including Cerner. Global competition for BloodTrack varies by country including MSoft in Europe and established blood practices in the U.S. such as using standard refrigerators and manual movement of blood products. BloodTrack integrates with the hospital’s existing lab or blood bank system allowing for greater market acceptance.</w:t>
      </w:r>
    </w:p>
    <w:p>
      <w:pPr>
        <w:spacing w:after="0" w:line="90"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u w:val="single" w:color="auto"/>
          <w:color w:val="auto"/>
        </w:rPr>
        <w:t>Vascular Closure</w:t>
      </w:r>
    </w:p>
    <w:p>
      <w:pPr>
        <w:spacing w:after="0" w:line="130" w:lineRule="exact"/>
        <w:rPr>
          <w:rFonts w:ascii="Arial" w:cs="Arial" w:eastAsia="Arial" w:hAnsi="Arial"/>
          <w:sz w:val="18"/>
          <w:szCs w:val="18"/>
          <w:i w:val="1"/>
          <w:iCs w:val="1"/>
          <w:color w:val="auto"/>
        </w:rPr>
      </w:pPr>
    </w:p>
    <w:p>
      <w:pPr>
        <w:ind w:left="660" w:right="20"/>
        <w:spacing w:after="0" w:line="296" w:lineRule="auto"/>
        <w:rPr>
          <w:rFonts w:ascii="Arial" w:cs="Arial" w:eastAsia="Arial" w:hAnsi="Arial"/>
          <w:sz w:val="18"/>
          <w:szCs w:val="18"/>
          <w:i w:val="1"/>
          <w:iCs w:val="1"/>
          <w:color w:val="auto"/>
        </w:rPr>
      </w:pPr>
      <w:r>
        <w:rPr>
          <w:rFonts w:ascii="Arial" w:cs="Arial" w:eastAsia="Arial" w:hAnsi="Arial"/>
          <w:sz w:val="16"/>
          <w:szCs w:val="16"/>
          <w:color w:val="auto"/>
        </w:rPr>
        <w:t>The vascular closure industry is highly competitive and has been evolving rapidly with the introduction of new products, technologies, regulations and activities of industry participants. Our VASCADE family of products serves as an alternative to existing methods of femoral vascular access site closure in interventional procedures, including manual compression and other femoral access closure devices. Our main competitors in femoral access closure for coronary and peripheral procedures include Terumo BCT, Abbott Laboratories and Cardinal Health. There are not currently any competing vascular access site closure devices that are labeled for electrophysiology procedures that require multiple access sites.</w:t>
      </w:r>
    </w:p>
    <w:p>
      <w:pPr>
        <w:spacing w:after="0" w:line="66" w:lineRule="exact"/>
        <w:rPr>
          <w:rFonts w:ascii="Arial" w:cs="Arial" w:eastAsia="Arial" w:hAnsi="Arial"/>
          <w:sz w:val="18"/>
          <w:szCs w:val="18"/>
          <w:i w:val="1"/>
          <w:iCs w:val="1"/>
          <w:color w:val="auto"/>
        </w:rPr>
      </w:pPr>
    </w:p>
    <w:p>
      <w:pPr>
        <w:ind w:left="660" w:right="6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We compete primarily on the basis that our products are optimized for the requirements of coronary, peripheral and electrophysiology procedures, including procedures that require multiple access sites. In addition, our value proposition is supported by robust clinical trial evidence and study data, which demonstrate reduced access site complication rates as well as workflow improvements compared to manual compression that lead to cost savings.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25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fiscal 2021, 2020 and 2019, our ten largest customers accounted for approximately 49%, 54% and 52% of our net revenues, respectively. Two of our Plasma customers, CSL and Grifols, each were greater than 10% of total net revenues and in total accounted for approximately 23%, 27% and 27% of our net revenues in fiscal 2021, 2020 and 2019, respectively. In addition, a third customer accounted for greater than 10% of the Plasma segment's net revenues, but did not exceed 10% of total net revenues in fiscal 2021, 2020 and 2019. One customer accounted for greater than 10% of our Blood Center segment’s net revenues, but did not exceed 10% of total net revenues in fiscal 2021, 2020 and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Due to the variety of products that we manufacture, we and our products are subject to a wide variety of regulations from numerous government agencies, including the FDA, and similar agencies outside the U.S. To varying degrees, each of these agencies requires us to comply with laws and regulations governing the development, testing, manufacturing, labeling, marketing and distribution of our products.</w:t>
      </w:r>
    </w:p>
    <w:p>
      <w:pPr>
        <w:spacing w:after="0" w:line="211" w:lineRule="exact"/>
        <w:rPr>
          <w:sz w:val="20"/>
          <w:szCs w:val="20"/>
          <w:color w:val="auto"/>
        </w:rPr>
      </w:pPr>
    </w:p>
    <w:p>
      <w:pPr>
        <w:jc w:val="both"/>
        <w:ind w:right="500"/>
        <w:spacing w:after="0" w:line="301" w:lineRule="auto"/>
        <w:rPr>
          <w:sz w:val="20"/>
          <w:szCs w:val="20"/>
          <w:color w:val="auto"/>
        </w:rPr>
      </w:pPr>
      <w:r>
        <w:rPr>
          <w:rFonts w:ascii="Arial" w:cs="Arial" w:eastAsia="Arial" w:hAnsi="Arial"/>
          <w:sz w:val="16"/>
          <w:szCs w:val="16"/>
          <w:color w:val="auto"/>
        </w:rPr>
        <w:t>In the United States, medical devices, drugs, and biological products are subject to extensive regulation by FDA under the Federal Food, Drug, and Cosmetic Act, or FDCA, and other federal and state statutes and regulations. The failure to comply with applicable U.S. requirements may subject a company to a variety of administrative or judicial sanctions, such as FDA refusal to clear or approve applications, warning or untitled letters, product recalls, product seizures, total or partial suspension of production or distribution, injunctions, fines, civil penalties and criminal prosecution.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 Device Regulation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Requirements - U.S.</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Unless an exemption applies, all medical devices introduced to the U.S. market are required by the FDA, as a condition of marketing, to secure clearance of a 510(k) premarket notification, grant of a request for de novo classification, or approval of a premarket approval application, or PMA. The FDA classifies medical devices into one of three classes based on risk. Devices deemed to pose a low or moderate risk are placed in Class I or II. Manufacturers of most Class II devices, and a few Class I devices, must submit to the FDA a 510(k) premarket notification requesting clearance for commercial</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distribution. Devices deemed by the FDA to pose the greatest risk or devices deemed not substantially equivalent to a previously cleared 510(k) device are placed in class III, requiring submission and approval of a PMA or risk-based classification through the de novo process.</w:t>
      </w: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obtain 510(k) clearance, we must submit a premarket notification demonstrating that the proposed device is “substantially equivalent” to a previously 510(k)-cleared device or a device that was in commercial distribution before May 28, 1976 for which the FDA has not yet called for the submission of PMAs, or a device that has been the subject of a de novo classification. The FDA’s 510(k) clearance pathway usually takes from three to 12 months from the date the notification is submitted, but it can take longer, depending on the extent of the FDA's requests for additional information and the amount of time a sponsor takes to fulfill them. We may need to first obtain an investigational device exemption (for significant risk devices), known as an IDE, in order to conduct extensive clinical testing of the device to obtain the necessary clinical data for submission to the FDA. After a device receives 510(k) clearance, any modification that could significantly affect its safety or effectiveness, or that would constitute a major change in its intended use, will require a new 510(k) clearance or could require premarket approval.</w:t>
      </w:r>
    </w:p>
    <w:p>
      <w:pPr>
        <w:spacing w:after="0" w:line="219"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A device that cannot demonstrate substantial equivalence to a previously marketed predicate is automatically deemed Class III. The de novo process provides a pathway to classify novel medical devices for which general controls alone, or general and special controls, provide reasonable assurance of safety and effectiveness for the intended use, but for which there is no legally marketed predicate device. Once a request for de novo classification is granted by the FDA, the newly classified device may be used as a predicate by the applicant or a competitor in a future 510(k) notification submission, if the FDA determines that new devices of the same type require 510(k) clearance.</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Devices deemed by the FDA to pose the greatest risk are placed in Class III. A PMA is required for most Class III devices. The PMA process is generally more detailed, lengthier and more expensive than the 510(k) and de novo processes. Prior to the acquisition of Cardiva in March 2021, we had not been required to obtain a PMA for any of our products and did not have any Class III products in our product pipeline. With the acquisition of Cardiva, we have acquired VASCADE and VASCADE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MVP, which are both Class III products for which PMAs were previously obtained. The 510(k) clearance, de novo classification, and PMA processes can be resource intensive, expensive, lengthy and require payment of significant user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Postmarket Requirements - U.S.</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After the FDA permits a device to enter commercial distribution, numerous regulatory requirements continue to apply. Generally, establishments that design and/or manufacture devices are required to register with the FDA. They also must provide the FDA with a list of the devices that they design and/or manufacture at their facilities. Other postmarket requirements include compliance with:</w:t>
      </w:r>
    </w:p>
    <w:p>
      <w:pPr>
        <w:spacing w:after="0" w:line="89" w:lineRule="exact"/>
        <w:rPr>
          <w:sz w:val="20"/>
          <w:szCs w:val="20"/>
          <w:color w:val="auto"/>
        </w:rPr>
      </w:pPr>
    </w:p>
    <w:p>
      <w:pPr>
        <w:ind w:left="1300" w:right="20" w:hanging="158"/>
        <w:spacing w:after="0" w:line="301" w:lineRule="auto"/>
        <w:tabs>
          <w:tab w:leader="none" w:pos="129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Quality System Regulation, or QSR, which sets forth current good manufacturing practice, or CGMP, requirements for medical devices. The QSR applies to manufacturers, including contract manufacturers, of finished medical devices, and governs methods, facilities, and controls used in designing, manufacturing, packaging, labeling, storing, installing and servicing such devices. Among other requirements, manufacturers of medical devices must establish a quality system appropriate for the devices they manufacture.</w:t>
      </w:r>
    </w:p>
    <w:p>
      <w:pPr>
        <w:spacing w:after="0" w:line="76" w:lineRule="exact"/>
        <w:rPr>
          <w:rFonts w:ascii="Arial" w:cs="Arial" w:eastAsia="Arial" w:hAnsi="Arial"/>
          <w:sz w:val="16"/>
          <w:szCs w:val="16"/>
          <w:color w:val="auto"/>
        </w:rPr>
      </w:pPr>
    </w:p>
    <w:p>
      <w:pPr>
        <w:ind w:left="1300" w:hanging="158"/>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Labeling regulations, including unique device identification;</w:t>
      </w:r>
    </w:p>
    <w:p>
      <w:pPr>
        <w:spacing w:after="0" w:line="130" w:lineRule="exact"/>
        <w:rPr>
          <w:rFonts w:ascii="Arial" w:cs="Arial" w:eastAsia="Arial" w:hAnsi="Arial"/>
          <w:sz w:val="18"/>
          <w:szCs w:val="18"/>
          <w:color w:val="auto"/>
        </w:rPr>
      </w:pPr>
    </w:p>
    <w:p>
      <w:pPr>
        <w:ind w:left="1300" w:right="120" w:hanging="158"/>
        <w:spacing w:after="0" w:line="263"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Medical device reporting, or MDR, regulations, which require that manufacturers report to the FDA if their device may have caused or contributed to a death or serious injury or malfunctioned in a way that would likely cause or contribute to a death or serious injury if the malfunction were to recur; and</w:t>
      </w:r>
    </w:p>
    <w:p>
      <w:pPr>
        <w:spacing w:after="0" w:line="89" w:lineRule="exact"/>
        <w:rPr>
          <w:rFonts w:ascii="Arial" w:cs="Arial" w:eastAsia="Arial" w:hAnsi="Arial"/>
          <w:sz w:val="18"/>
          <w:szCs w:val="18"/>
          <w:color w:val="auto"/>
        </w:rPr>
      </w:pPr>
    </w:p>
    <w:p>
      <w:pPr>
        <w:ind w:left="1300" w:hanging="158"/>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Medical device correction and removal (recall) regulations with their associated reporting obligations.</w:t>
      </w:r>
    </w:p>
    <w:p>
      <w:pPr>
        <w:spacing w:after="0" w:line="14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Additionally, we and the manufacturing facilities of some of our suppliers are subject to unannounced inspections by the FDA to determine our compliance with the QSR and other applicable regulations described above. The FDA can issue Form 483 Notices of Observation, warning letters or untitled letters, seek a court order detaining or seizing certain devices, seek an injunction, suspend regulatory clearance or approvals, ban certain medical devices, order repair, replacement or refund of those devices and require notification of health professionals and others with regard to medical devices that present risks of substantial harm to the public health. The FDA may also initiate action for criminal prosecution of violations.</w:t>
      </w:r>
    </w:p>
    <w:p>
      <w:pPr>
        <w:spacing w:after="0" w:line="20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FDA also may require post market testing, surveillance, or other measures to monitor the effects of an approved or cleared product. The FDA may place conditions on a PMA-approved device that could restrict the distribution or use of the product. In addition, quality control, manufacture, packaging, and labeling procedures must continue to conform to QSRs after approval and clearance, and manufacturers are subject to periodic inspections by the FDA. Accordingly, manufacturers must continue to expend time, money, and effort in the areas of production and quality control to maintain compliance with QSRs. The FDA may withdraw product approvals or recommend or require product recalls if a company fails to comply with regulatory requirements.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Advertising, marketing and promotional activities for devices are also subject to FDA oversight. The failure to comply with the requirements applicable to these activities can result in FDA enforcement action.</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Manufacturers of medical devices are permitted to promote products solely for the uses and indications set forth in the approved or cleared product labeling. Promotion of products for uses not described in the approved or cleared labeling (“off-label” uses) has resulted in enforcement actions against manufacturers, including actions alleging violation of the Federal False Claims Act, federal and state healthcare fraud and abuse laws, and state consumer protection laws. The failure to comply with prohibitions on “off-label” promotion can result in significant monetary penalties, suspension of sales of certain products, product recalls, civil or criminal sanctions, exclusion from participating in federal healthcare programs, or other enforcement actions. In the United States, allegations of such wrongful conduct could also result in a corporate integrity agreement with the U.S. government that imposes significant administrative obligations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Outside the U.S.</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regulatory review process varies from country to country and may in some cases require the submission of clinical data. Our international sales are subject to regulatory requirements in the countries in which our products are sold. For example, the EU has adopted the EU Medical Device Regulation (the "EU MDR") and the EU In Vitro Diagnostic Regulation (the "EU IVDR"), each of which impose stricter requirements for the marketing and sale of medical devices, including in the area of clinical evaluation requirements, quality systems and postmarket surveillance, than the current medical device directives they replace. The EU MDR is fully applicable as of May 26, 2021, and the EU IVDR as of May 26, 2022. There is a transition period for devices with a notified body certificate with an expiry date after the date of full application. However, a new EU certificate under the applicable Regulations must be obtained before that expiry date if there is to be no interruption in manufacturing and supply of devices to the market. There are nevertheless a number of provisions that need to be complied with from the date of application, including updating the postmarket surveillance process, appointing an importer for the EU, appointing a person responsible for regulatory compliance, and updating economic operator agreements. Complying with the requirements of these regulations may require us to incur significant expenditures. Failure to meet these requirements could adversely impact our business in the EU and other regions that tie their product registrations to the EU requirements.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Drug Regulation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and Approval</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the FDCA, FDA approval of a new drug application, or NDA, is generally required before any new drug can be marketed in the U.S. NDAs require extensive studies and submission of a large amount of data by the applicant.</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generic version of an approved drug is approved by means of an abbreviated new drug application, or ANDA, by which the sponsor demonstrates that the proposed product is the same as the approved, brand-name drug, which is referred to as the “reference listed drug,” or RLD. Generally, an ANDA must contain data and information showing that the proposed generic product and RLD have the same active ingredient, in the same strength and dosage form, to be delivered via the same route of administration, are intended for the same uses and are bioequivalent. This more limited data set is in lieu of independently demonstrating the proposed product’s safety and effectiveness, which are inferred from the fact that the product is the same as the RLD, which the FDA previously found to be safe and effective.</w:t>
      </w: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currently hold NDAs and ANDAs for liquid solutions (including anticoagulants, intravenous saline and a red blood cell storage solution), which we sell with our blood component and whole blood collection systems.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Regulations</w:t>
      </w:r>
    </w:p>
    <w:p>
      <w:pPr>
        <w:spacing w:after="0" w:line="25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After the FDA permits a drug to enter commercial distribution, numerous regulatory requirements continue to apply. These include the FDA's current cGMPs, which include a series of requirements relating to organization and training of personnel, buildings and facilities, equipment, control of components and drug product containers and closures, production and process controls, quality control and quality assurance, packaging and labeling controls, holding and distribution, and laboratory controls and records and reports. The FDA has also established labeling regulations, advertising and promotion requirements and restrictions; regulations regarding conducting recalls of product; and requirements relating to the reporting of adverse events.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Failure to comply with applicable FDA requirements and restrictions in this area may subject a company to adverse publicity, such as warning letters, and enforcement action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entering into agreements with the government that materially restrict the manner in which a company promotes or distributes drug or biological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Outside the U.S.</w:t>
      </w:r>
    </w:p>
    <w:p>
      <w:pPr>
        <w:spacing w:after="0" w:line="2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must obtain the requisite marketing authorizations from regulatory authorities in foreign countries prior to marketing of a product in those countries. The requirements and process governing product licensing vary from country to country. If we fail to comply with applicable foreign regulatory requirements, we may be subject to, among other things, warning letters or untitled letters, injunctions, civil, administrative, or criminal penalties, monetary fines or imprisonment, suspension or withdrawal of regulatory approvals, suspension of ongoing clinical studies, refusal to approve pending applications or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supplements to applications filed by us, suspension or the imposition of restrictions on operations, product recalls, the refusal to permit the import or export of our products or the seizure or detention of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Conflict Minerals</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Dodd-Frank Wall Street Reform and Consumer Protection Act imposes disclosure requirements regarding the use of “Conflict Minerals” mined from the Democratic Republic of Congo and adjoining countries in products, whether or not these products are manufactured by third parties. The conflict minerals include tin, tantalum, tungsten and gold and their derivatives. These requirements could affect the pricing, sourcing and availability of minerals used in the manufacture of our products. There may be material additional costs associated with complying with the disclosure requirements, such as costs related to determining the source of any conflict minerals used in our products. Our supply chain is complex and we may be unable to verify the origins for all metals used in our products as well as costs of possible changes to products processes, or sources of supply as a consequence of such verification activities.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Fraud and Abuse Laws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 We have described below some of the key federal, state and foreign healthcare laws and regulations that apply to our business.</w:t>
      </w:r>
    </w:p>
    <w:p>
      <w:pPr>
        <w:spacing w:after="0" w:line="21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federal healthcare program Anti-Kickback Statute prohibits, among other things, knowingly and willfully offering, paying, soliciting or receiving remuneration, directly or indirectly, in cash or in kind, to induce or in return for purchasing, leasing, ordering or arranging for or recommending the purchase, lease or order of any healthcare item or service reimbursable, in whole or in part, under Medicare, Medicaid or other federally financed healthcare programs. This statute has been interpreted to apply to arrangements between manufacturers of federally reimbursed products on one hand and prescribers, purchasers and others in a position to recommend, refer, or order federally reimbursed products on the other. Although there are a number of statutory exemptions and regulatory safe harbors protecting certain common activities from prosecution, the exemptions and safe harbors are drawn narrowly and practices that involve remuneration to those who prescribe, purchase, or recommend medical devices or pharmaceutical and biological products, including certain discounts, or engaging consultants as speakers or consultants, may be subject to scrutiny if they do not fit squarely within the exemption or safe harbor. Our practices may not in all cases meet all of the criteria for safe harbor protection from anti-kickback liability. Moreover, there are no safe harbors for many common practices, such as educational and research grants.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civil False Claims Act.</w:t>
      </w:r>
    </w:p>
    <w:p>
      <w:pPr>
        <w:spacing w:after="0" w:line="19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federal civil False Claims Act prohibits, among other things, any person from knowingly presenting, or causing to be presented, a false, fraudulent or materially incomplete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In recent years, companies in the healthcare industry have faced enforcement actions under the federal False Claims Act for, among other things, allegedly providing free product to customers with the expectation that the customers would bill federal programs for the product or causing false claims to be submitted because of the company’s marketing the product for unapproved and thus non-reimbursable, uses. False Claims Act liability is potentially significant in the healthcare industry because the statute provides for treble damages and mandatory penalties of tens of thousands of dollars per false claim or statement. Healthcare companies also are subject to other federal false claims laws, including, among others, federal criminal healthcare fraud and false statement statutes that extend to non-government health benefit programs.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federal Health Insurance Portability and Accountability Act of 1996, or HIPAA, as amended by the Health Information Technology for Economic and Clinical Health Act, or HITECH, among other things, imposes criminal and civil liability for knowingly and willfully executing a scheme to defraud any healthcare benefit program, including private third party payers and knowingly and willfully falsifying, concealing or covering up a material fact or making any materially false, fictitious or fraudulent statement in connection with the delivery of or payment for healthcare benefits, items or services.</w:t>
      </w:r>
    </w:p>
    <w:p>
      <w:pPr>
        <w:spacing w:after="0" w:line="1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the Physician Payment Sunshine Act, implemented as the Open Payments program, requires manufacturers of certain products reimbursed by Medicare, Medicaid, or the Children’s Health Insurance Program to track and report information</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the federal government on certain payments or transfers of value that they make to physicians (defined to include doctors, dentists, optometrists, podiatrists and chiropractors) and teaching hospitals, as well as ownership and investment interests held by physicians and their immediate family members. Beginning calendar year 2021, manufacturers must collect information regarding payments and other transfers of value to physician assistants, nurse practitioners, clinical nurse specialists, anesthesiologist assistants, certified registered nurse anesthetists, and certified nurse-midwives for reporting in 2022. The reported data is made available in searchable form on a public website on an annual basis. Failure to submit required information may result in civil monetary penalties.</w:t>
      </w:r>
    </w:p>
    <w:p>
      <w:pPr>
        <w:spacing w:after="0" w:line="2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Many states have adopted analogous laws and regulations, including state anti-kickback and false claims laws, which may apply to items or services reimbursed under Medicaid and other state programs or, in several states, regardless of the payer. Several states have enacted legislation requiring pharmaceutical and medical device companies to, among other things, establish marketing compliance programs; file periodic reports with the state, including reports on gifts and payments to individual health care providers; make periodic public disclosures on sales, marketing, pricing, clinical trials and other activities; and/or register their sales representatives. Some states prohibit specified sales and marketing practices, including the provision of gifts, meals, or other items to certain health care providers and/or offering co-pay support to patients for certain prescription drugs.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Other countries, including a number of EU Member States, have laws of similar application.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5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Failure to comply with international, federal and local environmental protection laws or regulations could have an adverse impact on our business or could require material capital expenditures. We continue to monitor changes in U.S. and international environmental regulations that may present a significant risk to the business, including laws or regulations relating to the manufacture or sale of products using plastics.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25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employees are the foundation of our organization, each with their own talents, backgrounds and abilities. As of April 3, 2021, we employed the full-time equivalent of 2,708 persons. Approximately 79% of our employees are located in the U.S. and the remaining 21% are located across 19 other countries.</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our industry, there is substantial competition for key personnel in the regions in which we operate. Recruiting, developing and retaining talented employees is critical to both our strategy and our ability to compete effectively in the markets we serve. We are committed to building a collaborative, performance-driven culture that attracts and retains the best talent. We strive to do this by soliciting employee perspectives, investing in their development, promoting employee health and safety, providing competitive pay and benefits and recognizing that the diversity of our teams and their ideas helps build our culture and strengthens our ability to make our work matter for the customers, patients, donors and healthcare providers who depend on us. These efforts include:</w:t>
      </w:r>
    </w:p>
    <w:p>
      <w:pPr>
        <w:spacing w:after="0" w:line="219" w:lineRule="exact"/>
        <w:rPr>
          <w:sz w:val="20"/>
          <w:szCs w:val="20"/>
          <w:color w:val="auto"/>
        </w:rPr>
      </w:pPr>
    </w:p>
    <w:p>
      <w:pPr>
        <w:ind w:left="660" w:right="18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Employee Engagement</w:t>
      </w:r>
      <w:r>
        <w:rPr>
          <w:rFonts w:ascii="Arial" w:cs="Arial" w:eastAsia="Arial" w:hAnsi="Arial"/>
          <w:sz w:val="18"/>
          <w:szCs w:val="18"/>
          <w:color w:val="auto"/>
        </w:rPr>
        <w:t>. We conduct an annual employee engagement survey, with at least 90% global participation since fiscal 2018. Feedback</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these surveys is shared across the organization and informs both Company-sponsored initiatives and shared action plans between managers and direct reports.</w:t>
      </w:r>
    </w:p>
    <w:p>
      <w:pPr>
        <w:spacing w:after="0" w:line="210"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Employee Development</w:t>
      </w:r>
      <w:r>
        <w:rPr>
          <w:rFonts w:ascii="Arial" w:cs="Arial" w:eastAsia="Arial" w:hAnsi="Arial"/>
          <w:sz w:val="18"/>
          <w:szCs w:val="18"/>
          <w:color w:val="auto"/>
        </w:rPr>
        <w:t>. We offer a variety of programs and resources designed to facilitate our employees’ career development, training and</w:t>
      </w:r>
      <w:r>
        <w:rPr>
          <w:rFonts w:ascii="Arial" w:cs="Arial" w:eastAsia="Arial" w:hAnsi="Arial"/>
          <w:sz w:val="18"/>
          <w:szCs w:val="18"/>
          <w:i w:val="1"/>
          <w:iCs w:val="1"/>
          <w:color w:val="auto"/>
        </w:rPr>
        <w:t xml:space="preserve"> </w:t>
      </w:r>
      <w:r>
        <w:rPr>
          <w:rFonts w:ascii="Arial" w:cs="Arial" w:eastAsia="Arial" w:hAnsi="Arial"/>
          <w:sz w:val="18"/>
          <w:szCs w:val="18"/>
          <w:color w:val="auto"/>
        </w:rPr>
        <w:t>networking, including:</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Manager development sessions focused on leadership skills, such as performance management training, coaching and feedback;</w:t>
      </w:r>
    </w:p>
    <w:p>
      <w:pPr>
        <w:spacing w:after="0" w:line="263" w:lineRule="exact"/>
        <w:rPr>
          <w:rFonts w:ascii="Arial" w:cs="Arial" w:eastAsia="Arial" w:hAnsi="Arial"/>
          <w:sz w:val="17"/>
          <w:szCs w:val="17"/>
          <w:color w:val="auto"/>
        </w:rPr>
      </w:pPr>
    </w:p>
    <w:p>
      <w:pPr>
        <w:ind w:left="1300" w:hanging="320"/>
        <w:spacing w:after="0"/>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Continuous improvement training for colleagues in functions that can best leverage and utilize process improvement practices;</w:t>
      </w:r>
    </w:p>
    <w:p>
      <w:pPr>
        <w:spacing w:after="0" w:line="263" w:lineRule="exact"/>
        <w:rPr>
          <w:rFonts w:ascii="Arial" w:cs="Arial" w:eastAsia="Arial" w:hAnsi="Arial"/>
          <w:sz w:val="17"/>
          <w:szCs w:val="17"/>
          <w:color w:val="auto"/>
        </w:rPr>
      </w:pPr>
    </w:p>
    <w:p>
      <w:pPr>
        <w:ind w:left="1300" w:right="220" w:hanging="320"/>
        <w:spacing w:after="0" w:line="277"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Best-in-class learning management system and dynamic content libraries aimed to meet the individual needs of colleagues’ current and future goals and aspirations; and</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Tuition reimbursement to support degree programs and certifications.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line="30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Competitive Pay and Benefits</w:t>
      </w:r>
      <w:r>
        <w:rPr>
          <w:rFonts w:ascii="Arial" w:cs="Arial" w:eastAsia="Arial" w:hAnsi="Arial"/>
          <w:sz w:val="16"/>
          <w:szCs w:val="16"/>
          <w:color w:val="auto"/>
        </w:rPr>
        <w:t>. We offer market-competitive base pay and benefits to our employees around the world. Most of our employees also</w:t>
      </w:r>
      <w:r>
        <w:rPr>
          <w:rFonts w:ascii="Arial" w:cs="Arial" w:eastAsia="Arial" w:hAnsi="Arial"/>
          <w:sz w:val="16"/>
          <w:szCs w:val="16"/>
          <w:i w:val="1"/>
          <w:iCs w:val="1"/>
          <w:color w:val="auto"/>
        </w:rPr>
        <w:t xml:space="preserve"> </w:t>
      </w:r>
      <w:r>
        <w:rPr>
          <w:rFonts w:ascii="Arial" w:cs="Arial" w:eastAsia="Arial" w:hAnsi="Arial"/>
          <w:sz w:val="16"/>
          <w:szCs w:val="16"/>
          <w:color w:val="auto"/>
        </w:rPr>
        <w:t>have variable components to their compensation that are tied to achievement of corporate and individual performance goals, the fluctuations of our stock price, or a combination of both. We also offer an Employee Stock Purchase Plan to eligible employees, consistent with our philosophy that compensation should align the interests of employees and shareholders and promote a long-term shareholder perspective.</w:t>
      </w:r>
    </w:p>
    <w:p>
      <w:pPr>
        <w:spacing w:after="0" w:line="184" w:lineRule="exact"/>
        <w:rPr>
          <w:rFonts w:ascii="Arial" w:cs="Arial" w:eastAsia="Arial" w:hAnsi="Arial"/>
          <w:sz w:val="16"/>
          <w:szCs w:val="16"/>
          <w:color w:val="auto"/>
        </w:rPr>
      </w:pPr>
    </w:p>
    <w:p>
      <w:pPr>
        <w:ind w:left="660" w:right="20" w:hanging="328"/>
        <w:spacing w:after="0" w:line="273"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Health and Safety</w:t>
      </w:r>
      <w:r>
        <w:rPr>
          <w:rFonts w:ascii="Arial" w:cs="Arial" w:eastAsia="Arial" w:hAnsi="Arial"/>
          <w:sz w:val="17"/>
          <w:szCs w:val="17"/>
          <w:color w:val="auto"/>
        </w:rPr>
        <w:t>. As a Company, we are also committed to making our workplaces safe and secure. This includes eliminating unsafe work</w:t>
      </w:r>
      <w:r>
        <w:rPr>
          <w:rFonts w:ascii="Arial" w:cs="Arial" w:eastAsia="Arial" w:hAnsi="Arial"/>
          <w:sz w:val="17"/>
          <w:szCs w:val="17"/>
          <w:i w:val="1"/>
          <w:iCs w:val="1"/>
          <w:color w:val="auto"/>
        </w:rPr>
        <w:t xml:space="preserve"> </w:t>
      </w:r>
      <w:r>
        <w:rPr>
          <w:rFonts w:ascii="Arial" w:cs="Arial" w:eastAsia="Arial" w:hAnsi="Arial"/>
          <w:sz w:val="17"/>
          <w:szCs w:val="17"/>
          <w:color w:val="auto"/>
        </w:rPr>
        <w:t>practices and workplace injuries and illnesses and promoting the health, safety and well-being of all employees, contractors and visitors. Important objectives in achieving our vision include: creating a positive safety culture, maintaining an effective safety management system and reducing risk in the workplace. Our response to the COVID-19 pandemic has focused on business continuity and the safety of our employees. This includes prioritizing employee safety with remote work and travel restrictions, and limiting exposure for our manufacturing and customer facing employees, including field service and sales teams, to ensure supplies and support for our customers.</w:t>
      </w:r>
    </w:p>
    <w:p>
      <w:pPr>
        <w:spacing w:after="0" w:line="204" w:lineRule="exact"/>
        <w:rPr>
          <w:rFonts w:ascii="Arial" w:cs="Arial" w:eastAsia="Arial" w:hAnsi="Arial"/>
          <w:sz w:val="17"/>
          <w:szCs w:val="17"/>
          <w:color w:val="auto"/>
        </w:rPr>
      </w:pPr>
    </w:p>
    <w:p>
      <w:pPr>
        <w:ind w:left="660" w:right="18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Diversity, Equity and Inclusion</w:t>
      </w:r>
      <w:r>
        <w:rPr>
          <w:rFonts w:ascii="Arial" w:cs="Arial" w:eastAsia="Arial" w:hAnsi="Arial"/>
          <w:sz w:val="18"/>
          <w:szCs w:val="18"/>
          <w:color w:val="auto"/>
        </w:rPr>
        <w:t>. The diversity of our teams and their ideas helps build our collaborative, performance driven culture. We</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 the value that each individual brings to our workplace, and we are committed to providing an inclusive environment where every individual has the opportunity to thrive. Additionally, we encourage colleagues with shared interests and affinities to connect and learn from one another.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Reports and Other Information</w:t>
      </w:r>
    </w:p>
    <w:p>
      <w:pPr>
        <w:spacing w:after="0" w:line="25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All of our corporate governance materials, including the Principles of Corporate Governance, Code of Conduct and the charters of the Audit, Compensation, Governance and Compliance and Technology Committees are published on the Investor Relations section of our website at </w:t>
      </w:r>
      <w:r>
        <w:rPr>
          <w:rFonts w:ascii="Arial" w:cs="Arial" w:eastAsia="Arial" w:hAnsi="Arial"/>
          <w:sz w:val="18"/>
          <w:szCs w:val="18"/>
          <w:u w:val="single" w:color="auto"/>
          <w:color w:val="0000FF"/>
        </w:rPr>
        <w:t>www.haemonetics.com</w:t>
      </w:r>
      <w:r>
        <w:rPr>
          <w:rFonts w:ascii="Arial" w:cs="Arial" w:eastAsia="Arial" w:hAnsi="Arial"/>
          <w:sz w:val="18"/>
          <w:szCs w:val="18"/>
          <w:color w:val="000000"/>
        </w:rPr>
        <w:t>. On this website the public can also access, free of charge, our annual, quarterly and current reports and other documents filed or</w:t>
      </w:r>
      <w:r>
        <w:rPr>
          <w:rFonts w:ascii="Arial" w:cs="Arial" w:eastAsia="Arial" w:hAnsi="Arial"/>
          <w:sz w:val="18"/>
          <w:szCs w:val="18"/>
          <w:color w:val="0000FF"/>
        </w:rPr>
        <w:t xml:space="preserve"> </w:t>
      </w:r>
      <w:r>
        <w:rPr>
          <w:rFonts w:ascii="Arial" w:cs="Arial" w:eastAsia="Arial" w:hAnsi="Arial"/>
          <w:sz w:val="18"/>
          <w:szCs w:val="18"/>
          <w:color w:val="000000"/>
        </w:rPr>
        <w:t>furnished to the Securities and Exchange Commission, or SEC, as soon as reasonably practicable after we electronically file such material with, or furnish it to, the SEC. The SEC maintains an internet site (</w:t>
      </w:r>
      <w:r>
        <w:rPr>
          <w:rFonts w:ascii="Arial" w:cs="Arial" w:eastAsia="Arial" w:hAnsi="Arial"/>
          <w:sz w:val="18"/>
          <w:szCs w:val="18"/>
          <w:u w:val="single" w:color="auto"/>
          <w:color w:val="0000FF"/>
        </w:rPr>
        <w:t>http://www.sec.gov</w:t>
      </w:r>
      <w:r>
        <w:rPr>
          <w:rFonts w:ascii="Arial" w:cs="Arial" w:eastAsia="Arial" w:hAnsi="Arial"/>
          <w:sz w:val="18"/>
          <w:szCs w:val="18"/>
          <w:color w:val="000000"/>
        </w:rPr>
        <w:t>) that contains reports, proxy and information statements and other information regarding issuers that file documents electronically.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Certain statements that we make from time to time, including statements contained in this Annual Report on Form 10-K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impacts of the COVID-19 pandemic; the Company’s strategy for growth; product development, commercialization and anticipated performance and benefits; regulatory approvals; impacts of acquisitions or dispositions; market position and expenditures.</w:t>
      </w:r>
    </w:p>
    <w:p>
      <w:pPr>
        <w:spacing w:after="0" w:line="20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21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are some important factors that could cause our actual results to differ from our expectations in any forward-looking statements. For further discussion of these and other factors, see Item 1A. Risk Factors in this report.</w:t>
      </w:r>
    </w:p>
    <w:p>
      <w:pPr>
        <w:spacing w:after="0" w:line="197" w:lineRule="exact"/>
        <w:rPr>
          <w:sz w:val="20"/>
          <w:szCs w:val="20"/>
          <w:color w:val="auto"/>
        </w:rPr>
      </w:pPr>
    </w:p>
    <w:p>
      <w:pPr>
        <w:ind w:left="660" w:right="500" w:hanging="328"/>
        <w:spacing w:after="0" w:line="31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 of the ongoing COVID-19 pandemic, or outbreaks of communicable diseases, on our business, financial conditions and results of operations, including the time it will take for vaccines to be broadly distributed and accepted in the U.S. and the rest of the world, and the effectiveness of such vaccines in slowing or stopping the spread of COVID-19 and mitigating the economic effects of the pandemic;</w:t>
      </w:r>
    </w:p>
    <w:p>
      <w:pPr>
        <w:spacing w:after="0" w:line="175"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achieve our long-term strategic and financial-improvement goals;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right="2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Demand for and market acceptance risks for new and existing products, including material reductions in purchasing from or loss of a significant customer;</w:t>
      </w:r>
    </w:p>
    <w:p>
      <w:pPr>
        <w:spacing w:after="0" w:line="197"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quality or safety concerns, leading to product recalls, withdrawals, regulatory action by the FDA (or similar non-U.S. regulatory agencies), reputational damage, declining sales or litigation;</w:t>
      </w:r>
    </w:p>
    <w:p>
      <w:pPr>
        <w:spacing w:after="0" w:line="197" w:lineRule="exact"/>
        <w:rPr>
          <w:rFonts w:ascii="Arial" w:cs="Arial" w:eastAsia="Arial" w:hAnsi="Arial"/>
          <w:sz w:val="18"/>
          <w:szCs w:val="18"/>
          <w:color w:val="auto"/>
        </w:rPr>
      </w:pPr>
    </w:p>
    <w:p>
      <w:pPr>
        <w:ind w:left="660" w:right="460" w:hanging="328"/>
        <w:spacing w:after="0" w:line="30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173"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pressures resulting from trends toward healthcare cost containment, including the continued consolidation among healthcare providers and other market participants;</w:t>
      </w:r>
    </w:p>
    <w:p>
      <w:pPr>
        <w:spacing w:after="0" w:line="197" w:lineRule="exact"/>
        <w:rPr>
          <w:rFonts w:ascii="Arial" w:cs="Arial" w:eastAsia="Arial" w:hAnsi="Arial"/>
          <w:sz w:val="18"/>
          <w:szCs w:val="18"/>
          <w:color w:val="auto"/>
        </w:rPr>
      </w:pPr>
    </w:p>
    <w:p>
      <w:pPr>
        <w:ind w:left="660" w:right="5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continuity, availability and pricing of plastic and other raw materials, finished goods and components used in the manufacturing of our products (including those purchased from sole-source suppliers) and the related continuity of our manufacturing, sterilization, supply and distribution;</w:t>
      </w:r>
    </w:p>
    <w:p>
      <w:pPr>
        <w:spacing w:after="0" w:line="210" w:lineRule="exact"/>
        <w:rPr>
          <w:rFonts w:ascii="Arial" w:cs="Arial" w:eastAsia="Arial" w:hAnsi="Arial"/>
          <w:sz w:val="18"/>
          <w:szCs w:val="18"/>
          <w:color w:val="auto"/>
        </w:rPr>
      </w:pPr>
    </w:p>
    <w:p>
      <w:pPr>
        <w:ind w:left="660" w:right="50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spacing w:after="0" w:line="150" w:lineRule="exact"/>
        <w:rPr>
          <w:rFonts w:ascii="Arial" w:cs="Arial" w:eastAsia="Arial" w:hAnsi="Arial"/>
          <w:sz w:val="16"/>
          <w:szCs w:val="16"/>
          <w:color w:val="auto"/>
        </w:rPr>
      </w:pPr>
    </w:p>
    <w:p>
      <w:pPr>
        <w:ind w:left="660" w:right="4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the anticipated benefits of restructuring programs that we have or may undertake, including the Operational Excellence Program;</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that the expected strategic benefits and opportunities from our acquisition of Cardiva and any other planned or completed acquisition or divestiture by the Company may not be realized or may take longer to realize than expected;</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212529"/>
        </w:rPr>
        <w:t>The impact of enhanced requirements to obtain regulatory approval in the U.S. and around the world and the associated timing and cost of product approval;</w:t>
      </w:r>
    </w:p>
    <w:p>
      <w:pPr>
        <w:spacing w:after="0" w:line="19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comply with established and developing U.S. and foreign legal and regulatory requirements, including FCPA, MDR and similar laws in other jurisdictions, as well as U.S. and foreign export and import restrictions and tariffs;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meet our debt obligations and raise additional capital when desired on terms reasonably acceptable to 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impact of our convertible senior notes and related capped call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execute and realize anticipated benefits from our investments in emerging economies;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effect of foreign currency fluctuations and interest rate fluctuations on our net sales, expenses, and resulting margins;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changes in U.S. and international tax laws;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the outcome of patent litigation;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and risks associated with product liability and other litigation claims;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and attract key personnel; and</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conditions impacting our stock price and/or share repurchase programs we may enter into from time to time, and the possibility that such share repurchase programs may be delayed, suspended or discontinued.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Investors should understand that it is not possible to predict or identify all such factors and should not consider the risks described above and in Item 1A. Risk Factors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30" w:right="5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the other information contained in this Annual Report on Form 10-K and the exhibits hereto, the following risk factors should be considered carefully in evaluating our business. Our business, financial condition, cash flows or results of operations could be materially adversely affected by any of these risks. This section contains forward-looking statements. Please refer to the cautionary statements made under the heading “Cautionary Statement Regarding Forward-Looking Information” at the end of Item 1 of this Annual Report on Form 10-K for more information on the qualifications and limitations on forward-looking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The outbreak of communicable diseases could have, and the ongoing COVID-19 pandemic and its related effects are having, a material adverse impact on our business, financial condition, cash flows and results of operations, and we are unable to predict the extent to which COVID-19 and its related impacts will continue to adversely affect our Company and the achievement of our strategic objectives.</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COVID-19 outbreak has significantly impacted economic activity and markets around the world and is negatively impacting our business, financial condition, cash flows and results of operations in numerous ways, including, but not limited to, those outlined below. We are unable to predict the extent to which COVID-19 and its related impacts will continue to negatively affect our Company, including the time it will take for vaccines to be broadly distributed and accepted in the U.S. and the rest of the world, and the effectiveness of such vaccines in slowing or stopping the spread of COVID-19 and mitigating the economic effects of the pandemic:</w:t>
      </w:r>
    </w:p>
    <w:p>
      <w:pPr>
        <w:spacing w:after="0" w:line="188" w:lineRule="exact"/>
        <w:rPr>
          <w:sz w:val="20"/>
          <w:szCs w:val="20"/>
          <w:color w:val="auto"/>
        </w:rPr>
      </w:pPr>
    </w:p>
    <w:p>
      <w:pPr>
        <w:ind w:left="500" w:hanging="330"/>
        <w:spacing w:after="0" w:line="287" w:lineRule="auto"/>
        <w:tabs>
          <w:tab w:leader="none" w:pos="49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Product Demand</w:t>
      </w:r>
      <w:r>
        <w:rPr>
          <w:rFonts w:ascii="Arial" w:cs="Arial" w:eastAsia="Arial" w:hAnsi="Arial"/>
          <w:sz w:val="16"/>
          <w:szCs w:val="16"/>
          <w:color w:val="auto"/>
        </w:rPr>
        <w:t>. As a result of COVID-19, we have experienced both decreased demand and increased volatility in demand for our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Lower collection volumes at source plasma collection centers due to COVID-19 factors, including stay-at-home and other government orders designed to slow the spread of COVID-19, donor safety concerns, reduced donor collection capacity due to shutdowns and social distancing requirements, and government economic relief programs that may reduce the propensity of people to be donors, have adversely affected and likely will continue to adversely affect demand for our Plasma disposable products. Additionally, reductions in elective surgeries and trauma cases, restrictions on vendor access at customer sites and the reallocation of hospital resources to address critical intensive care needs during the COVID-19 pandemic have reduced and will likely continue to reduce demand for our Hospital products. We also have experienced, and may continue to experience, in certain markets rapid and unpredictable changes in demand for some of our Blood Center disposable products as blood collectors seek to replenish their blood product inventories and safety stocks. Such changes could impact our ability to meet demand on a timely basis or could result in potential reductions in demand in future periods if safety stock levels in certain markets return to pre-COVID-19 levels or the supply of blood held by our customers significantly exceeds the demand for blood from hospitals due to declines of elective surgeries and trauma cases.</w:t>
      </w:r>
    </w:p>
    <w:p>
      <w:pPr>
        <w:spacing w:after="0" w:line="198" w:lineRule="exact"/>
        <w:rPr>
          <w:rFonts w:ascii="Arial" w:cs="Arial" w:eastAsia="Arial" w:hAnsi="Arial"/>
          <w:sz w:val="16"/>
          <w:szCs w:val="16"/>
          <w:color w:val="auto"/>
        </w:rPr>
      </w:pPr>
    </w:p>
    <w:p>
      <w:pPr>
        <w:ind w:left="500" w:right="20" w:hanging="330"/>
        <w:spacing w:after="0" w:line="296" w:lineRule="auto"/>
        <w:tabs>
          <w:tab w:leader="none" w:pos="495"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Manufacturing, Supply Chain and Distribution System Disruption</w:t>
      </w:r>
      <w:r>
        <w:rPr>
          <w:rFonts w:ascii="Arial" w:cs="Arial" w:eastAsia="Arial" w:hAnsi="Arial"/>
          <w:sz w:val="16"/>
          <w:szCs w:val="16"/>
          <w:color w:val="auto"/>
        </w:rPr>
        <w:t>. COVID-19 and its associated economic disruptions could have an adverse impact</w:t>
      </w:r>
      <w:r>
        <w:rPr>
          <w:rFonts w:ascii="Arial" w:cs="Arial" w:eastAsia="Arial" w:hAnsi="Arial"/>
          <w:sz w:val="16"/>
          <w:szCs w:val="16"/>
          <w:i w:val="1"/>
          <w:iCs w:val="1"/>
          <w:color w:val="auto"/>
        </w:rPr>
        <w:t xml:space="preserve"> </w:t>
      </w:r>
      <w:r>
        <w:rPr>
          <w:rFonts w:ascii="Arial" w:cs="Arial" w:eastAsia="Arial" w:hAnsi="Arial"/>
          <w:sz w:val="16"/>
          <w:szCs w:val="16"/>
          <w:color w:val="auto"/>
        </w:rPr>
        <w:t>on our manufacturing capacity, supply chains and distribution systems, including as a result of impacts associated with preventive and precautionary measures that we, other businesses and governments are taking and financial difficulties experienced by our third-party manufacturers and suppliers. Although we have not experienced significant manufacturing or supply chain difficulties to date as a result of COVID-19, we may in the future. A reduction or interruption in any of our manufacturing processes could have a material adverse effect on our business.</w:t>
      </w:r>
    </w:p>
    <w:p>
      <w:pPr>
        <w:spacing w:after="0" w:line="188" w:lineRule="exact"/>
        <w:rPr>
          <w:rFonts w:ascii="Arial" w:cs="Arial" w:eastAsia="Arial" w:hAnsi="Arial"/>
          <w:sz w:val="16"/>
          <w:szCs w:val="16"/>
          <w:i w:val="1"/>
          <w:iCs w:val="1"/>
          <w:color w:val="auto"/>
        </w:rPr>
      </w:pPr>
    </w:p>
    <w:p>
      <w:pPr>
        <w:ind w:left="500" w:right="360" w:hanging="330"/>
        <w:spacing w:after="0" w:line="259"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Potential Liquidity and Credit Impacts</w:t>
      </w:r>
      <w:r>
        <w:rPr>
          <w:rFonts w:ascii="Arial" w:cs="Arial" w:eastAsia="Arial" w:hAnsi="Arial"/>
          <w:sz w:val="18"/>
          <w:szCs w:val="18"/>
          <w:color w:val="auto"/>
        </w:rPr>
        <w:t>. While we have significant sources of cash and liquidity and access to committed credit lines, we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adversely impacted by delays in payments of outstanding receivables if our customers experience financial difficulties or are unable to borrow money to fund their operations, which may adversely impact their ability to pay for our products on a timely basis, if at all, which in turn would adversely affect our financial condition.</w:t>
      </w:r>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and other impacts of COVID-19 may also have the effect of heightening many of the other risks described in the Risk Factors section of this Annual Report on Form 10-K. We believe the magnitude of the adverse impact of these factors on our business, financial condition, cash flows and results of operations will be primarily driven by: the severity and duration of the COVID-19 pandemic, including the time it will take for vaccines to be broadly distributed and accepted in the U.S. and the rest of the world; the timing, scope and effectiveness of governmental responses to the COVID-19 pandemic and associated economic disruptions; general confidence about personal health and safety; and the COVID-19 pandemic’s impact on U.S. and international healthcare systems, the U.S. economy and the worldwide economy.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our business strategy does not yield the expected results or we fail to implement the necessary changes to our operations, we could see material adverse effects on our business, financial condition or results of operations.</w:t>
      </w:r>
    </w:p>
    <w:p>
      <w:pPr>
        <w:spacing w:after="0" w:line="19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view our operations and manage our business in three principal reporting segments: Plasma, Blood Center and Hospital. 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9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If we have not correctly identified the product categories with greatest growth potential, we will not allocate our resources appropriately which could have a material adverse effect on our business, financial condition or results of operations. Further, if we are unable to reduce costs and complexity in our Blood Center business unit, we will obtain lower than expected cash flows to fund our future growth and capital needs. This could have a material adverse effect on our liquidity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reductions in purchasing from or loss of a significant customer could adversely affect our business.</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fiscal 2021, our two largest Plasma customers each accounted for more than 10% of our net revenues and our ten largest customers accounted for approximately 49% of our net revenues. In April 2021, one of these customers, CSL, informed us of its intent not to renew its supply agreement for the use of PCS2 plasma collection system devices and the purchase of disposable plasmapheresis kits in the U.S. following the expiration of the current term in June 2022. In addition to the anticipated financial impact of the non-renewal of the CSL supply agreement in June 2022, we could experience an adverse effect on our results of operations or financial condition if any of our other largest customers materially reduce their purchases from us or terminate their relationship with us for any reason, including material decreases in demand for plasma or development of alternative processes.</w:t>
      </w:r>
    </w:p>
    <w:p>
      <w:pPr>
        <w:spacing w:after="0" w:line="1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negotiate competitive pricing or generate adequate disposable sales volumes from customers following conversion to our NexSys PCS platform, we may not realize the intended benefits of our investment.</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focused heavily on the development and commercialization of our NexSys platform, comprised of both the NexSys PCS plasmapheresis system and NexLynk DMS software, and continuous platform innovation as reflected in our receipt of FDA clearance for NexSys PCS with Persona technology during fiscal 2021. Since the commercial launch of our NexSys platform in fiscal 2019, we have entered into long-term contracts with each of our major customers that provide for conversion to NexSys within some portion of their collection network. If we fail to receive pricing or generate disposable sales volumes from customers following conversion to our NexSys PCS platform that provide an adequate return on our investment, we may not realize the full intended benefits of our investment.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Defects or quality issues associated with our products could adversely affect the results of operations.</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Quality is extremely important to us and our customers due to the serious and costly consequences of product failure. Manufacturing or design defects, component failures, unapproved or improper use of our products, or inadequate disclosure of risks or other information relating to the use of our products can lead to injury or other serious adverse events. These events could lead to recalls or safety alerts relating to our products (either voluntary or as required by the FDA or similar governmental authorities in other countries), and could result, in certain cases, in the removal of a product from the market. A recall could result in significant costs and lost sales and customers, enforcement actions and/or investigations by state and federal governments or other enforcement bodies, as well as negative publicity and damage to our reputation that could reduce future demand for our products. Personal injuries relating to the use of our products can also result in significant product liability claims being brought against us. In some circumstances, such adverse events could also cause delays in regulatory approval of new products or the imposition of post-market approval requirements.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information technology systems and subject to privacy and security laws and a cyber-attack or other breach of these systems could have a material adverse effect on our business, financial condition or results of operations.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increasingly rely on information technology systems, including cloud-based computing, to process, transmit and store electronic information for our day-to-day operations and for our customers, including sensitive personal information and proprietary or confidential information. Additionally, certain of our products collect data regarding patients and donors and connect to our systems for maintenance and other purposes or are actively managed by Haemonetics on behalf of specific</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customers. Similar to other large multi-national companies, the size and complexity of our information technology systems makes them vulnerable to a cyber-attack, malicious intrusion, breakdown, destruction, loss of data privacy, or other significant disruption. We also outsource certain elements of our information technology systems to third parties that, as a result of this outsourcing, could have access to certain confidential information and whose systems may also be vulnerable to these types of attacks or disruptions. Security threats, including cyber and other attacks are becoming increasingly sophisticated, frequent, and adaptive and, like other large multi-national companies, we have experienced cyber incidents in the past and may experience them in the future. Accordingly,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Although prior cyber incidents have not had a material effect on our business and we have invested and continue to invest in the protection of personal information and proprietary or confidential information, there can be no assurance that our efforts will prevent cyber attacks, intrusions, breakdowns or other incidents or ensure compliance with all applicable securities and privacy laws, regulations, standard standards. In addition, third parties may attempt to hack into our products to obtain data relating to patients with our products or our proprietary information. Any failure by us or third parties we work with to maintain or protect our respective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or results of operations.</w:t>
      </w:r>
    </w:p>
    <w:p>
      <w:pPr>
        <w:spacing w:after="0" w:line="21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Additionally, the legal and regulatory environment surrounding information security and privacy is increasingly demanding, with the imposition of new and changing requirements across businesses. We are required to comply with increasingly complex and changing legal and regulatory requirements that govern the collection, use, storage, security, transfer, disclosure and other processing of personal data in the United States and in other countries, including, but not limited to, HIPAA, HITECH, the California Consumer Privacy Act, or CCPA, and the EU’s General Data Protection Regulation, or GDPR. The GDPR imposes stringent EU data protection requirements and provides for significant penalties for noncompliance. HIPAA also imposes stringent data privacy and security requirements and the regulatory authority has imposed significant fines and penalties on organizations found to be out of compliance. CCPA provides consumers with a private right of action against companies who have a security breach due to lack of appropriate security measures. We or our third-party providers and business partners may also be subjected to audits or investigations by one or more domestic or foreign government agencies relating to compliance with information security and privacy laws and regulations, and noncompliance with the laws and regulations could results in material fines or litigation.</w:t>
      </w:r>
    </w:p>
    <w:p>
      <w:pPr>
        <w:spacing w:after="0" w:line="21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outsource certain aspects of our business to a single third-party vendor that subjects us to risks, including disruptions in business and increased costs.</w:t>
      </w:r>
    </w:p>
    <w:p>
      <w:pPr>
        <w:spacing w:after="0" w:line="19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Currently, we rely on a single vendor to support several of our business processes, including customer service and support and elements of enterprise technology, procurement, accounting and human resources. We make diligent efforts to ensure that the provider of these outsourced services is observing proper internal control practices. However, there are no guarantees that failures will not occur. Accordingly, we are subject to the risks associated with the vendor’s ability to successfully provide the necessary services to meet our needs.</w:t>
      </w:r>
    </w:p>
    <w:p>
      <w:pPr>
        <w:spacing w:after="0" w:line="19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If our vendor is unable to adequately protect our data or information is lost, if our ability to deliver our services is interrupted (including as a result of significant outbreaks of disease, including the ongoing COVID-19 pandemic, natural disasters, strikes, terrorism attacks or other adverse events in the countries in which the vendor operates), if our vendor's fees are higher than expected, if our vendor makes mistakes in the execution of operations support, or if the vendor terminates our relationship, then our business and operating results may be negatively affected.</w:t>
      </w:r>
    </w:p>
    <w:p>
      <w:pPr>
        <w:spacing w:after="0" w:line="198" w:lineRule="exact"/>
        <w:rPr>
          <w:sz w:val="20"/>
          <w:szCs w:val="20"/>
          <w:color w:val="auto"/>
        </w:rPr>
      </w:pPr>
    </w:p>
    <w:p>
      <w:pPr>
        <w:ind w:right="420"/>
        <w:spacing w:after="0" w:line="381" w:lineRule="auto"/>
        <w:rPr>
          <w:sz w:val="20"/>
          <w:szCs w:val="20"/>
          <w:color w:val="auto"/>
        </w:rPr>
      </w:pPr>
      <w:r>
        <w:rPr>
          <w:rFonts w:ascii="Arial" w:cs="Arial" w:eastAsia="Arial" w:hAnsi="Arial"/>
          <w:sz w:val="15"/>
          <w:szCs w:val="15"/>
          <w:b w:val="1"/>
          <w:bCs w:val="1"/>
          <w:i w:val="1"/>
          <w:iCs w:val="1"/>
          <w:color w:val="auto"/>
        </w:rPr>
        <w:t>A significant portion of our revenue derives from the sale of blood collection supplies. Declines in the number of blood collection procedures have adversely impacted our business and future declines may have an adverse effect on our business, financial condition and results of operations.</w:t>
      </w:r>
    </w:p>
    <w:p>
      <w:pPr>
        <w:spacing w:after="0" w:line="1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demand for whole blood disposable products in the U.S. continued to decrease in fiscal 2021 due to sustained declines in transfusion rates caused by hospitals' improved blood management techniques and protocols. In response to this trend, U.S.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blood center collection groups prefer single source vendors for their whole blood collection products and are primarily focused on obtaining the lowest average selling prices. We expect to see continued declines in transfusion rates and the market to remain price-focused and highly competitive for the foreseeable future. Continued declines in this market could have a material adverse effect on our liquidity and results of operations.</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Consolidation of healthcare providers and blood collectors, healthcare cost containment pressures, government payment and delivery system reforms and changes in private payer policies could decrease demand for our products, the prices which customers are willing to pay for those products and/or the number of procedures performed using our devices, which could have an adverse effect on our business, financial condition and results of operations.</w:t>
      </w:r>
    </w:p>
    <w:p>
      <w:pPr>
        <w:spacing w:after="0" w:line="21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Political, economic and policy influences are causing the healthcare and blood collection industries to make substantial structural and financial changes that affect our results of operations. Government and private sector initiatives limiting the growth of healthcare costs are causing structural reforms in healthcare delivery, including the reduction in blood use and reduced payments for care. These trends have placed greater pricing pressure on suppliers and, in some cases, decreased average selling prices and increased the number of sole source relationships. This pressure impacts our Hospital and Blood Center businesses. Our Vascular Closure devices, for example, are often perceived as physician preference devices with a relatively higher price point compared to certain vascular closure alternatives such as sutures or manual compression, and purchases are commonly made by a hospital only after approval by its value analysis committee. If a hospital value analysis committee does not approve or revokes prior approval for any of the reasons set forth above, the demand for our vascular closure devices may decrease and we could experience an adverse effect on our results of operations or financial condition.</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influence of integrated delivery networks, group purchasing organizations and large single accounts has the potential to put price pressure on our Hospital business. It also puts price pressure on our U.S. Blood Center customers who are also facing reduced demand for red cells. Our Blood Center customers have responded to this pressure by creating their own group purchasing organizations and resorting to single source tenders to create incentives for suppliers, including us, to significantly reduce prices.</w:t>
      </w:r>
    </w:p>
    <w:p>
      <w:pPr>
        <w:spacing w:after="0" w:line="21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expect that market demand, government regulation, third-party reimbursement policies, government contracting requirements and societal pressures will continue to change the worldwide healthcare industry, resulting in further business consolidations and alliances among our customers and competitors. This may exert further downward pressure on the prices of our products and adversely impact our business, financial condition or results of operations.</w:t>
      </w:r>
    </w:p>
    <w:p>
      <w:pPr>
        <w:spacing w:after="0" w:line="17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An interruption in our ability to manufacture our products, obtain key components or raw materials, or the failure of a sole source supplier or sterilization service provider may adversely affect our business.</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a complex global supply chain that involves integrating key suppliers and our manufacturing capacity into a global movement of components and finished goods.</w:t>
      </w:r>
    </w:p>
    <w:p>
      <w:pPr>
        <w:spacing w:after="0" w:line="1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manufacture certain key disposables and devices at single locations with limited alternate facilities. If an event occurs that results in the closure of or damage to one or more of these facilities, we may be unable to supply the relevant products at previous levels or at all for some period. Additionally, for reasons of quality assurance or cost effectiveness, we purchase certain finished goods, components and raw materials from sole suppliers who have their own complex supply chains. Any disruption to one or more of our suppliers’ production or delivery of sufficient volumes of components conforming to our specifications, could disrupt or delay our ability to deliver finished products to our customers. For example, we purchase components in Asia for use in manufacturing in the U.S. and Mexico. We source all of our apheresis equipment from Asia and regularly ship finished goods from the U.S. and Mexico to the rest of the world.</w:t>
      </w:r>
    </w:p>
    <w:p>
      <w:pPr>
        <w:spacing w:after="0" w:line="22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Some of our products require sterilization prior to sale or distribution, and we utilize third-party facilities for this process. If an event occurs that results in damage to or closure, whether temporarily or permanent, of one or more of these facilities, we may be unable to manufacture or sterilize the relevant products at prior levels or at all, and a third party may not be available on a timely basis (if at all) to replace sterilization capacity.</w:t>
      </w:r>
    </w:p>
    <w:p>
      <w:pPr>
        <w:spacing w:after="0" w:line="19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addition, we manufacture our vascular closure devices under a shelter plan service agreement with Offshore International Incorporated (d/b/a Tetakawi), or Tetakawi, pursuant to which we lease our manufacturing facility in Guaymas, Mexico and Tetakawi is responsible for a number of ongoing services related to the facility, including provision of external security and maintenance, manufacturing personnel related human resource matters, recruiting support, government compliance, workforce transportation and cross-border shipping of raw components. We are reliant on Tetakawi to provide these services and any disruption in these services or our failure to maintain our contractual relationship with Tetakawi could significantly harm our</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ability to manufacture our vascular closure devices and maintain sufficient quality standards, which would negatively impact our business and results of operations.</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Due to the high standards and stringent requirements of the FDA and other similar non-U.S. regulatory agencies applicable to manufacturing our products, such as the FDA's Quality System Regulation, or QSR, and current Good Manufacturing Practice, or cGMP, regulations, we may not be able to quickly establish additional or replacement sources for certain raw materials, components or finished goods. A reduction or interruption in manufacturing, or an inability to secure alternative sources of raw materials, components or finished goods on commercially reasonable terms or in a timely manner, could compromise our ability to manufacture our products on a timely and cost-competitive basis, which may have a material adverse effect on our business, financial condition and results of operations.</w:t>
      </w:r>
    </w:p>
    <w:p>
      <w:pPr>
        <w:spacing w:after="0" w:line="21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Plastics are the principal component of our disposables, which are the main source of our revenues. Any change in the price, composition or availability of the plastics or resins we purchase could adversely affect our business.</w:t>
      </w:r>
    </w:p>
    <w:p>
      <w:pPr>
        <w:spacing w:after="0" w:line="19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face risks related to price, composition and availability of the plastic raw materials used in our business. Climate change (including laws or regulations passed in response thereto) could increase our costs, in particular our costs of supply, energy and transportation/freight. Material or sustained increases in the price of petroleum or petroleum derivatives could have an adverse impact on the costs to procure plastic raw materials and the costs of our transportation/freight. Increases in the costs of other commodities also may affect our procurement costs to a lesser degree.</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composition of the plastic we purchase is also important. Today, we purchase plastics that contain phthalates, which are used to make plastic malleable. Due to regulatory changes, we may be required to remove materials such as phthalates from our devices, find alternative materials which then need to be validated or obtain regulatory approvals from the regulatory authorities for a number of products.</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While we have not experienced significant shortages in the past, any interruption in the supply for certain plastics could have a material impact on our business by limiting our ability to manufacture and sell the products that represent a significant portion of our revenues. These outcomes may in turn result in customers transitioning to available competitive products, loss of market share, negative publicity, reputational damage, loss of customer confidence or other negative consequences (including a decline in stock price).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we expect from our Operational Excellence Program.</w:t>
      </w:r>
    </w:p>
    <w:p>
      <w:pPr>
        <w:spacing w:after="0" w:line="25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July 2019, our Board of Directors approved a new Operational Excellence Program, also referred to in this report as the 2020 Program, and delegated authority to management to determine the detail of the initiatives that will comprise the program. The 2020 Program is designed to improve operational performance and reduce cost principally in our manufacturing and supply chain operations. While cost savings from the 2020 Program to date have been consistent with our expectations, it is possible that events and circumstances, such as CSL's non-renewal of its U.S. supply agreement in June 2022, other financial or strategic difficulties, delays and unexpected costs, including as a direct or indirect result of the COVID-19 pandemic, could result in our not realizing all of the anticipated benefits or our not realizing the anticipated benefits on our expected timetable. Our inability to realize all of the anticipated benefits from the 2020 Program could have a material adverse effect on our business, results of operations, cash flows and financial condition.</w:t>
      </w:r>
    </w:p>
    <w:p>
      <w:pPr>
        <w:spacing w:after="0" w:line="19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We face intense competition, and if we are unable to successfully expand our product lines through internal research and new product development or keep pace with rapid technological changes in the healthcare industry, our business may be materially and adversely affected.</w:t>
      </w:r>
    </w:p>
    <w:p>
      <w:pPr>
        <w:spacing w:after="0" w:line="15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 significant element of our strategy is to increase revenue growth by focusing on innovation and new product development. The medical device markets in which we participate, however, are highly competitive. We encounter significant competition across our product lines and in each market in which our products are sold from various medical device companies, some of whom have greater financial and marketing resources than we do. In addition, the medical device markets in which we participate and healthcare industry generally are characterized by extensive research and development and rapid technological change.</w:t>
      </w:r>
    </w:p>
    <w:p>
      <w:pPr>
        <w:spacing w:after="0" w:line="2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New product development requires significant investment in research and development, clinical trials and regulatory approvals. The results of our product development efforts may be affected by a number of factors, including our ability to anticipate customer needs, innovate and develop new products and technologies, successfully complete clinical trials, obtain regulatory approvals in the United States and abroad, manufacture products in a cost-effective manner, obtain appropriate intellectual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property protection for our products, and gain and maintain market acceptance of our products. In addition, patents attained by others could preclude or delay our commercialization of a product. There can be no assurance that any products now in development or that we may seek to develop in the future will achieve technological feasibility, obtain regulatory approval or gain market acceptance. If we fail to develop new products or enhance existing products, or if competitive technologies or therapeutic alternatives to plasma-derived pharmaceuticals in development, such as FcRn-targeted therapies, emerge and gain market acceptance, such events could have a material adverse effect on our business, financial condition or results of operations. In addition, a delay in the timing of the launch of next-generation products and the overall performance of, and continued customer confidence in, those products may result in declines in our market share and have an adverse impact on our business,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business development activities are unsuccessful, we may not realize the intended benefits.</w:t>
      </w:r>
    </w:p>
    <w:p>
      <w:pPr>
        <w:spacing w:after="0" w:line="25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have sought and in the future may seek to supplement our organic growth through strategic acquisitions, investments and alliances. Such transactions are inherently risky and require significant effort and management attention. The success of any acquisition, investment or alliance, including our recent acquisition of Cardiva may be affected by a number of factors, including our ability to properly assess and value the potential business opportunity or to successfully integrate any business we may acquire into our existing business.</w:t>
      </w:r>
    </w:p>
    <w:p>
      <w:pPr>
        <w:spacing w:after="0" w:line="21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anticipate that a significant amount of management’s attention will be required in the integration of Cardiva, and that a material factor in achieving the anticipated benefits of the Cardiva acquisition will be our ability to effectively and profitably market and sell the vascular closure devices acquired from Cardiva. Also as a result of the Cardiva acquisition, we have entered into a new line of business. Unlike our existing products, the VASCADE and VASCADE MVP vascular closure devices are designated as Class III medical devices, which are subject to additional and complex regulatory requirements. Complying with these regulations will be costly, time-consuming and complex. Furthermore, any new business line and/or new product or service could have an adverse impact on the effectiveness of our system of internal controls.</w:t>
      </w: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Promising partnerships and acquisitions may also not be completed for reasons such as competition among prospective partners or buyers, the inability to reach satisfactory terms, the need for regulatory approvals or the existence of economic conditions affecting our access to capital for acquisitions and other capital investments.</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If our business development activities are unsuccessful, we may not realize the intended benefits of such activities, including that acquisition and integration costs may be greater than expected or the possibility that expected return on investment synergies and accretion will not be realized or will not be realized within the expected timeframe.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As a medical device and drug manufacturer, we operate in a highly regulated industry, and non-compliance with applicable laws or regulations could adversely affect our financial condition and results of operations.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manufacture, distribution and marketing of our products are subject to extensive regulation by the FDA and other state and non-U.S. regulatory bodies. Our operations are also subject to review and monitoring by the FDA and other regulatory authorities. Government regulation of medical devices is meant to assure their safety and effectiveness, and includes regulation of, among other things, the product’s development, testing, premarket clearance and approval, manufacture, marketing, labeling, post-market surveillance, reporting, and imports and exports. Before a new medical device, or a new use of an existing product can be marketed in the United States, it must first receive either premarket clearance under Section 510(k) of the U.S. Federal Food, Drug, and Cosmetic Act, or FDCA, a grant of a request for de novo classification or a Premarket Approval, or PMA, from the FDA, unless an exemption applies. The process of obtaining regulatory clearances or approvals to market a medical device can be costly and time-consuming, and we may not be able to obtain these clearances or approvals on a timely basis, if at all.</w:t>
      </w:r>
    </w:p>
    <w:p>
      <w:pPr>
        <w:spacing w:after="0" w:line="20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Many of our currently commercialized products have received 510(k) clearance. In the future, the FDA may determine that our products will require more costly, lengthy and uncertain de novo or PMA processes. Modifications to Class III devices, like the Vascular Closure products we acquired from Cardiva in March 2021, may require additional clinical studies or supplemental PMA submissions. If the FDA requires us to go through a lengthier, more rigorous process for future products or modifications to existing products, our product introductions or modifications could be delayed or canceled, which could adversely affect our revenue. In addition, even if we do obtain clearance or approval, the FDA may not approve or clear these products for the indications that we requested. Any delay in, or failure to receive or maintain, clearances or approvals for our products under development could prevent us from generating revenue from these products.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Failure to substantially comply with applicable regulations could subject our products to recall or seizure of our products by government authorities, or an order to suspend manufacturing and distribution activities. If our products were determined to have design or manufacturing flaws, this could also result in their recall or seizure. Either of these situations could also result in the imposition of fines, administrative actions like untitled or warning letters, and other penalties or sanctions.</w:t>
      </w:r>
    </w:p>
    <w:p>
      <w:pPr>
        <w:spacing w:after="0" w:line="21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products are also subject to approval and regulation by foreign regulatory and safety agencies. For example, the EU has adopted the EU Medical Device Regulation, or EU MDR, and EU In Vitro Diagnostic Regulation, or EU IVDR, each of which impose stricter requirements for the marketing and sale of medical devices beyond those of the current medical device directives they replace, including in the area of clinical evaluation requirements, quality systems and post-market surveillance. The EU MDR is fully applicable as of May 26, 2021 and the EU IVDR is fully applicable as of May 26, 2022. There is a transition period for devices with a notified body certificate with an expiry date after the date of full application, provided that there are no significant changes to the design or intended use. However, a new EU certificate under the applicable regulations must be obtained before that expiry date if there is to be no interruption in manufacturing and supply of devices to the market. Complying with the requirements of these regulations may require us to incur significant expenditures. Failure to meet these requirements could adversely impact our business in the EU and other regions that tie their product registrations to the EU requirements.</w:t>
      </w:r>
    </w:p>
    <w:p>
      <w:pPr>
        <w:spacing w:after="0" w:line="20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or our suppliers fail to comply with laws and regulations governing the manufacture and production of our products, our products could be subject to restrictions or withdrawal from the market.</w:t>
      </w:r>
    </w:p>
    <w:p>
      <w:pPr>
        <w:spacing w:after="0" w:line="19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Any product for which we obtain clearance or approval, and the manufacturing processes, reporting requirements, post-approval clinical data and promotional activities for such product, will be subject to continued regulatory review, oversight and periodic inspection (both routine and unannounced) by the FDA and other domestic and foreign regulatory bodies. In particular, we and our third-party suppliers must comply with the FDA's Quality System Regulation, or QSR, or current good manufacturing process, or cGMP, requirements (depending on the products at issue), which address, among other things, the methods of documentation of the design, testing, production, control, quality assurance, labeling, packaging, sterilization, storage and shipping of our products.</w:t>
      </w:r>
    </w:p>
    <w:p>
      <w:pPr>
        <w:spacing w:after="0" w:line="21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Any future failure by us or one of our suppliers to comply with applicable statutes and regulations administered by the FDA or other regulatory authority could result in administrative actions, field actions, or civil or criminal enforcement actions.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Furthermore, our key component suppliers may not currently be or may not continue to be in compliance with all applicable regulatory requirements, which could result in our failure to produce our products on a timely basis and in the required quantities, if at all. Any sanctions by the FDA or other regulatory authority could have a material adverse effect on our reputation, business, results of operations and financial condition.</w:t>
      </w:r>
    </w:p>
    <w:p>
      <w:pPr>
        <w:spacing w:after="0" w:line="20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are also subject to environmental laws, which are becoming more stringent throughout the world. For example, the U.S. Environmental Protection Agency regulates the use of ethylene oxide for sterilization of medical devices, and is increasingly focused on reducing emissions from the ethylene oxide sterilization process, which could increase our costs of operations and necessitate changes to our manufacturing plants and processes. Other environmental laws may have similar consequences to us or our suppliers, or result in liability to us. The enactment of additional environmental laws in the future may increase our compliance costs or otherwise adversely impact our operations.</w:t>
      </w:r>
    </w:p>
    <w:p>
      <w:pPr>
        <w:spacing w:after="0" w:line="20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If our products cause or contribute to a death or serious injury, or malfunction in certain ways, we will be subject to medical device reporting requirements.</w:t>
      </w:r>
    </w:p>
    <w:p>
      <w:pPr>
        <w:spacing w:after="0" w:line="19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Under the FDA's medical device reporting regulations, medical device manufacturers are required to report to the FDA information of which they become aware that a device has or may have caused or contributed to a death or serious injury or malfunctioned in a way that would likely cause or contribute to a death or serious injury if the malfunction of the device or one of our similar devices were to recur. Similar reporting requirements exist in some of the other jurisdictions in which we operate. Failure to report these events to the FDA or other applicable regulatory authorities within the required timeframes, or at all, could lead to enforcement actions, fines and criminal sanctions against us.</w:t>
      </w:r>
    </w:p>
    <w:p>
      <w:pPr>
        <w:spacing w:after="0" w:line="2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Class III medical devices are those that pose the highest risk to patients. As a result of the acquisition of our Vascular Closure products from Cardiva in March 2021, we may receive a greater number of complaints requiring investigation and potentially need to file a greater number of medical device reports with FDA, which may require additional time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and third-party payers are subject to applicable anti-kickback, fraud and abuse, transparency and other healthcare laws and regulations, which could expose us to criminal sanctions, civil penalties, exclusion, contractual damages, reputational harm and diminished profits and future earnings.</w:t>
      </w:r>
    </w:p>
    <w:p>
      <w:pPr>
        <w:spacing w:after="0" w:line="21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w:t>
      </w:r>
    </w:p>
    <w:p>
      <w:pPr>
        <w:spacing w:after="0" w:line="2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shifting commercial compliance environment and the need to build and maintain robust and expandable systems to comply with different compliance or reporting requirements in multiple jurisdictions increase the possibility that a healthcare or pharmaceutical company may fail to comply fully with one or more of these requirements. Efforts to ensure that our business arrangements with third parties will comply with applicable healthcare laws and regulations may involve substantial costs. It is possible that governmental authorities will conclude that our business practices do not comply with applicable fraud and abuse or other healthcare laws and regulations or guidance, or anti-bribery laws such as the Foreign Corrupt Practices Act of 1977, or equivalent laws in other jurisdictions.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not to be in compliance with applicable laws, they may be subject to criminal, civil or administrative sanctions, including exclusions from government funded healthcare programs.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9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Changes in tax laws or exposure to additional income tax liabilities could have a material impact on our financial condition, results of operations and/or liquidity.</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subject to income taxes, non-income based taxes and tax audits, in both the U.S. and various foreign jurisdictions. Tax authorities may disagree with certain positions we have taken and assess additional taxes. We regularly assess the likely outcomes of these audits in order to determine the appropriateness of our tax provision and have established contingency reserves for material, known tax exposures. However, the calculation of such tax exposures involves the application of complex tax laws and regulations in many jurisdictions, as well as interpretations as to the legality under various rules in certain jurisdictions. Therefore, there can be no assurance that we will accurately predict the outcomes of these disputes or other tax audits or that issues raised by tax authorities will be resolved at a financial cost that does not exceed our related reserves and the actual outcomes of these disputes and other tax audits could have a material impact on our results of operations or financial condition.</w:t>
      </w:r>
    </w:p>
    <w:p>
      <w:pPr>
        <w:spacing w:after="0" w:line="2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Changes in tax laws and regulations, or their interpretation and application, in the jurisdictions where we are subject to tax could materially impact our effective tax rate. For example, in 2017, the U.S. enacted the Tax Cuts and Jobs Act, or the Act, and we expect the U.S. Treasury to issue future notices and regulations under the Act. Certain provisions of the Act and the regulations issued thereunder could have a significant impact on our future results of operations as could interpretations made by the Company in the absence of regulatory guidance and judicial interpretations. The change in administration and control of Congress in the U.S. following the 2020 elections may result in additional U.S. tax law changes that could have a material impact on our future effective tax rate.</w:t>
      </w:r>
    </w:p>
    <w:p>
      <w:pPr>
        <w:spacing w:after="0" w:line="2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Additionally, the U.S. Congress, government agencies in non-U.S. jurisdictions where we and our affiliates do business and the Organization for Economic Co-operation and Development, or OECD, have recently focused on issues related to the taxation of multinational corporations. The OECD has released its comprehensive plan to create an agreed set of international rules for fighting base erosion and profit shifting. In addition, the OECD, the European Commission and individual countries are examining changes to how taxing rights should be allocated among countries in light of the digital economy. As a result, the tax laws in the U.S. and other countries in which we and our affiliates do business could change on a prospective or retroactive basis and any such changes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Obligations and Indebtedness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debt that may decrease our business flexibility, access to capital, and/or increase our borrowing costs, and we may still incur additional debt in the future, which may adversely affect our operations and financial results.</w:t>
      </w:r>
    </w:p>
    <w:p>
      <w:pPr>
        <w:spacing w:after="0" w:line="19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April 3, 2021, we had $500 million aggregate principal amount of indebtedness under our convertible senior notes due 2026 (the “2026 Notes”) as well as $350.0 million term loan (the “Term Loan”) and access to a $350.0 million revolving loan (the “Revolving Credit Facility” and together with the Term Loan, the “Credit Facilities”). As of April 3, 2021, we had $301.9 million of debt outstanding under the Term Loan and no borrowings were outstanding under the Revolving Credit Facility.</w:t>
      </w: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Credit Facilities contain financial covenants that require us to maintain specified financial ratios that may limit our ability to borrow additional funds and that require us to make interest and principal payments. As of April 3, 2021, we were in compliance with the covenants pursuant to our Credit Facilities, and we currently forecast that we will be in compliance with our Credit Facility covenants through the period ending April 2, 2022. Our ability to pay our debt when due or refinance our indebtedness, including the Notes, depends on our future financial performance, which is subject to economic, financial, competitive, and other factors outside of our control. If we are not able to pay our debt when due or refinance our indebtedness on desirable terms such that we default on our debt obligations, our indebtedness could become immediately payable in full which could harm our financial condition, result of operation or cost of borrowing.</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2026 Notes, if triggered, may adversely affect our financial condition and operating results.</w:t>
      </w:r>
    </w:p>
    <w:p>
      <w:pPr>
        <w:spacing w:after="0" w:line="26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Under certain circumstances, the noteholders may convert their 2026 Notes at their option prior to the scheduled maturities. If one or more noteholders elect to convert their 2026 Notes, we would be required to settle a portion or all of our conversion obligation through the payment of cash, which could adversely affect our liquidity. In addition, holders of our 2026 Notes will have the right to require us to repurchase their 2026 Notes upon the occurrence of a fundamental change (as defined in the indenture, dated as of March 5, 2021, between U.S. Bank National Association, as trustee (the “Trustee”) and us (the “Indenture”)), at a repurchase price equal to the principal amount of the 2026 Notes to be repurchased, plus accrued and unpaid special interest, if any, to but not including, the fundamental change repurchase date. We may not have enough available cash or be able to obtain financing at the time we are required to repurchase the 2026 Notes or pay the cash amounts due upon conversion. In addition, applicable law, regulatory authorities and the agreements governing our other indebtedness may restrict our ability to repurchase the 2026 Notes or pay the cash amounts due upon conversion. Our failure to repurchase 2026 Notes or to pay the cash amounts due upon conversion when required will constitute a default under the Indenture. A default under the Indenture or the fundamental change itself could also lead to a default under agreements governing our other indebtedness, including our Credit Facilities, which may result in that other indebtedness becoming immediately payable in full. We may not have sufficient funds to satisfy all amounts due under the other indebtedness and the Notes.</w:t>
      </w:r>
    </w:p>
    <w:p>
      <w:pPr>
        <w:spacing w:after="0" w:line="20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Even if holders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The Capped Call Transactions may affect the value of the </w:t>
      </w:r>
      <w:r>
        <w:rPr>
          <w:rFonts w:ascii="Arial" w:cs="Arial" w:eastAsia="Arial" w:hAnsi="Arial"/>
          <w:sz w:val="18"/>
          <w:szCs w:val="18"/>
          <w:color w:val="auto"/>
        </w:rPr>
        <w:t>2026</w:t>
      </w:r>
      <w:r>
        <w:rPr>
          <w:rFonts w:ascii="Arial" w:cs="Arial" w:eastAsia="Arial" w:hAnsi="Arial"/>
          <w:sz w:val="18"/>
          <w:szCs w:val="18"/>
          <w:b w:val="1"/>
          <w:bCs w:val="1"/>
          <w:i w:val="1"/>
          <w:iCs w:val="1"/>
          <w:color w:val="auto"/>
        </w:rPr>
        <w:t xml:space="preserve"> Notes and our common stock.</w:t>
      </w:r>
    </w:p>
    <w:p>
      <w:pPr>
        <w:spacing w:after="0" w:line="25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connection with the 2026 Notes issuance, we entered into privately negotiated capped call transactions (the “Capped Call Transactions”) with certain financial institutions (the “Option Counterparties”). The Capped Call Transactions are expected generally to reduce the potential dilution to our common stock upon any conversion of the 2026 Notes and/or offset any potential cash payments we are required to make in excess of the principal amount of converted Notes, as the case may be, with such reduction and/or offset subject to a cap.</w:t>
      </w:r>
    </w:p>
    <w:p>
      <w:pPr>
        <w:spacing w:after="0" w:line="19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From time to time,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2026 Notes. This activity could also cause or avoid an increase or a decrease in the market price of our common stock or the 2026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5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Option Counterparties are financial institutions, and we are subject to the risk that one or more of the Option Counterparties may default or otherwise fail to perform, or may exercise certain rights to terminate, their obligations under the Capped Call Transactions. Our exposure to the credit risk of the option counterparties is not secured by any collateral. Past global economic conditions have from time to time resulted in the actual or perceived failure or financial difficulties of many financial institutions. If an Option Counterparty becomes subject to insolvency proceedings, we will become an unsecured creditor in those proceedings with a claim equal to our exposure at the time under such transactions with such Option Counterparty. Our exposure depends on many factors, but our exposure will generally increase if the market price or the volatility of our common stock increases. In addition, upon default by an Option Counterparty, we may suffer more dilution than we currently anticipate with respect to our common stock. We can provide no assurances as to the financial stability or viability of the Option Counterparties.</w:t>
      </w:r>
    </w:p>
    <w:p>
      <w:pPr>
        <w:spacing w:after="0" w:line="2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the Indenture could delay or prevent an otherwise beneficial takeover of us.</w:t>
      </w:r>
    </w:p>
    <w:p>
      <w:pPr>
        <w:spacing w:after="0" w:line="25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Certain provisions in the 2026 Notes and the Indenture could make a third party attempt to acquire us more difficult or expensive. For example, if a takeover constitutes a fundamental change, then noteholders will have the right to require us to repurchase their 2026 Notes for cash. In addition, if a takeover constitutes a make-whole fundamental change, then we may be required to temporarily increase the conversion rate. In either case, and in other cases, our obligations under the 2026 Notes and the Indenture could increase the cost of acquiring us or otherwise discourage a third party from acquiring us or removing incumbent management, including in a transaction that noteholders or holders of our common stock may view as favorable.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the 2026 Notes may dilute the ownership interest of existing stockholders.</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conversion of some or all of the Notes will dilute the ownership interests of existing stockholders to the extent we deliver shares of our common stock upon conversion of any of the 2026 Notes. Any sales in the public market of the common stock issuable upon such conversion could adversely affect our common stock’s prevailing market prices. In addition, the existence of the 2026 Notes may encourage short selling by market participants because the conversion of the 2026 Notes could be used to satisfy short positions, or anticipated conversion of the 2026 Notes into shares of our common stock could depress the price of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Operating Internationally</w:t>
      </w:r>
    </w:p>
    <w:p>
      <w:pPr>
        <w:spacing w:after="0" w:line="256"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As a substantial amount of our revenue comes from outside the U.S., we are subject to geopolitical events, economic volatility, violations of anti-corruption laws, export and import restrictions and tariffs, decisions by local regulatory authorities and the laws and medical practices in foreign jurisdictions.</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do business in over 90 countries and have distributors in approximately 80 of these countries. This exposes us to currency fluctuation, geopolitical risk, economic volatility (such as the United Kingdom's exit from the EU, commonly referred to as "Brexit"), anti-corruption laws, export and import restrictions, local regulatory authorities and the laws and medical practices in foreign jurisdictions.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there are sanctions or restrictions on the flow of capital that prevent product importation or receipt of payments in Russia or China, our business could be adversely affected.</w:t>
      </w:r>
    </w:p>
    <w:p>
      <w:pPr>
        <w:spacing w:after="0" w:line="19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international operations are governed by the U.S. Foreign Corrupt Practices Act, or FCPA, and other similar anti-corruption laws in other countries. Generally, these laws prohibit companies and their business partners or other intermediaries from making improper payments to foreign governments and government officials in order to obtain or retain business. Global enforcement of such anti-corruption laws has increased in recent years, including aggressive investigations and enforcement proceedings. While we have an active compliance program and various other safeguards to discourage impermissible practices, we have distributors in approximately 80 countries, several of which are considered high risk for corruption. As a result, our global operations carry some risk of unauthorized impermissible activity on the part of one of our distributors, employees,</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agents or consultants. Any alleged or actual violation could subject us to government scrutiny, severe criminal or civil fines, or sanctions on our ability to export product outside the U.S., which could adversely affect our reputation and financial condition.</w:t>
      </w:r>
    </w:p>
    <w:p>
      <w:pPr>
        <w:spacing w:after="0" w:line="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Export of U.S. technology or goods manufactured in the U.S. to some jurisdictions requires special U.S. export authorization or local market controls that may be influenced by factors, including political dynamics, outside our control.</w:t>
      </w:r>
    </w:p>
    <w:p>
      <w:pPr>
        <w:spacing w:after="0" w:line="21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Finally, any other significant changes in the competitive, legal, regulatory, reimbursement or economic environments of the jurisdictions in which we conduct our international business could have a material impact on our business.</w:t>
      </w:r>
    </w:p>
    <w:p>
      <w:pPr>
        <w:spacing w:after="0" w:line="197"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We sell our products in certain emerging economies which exposes us to less mature regulatory systems, more volatile markets for our products and greater credit risks. A loss of funding for our products or changes to the regulatory regime could lead to lost revenue or account receivables.</w:t>
      </w:r>
    </w:p>
    <w:p>
      <w:pPr>
        <w:spacing w:after="0" w:line="12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There are risks with doing business in emerging economies, such as Brazil, Russia, India and China. These economies tend to have less mature product regulatory systems and more volatile financial markets. In addition, the government controlled healthcare system's ability to invest in our products and systems may abruptly shift due to changing government priorities or funding capacity. Our ability to sell products in these economies is dependent upon our ability to hire qualified employees or agents to represent our products locally and our ability to obtain and maintain the necessary regulatory approvals in a less mature regulatory environment. If we are unable to retain qualified representatives or maintain the necessary regulatory approvals, we will not be able to continue to sell products in these markets. We are exposed to a higher degree of financial risk if we extend credit to customers in these economies.</w:t>
      </w:r>
    </w:p>
    <w:p>
      <w:pPr>
        <w:spacing w:after="0" w:line="19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In many of the international markets in which we do business, including certain parts of Europe, South America, the Middle East and Asia, our employees, agents or distributors offer to sell our products in response to public tenders issued by various governmental agencies.</w:t>
      </w:r>
    </w:p>
    <w:p>
      <w:pPr>
        <w:spacing w:after="0" w:line="151"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There is additional risk in selling our products through agents or distributors, particularly in public tenders. If they misrepresent our products, do not provide appropriate service and delivery, or commit a violation of local or U.S. law, our reputation could be harmed and we could be subject to fines, sanctions or both.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adversely affect our cash flows and results of operations.</w:t>
      </w:r>
    </w:p>
    <w:p>
      <w:pPr>
        <w:spacing w:after="0" w:line="252"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International revenues and expenses account for a substantial portion of our operations. In fiscal 2021, our international revenues accounted for 40.0% of our total revenues. The exposure to fluctuations in currency exchange rates takes different forms. Reported revenues, as well as manufacturing and operational costs denominated in foreign currencies by our international businesses, fluctuate due to exchange rate movement when translated into</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U.S. dollars for financial reporting purposes. Fluctuations in exchange rates could adversely affect our profitability in U.S. dollars of products and services sold by us into international markets, where payment for our products and services and related manufacturing and operational costs is made in local currencies.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amounts that have been accrued.</w:t>
      </w:r>
    </w:p>
    <w:p>
      <w:pPr>
        <w:spacing w:after="0" w:line="25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are subject to taxation in numerous countries, states and other jurisdictions. In preparing our financial statements, we record the amount of tax payable in each of the jurisdictions in which we operate. Our future effective tax rate, however, may be lower or higher than prior years due to numerous factors, including a change in our geographic earnings mix, changes in the measurement of our deferred taxes and recently enacted and future tax law changes in jurisdictions in which we operate. Changes in our operations, including headcount in Switzerland or Malaysia, could adversely affect our tax rate due to favorable tax rulings in these jurisdictions. We are also subject to tax audits in various jurisdictions and tax authorities may disagree with certain positions we have taken and assess additional taxes. Any of these factors could cause us to experience an effective tax rate significantly different from previous periods or our current expectations, which could adversely affect our business,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Litigation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our intellectual property may be subject to misappropriation in some countries.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Certain countries, particularly China, do not enforce compliance with laws that protect intellectual property rights with the same degree of vigor as is available under the U.S. and European systems of justice. Further, certain of our intellectual property rights are not registered in China, or if they were, have since expired. This may permit others to produce copies of products in China that are not covered by currently valid patent registrations. There is also a risk that such products may be exported from China to other countries.</w:t>
      </w:r>
    </w:p>
    <w:p>
      <w:pPr>
        <w:spacing w:after="0" w:line="21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order to aggressively protect our intellectual property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intellectual property and it is still possible that even patented technologies may not be protected absolutely from infringement.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and future intellectual property litigation could be costly and disruptive to us.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operate in an industry that is susceptible to significant intellectual property litigation. This type of litigation is expensive, complex and lengthy and its outcome is difficult to predict. Patent litigation may result in adverse outcomes and could significantly divert the attention of our technical and management personnel.</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products may be determined to infringe another party's patent, which could lead to financial losses or adversely affect our ability to market our products.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There is a risk that one or more of our products may be determined to infringe a patent held by another party. If this were to occur, we may be subject to an injunction or to payment of royalties, or both, which may adversely affect our ability to market the affected product or otherwise have an adverse effect on our results of operations. In addition, competitors may patent technological advances that may give them a competitive advantage or create barriers to entry.</w:t>
      </w:r>
    </w:p>
    <w:p>
      <w:pPr>
        <w:spacing w:after="0" w:line="21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operate in an industry susceptible to significant product liability claims. Product liability claims could damage our reputation and impair our ability to market our products or obtain professional or product liability insurance, or increase the cost of such insurance.</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products are relied upon by medical personnel in connection with the treatment of patients and the collection of blood or blood components from donors. In the event that patients or donors sustain injury or death in connection with their condition or treatment, we, along with others, may be sued and whether or not we are ultimately determined to be liable, we may incur significant legal expenses. These claims may be brought by individuals seeking relief on their own behalf or purporting to represent a class. In addition, we may be subject to claims against us even if the apparent injury is due to the actions of others or the pre-existing health of the patient. For example, we rely on physicians and healthcare providers to properly and correctly use our products on patients. If these physicians or healthcare providers are not properly trained, are negligent in using our products or use our products “off-label,” the capabilities of our products may be diminished or the patient may suffer critical injury. We cannot prevent a physician from using our products for off-label applications. In addition, we cannot guarantee that physicians are trained by us or their peers prior to utilizing our products. Complications resulting from the use of our products off-label or use by physicians who have not been trained appropriately, or at all, may expose us to product liability claims and harm our reputation. Any such complications or adverse safety outcomes following use of VASCADE or VASCADE MVP may result in higher payments to our customers under a Performance Guarantee program applicable to those products, which would harm our business and results of operations. In addition, product liability claims may be asserted against us in the future based on events we are not aware of at the present time.</w:t>
      </w:r>
    </w:p>
    <w:p>
      <w:pPr>
        <w:spacing w:after="0" w:line="19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such litigation could damage our reputation and, therefore, impair our ability to market our products or obtain professional or product liability insurance, or increase the cost of such insurance. While we believe that our current product liability insurance coverage is sufficient, there is no assurance that such coverage will be adequate to cover incurred liabilities or that we will be able to obtain acceptable product and professional liability coverage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attract and retain key personnel needed to successfully operate the business.</w:t>
      </w:r>
    </w:p>
    <w:p>
      <w:pPr>
        <w:spacing w:after="0" w:line="25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ability to compete effectively depends on our ability to attract and retain key employees, including people in senior management, sales, marketing and R&amp;D positions, and to facilitate seamless leadership transitions for key positions. Our ability to recruit and retain key talent will depend on a number of factors, including hiring practices of our competitors, compensation and benefits, work location, work environment and industry economic conditions. In December 2019, we relocated our corporate headquarters to a leased office space in Boston, Massachusetts and in response to the COVID-19 pandemic, we instituted remote working practices for many of our employees. Although we believe our move to Boston and the steps we have taken to build a collaborative, performance driven culture and to maintain employee well-being during COVID-19 will help us to attract and retain key talent, we face intense competition for talent in our industry, particularly as employees are increasingly able to work remotely. If we fail to attract and retain key personnel in senior management and other positions, or if our succession planning efforts are not effective, it could adversely impact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share price has been volatile and may fluctuate, and accordingly, the value of an investment in our common stock may also fluctuate.</w:t>
      </w:r>
    </w:p>
    <w:p>
      <w:pPr>
        <w:spacing w:after="0" w:line="26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Stock markets in general and our common stock in particular have experienced significant price and trading volume volatility over recent years. The market price and trading volume of our common stock may continue to be subject to significant fluctuations due to factors described under this Item 1A. Risk Factors, as well as economic and geopolitical conditions in general and to variability in the prevailing sentiment regarding our operations or business prospects, as well as, among other things, changing investment priorities of our shareholders. Because the market price of our common stock fluctuates significantly, shareholders may not be able sell their shares at attractive prices.</w:t>
      </w:r>
    </w:p>
    <w:p>
      <w:pPr>
        <w:spacing w:after="0" w:line="2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Share repurchase programs could affect the price of our common stock and increase volatility and may be suspended or terminated at any time, which may result in a decrease in the trading price of our common stock.</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We may in the future request that the Board of Directors authorize one or more share repurchase programs, our most recent of which expired in May 2021. Under such share repurchase programs, we are generally authorized to repurchase, from time to time, outstanding shares of common stock in accordance with applicable laws both on the open market, including under trading plans established pursuant to Rule 10b5-1 under the Securities Exchange Act of 1934, as amended and in privately negotiated transactions. The actual timing, number and value of shares repurchased is determined by us and depends on a number of factors, including market conditions, applicable legal requirements and compliance with the terms of loan covenants. Such share repurchase programs may be suspended, modified or discontinued at any time and we have no obligation to repurchase any amount of our common stock under the programs. Repurchases pursuant to a share repurchase program could affect our stock price and increase its volatility. The existence of a share repurchase program could also cause our stock price to be higher than it would be in the absence of such a program and could potentially reduce the market liquidity for our common stock. There can be no assurance that any share repurchases would enhance shareholder value because the market price of our common stock may decline below the levels at which we repurchased our common stock. Although our share repurchase programs are intended to enhance long-term shareholder value, short-term stock price fluctuations could reduce a program’s effectiveness. Refer to Note 7, </w:t>
      </w:r>
      <w:r>
        <w:rPr>
          <w:rFonts w:ascii="Arial" w:cs="Arial" w:eastAsia="Arial" w:hAnsi="Arial"/>
          <w:sz w:val="16"/>
          <w:szCs w:val="16"/>
          <w:i w:val="1"/>
          <w:iCs w:val="1"/>
          <w:color w:val="auto"/>
        </w:rPr>
        <w:t>Earnings per Share</w:t>
      </w:r>
      <w:r>
        <w:rPr>
          <w:rFonts w:ascii="Arial" w:cs="Arial" w:eastAsia="Arial" w:hAnsi="Arial"/>
          <w:sz w:val="16"/>
          <w:szCs w:val="16"/>
          <w:color w:val="auto"/>
        </w:rPr>
        <w:t>, to our consolidated financial statements contained in Item 8 of this Annual Report on Form 10-K for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global headquarters is located in Boston, Massachusetts. During fiscal 2020, we sold our principal office in Braintree, Massachusetts and completed our relocation to a 62,000 square foot leased office space in Boston, Massachusetts.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April 3, 2021, our principal manufacturing centers were located in Pennsylvania, Utah and California within the U.S., as well as internationally in Mexico and Malaysia. Our products are distributed worldwide from primary distributor centers in Tennessee and Switzerland. We believe all of these facilities are well-maintained and suitable for the operations conducted in them. These facilities produce and manufacture products for more than one of our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facilities as of April 3, 2021 (in approximate square feet):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shd w:val="clear" w:color="auto" w:fill="CCEEFF"/>
          </w:tcPr>
          <w:p>
            <w:pPr>
              <w:spacing w:after="0"/>
              <w:rPr>
                <w:sz w:val="16"/>
                <w:szCs w:val="16"/>
                <w:color w:val="auto"/>
              </w:rPr>
            </w:pPr>
          </w:p>
        </w:tc>
        <w:tc>
          <w:tcPr>
            <w:tcW w:w="1400" w:type="dxa"/>
            <w:vAlign w:val="bottom"/>
            <w:shd w:val="clear" w:color="auto" w:fill="CCEEFF"/>
          </w:tcPr>
          <w:p>
            <w:pPr>
              <w:ind w:left="860"/>
              <w:spacing w:after="0"/>
              <w:rPr>
                <w:sz w:val="20"/>
                <w:szCs w:val="20"/>
                <w:color w:val="auto"/>
              </w:rPr>
            </w:pPr>
            <w:r>
              <w:rPr>
                <w:rFonts w:ascii="Arial" w:cs="Arial" w:eastAsia="Arial" w:hAnsi="Arial"/>
                <w:sz w:val="14"/>
                <w:szCs w:val="14"/>
                <w:b w:val="1"/>
                <w:bCs w:val="1"/>
                <w:color w:val="auto"/>
              </w:rPr>
              <w:t>Owned</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Leased</w:t>
            </w:r>
          </w:p>
        </w:tc>
        <w:tc>
          <w:tcPr>
            <w:tcW w:w="126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835"/>
              <w:spacing w:after="0"/>
              <w:rPr>
                <w:sz w:val="20"/>
                <w:szCs w:val="20"/>
                <w:color w:val="auto"/>
              </w:rPr>
            </w:pPr>
            <w:r>
              <w:rPr>
                <w:rFonts w:ascii="Arial" w:cs="Arial" w:eastAsia="Arial" w:hAnsi="Arial"/>
                <w:sz w:val="14"/>
                <w:szCs w:val="14"/>
                <w:b w:val="1"/>
                <w:bCs w:val="1"/>
                <w:color w:val="auto"/>
              </w:rPr>
              <w:t>Total</w:t>
            </w:r>
          </w:p>
        </w:tc>
      </w:tr>
      <w:tr>
        <w:trPr>
          <w:trHeight w:val="229"/>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2100" w:type="dxa"/>
            <w:vAlign w:val="bottom"/>
          </w:tcPr>
          <w:p>
            <w:pPr>
              <w:jc w:val="right"/>
              <w:ind w:right="1315"/>
              <w:spacing w:after="0"/>
              <w:rPr>
                <w:sz w:val="20"/>
                <w:szCs w:val="20"/>
                <w:color w:val="auto"/>
              </w:rPr>
            </w:pPr>
            <w:r>
              <w:rPr>
                <w:rFonts w:ascii="Arial" w:cs="Arial" w:eastAsia="Arial" w:hAnsi="Arial"/>
                <w:sz w:val="18"/>
                <w:szCs w:val="18"/>
                <w:color w:val="auto"/>
              </w:rPr>
              <w:t>165,385</w:t>
            </w: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725,666</w:t>
            </w:r>
          </w:p>
        </w:tc>
        <w:tc>
          <w:tcPr>
            <w:tcW w:w="1740" w:type="dxa"/>
            <w:vAlign w:val="bottom"/>
          </w:tcPr>
          <w:p>
            <w:pPr>
              <w:jc w:val="right"/>
              <w:spacing w:after="0"/>
              <w:rPr>
                <w:sz w:val="20"/>
                <w:szCs w:val="20"/>
                <w:color w:val="auto"/>
              </w:rPr>
            </w:pPr>
            <w:r>
              <w:rPr>
                <w:rFonts w:ascii="Arial" w:cs="Arial" w:eastAsia="Arial" w:hAnsi="Arial"/>
                <w:sz w:val="18"/>
                <w:szCs w:val="18"/>
                <w:color w:val="auto"/>
              </w:rPr>
              <w:t>891,051</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4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ind w:right="1315"/>
              <w:spacing w:after="0"/>
              <w:rPr>
                <w:sz w:val="20"/>
                <w:szCs w:val="20"/>
                <w:color w:val="auto"/>
              </w:rPr>
            </w:pPr>
            <w:r>
              <w:rPr>
                <w:rFonts w:ascii="Arial" w:cs="Arial" w:eastAsia="Arial" w:hAnsi="Arial"/>
                <w:sz w:val="18"/>
                <w:szCs w:val="18"/>
                <w:color w:val="auto"/>
              </w:rPr>
              <w:t>135,000</w:t>
            </w:r>
          </w:p>
        </w:tc>
        <w:tc>
          <w:tcPr>
            <w:tcW w:w="12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768,532</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903,532</w:t>
            </w:r>
          </w:p>
        </w:tc>
      </w:tr>
      <w:tr>
        <w:trPr>
          <w:trHeight w:val="223"/>
        </w:trPr>
        <w:tc>
          <w:tcPr>
            <w:tcW w:w="61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100" w:type="dxa"/>
            <w:vAlign w:val="bottom"/>
          </w:tcPr>
          <w:p>
            <w:pPr>
              <w:jc w:val="right"/>
              <w:ind w:right="1315"/>
              <w:spacing w:after="0"/>
              <w:rPr>
                <w:sz w:val="20"/>
                <w:szCs w:val="20"/>
                <w:color w:val="auto"/>
              </w:rPr>
            </w:pPr>
            <w:r>
              <w:rPr>
                <w:rFonts w:ascii="Arial" w:cs="Arial" w:eastAsia="Arial" w:hAnsi="Arial"/>
                <w:sz w:val="18"/>
                <w:szCs w:val="18"/>
                <w:color w:val="auto"/>
              </w:rPr>
              <w:t>300,385</w:t>
            </w:r>
          </w:p>
        </w:tc>
        <w:tc>
          <w:tcPr>
            <w:tcW w:w="1260" w:type="dxa"/>
            <w:vAlign w:val="bottom"/>
          </w:tcPr>
          <w:p>
            <w:pPr>
              <w:jc w:val="right"/>
              <w:ind w:right="410"/>
              <w:spacing w:after="0"/>
              <w:rPr>
                <w:sz w:val="20"/>
                <w:szCs w:val="20"/>
                <w:color w:val="auto"/>
              </w:rPr>
            </w:pPr>
            <w:r>
              <w:rPr>
                <w:rFonts w:ascii="Arial" w:cs="Arial" w:eastAsia="Arial" w:hAnsi="Arial"/>
                <w:sz w:val="18"/>
                <w:szCs w:val="18"/>
                <w:color w:val="auto"/>
                <w:w w:val="92"/>
              </w:rPr>
              <w:t>1,494,198</w:t>
            </w:r>
          </w:p>
        </w:tc>
        <w:tc>
          <w:tcPr>
            <w:tcW w:w="1740" w:type="dxa"/>
            <w:vAlign w:val="bottom"/>
          </w:tcPr>
          <w:p>
            <w:pPr>
              <w:jc w:val="right"/>
              <w:spacing w:after="0"/>
              <w:rPr>
                <w:sz w:val="20"/>
                <w:szCs w:val="20"/>
                <w:color w:val="auto"/>
              </w:rPr>
            </w:pPr>
            <w:r>
              <w:rPr>
                <w:rFonts w:ascii="Arial" w:cs="Arial" w:eastAsia="Arial" w:hAnsi="Arial"/>
                <w:sz w:val="18"/>
                <w:szCs w:val="18"/>
                <w:color w:val="auto"/>
              </w:rPr>
              <w:t>1,794,583</w:t>
            </w:r>
          </w:p>
        </w:tc>
      </w:tr>
      <w:tr>
        <w:trPr>
          <w:trHeight w:val="20"/>
        </w:trPr>
        <w:tc>
          <w:tcPr>
            <w:tcW w:w="47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16, </w:t>
      </w:r>
      <w:r>
        <w:rPr>
          <w:rFonts w:ascii="Arial" w:cs="Arial" w:eastAsia="Arial" w:hAnsi="Arial"/>
          <w:sz w:val="18"/>
          <w:szCs w:val="18"/>
          <w:i w:val="1"/>
          <w:iCs w:val="1"/>
          <w:color w:val="auto"/>
        </w:rPr>
        <w:t>Commitments &amp; Contingencies,</w:t>
      </w:r>
      <w:r>
        <w:rPr>
          <w:rFonts w:ascii="Arial" w:cs="Arial" w:eastAsia="Arial" w:hAnsi="Arial"/>
          <w:sz w:val="18"/>
          <w:szCs w:val="18"/>
          <w:color w:val="auto"/>
        </w:rPr>
        <w:t xml:space="preserve"> to the Consolidated Financial Statements in Item 8 of this Annual Report on Form 10-K, which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Issuer Purchases of Equity Securities</w:t>
      </w:r>
    </w:p>
    <w:p>
      <w:pPr>
        <w:spacing w:after="0" w:line="25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May 2019, our Board of Directors authorized the repurchase of up to $500 million of Haemonetics common shares over the two year period ending May 2021. We had no share repurchases during fiscal 2021. The total remaining authorization for repurchases of our common stock under the share repurchase program was $325 million as of April 3, 2021. We did not make any additional share repurchases under this program which expired in May 2021.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item is no longer required as we have elected to early adopt the changes to Item 301 of Regulation S-K contained in the Securities and Exchange Commission's Release No. 33-10890.</w:t>
      </w:r>
    </w:p>
    <w:p>
      <w:pPr>
        <w:spacing w:after="0" w:line="200" w:lineRule="exact"/>
        <w:rPr>
          <w:sz w:val="20"/>
          <w:szCs w:val="20"/>
          <w:color w:val="auto"/>
        </w:rPr>
      </w:pPr>
    </w:p>
    <w:p>
      <w:pPr>
        <w:spacing w:after="0" w:line="34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30" w:right="77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5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Haemonetics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 When used in this report, the terms “we,” “us,” “our” and “the Company” mean Haemonetics.</w:t>
      </w:r>
    </w:p>
    <w:p>
      <w:pPr>
        <w:spacing w:after="0" w:line="176"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Cell Salvage, Transfusion Management and Vascular Closure products, includes devices and methodologies for measuring coagulation characteristics of blood, surgical blood salvage systems, specialized blood cell processing systems and disposables, blood transfusion management software and vascular closure devices.</w:t>
      </w:r>
    </w:p>
    <w:p>
      <w:pPr>
        <w:spacing w:after="0" w:line="205"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CSL Contract Loss</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April 2021, CSL informed us of its intent not to renew its supply agreement for the use of PCS2 plasma collection system devices and the purchase of disposable plasmapheresis kits (the “Supply Agreement”) following the expiration of the current term of the Supply Agreement in June 2022. In fiscal year 2021, revenue under this Supply Agreement was $88.6 million, or 10.2% of total revenue. As a result of this anticipated contract loss, we recorded a $20.9 million one-time asset impairment charge relating to disposables manufacturing equipment and $5.0 million of additional expenses in the fourth quarter of fiscal 2021. In the first quarter of fiscal 2022, we expect to incur an additional $3.4 million of accelerated depreciation expense relating to disposables manufacturing equipment previously placed into service that will cease being used.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Convertible Senior Notes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2021, we issued $500.0 million aggregate principal amount of 0% convertible senior notes due 2026 (the “2026 Notes”). The 2026 Notes are governed by the terms of the Indenture between the Company and U.S. Bank National Association, as trustee (the “Indenture”). The total net proceeds from the sale of the 2026 Notes, after deducting the initial purchasers’ discounts and debt issuance costs, were $486.7 million. The 2026 Notes will mature on March 1, 2026, unless earlier converted, redeemed or repurchased. Approximately $47.4 million of the net proceeds from the offering were used to fund the cost of entering into Capped Call Transactions and the balance was used to reduce our indebtedness under the Credit Facilities and for working capital and other general corporate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Cardiva Medical, Inc.</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March 1, 2021, we acquired Cardiva an industry-leading manufacturer of vascular closure systems based in Santa Clara, California for total consideration of $489.8 million, which consisted of upfront payments of $465.5 million ($418.2 million net of cash acquired) and the fair value of contingent consideration of $24.3 million. The purchase price is subject to customary working capital and certain other adjustments as of the closing of the transaction and a maximum of $35.0 million in contingent consideration payable over the next two years based on sales growth. We financed the acquisition through a combination of cash, borrowings under our Revolving Credit Facility and an additional $150.0 million term loan. These borrowings were subsequently paid in full during the same period using the proceeds from the 2026 Notes.</w:t>
      </w:r>
    </w:p>
    <w:p>
      <w:pPr>
        <w:spacing w:after="0" w:line="214"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Cardiva’s portfolio includes two catheter-based vascular access site closure devices. The VASCADE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vascular closure system is designed for “small-bore” femoral arterial and venous closure, generally used in interventional cardiology and peripheral</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320"/>
        <w:spacing w:after="0" w:line="280" w:lineRule="auto"/>
        <w:rPr>
          <w:sz w:val="20"/>
          <w:szCs w:val="20"/>
          <w:color w:val="auto"/>
        </w:rPr>
      </w:pPr>
      <w:r>
        <w:rPr>
          <w:rFonts w:ascii="Arial" w:cs="Arial" w:eastAsia="Arial" w:hAnsi="Arial"/>
          <w:sz w:val="16"/>
          <w:szCs w:val="16"/>
          <w:color w:val="auto"/>
        </w:rPr>
        <w:t>vascular procedures. The VASCADE MVP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vascular closure system is designed for “mid-bore” multi-access femoral venous closure, generally used in electrophysiology procedures, and is the only U.S. Food and Drug Administration (“FDA”) approved closure device for use following cardiac ablation procedures requiring two or more access sites within the same vessel. The addition of the VASCADE portfolio to our Hospital business unit includes products with demonstrated benefits and enhances penetration into the large and growing interventional cardiology and electrophysiology markets.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HAS Intellectual Property</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2021, we entered into an agreement to acquire certain intellectual property owned by HemoAssay Science and Technology (Suzhou) Co. Ltd., a China-incorporated company, and its affiliates (collectively, “HemoAssay”) underlying their HAS viscoelastic diagnostic devices, related assays and disposables. We previously entered into exclusive manufacturing and distribution agreements with HemoAssay pursuant to which we have exclusive rights to commercialize HemoAssay’s HAS devices in China. In connection with the transaction, we have agreed to pay up to $15.0 million to HemoAssay in contingent consideration based on certain developmental and manufacturing based milestones. These products augment our portfolio of hemostasis analyzers within the Hospital business unit.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enicor GmbH</w:t>
      </w:r>
    </w:p>
    <w:p>
      <w:pPr>
        <w:spacing w:after="0" w:line="24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On April 1, 2020, we acquired enicor GmbH (“enicor”), the manufacturer of ClotPro</w:t>
      </w:r>
      <w:r>
        <w:rPr>
          <w:rFonts w:ascii="Arial" w:cs="Arial" w:eastAsia="Arial" w:hAnsi="Arial"/>
          <w:sz w:val="22"/>
          <w:szCs w:val="22"/>
          <w:color w:val="auto"/>
          <w:vertAlign w:val="superscript"/>
        </w:rPr>
        <w:t>®</w:t>
      </w:r>
      <w:r>
        <w:rPr>
          <w:rFonts w:ascii="Arial" w:cs="Arial" w:eastAsia="Arial" w:hAnsi="Arial"/>
          <w:sz w:val="17"/>
          <w:szCs w:val="17"/>
          <w:color w:val="auto"/>
        </w:rPr>
        <w:t>, a new generation whole blood coagulation testing system that is currently available in select European and Asia Pacific markets, for total consideration of $20.5 million, which consisted of upfront payments of $16.6 million and the fair value of contingent consideration of $3.9 million. The contingent consideration, which could total a maximum of $4.5 million, consists of payments related to the achievement of certain revenue and regulatory milestones. The acquisition of this viscoelastic diagnostic device augments the Company's portfolio of hemostasis analyzers within the Hospital business unit.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Note 4,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 Consolidated Financial Statements in Item 8 of this Annual Report on Form 10-K for additional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w:t>
      </w:r>
      <w:r>
        <w:rPr>
          <w:rFonts w:ascii="Arial" w:cs="Arial" w:eastAsia="Arial" w:hAnsi="Arial"/>
          <w:sz w:val="23"/>
          <w:szCs w:val="23"/>
          <w:color w:val="auto"/>
          <w:vertAlign w:val="superscript"/>
        </w:rPr>
        <w:t>®</w:t>
      </w:r>
    </w:p>
    <w:p>
      <w:pPr>
        <w:spacing w:after="0" w:line="195"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On October 2, 2020, we received FDA 510(k) clearance for our NexSys PCS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with Persona technology. NexSys PCS with Persona technology uses a percent plasma nomogram that customizes plasma collection based on an individual donor's body composition. The new, proprietary Persona technology strengthens the NexSys PCS value proposition and reinforces our commitment to supporting the plasma industry.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continue to closely manage the impacts of the COVID-19 pandemic on our business results of operations and financial condition. The progression of the COVID-19 pandemic during fiscal 2021 significantly impacted our financial results. While the duration and additional implications remain uncertain, the full extent of the impact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priorities continue to be the safety of our employees and business continuity while continuing to invest in growth opportunities. Our manufacturing and supply chain remain operational without significant disruptions and we continue to operate in all of our markets.</w:t>
      </w:r>
    </w:p>
    <w:p>
      <w:pPr>
        <w:spacing w:after="0" w:line="19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Although the pace and timing of the recovery is uncertain, we remain confident in the long term strength of the end markets that we serve across our three business units. For additional information regarding the expected impacts to our business units and the various risks posed by the COVID-19 pandemic, refer to Results of Operations within Management's Discussion and Analysis and Risk Factors contained in 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Fajardo, Puerto Rico Manufacturing Operations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29, 2020, we sold our Fajardo, Puerto Rico, manufacturing operations to GVS, S.p.A (“GVS”), a leading provider of advanced filtration solutions for critical applications for $15.1 million ($7.8 million, net of cash transferred). Under the terms of the agreement, Haemonetics retained all intellectual property rights to its proprietary blood filters currently manufactured at its Fajardo facility and GVS acquired certain assets consisting primarily of property, plant and equipment, inventory and cash and has assumed certain related liabilities. In addition, the two parties entered into a long-term supply and development agreement that, among other things, grants GVS exclusive rights to manufacture and supply the blood filters currently produced at the Fajardo facility for Haemonetics. This divestiture will allow Haemonetics to utilize GVS' experience and scale in filtration to deliver reliable, cost-efficient products to its customers.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U.S. Blood Donor Management Software</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July 1, 2020, we sold certain U.S. blood donor management software solution assets within our Blood Center business unit to the GPI Group for an upfront cash payment of $14.0 million ($13.6 million, net of working capital adjustments) and recognized a $13.2 million gain on the sale. In addition to the cash received upon closing, we may also receive up to an additional $14.0 million, contingent upon the achievement of certain performance measures. This divestiture better positions Haemonetics for sustainable growth by enabling the Company to focus on its core capabilities while delivering quality products and services where it brings distinct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Inlog Holdings France</w:t>
      </w:r>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September 18, 2020, we sold our wholly-owned subsidiary Inlog Holdings France SAS to Abénex Capital (“Abénex”), a private equity firm based in France for $30.5 million ($24.5 million, net of cash transferred) and recognized a gain of $20.0 million. Inlog Holdings France SAS, through its subsidiary In Log SAS, develops and sells blood bank and hospital software solutions used predominantly in France and in several other countries outside of the U.S. This divestiture and the sale of our U.S. blood donor management software better position us to focus on our growth segments.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Note 5, </w:t>
      </w:r>
      <w:r>
        <w:rPr>
          <w:rFonts w:ascii="Arial" w:cs="Arial" w:eastAsia="Arial" w:hAnsi="Arial"/>
          <w:sz w:val="17"/>
          <w:szCs w:val="17"/>
          <w:i w:val="1"/>
          <w:iCs w:val="1"/>
          <w:color w:val="auto"/>
        </w:rPr>
        <w:t>Divestitures,</w:t>
      </w:r>
      <w:r>
        <w:rPr>
          <w:rFonts w:ascii="Arial" w:cs="Arial" w:eastAsia="Arial" w:hAnsi="Arial"/>
          <w:sz w:val="17"/>
          <w:szCs w:val="17"/>
          <w:color w:val="auto"/>
        </w:rPr>
        <w:t xml:space="preserve"> to the Consolidated Financial Statements in Item 8 of this Annual Report on Form 10-K for additional information.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Program</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July 2019, our Board of Directors approved an Operational Excellence Program (the “2020 Program”) and delegated authority to management to determine the detail of the initiatives that will comprise the program. The 2020 Program is designed to improve operational performance and reduce cost principally in our manufacturing and supply chain operations. We initially expected to incur aggregate charges between $60 million and $70 million by the end of fiscal 2023 and to achieve savings of $80 million to $90 million on an annualized basis once the program is completed. We believe the 2020 Program will continue to provide future savings, however, we are currently assessing the potential impact CSL's decision not to renew its Supply Agreement on the expected timing, charges and savings. The majority of charges will result in cash outlays, including severance and other employee costs, and will be incurred as the specific actions required to execute these initiatives are identified and approved. During the fiscal year ended April 3, 2021, we incurred $15.1 million of restructuring and turnaround costs under this program. Total cumulative charges under this program are $27.0 million as of April 3,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 Market</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are two key aspects to the market for our plasma products - the growth in demand for plasma-derived biopharmaceuticals and the limited number of significant biopharmaceutical companies in this market.</w:t>
      </w:r>
    </w:p>
    <w:p>
      <w:pPr>
        <w:spacing w:after="0" w:line="19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Changes in demand for plasma-derived biopharmaceuticals, particularly immunoglobulin, are the key driver of plasma collection volumes in the biopharmaceutical market. Various factors related to the supply of plasma and the production of plasma-derived biopharmaceuticals also affect collection volume,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700" w:hanging="652"/>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Biopharmaceutical companies are seeking more yield from the collected plasma to meet growing demand for biopharmaceuticals without requiring an equivalent increase in plasma supply.</w:t>
      </w:r>
    </w:p>
    <w:p>
      <w:pPr>
        <w:spacing w:after="0" w:line="197" w:lineRule="exact"/>
        <w:rPr>
          <w:rFonts w:ascii="Arial" w:cs="Arial" w:eastAsia="Arial" w:hAnsi="Arial"/>
          <w:sz w:val="18"/>
          <w:szCs w:val="18"/>
          <w:color w:val="auto"/>
        </w:rPr>
      </w:pPr>
    </w:p>
    <w:p>
      <w:pPr>
        <w:ind w:left="660" w:right="260" w:hanging="652"/>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Newly approved indications for auto-immune diseases treated with plasma-derived therapies, the growing understanding and diagnosis of these diseases, longer lifespans and a growing aging patient population increase the demand for plasma.</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Geographical expansion of biopharmaceuticals also increases demand for plasma.</w:t>
      </w:r>
    </w:p>
    <w:p>
      <w:pPr>
        <w:spacing w:after="0" w:line="2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fiscal 2021 the COVID-19 pandemic significantly reduced the number of source plasma collections in the U.S., which materially reduced the demand for plasma products. We continue to view the impacts of the pandemic on plasma collection as temporary and remain confident in the strength of the plasma end market growth as the long-term global demand for plasma-derived pharmaceuticals is expected to continue. Because plasma collected in the U.S. supplies the vast majority of plasma volume demand worldwide, we anticipate continued growth in North America in future periods as collection volumes benefit from an expanding end user market for plasma-derived biopharmaceuticals.</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Despite the overall growth in the market, the number of biopharmaceutical companies that collect and fractionate source plasma is low and industry consolidation is ongoing. Significant barriers to entry exist for new entrants due to high capital outlay requirements for fractionation, long regulatory pathways to the licensing of collection centers and fractionation facilities and approval of plasma-derived biopharmaceuticals. As a result, there are relatively few customers for our Plasma products, especially in the U.S. where over 70% of the world's source plasma is collected and only a few customers provide the majority of our Plasma revenue.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 Market</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the Blood Center market, we sell automated blood component and manual whole blood collection systems. While we sell products around the world, a significant portion of our sales are to a limited number of customers due to relatively limited number of blood collectors.</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Within the Blood Center market, we have seen three trends that have negatively impacted growth of the overall marketplace despite the overall increase in aging populations. Overall, we continue to expect a decline in this business in the low to mid single-digits.</w:t>
      </w:r>
    </w:p>
    <w:p>
      <w:pPr>
        <w:spacing w:after="0" w:line="197" w:lineRule="exact"/>
        <w:rPr>
          <w:sz w:val="20"/>
          <w:szCs w:val="20"/>
          <w:color w:val="auto"/>
        </w:rPr>
      </w:pPr>
    </w:p>
    <w:p>
      <w:pPr>
        <w:ind w:left="660" w:right="80" w:hanging="652"/>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Declining transfusion rates in mature markets due to the development of more minimally invasive procedures with lower associated blood loss, as well as better blood management.</w:t>
      </w:r>
    </w:p>
    <w:p>
      <w:pPr>
        <w:spacing w:after="0" w:line="197" w:lineRule="exact"/>
        <w:rPr>
          <w:rFonts w:ascii="Arial" w:cs="Arial" w:eastAsia="Arial" w:hAnsi="Arial"/>
          <w:sz w:val="18"/>
          <w:szCs w:val="18"/>
          <w:color w:val="auto"/>
        </w:rPr>
      </w:pPr>
    </w:p>
    <w:p>
      <w:pPr>
        <w:ind w:left="660" w:right="240" w:hanging="652"/>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in multi-unit collection technology for automated blood component collection systems has intensified and has negatively impacted our sales in markets where these collections are prevalent.</w:t>
      </w:r>
    </w:p>
    <w:p>
      <w:pPr>
        <w:spacing w:after="0" w:line="197" w:lineRule="exact"/>
        <w:rPr>
          <w:sz w:val="20"/>
          <w:szCs w:val="20"/>
          <w:color w:val="auto"/>
        </w:rPr>
      </w:pPr>
    </w:p>
    <w:p>
      <w:pPr>
        <w:ind w:left="660" w:right="680" w:hanging="652"/>
        <w:spacing w:after="0" w:line="277" w:lineRule="auto"/>
        <w:tabs>
          <w:tab w:leader="none" w:pos="6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Industry consolidation through group purchasing organizations has intensified pricing competition particularly in the manual whole blood collection systems.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 Markets</w:t>
      </w:r>
    </w:p>
    <w:p>
      <w:pPr>
        <w:spacing w:after="0" w:line="25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Hemostasis Management Market - </w:t>
      </w:r>
      <w:r>
        <w:rPr>
          <w:rFonts w:ascii="Arial" w:cs="Arial" w:eastAsia="Arial" w:hAnsi="Arial"/>
          <w:sz w:val="17"/>
          <w:szCs w:val="17"/>
          <w:color w:val="auto"/>
        </w:rPr>
        <w:t>The use of routine coagulation testing is well established throughout the world in various medical procedures,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cardiovascular surgery, organ transplantation, trauma, post-partum hemorrhage and percutaneous coronary intervention. While standard tests like prothrombin time, partial thromboplastin time and platelet count have limited ability to reveal a patient’s risk for bleeding, they do not provide information on the patient’s risk for thrombosis. In addition, these routine tests do not provide specific data about clot quality or stability. As a result of these limitations, clinicians are increasingly utilizing advanced hemostasis testing to provide more information about a patient’s hemostasis status, resulting in improved clinical decision-making. In addition, advanced hemostasis testing supports hospital efforts to reduce the risks, complications and costs associated with unnecessary blood component transfusions.</w:t>
      </w:r>
    </w:p>
    <w:p>
      <w:pPr>
        <w:spacing w:after="0" w:line="19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Haemonetics’ TEG</w:t>
      </w:r>
      <w:r>
        <w:rPr>
          <w:rFonts w:ascii="Arial" w:cs="Arial" w:eastAsia="Arial" w:hAnsi="Arial"/>
          <w:sz w:val="23"/>
          <w:szCs w:val="23"/>
          <w:color w:val="auto"/>
          <w:vertAlign w:val="superscript"/>
        </w:rPr>
        <w:t>®</w:t>
      </w:r>
      <w:r>
        <w:rPr>
          <w:rFonts w:ascii="Arial" w:cs="Arial" w:eastAsia="Arial" w:hAnsi="Arial"/>
          <w:sz w:val="18"/>
          <w:szCs w:val="18"/>
          <w:color w:val="auto"/>
        </w:rPr>
        <w:t>, ClotPro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HAS hemostasis analyzer systems are advanced diagnostic tools that provide a comprehensive assessment of a patient’s overall hemostasis. This information enables clinicians to decide the most appropriate clinical treatment for the patient to minimize blood loss and reduce clotting risk. For example, TEG analyzers have been used to support clinical decision making in open cardiovascular surgery and organ transplantation, becoming the standard of care in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liver transplants. In more recent years, interest has grown into the utilization of TEG in trauma and other procedures in which the risk of hemorrhage and thrombosis are high.</w:t>
      </w:r>
    </w:p>
    <w:p>
      <w:pPr>
        <w:spacing w:after="0" w:line="19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Geographically, TEG systems have achieved the highest market penetration in North America, Europe and China. However, there are considerable growth opportunities in these as well as other markets, as TEG systems become more established as the standard of care around the world. Our ClotPro system is currently available in select European and Asian markets and is not available for use or sale in the U.S. The HAS-100 is currently commercialized in China.</w:t>
      </w:r>
    </w:p>
    <w:p>
      <w:pPr>
        <w:spacing w:after="0" w:line="176"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i w:val="1"/>
          <w:iCs w:val="1"/>
          <w:color w:val="auto"/>
        </w:rPr>
        <w:t xml:space="preserve">Cell Salvage Market </w:t>
      </w:r>
      <w:r>
        <w:rPr>
          <w:rFonts w:ascii="Arial" w:cs="Arial" w:eastAsia="Arial" w:hAnsi="Arial"/>
          <w:sz w:val="16"/>
          <w:szCs w:val="16"/>
          <w:color w:val="auto"/>
        </w:rPr>
        <w:t>- In recent years, more efficient blood use and less invasive surgeries have reduced demand for autotransfusion in these procedures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contributed to intense competition in mature markets, while increased access to healthcare in emerging economies has provided new markets and sources of growth. Orthopedic procedures have seen similar changes with improved blood management practices, including the use of tranexamic acid to treat and prevent postoperative bleeding, significantly reducing the number of transfusions and autotransfusion. Geographically, the Cell Saver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has achieved the highest market penetration in North America, Europe and Japan. However, there are considerable growth opportunities in certain Asia Pacific and other emerging markets as addressable procedure volumes grow and the use of autotransfusion is becoming accepted as a standard of care.</w:t>
      </w:r>
    </w:p>
    <w:p>
      <w:pPr>
        <w:spacing w:after="0" w:line="19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i w:val="1"/>
          <w:iCs w:val="1"/>
          <w:color w:val="auto"/>
        </w:rPr>
        <w:t xml:space="preserve">Transfusion Management Market - </w:t>
      </w:r>
      <w:r>
        <w:rPr>
          <w:rFonts w:ascii="Arial" w:cs="Arial" w:eastAsia="Arial" w:hAnsi="Arial"/>
          <w:sz w:val="16"/>
          <w:szCs w:val="16"/>
          <w:color w:val="auto"/>
        </w:rPr>
        <w:t>Revenues from BloodTrack</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have increased in the U.S. and Europe in recent years as hospitals seek means to improve</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efficiencies and meet compliance guidelines for tracking and dispositioning blood components to patients. SafeTrace Tx</w:t>
      </w:r>
      <w:r>
        <w:rPr>
          <w:rFonts w:ascii="Arial" w:cs="Arial" w:eastAsia="Arial" w:hAnsi="Arial"/>
          <w:sz w:val="20"/>
          <w:szCs w:val="20"/>
          <w:color w:val="auto"/>
          <w:vertAlign w:val="superscript"/>
        </w:rPr>
        <w:t>®</w:t>
      </w:r>
      <w:r>
        <w:rPr>
          <w:rFonts w:ascii="Arial" w:cs="Arial" w:eastAsia="Arial" w:hAnsi="Arial"/>
          <w:sz w:val="16"/>
          <w:szCs w:val="16"/>
          <w:color w:val="auto"/>
        </w:rPr>
        <w:t>'s leading market share in the U.S. remains steady and in fiscal 2021 launched in the United Kingdom. We continue to explore opportunities to expand the portfolio internationally.</w:t>
      </w:r>
    </w:p>
    <w:p>
      <w:pPr>
        <w:spacing w:after="0" w:line="2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Vascular Closure Market - </w:t>
      </w:r>
      <w:r>
        <w:rPr>
          <w:rFonts w:ascii="Arial" w:cs="Arial" w:eastAsia="Arial" w:hAnsi="Arial"/>
          <w:sz w:val="18"/>
          <w:szCs w:val="18"/>
          <w:color w:val="auto"/>
        </w:rPr>
        <w:t>Our target market, coronary and peripheral procedures and electrophysiology procedures, are highly concentrated in the U.S.</w:t>
      </w:r>
      <w:r>
        <w:rPr>
          <w:rFonts w:ascii="Arial" w:cs="Arial" w:eastAsia="Arial" w:hAnsi="Arial"/>
          <w:sz w:val="18"/>
          <w:szCs w:val="18"/>
          <w:i w:val="1"/>
          <w:iCs w:val="1"/>
          <w:color w:val="auto"/>
        </w:rPr>
        <w:t xml:space="preserve"> </w:t>
      </w:r>
      <w:r>
        <w:rPr>
          <w:rFonts w:ascii="Arial" w:cs="Arial" w:eastAsia="Arial" w:hAnsi="Arial"/>
          <w:sz w:val="18"/>
          <w:szCs w:val="18"/>
          <w:color w:val="auto"/>
        </w:rPr>
        <w:t>The mature market of coronary and peripheral procedures consists of interventions to diagnose and treat vascular diseases. Electrophysiology procedures consist of catheter-based interventions to diagnose and treat cardiac arrhythmias. This procedure category is expected to grow based on the increasing incidence and prevalence of cardiac arrhythmias, mainly in the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5"/>
        </w:trPr>
        <w:tc>
          <w:tcPr>
            <w:tcW w:w="42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Pr>
          <w:p>
            <w:pPr>
              <w:spacing w:after="0"/>
              <w:rPr>
                <w:sz w:val="11"/>
                <w:szCs w:val="11"/>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15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Increase/(Decrease)</w:t>
            </w: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88"/>
        </w:trPr>
        <w:tc>
          <w:tcPr>
            <w:tcW w:w="4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21 vs. 20</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20 vs. 19</w:t>
            </w:r>
          </w:p>
        </w:tc>
        <w:tc>
          <w:tcPr>
            <w:tcW w:w="0" w:type="dxa"/>
            <w:vAlign w:val="bottom"/>
          </w:tcPr>
          <w:p>
            <w:pPr>
              <w:spacing w:after="0"/>
              <w:rPr>
                <w:sz w:val="1"/>
                <w:szCs w:val="1"/>
                <w:color w:val="auto"/>
              </w:rPr>
            </w:pPr>
          </w:p>
        </w:tc>
      </w:tr>
      <w:tr>
        <w:trPr>
          <w:trHeight w:val="22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870,463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988,479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967,579</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2.2 %</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397,838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484,513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417,536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(17.9)%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16.0 %</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49.0 %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43.2 %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308,091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381,162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333,991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(19.2)%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14.1 %</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89,747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103,351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83,545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23.7 %</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10.3 %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10.5 %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8.6 %</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(16,834)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(9,912)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63.4 %</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w w:val="96"/>
              </w:rPr>
              <w:t>Income before (benefit) provision for income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72,913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87,152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73,633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(16.3)%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18.4 %</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10,626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18,614</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8"/>
                <w:szCs w:val="18"/>
                <w:i w:val="1"/>
                <w:iCs w:val="1"/>
                <w:color w:val="auto"/>
              </w:rPr>
              <w:t>n/m</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(42.9)%</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i w:val="1"/>
                <w:iCs w:val="1"/>
                <w:color w:val="auto"/>
              </w:rPr>
              <w:t>% of pre-tax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12.2 %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25.3 %</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79,469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55,019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39.1 %</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9.1 %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7.7 %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5.7 %</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41.1 %</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4.7 %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42.3 %</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Our fiscal year ends on the Saturday closest to the last day of March. Fiscal year 2021 included 53 weeks with each of the first three quarters having 13 weeks and the fourth quarter having 14 weeks. Fiscal year 2020 and 2019 included 52 weeks with each quarter having 13 weeks.</w:t>
      </w:r>
    </w:p>
    <w:p>
      <w:pPr>
        <w:spacing w:after="0" w:line="17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Net revenues for fiscal 2021 decreased 11.9% compared with fiscal 2020. Without the effects of foreign exchange, net revenues decreased 12.9% compared with fiscal 2020. Revenue decreases in Plasma due to the COVID-19 pandemic primarily drove the overall decrease in revenue during the fiscal year ended April 3,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Net revenues for fiscal 2020 increased 2.2% compared with fiscal 2019. Without the effects of foreign exchange, net revenues increased 2.8% compared with fiscal 2019. Revenue increases in Plasma and Hospital primarily drove the overall increase in revenue during the fiscal year ended March 28, 2020. This increase was partially offset by declines in our Blood Center business unit.</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Operating income decreased during fiscal 2021 as compared with fiscal 2020, primarily due to the impact of the COVID-19 pandemic on revenue and gross margin, offset by gain on divestitures, incremental savings from the 2020 Program and lower asset impairment charges and depreciation expense.</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income increased during fiscal 2020 as compared with fiscal 2019, primarily due to favorable pricing, product mix and incremental savings from both the 2020 Program and the Complexity Reduction Initiative (the “2018 Program”). The gain recognized on the sale of real estate and other assets associated with the Braintree corporate headquarters also contributed to the increase. Impairment charges associated with the divestiture of our plasma liquid solutions operations to CSL partially offset these increases during fiscal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5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gridSpan w:val="5"/>
          </w:tcPr>
          <w:p>
            <w:pPr>
              <w:jc w:val="center"/>
              <w:ind w:left="724"/>
              <w:spacing w:after="0"/>
              <w:rPr>
                <w:sz w:val="20"/>
                <w:szCs w:val="20"/>
                <w:color w:val="auto"/>
              </w:rPr>
            </w:pPr>
            <w:r>
              <w:rPr>
                <w:rFonts w:ascii="Arial" w:cs="Arial" w:eastAsia="Arial" w:hAnsi="Arial"/>
                <w:sz w:val="14"/>
                <w:szCs w:val="14"/>
                <w:b w:val="1"/>
                <w:bCs w:val="1"/>
                <w:color w:val="auto"/>
                <w:w w:val="90"/>
              </w:rPr>
              <w:t>Fiscal 2021 versus 2020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Fiscal 2020 versus 2019</w:t>
            </w:r>
          </w:p>
        </w:tc>
        <w:tc>
          <w:tcPr>
            <w:tcW w:w="0" w:type="dxa"/>
            <w:vAlign w:val="bottom"/>
          </w:tcPr>
          <w:p>
            <w:pPr>
              <w:spacing w:after="0"/>
              <w:rPr>
                <w:sz w:val="1"/>
                <w:szCs w:val="1"/>
                <w:color w:val="auto"/>
              </w:rPr>
            </w:pPr>
          </w:p>
        </w:tc>
      </w:tr>
      <w:tr>
        <w:trPr>
          <w:trHeight w:val="134"/>
        </w:trPr>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4"/>
                <w:szCs w:val="14"/>
                <w:b w:val="1"/>
                <w:bCs w:val="1"/>
                <w:color w:val="auto"/>
              </w:rPr>
              <w:t>Constant</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Reported</w:t>
            </w:r>
          </w:p>
        </w:tc>
        <w:tc>
          <w:tcPr>
            <w:tcW w:w="12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7"/>
              </w:rPr>
              <w:t>Currency</w:t>
            </w: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currency</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Reported</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Currency</w:t>
            </w: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5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1"/>
                <w:szCs w:val="11"/>
                <w:color w:val="auto"/>
              </w:rPr>
            </w:pPr>
          </w:p>
        </w:tc>
        <w:tc>
          <w:tcPr>
            <w:tcW w:w="7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currency growth</w:t>
            </w:r>
          </w:p>
        </w:tc>
        <w:tc>
          <w:tcPr>
            <w:tcW w:w="0" w:type="dxa"/>
            <w:vAlign w:val="bottom"/>
          </w:tcPr>
          <w:p>
            <w:pPr>
              <w:spacing w:after="0"/>
              <w:rPr>
                <w:sz w:val="1"/>
                <w:szCs w:val="1"/>
                <w:color w:val="auto"/>
              </w:rPr>
            </w:pPr>
          </w:p>
        </w:tc>
      </w:tr>
      <w:tr>
        <w:trPr>
          <w:trHeight w:val="135"/>
        </w:trPr>
        <w:tc>
          <w:tcPr>
            <w:tcW w:w="15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Growth</w:t>
            </w:r>
          </w:p>
        </w:tc>
        <w:tc>
          <w:tcPr>
            <w:tcW w:w="126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impact</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 xml:space="preserve">growth </w:t>
            </w:r>
            <w:r>
              <w:rPr>
                <w:rFonts w:ascii="Arial" w:cs="Arial" w:eastAsia="Arial" w:hAnsi="Arial"/>
                <w:sz w:val="15"/>
                <w:szCs w:val="15"/>
                <w:b w:val="1"/>
                <w:bCs w:val="1"/>
                <w:color w:val="auto"/>
                <w:vertAlign w:val="superscript"/>
              </w:rPr>
              <w:t>(1)</w:t>
            </w: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Growth</w:t>
            </w: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impact</w:t>
            </w:r>
          </w:p>
        </w:tc>
        <w:tc>
          <w:tcPr>
            <w:tcW w:w="1080" w:type="dxa"/>
            <w:vAlign w:val="bottom"/>
          </w:tcPr>
          <w:p>
            <w:pPr>
              <w:jc w:val="center"/>
              <w:spacing w:after="0"/>
              <w:rPr>
                <w:sz w:val="20"/>
                <w:szCs w:val="20"/>
                <w:color w:val="auto"/>
              </w:rPr>
            </w:pP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23"/>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522,607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646,204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606,845</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347,856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342,275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360,734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150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870,463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988,479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967,579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08914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ind w:left="20" w:right="200" w:firstLine="6"/>
        <w:spacing w:after="0"/>
        <w:tabs>
          <w:tab w:leader="none" w:pos="152" w:val="left"/>
        </w:tabs>
        <w:numPr>
          <w:ilvl w:val="0"/>
          <w:numId w:val="17"/>
        </w:numPr>
        <w:rPr>
          <w:rFonts w:ascii="Arial" w:cs="Arial" w:eastAsia="Arial" w:hAnsi="Arial"/>
          <w:sz w:val="15"/>
          <w:szCs w:val="15"/>
          <w:color w:val="auto"/>
          <w:vertAlign w:val="superscript"/>
        </w:rPr>
      </w:pPr>
      <w:r>
        <w:rPr>
          <w:rFonts w:ascii="Arial" w:cs="Arial" w:eastAsia="Arial" w:hAnsi="Arial"/>
          <w:sz w:val="11"/>
          <w:szCs w:val="11"/>
          <w:color w:val="auto"/>
        </w:rPr>
        <w:t xml:space="preserve">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w:t>
      </w:r>
      <w:r>
        <w:rPr>
          <w:rFonts w:ascii="Arial" w:cs="Arial" w:eastAsia="Arial" w:hAnsi="Arial"/>
          <w:sz w:val="11"/>
          <w:szCs w:val="11"/>
          <w:color w:val="auto"/>
        </w:rPr>
        <w:t xml:space="preserve"> </w:t>
      </w:r>
      <w:r>
        <w:rPr>
          <w:rFonts w:ascii="Arial" w:cs="Arial" w:eastAsia="Arial" w:hAnsi="Arial"/>
          <w:sz w:val="11"/>
          <w:szCs w:val="11"/>
          <w:i w:val="1"/>
          <w:iCs w:val="1"/>
          <w:color w:val="auto"/>
        </w:rPr>
        <w:t>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-99060</wp:posOffset>
            </wp:positionV>
            <wp:extent cx="18770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Operations and the Impact of Foreign Exchange</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principal operations are in the United States, Europe, Japan and other parts of Asia. Our products are marketed in approximately 90 countries around the world through a combination of our direct sales force and independent distributors and agents.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revenue generated in our principle operating regions is summarized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380"/>
              <w:spacing w:after="0"/>
              <w:rPr>
                <w:sz w:val="20"/>
                <w:szCs w:val="20"/>
                <w:color w:val="auto"/>
              </w:rPr>
            </w:pPr>
            <w:r>
              <w:rPr>
                <w:rFonts w:ascii="Arial" w:cs="Arial" w:eastAsia="Arial" w:hAnsi="Arial"/>
                <w:sz w:val="14"/>
                <w:szCs w:val="14"/>
                <w:b w:val="1"/>
                <w:bCs w:val="1"/>
                <w:color w:val="auto"/>
              </w:rPr>
              <w:t>Fiscal Year</w:t>
            </w:r>
          </w:p>
        </w:tc>
        <w:tc>
          <w:tcPr>
            <w:tcW w:w="1440" w:type="dxa"/>
            <w:vAlign w:val="bottom"/>
          </w:tcPr>
          <w:p>
            <w:pPr>
              <w:spacing w:after="0"/>
              <w:rPr>
                <w:sz w:val="16"/>
                <w:szCs w:val="16"/>
                <w:color w:val="auto"/>
              </w:rPr>
            </w:pPr>
          </w:p>
        </w:tc>
      </w:tr>
      <w:tr>
        <w:trPr>
          <w:trHeight w:val="195"/>
        </w:trPr>
        <w:tc>
          <w:tcPr>
            <w:tcW w:w="67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62.7 %</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7.2 %</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Asia</w:t>
            </w:r>
          </w:p>
        </w:tc>
        <w:tc>
          <w:tcPr>
            <w:tcW w:w="1440" w:type="dxa"/>
            <w:vAlign w:val="bottom"/>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12.3 %</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1"/>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International sales are generally conducted in local currencies, primarily Japanese Yen, Euro, Chinese Yuan and Australian Dollar.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Please see the section entitled </w:t>
      </w:r>
      <w:r>
        <w:rPr>
          <w:rFonts w:ascii="Arial" w:cs="Arial" w:eastAsia="Arial" w:hAnsi="Arial"/>
          <w:sz w:val="18"/>
          <w:szCs w:val="18"/>
          <w:i w:val="1"/>
          <w:iCs w:val="1"/>
          <w:color w:val="auto"/>
        </w:rPr>
        <w:t>“Foreign Exchange”</w:t>
      </w:r>
      <w:r>
        <w:rPr>
          <w:rFonts w:ascii="Arial" w:cs="Arial" w:eastAsia="Arial" w:hAnsi="Arial"/>
          <w:sz w:val="18"/>
          <w:szCs w:val="18"/>
          <w:color w:val="auto"/>
        </w:rPr>
        <w:t xml:space="preserve"> in this discussion for a more complete explanation of how foreign currency affects our business and our strategy for managing this exposure.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Fiscal 2021 versus 2020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0"/>
              </w:rPr>
              <w:t>Fiscal 2020 versus 2019</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center"/>
              <w:ind w:left="82"/>
              <w:spacing w:after="0"/>
              <w:rPr>
                <w:sz w:val="20"/>
                <w:szCs w:val="20"/>
                <w:color w:val="auto"/>
              </w:rPr>
            </w:pPr>
            <w:r>
              <w:rPr>
                <w:rFonts w:ascii="Arial" w:cs="Arial" w:eastAsia="Arial" w:hAnsi="Arial"/>
                <w:sz w:val="14"/>
                <w:szCs w:val="14"/>
                <w:b w:val="1"/>
                <w:bCs w:val="1"/>
                <w:color w:val="auto"/>
                <w:w w:val="91"/>
              </w:rPr>
              <w:t>Reported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Currency</w:t>
            </w:r>
          </w:p>
        </w:tc>
        <w:tc>
          <w:tcPr>
            <w:tcW w:w="740" w:type="dxa"/>
            <w:vAlign w:val="bottom"/>
          </w:tcPr>
          <w:p>
            <w:pPr>
              <w:spacing w:after="0" w:line="135"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7"/>
              </w:rPr>
              <w:t>Currency</w:t>
            </w:r>
          </w:p>
        </w:tc>
        <w:tc>
          <w:tcPr>
            <w:tcW w:w="740" w:type="dxa"/>
            <w:vAlign w:val="bottom"/>
          </w:tcPr>
          <w:p>
            <w:pPr>
              <w:jc w:val="right"/>
              <w:ind w:right="97"/>
              <w:spacing w:after="0" w:line="135" w:lineRule="exact"/>
              <w:rPr>
                <w:sz w:val="20"/>
                <w:szCs w:val="20"/>
                <w:color w:val="auto"/>
              </w:rPr>
            </w:pPr>
            <w:r>
              <w:rPr>
                <w:rFonts w:ascii="Arial" w:cs="Arial" w:eastAsia="Arial" w:hAnsi="Arial"/>
                <w:sz w:val="14"/>
                <w:szCs w:val="14"/>
                <w:b w:val="1"/>
                <w:bCs w:val="1"/>
                <w:color w:val="auto"/>
                <w:w w:val="88"/>
              </w:rPr>
              <w:t>Constant</w:t>
            </w:r>
          </w:p>
        </w:tc>
        <w:tc>
          <w:tcPr>
            <w:tcW w:w="0" w:type="dxa"/>
            <w:vAlign w:val="bottom"/>
          </w:tcPr>
          <w:p>
            <w:pPr>
              <w:spacing w:after="0"/>
              <w:rPr>
                <w:sz w:val="1"/>
                <w:szCs w:val="1"/>
                <w:color w:val="auto"/>
              </w:rPr>
            </w:pPr>
          </w:p>
        </w:tc>
      </w:tr>
      <w:tr>
        <w:trPr>
          <w:trHeight w:val="135"/>
        </w:trPr>
        <w:tc>
          <w:tcPr>
            <w:tcW w:w="17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1"/>
                <w:szCs w:val="11"/>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currency</w:t>
            </w:r>
          </w:p>
        </w:tc>
        <w:tc>
          <w:tcPr>
            <w:tcW w:w="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740" w:type="dxa"/>
            <w:vAlign w:val="bottom"/>
          </w:tcPr>
          <w:p>
            <w:pPr>
              <w:jc w:val="right"/>
              <w:ind w:right="97"/>
              <w:spacing w:after="0" w:line="135" w:lineRule="exact"/>
              <w:rPr>
                <w:sz w:val="20"/>
                <w:szCs w:val="20"/>
                <w:color w:val="auto"/>
              </w:rPr>
            </w:pPr>
            <w:r>
              <w:rPr>
                <w:rFonts w:ascii="Arial" w:cs="Arial" w:eastAsia="Arial" w:hAnsi="Arial"/>
                <w:sz w:val="14"/>
                <w:szCs w:val="14"/>
                <w:b w:val="1"/>
                <w:bCs w:val="1"/>
                <w:color w:val="auto"/>
                <w:w w:val="91"/>
              </w:rPr>
              <w:t>currency</w:t>
            </w:r>
          </w:p>
        </w:tc>
        <w:tc>
          <w:tcPr>
            <w:tcW w:w="0" w:type="dxa"/>
            <w:vAlign w:val="bottom"/>
          </w:tcPr>
          <w:p>
            <w:pPr>
              <w:spacing w:after="0"/>
              <w:rPr>
                <w:sz w:val="1"/>
                <w:szCs w:val="1"/>
                <w:color w:val="auto"/>
              </w:rPr>
            </w:pPr>
          </w:p>
        </w:tc>
      </w:tr>
      <w:tr>
        <w:trPr>
          <w:trHeight w:val="189"/>
        </w:trPr>
        <w:tc>
          <w:tcPr>
            <w:tcW w:w="1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left="82"/>
              <w:spacing w:after="0"/>
              <w:rPr>
                <w:sz w:val="20"/>
                <w:szCs w:val="20"/>
                <w:color w:val="auto"/>
              </w:rPr>
            </w:pPr>
            <w:r>
              <w:rPr>
                <w:rFonts w:ascii="Arial" w:cs="Arial" w:eastAsia="Arial" w:hAnsi="Arial"/>
                <w:sz w:val="14"/>
                <w:szCs w:val="14"/>
                <w:b w:val="1"/>
                <w:bCs w:val="1"/>
                <w:color w:val="auto"/>
                <w:w w:val="97"/>
              </w:rPr>
              <w:t>Growth</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impact</w:t>
            </w:r>
          </w:p>
        </w:tc>
        <w:tc>
          <w:tcPr>
            <w:tcW w:w="84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growth</w:t>
            </w:r>
            <w:r>
              <w:rPr>
                <w:rFonts w:ascii="Arial" w:cs="Arial" w:eastAsia="Arial" w:hAnsi="Arial"/>
                <w:sz w:val="18"/>
                <w:szCs w:val="18"/>
                <w:b w:val="1"/>
                <w:bCs w:val="1"/>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Growth</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740" w:type="dxa"/>
            <w:vAlign w:val="bottom"/>
          </w:tcPr>
          <w:p>
            <w:pPr>
              <w:jc w:val="right"/>
              <w:ind w:right="97"/>
              <w:spacing w:after="0" w:line="189" w:lineRule="exact"/>
              <w:rPr>
                <w:sz w:val="20"/>
                <w:szCs w:val="20"/>
                <w:color w:val="auto"/>
              </w:rPr>
            </w:pPr>
            <w:r>
              <w:rPr>
                <w:rFonts w:ascii="Arial" w:cs="Arial" w:eastAsia="Arial" w:hAnsi="Arial"/>
                <w:sz w:val="14"/>
                <w:szCs w:val="14"/>
                <w:b w:val="1"/>
                <w:bCs w:val="1"/>
                <w:color w:val="auto"/>
                <w:w w:val="87"/>
              </w:rPr>
              <w:t>growth</w:t>
            </w:r>
            <w:r>
              <w:rPr>
                <w:rFonts w:ascii="Arial" w:cs="Arial" w:eastAsia="Arial" w:hAnsi="Arial"/>
                <w:sz w:val="18"/>
                <w:szCs w:val="18"/>
                <w:b w:val="1"/>
                <w:bCs w:val="1"/>
                <w:color w:val="auto"/>
                <w:w w:val="87"/>
                <w:vertAlign w:val="superscript"/>
              </w:rPr>
              <w:t>(1)</w:t>
            </w:r>
          </w:p>
        </w:tc>
        <w:tc>
          <w:tcPr>
            <w:tcW w:w="0" w:type="dxa"/>
            <w:vAlign w:val="bottom"/>
          </w:tcPr>
          <w:p>
            <w:pPr>
              <w:spacing w:after="0"/>
              <w:rPr>
                <w:sz w:val="1"/>
                <w:szCs w:val="1"/>
                <w:color w:val="auto"/>
              </w:rPr>
            </w:pPr>
          </w:p>
        </w:tc>
      </w:tr>
      <w:tr>
        <w:trPr>
          <w:trHeight w:val="223"/>
        </w:trPr>
        <w:tc>
          <w:tcPr>
            <w:tcW w:w="1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Plasma</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332,236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458,681</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426,650</w:t>
            </w:r>
          </w:p>
        </w:tc>
        <w:tc>
          <w:tcPr>
            <w:tcW w:w="100" w:type="dxa"/>
            <w:vAlign w:val="bottom"/>
          </w:tcPr>
          <w:p>
            <w:pPr>
              <w:spacing w:after="0"/>
              <w:rPr>
                <w:sz w:val="19"/>
                <w:szCs w:val="19"/>
                <w:color w:val="auto"/>
              </w:rPr>
            </w:pPr>
          </w:p>
        </w:tc>
        <w:tc>
          <w:tcPr>
            <w:tcW w:w="760" w:type="dxa"/>
            <w:vAlign w:val="bottom"/>
            <w:tcBorders>
              <w:top w:val="single" w:sz="8" w:color="auto"/>
            </w:tcBorders>
          </w:tcPr>
          <w:p>
            <w:pPr>
              <w:jc w:val="center"/>
              <w:ind w:left="82"/>
              <w:spacing w:after="0"/>
              <w:rPr>
                <w:sz w:val="20"/>
                <w:szCs w:val="20"/>
                <w:color w:val="auto"/>
              </w:rPr>
            </w:pPr>
            <w:r>
              <w:rPr>
                <w:rFonts w:ascii="Arial" w:cs="Arial" w:eastAsia="Arial" w:hAnsi="Arial"/>
                <w:sz w:val="18"/>
                <w:szCs w:val="18"/>
                <w:color w:val="auto"/>
                <w:w w:val="95"/>
              </w:rPr>
              <w:t>(27.6)%</w:t>
            </w: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center"/>
              <w:ind w:right="77"/>
              <w:spacing w:after="0"/>
              <w:rPr>
                <w:sz w:val="20"/>
                <w:szCs w:val="20"/>
                <w:color w:val="auto"/>
              </w:rPr>
            </w:pPr>
            <w:r>
              <w:rPr>
                <w:rFonts w:ascii="Arial" w:cs="Arial" w:eastAsia="Arial" w:hAnsi="Arial"/>
                <w:sz w:val="18"/>
                <w:szCs w:val="18"/>
                <w:color w:val="auto"/>
                <w:w w:val="91"/>
              </w:rPr>
              <w:t>(27.6)%</w:t>
            </w:r>
          </w:p>
        </w:tc>
        <w:tc>
          <w:tcPr>
            <w:tcW w:w="100" w:type="dxa"/>
            <w:vAlign w:val="bottom"/>
          </w:tcPr>
          <w:p>
            <w:pPr>
              <w:spacing w:after="0"/>
              <w:rPr>
                <w:sz w:val="19"/>
                <w:szCs w:val="19"/>
                <w:color w:val="auto"/>
              </w:rPr>
            </w:pPr>
          </w:p>
        </w:tc>
        <w:tc>
          <w:tcPr>
            <w:tcW w:w="7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77"/>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Blood Center</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329,727</w:t>
            </w:r>
          </w:p>
        </w:tc>
        <w:tc>
          <w:tcPr>
            <w:tcW w:w="8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(3.2)%</w:t>
            </w:r>
          </w:p>
        </w:tc>
        <w:tc>
          <w:tcPr>
            <w:tcW w:w="1160" w:type="dxa"/>
            <w:vAlign w:val="bottom"/>
            <w:gridSpan w:val="3"/>
            <w:shd w:val="clear" w:color="auto" w:fill="CCEEFF"/>
          </w:tcPr>
          <w:p>
            <w:pPr>
              <w:jc w:val="center"/>
              <w:ind w:left="174"/>
              <w:spacing w:after="0"/>
              <w:rPr>
                <w:sz w:val="20"/>
                <w:szCs w:val="20"/>
                <w:color w:val="auto"/>
              </w:rPr>
            </w:pPr>
            <w:r>
              <w:rPr>
                <w:rFonts w:ascii="Arial" w:cs="Arial" w:eastAsia="Arial" w:hAnsi="Arial"/>
                <w:sz w:val="18"/>
                <w:szCs w:val="18"/>
                <w:color w:val="auto"/>
                <w:w w:val="92"/>
              </w:rPr>
              <w:t>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77"/>
              <w:spacing w:after="0"/>
              <w:rPr>
                <w:sz w:val="20"/>
                <w:szCs w:val="20"/>
                <w:color w:val="auto"/>
              </w:rPr>
            </w:pPr>
            <w:r>
              <w:rPr>
                <w:rFonts w:ascii="Arial" w:cs="Arial" w:eastAsia="Arial" w:hAnsi="Arial"/>
                <w:sz w:val="18"/>
                <w:szCs w:val="18"/>
                <w:color w:val="auto"/>
                <w:w w:val="94"/>
              </w:rPr>
              <w:t>(5.6)%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180" w:type="dxa"/>
            <w:vAlign w:val="bottom"/>
            <w:gridSpan w:val="3"/>
            <w:shd w:val="clear" w:color="auto" w:fill="CCEEFF"/>
          </w:tcPr>
          <w:p>
            <w:pPr>
              <w:jc w:val="center"/>
              <w:ind w:left="174"/>
              <w:spacing w:after="0"/>
              <w:rPr>
                <w:sz w:val="20"/>
                <w:szCs w:val="20"/>
                <w:color w:val="auto"/>
              </w:rPr>
            </w:pPr>
            <w:r>
              <w:rPr>
                <w:rFonts w:ascii="Arial" w:cs="Arial" w:eastAsia="Arial" w:hAnsi="Arial"/>
                <w:sz w:val="18"/>
                <w:szCs w:val="18"/>
                <w:color w:val="auto"/>
                <w:w w:val="90"/>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8"/>
              </w:rPr>
              <w:t>(2.9)%</w:t>
            </w: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Hospital</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210,632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193,437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192,270</w:t>
            </w:r>
          </w:p>
        </w:tc>
        <w:tc>
          <w:tcPr>
            <w:tcW w:w="86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8.9%</w:t>
            </w:r>
          </w:p>
        </w:tc>
        <w:tc>
          <w:tcPr>
            <w:tcW w:w="1160" w:type="dxa"/>
            <w:vAlign w:val="bottom"/>
            <w:gridSpan w:val="3"/>
          </w:tcPr>
          <w:p>
            <w:pPr>
              <w:jc w:val="center"/>
              <w:ind w:left="174"/>
              <w:spacing w:after="0"/>
              <w:rPr>
                <w:sz w:val="20"/>
                <w:szCs w:val="20"/>
                <w:color w:val="auto"/>
              </w:rPr>
            </w:pPr>
            <w:r>
              <w:rPr>
                <w:rFonts w:ascii="Arial" w:cs="Arial" w:eastAsia="Arial" w:hAnsi="Arial"/>
                <w:sz w:val="18"/>
                <w:szCs w:val="18"/>
                <w:color w:val="auto"/>
                <w:w w:val="92"/>
              </w:rPr>
              <w:t>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center"/>
              <w:ind w:right="77"/>
              <w:spacing w:after="0"/>
              <w:rPr>
                <w:sz w:val="20"/>
                <w:szCs w:val="20"/>
                <w:color w:val="auto"/>
              </w:rPr>
            </w:pPr>
            <w:r>
              <w:rPr>
                <w:rFonts w:ascii="Arial" w:cs="Arial" w:eastAsia="Arial" w:hAnsi="Arial"/>
                <w:sz w:val="18"/>
                <w:szCs w:val="18"/>
                <w:color w:val="auto"/>
                <w:w w:val="92"/>
              </w:rPr>
              <w:t>8.2%</w:t>
            </w:r>
          </w:p>
        </w:tc>
        <w:tc>
          <w:tcPr>
            <w:tcW w:w="100" w:type="dxa"/>
            <w:vAlign w:val="bottom"/>
          </w:tcPr>
          <w:p>
            <w:pPr>
              <w:spacing w:after="0"/>
              <w:rPr>
                <w:sz w:val="19"/>
                <w:szCs w:val="19"/>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0.6%</w:t>
            </w:r>
          </w:p>
        </w:tc>
        <w:tc>
          <w:tcPr>
            <w:tcW w:w="1180" w:type="dxa"/>
            <w:vAlign w:val="bottom"/>
            <w:gridSpan w:val="3"/>
          </w:tcPr>
          <w:p>
            <w:pPr>
              <w:jc w:val="center"/>
              <w:ind w:left="174"/>
              <w:spacing w:after="0"/>
              <w:rPr>
                <w:sz w:val="20"/>
                <w:szCs w:val="20"/>
                <w:color w:val="auto"/>
              </w:rPr>
            </w:pPr>
            <w:r>
              <w:rPr>
                <w:rFonts w:ascii="Arial" w:cs="Arial" w:eastAsia="Arial" w:hAnsi="Arial"/>
                <w:sz w:val="18"/>
                <w:szCs w:val="18"/>
                <w:color w:val="auto"/>
                <w:w w:val="90"/>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77"/>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18,932</w:t>
            </w:r>
          </w:p>
        </w:tc>
        <w:tc>
          <w:tcPr>
            <w:tcW w:w="8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7"/>
              </w:rPr>
              <w:t>8.3%</w:t>
            </w:r>
          </w:p>
        </w:tc>
        <w:tc>
          <w:tcPr>
            <w:tcW w:w="1160" w:type="dxa"/>
            <w:vAlign w:val="bottom"/>
            <w:gridSpan w:val="3"/>
            <w:shd w:val="clear" w:color="auto" w:fill="CCEEFF"/>
          </w:tcPr>
          <w:p>
            <w:pPr>
              <w:jc w:val="center"/>
              <w:ind w:left="174"/>
              <w:spacing w:after="0"/>
              <w:rPr>
                <w:sz w:val="20"/>
                <w:szCs w:val="20"/>
                <w:color w:val="auto"/>
              </w:rPr>
            </w:pPr>
            <w:r>
              <w:rPr>
                <w:rFonts w:ascii="Arial" w:cs="Arial" w:eastAsia="Arial" w:hAnsi="Arial"/>
                <w:sz w:val="18"/>
                <w:szCs w:val="18"/>
                <w:color w:val="auto"/>
                <w:w w:val="92"/>
              </w:rPr>
              <w:t>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77"/>
              <w:spacing w:after="0"/>
              <w:rPr>
                <w:sz w:val="20"/>
                <w:szCs w:val="20"/>
                <w:color w:val="auto"/>
              </w:rPr>
            </w:pPr>
            <w:r>
              <w:rPr>
                <w:rFonts w:ascii="Arial" w:cs="Arial" w:eastAsia="Arial" w:hAnsi="Arial"/>
                <w:sz w:val="18"/>
                <w:szCs w:val="18"/>
                <w:color w:val="auto"/>
                <w:w w:val="92"/>
              </w:rPr>
              <w:t>4.7%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180" w:type="dxa"/>
            <w:vAlign w:val="bottom"/>
            <w:gridSpan w:val="3"/>
            <w:shd w:val="clear" w:color="auto" w:fill="CCEEFF"/>
          </w:tcPr>
          <w:p>
            <w:pPr>
              <w:jc w:val="center"/>
              <w:ind w:left="174"/>
              <w:spacing w:after="0"/>
              <w:rPr>
                <w:sz w:val="20"/>
                <w:szCs w:val="20"/>
                <w:color w:val="auto"/>
              </w:rPr>
            </w:pPr>
            <w:r>
              <w:rPr>
                <w:rFonts w:ascii="Arial" w:cs="Arial" w:eastAsia="Arial" w:hAnsi="Arial"/>
                <w:sz w:val="18"/>
                <w:szCs w:val="18"/>
                <w:color w:val="auto"/>
                <w:w w:val="90"/>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8"/>
              </w:rPr>
              <w:t>(0.4)%</w:t>
            </w:r>
          </w:p>
        </w:tc>
        <w:tc>
          <w:tcPr>
            <w:tcW w:w="0" w:type="dxa"/>
            <w:vAlign w:val="bottom"/>
          </w:tcPr>
          <w:p>
            <w:pPr>
              <w:spacing w:after="0"/>
              <w:rPr>
                <w:sz w:val="1"/>
                <w:szCs w:val="1"/>
                <w:color w:val="auto"/>
              </w:rPr>
            </w:pPr>
          </w:p>
        </w:tc>
      </w:tr>
      <w:tr>
        <w:trPr>
          <w:trHeight w:val="248"/>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870,463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988,479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967,579</w:t>
            </w:r>
          </w:p>
        </w:tc>
        <w:tc>
          <w:tcPr>
            <w:tcW w:w="8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(11.9)%</w:t>
            </w:r>
          </w:p>
        </w:tc>
        <w:tc>
          <w:tcPr>
            <w:tcW w:w="1160" w:type="dxa"/>
            <w:vAlign w:val="bottom"/>
            <w:gridSpan w:val="3"/>
          </w:tcPr>
          <w:p>
            <w:pPr>
              <w:jc w:val="center"/>
              <w:ind w:left="174"/>
              <w:spacing w:after="0"/>
              <w:rPr>
                <w:sz w:val="20"/>
                <w:szCs w:val="20"/>
                <w:color w:val="auto"/>
              </w:rPr>
            </w:pPr>
            <w:r>
              <w:rPr>
                <w:rFonts w:ascii="Arial" w:cs="Arial" w:eastAsia="Arial" w:hAnsi="Arial"/>
                <w:sz w:val="18"/>
                <w:szCs w:val="18"/>
                <w:color w:val="auto"/>
                <w:w w:val="92"/>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center"/>
              <w:ind w:right="77"/>
              <w:spacing w:after="0"/>
              <w:rPr>
                <w:sz w:val="20"/>
                <w:szCs w:val="20"/>
                <w:color w:val="auto"/>
              </w:rPr>
            </w:pPr>
            <w:r>
              <w:rPr>
                <w:rFonts w:ascii="Arial" w:cs="Arial" w:eastAsia="Arial" w:hAnsi="Arial"/>
                <w:sz w:val="18"/>
                <w:szCs w:val="18"/>
                <w:color w:val="auto"/>
                <w:w w:val="91"/>
              </w:rPr>
              <w:t>(12.9)%</w:t>
            </w:r>
          </w:p>
        </w:tc>
        <w:tc>
          <w:tcPr>
            <w:tcW w:w="10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1180" w:type="dxa"/>
            <w:vAlign w:val="bottom"/>
            <w:gridSpan w:val="3"/>
          </w:tcPr>
          <w:p>
            <w:pPr>
              <w:jc w:val="center"/>
              <w:ind w:left="174"/>
              <w:spacing w:after="0"/>
              <w:rPr>
                <w:sz w:val="20"/>
                <w:szCs w:val="20"/>
                <w:color w:val="auto"/>
              </w:rPr>
            </w:pPr>
            <w:r>
              <w:rPr>
                <w:rFonts w:ascii="Arial" w:cs="Arial" w:eastAsia="Arial" w:hAnsi="Arial"/>
                <w:sz w:val="18"/>
                <w:szCs w:val="18"/>
                <w:color w:val="auto"/>
                <w:w w:val="90"/>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77"/>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-15240</wp:posOffset>
            </wp:positionV>
            <wp:extent cx="20148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14855" cy="8890"/>
                    </a:xfrm>
                    <a:prstGeom prst="rect">
                      <a:avLst/>
                    </a:prstGeom>
                    <a:noFill/>
                  </pic:spPr>
                </pic:pic>
              </a:graphicData>
            </a:graphic>
          </wp:anchor>
        </w:drawing>
      </w:r>
    </w:p>
    <w:p>
      <w:pPr>
        <w:ind w:left="20" w:right="340" w:firstLine="6"/>
        <w:spacing w:after="0"/>
        <w:tabs>
          <w:tab w:leader="none" w:pos="152" w:val="left"/>
        </w:tabs>
        <w:numPr>
          <w:ilvl w:val="0"/>
          <w:numId w:val="18"/>
        </w:numPr>
        <w:rPr>
          <w:rFonts w:ascii="Arial" w:cs="Arial" w:eastAsia="Arial" w:hAnsi="Arial"/>
          <w:sz w:val="15"/>
          <w:szCs w:val="15"/>
          <w:color w:val="auto"/>
          <w:vertAlign w:val="superscript"/>
        </w:rPr>
      </w:pPr>
      <w:r>
        <w:rPr>
          <w:rFonts w:ascii="Arial" w:cs="Arial" w:eastAsia="Arial" w:hAnsi="Arial"/>
          <w:sz w:val="11"/>
          <w:szCs w:val="11"/>
          <w:color w:val="auto"/>
        </w:rPr>
        <w:t xml:space="preserve">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w:t>
      </w:r>
      <w:r>
        <w:rPr>
          <w:rFonts w:ascii="Arial" w:cs="Arial" w:eastAsia="Arial" w:hAnsi="Arial"/>
          <w:sz w:val="11"/>
          <w:szCs w:val="11"/>
          <w:color w:val="auto"/>
        </w:rPr>
        <w:t xml:space="preserve"> </w:t>
      </w:r>
      <w:r>
        <w:rPr>
          <w:rFonts w:ascii="Arial" w:cs="Arial" w:eastAsia="Arial" w:hAnsi="Arial"/>
          <w:sz w:val="11"/>
          <w:szCs w:val="11"/>
          <w:i w:val="1"/>
          <w:iCs w:val="1"/>
          <w:color w:val="auto"/>
        </w:rPr>
        <w:t>of Non-GAAP Measures.”</w:t>
      </w:r>
    </w:p>
    <w:p>
      <w:pPr>
        <w:spacing w:after="0" w:line="148" w:lineRule="exact"/>
        <w:rPr>
          <w:rFonts w:ascii="Arial" w:cs="Arial" w:eastAsia="Arial" w:hAnsi="Arial"/>
          <w:sz w:val="15"/>
          <w:szCs w:val="15"/>
          <w:color w:val="auto"/>
          <w:vertAlign w:val="superscript"/>
        </w:rPr>
      </w:pPr>
    </w:p>
    <w:p>
      <w:pPr>
        <w:ind w:left="20" w:right="480" w:firstLine="6"/>
        <w:spacing w:after="0" w:line="218" w:lineRule="auto"/>
        <w:tabs>
          <w:tab w:leader="none" w:pos="165"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Hospital revenue includes Hemostasis Management revenue of $107.4 million, $95.7 million and $85.7 million for fiscal years 2021, 2020 and 2019, respectively. Hemostasis Management revenue increased 12.2% during fiscal 2021 as compared with fiscal 2020. Without the effect of foreign exchange, Hemostasis Management revenue increased 12.8% during fiscal 2021 as compared with fiscal 2020. Hemostasis Management revenue increased 11.7% during fiscal 2020 as compared with fiscal 2019. Without the effect of foreign exchange, Hemostasis Management revenue increased 13.5% during fiscal 2020 as compared with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-564515</wp:posOffset>
            </wp:positionV>
            <wp:extent cx="20148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w:t>
      </w:r>
    </w:p>
    <w:p>
      <w:pPr>
        <w:spacing w:after="0" w:line="25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Plasma revenue decreased 27.6% during fiscal 2021 as compared with fiscal 2020. There was no foreign exchange impact on Plasma revenue during fiscal 2021. This revenue decrease was primarily driven by a decline in the volume of plasma disposables, primarily in the U.S., due to the COVID-19 pandemic and declines in plasma liquid solutions as a result of certain strategic exits within our liquid solutions business. Declines in software revenue due to a one-time favorable impact in the prior year period also contributed to the decrease.</w:t>
      </w:r>
    </w:p>
    <w:p>
      <w:pPr>
        <w:spacing w:after="0" w:line="21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continue experiencing the negative impact of COVID-19 on our business. While the timing of plasma collection recovery remains uncertain, we believe the impacts of the pandemic on plasma collection are temporary and anticipate volumes to recover by the end of fiscal 2022. We remain confident in the strength of the plasma end market growth as the long-term global demand for plasma-derived pharmaceuticals is expected to continue.</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early April 2021, CSL informed us of its intent not to renew its supply agreement for the use of PCS2 plasma collection system devices and the purchase of disposable plasmapheresis kits following the expiration of the current term of the Supply Agreement in June 2022. In fiscal 2021, revenue under this Supply Agreement was $88.6 million.</w:t>
      </w:r>
    </w:p>
    <w:p>
      <w:pPr>
        <w:spacing w:after="0" w:line="21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Plasma revenue increased 7.5% during fiscal 2020 as compared with fiscal 2019. Without the effect of foreign exchange, Plasma revenue increased 7.9% during fiscal 2020. This revenue growth was primarily driven by an increase in volume of plasma disposables due to continued strong performance in the U.S., favorable NexSys PCS pricing and increases in sales of software. This increase was partially offset by declines in plasma liquid solutions during fiscal 2020 due to certain strategic exits within our plasma liquid solutions business, including the divestiture of our Union, South Carolina facility during fiscal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w:t>
      </w:r>
    </w:p>
    <w:p>
      <w:pPr>
        <w:spacing w:after="0" w:line="25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Blood Center revenue decreased 3.2% during fiscal 2021 as compared with fiscal 2020. Without the effect of foreign exchange, Blood Center revenue decreased 5.6% during fiscal 2021 primarily due to continued declines in whole blood disposables and the divestiture of certain blood donor management software solution assets. These declines were partially offset by increases in apheresis revenue, despite certain customers' conversions to alternative sources of supply, due to the impact distributor stocking orders in the first quarter and the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week in fiscal 2021. The impact of the loss of this apheresis business is an incremental revenue decline of approximately $17.0 million in fiscal 2021 as compared with fiscal 2020.</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not yet experienced the reversal of the large stocking orders made by distributors and blood collectors during the first quarter of fiscal 2021 in response to the COVID-19 pandemic, but we may experience a reversal in future periods.</w:t>
      </w:r>
    </w:p>
    <w:p>
      <w:pPr>
        <w:spacing w:after="0" w:line="19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Blood Center revenue decreased 3.6% during fiscal 2020 as compared with fiscal 2019. Without the effect of foreign exchange, Blood Center revenue decreased 2.9% during fiscal 2020. This decrease was primarily driven by declines in whole blood disposables and software revenue. Apheresis also contributed to the overall decline as certain customers converted to alternative sources of supply.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Hospital revenue increased 8.9% during fiscal 2021 as compared with fiscal 2020 despite the negative impact of COVID-19, primarily in China and the U.S, early in the fiscal year. Without the effect of foreign exchange, Hospital revenue increased 8.2% during fiscal 2021. This increase was primarily attributable to a recent acquisition, TEG</w:t>
      </w:r>
      <w:r>
        <w:rPr>
          <w:rFonts w:ascii="Arial" w:cs="Arial" w:eastAsia="Arial" w:hAnsi="Arial"/>
          <w:sz w:val="8"/>
          <w:szCs w:val="8"/>
          <w:color w:val="auto"/>
        </w:rPr>
        <w:t>®</w:t>
      </w:r>
      <w:r>
        <w:rPr>
          <w:rFonts w:ascii="Arial" w:cs="Arial" w:eastAsia="Arial" w:hAnsi="Arial"/>
          <w:sz w:val="17"/>
          <w:szCs w:val="17"/>
          <w:color w:val="auto"/>
        </w:rPr>
        <w:t xml:space="preserve"> disposable revenue in the U.S. and equipment sales in Europe. The increases were partially offset by declines in Cell Salvage revenue and the divestiture of certain blood bank and hospital software solution assets. We believe that the demand for our hospital products is inherently strong and that procedure volumes will continue to improve with a return to normal levels in during fiscal 2022.</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Hospital revenue increased 0.6% during fiscal 2020 as compared with fiscal 2019. Without the effect of foreign exchange, Hospital revenue increased</w:t>
      </w:r>
    </w:p>
    <w:p>
      <w:pPr>
        <w:spacing w:after="0" w:line="35"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2.0% during fiscal 2020. This increase was primarily attributable to the growth of disposables associated with TEG diagnostic systems, principally in the 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19"/>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2"/>
                <w:szCs w:val="12"/>
                <w:color w:val="auto"/>
              </w:rPr>
            </w:pPr>
          </w:p>
        </w:tc>
        <w:tc>
          <w:tcPr>
            <w:tcW w:w="110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120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106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5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4"/>
              </w:rPr>
              <w:t>% Increase/(Decrease)</w:t>
            </w:r>
          </w:p>
        </w:tc>
        <w:tc>
          <w:tcPr>
            <w:tcW w:w="14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 Increase/(Decrease)</w:t>
            </w:r>
          </w:p>
        </w:tc>
        <w:tc>
          <w:tcPr>
            <w:tcW w:w="0" w:type="dxa"/>
            <w:vAlign w:val="bottom"/>
          </w:tcPr>
          <w:p>
            <w:pPr>
              <w:spacing w:after="0"/>
              <w:rPr>
                <w:sz w:val="1"/>
                <w:szCs w:val="1"/>
                <w:color w:val="auto"/>
              </w:rPr>
            </w:pPr>
          </w:p>
        </w:tc>
      </w:tr>
      <w:tr>
        <w:trPr>
          <w:trHeight w:val="188"/>
        </w:trPr>
        <w:tc>
          <w:tcPr>
            <w:tcW w:w="37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21 vs. 20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20 vs. 19</w:t>
            </w:r>
          </w:p>
        </w:tc>
        <w:tc>
          <w:tcPr>
            <w:tcW w:w="0" w:type="dxa"/>
            <w:vAlign w:val="bottom"/>
          </w:tcPr>
          <w:p>
            <w:pPr>
              <w:spacing w:after="0"/>
              <w:rPr>
                <w:sz w:val="1"/>
                <w:szCs w:val="1"/>
                <w:color w:val="auto"/>
              </w:rPr>
            </w:pPr>
          </w:p>
        </w:tc>
      </w:tr>
      <w:tr>
        <w:trPr>
          <w:trHeight w:val="224"/>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397,838</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484,513</w:t>
            </w:r>
          </w:p>
        </w:tc>
        <w:tc>
          <w:tcPr>
            <w:tcW w:w="3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417,536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(17.9)%</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16.0 %</w:t>
            </w: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45.7 %</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49.0 %</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43.2 %</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Gross profit decreased 17.9% during fiscal 2021 as compared with fiscal 2020. Without the effects of foreign exchange, gross profit decreased 19.6% during fiscal 2021. The decrease in the gross profit margin during fiscal 2021 was primarily due to unfavorable volumes and product mix, asset impairments, higher operational costs from the impact of the COVID-19 pandemic, recent divestitures and the amortization of the fair value inventory step-up related to the acquisition of Cardiva. The decline was partially offset by lower depreciation expense and productivity savings from the 2020 Program, the 53rd week in fiscal 2021 and recent acquisitions.</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profit increased 16.0% during fiscal 2020 as compared with fiscal 2019. Without the effects of foreign exchange, gross profit increased 17.1% during fiscal 2020. The increase in the gross profit margin during fiscal 2020 was primarily due to favorable pricing driven by the annualization of NexSys PCS device conversions, incremental savings from both the 2020 Program and the complexity reduction initiative, product mix, and the absence of impairment charges that were incurred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13"/>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2"/>
                <w:szCs w:val="12"/>
                <w:color w:val="auto"/>
              </w:rPr>
            </w:pPr>
          </w:p>
        </w:tc>
        <w:tc>
          <w:tcPr>
            <w:tcW w:w="110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12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106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5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4"/>
              </w:rPr>
              <w:t>% Increase/(Decrease)</w:t>
            </w:r>
          </w:p>
        </w:tc>
        <w:tc>
          <w:tcPr>
            <w:tcW w:w="14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2"/>
              </w:rPr>
              <w:t>% Increase/(Decrease)</w:t>
            </w:r>
          </w:p>
        </w:tc>
        <w:tc>
          <w:tcPr>
            <w:tcW w:w="0" w:type="dxa"/>
            <w:vAlign w:val="bottom"/>
          </w:tcPr>
          <w:p>
            <w:pPr>
              <w:spacing w:after="0"/>
              <w:rPr>
                <w:sz w:val="1"/>
                <w:szCs w:val="1"/>
                <w:color w:val="auto"/>
              </w:rPr>
            </w:pPr>
          </w:p>
        </w:tc>
      </w:tr>
      <w:tr>
        <w:trPr>
          <w:trHeight w:val="188"/>
        </w:trPr>
        <w:tc>
          <w:tcPr>
            <w:tcW w:w="37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21 vs. 20</w:t>
            </w:r>
          </w:p>
        </w:tc>
        <w:tc>
          <w:tcPr>
            <w:tcW w:w="1480" w:type="dxa"/>
            <w:vAlign w:val="bottom"/>
          </w:tcPr>
          <w:p>
            <w:pPr>
              <w:jc w:val="right"/>
              <w:ind w:right="395"/>
              <w:spacing w:after="0"/>
              <w:rPr>
                <w:sz w:val="20"/>
                <w:szCs w:val="20"/>
                <w:color w:val="auto"/>
              </w:rPr>
            </w:pPr>
            <w:r>
              <w:rPr>
                <w:rFonts w:ascii="Arial" w:cs="Arial" w:eastAsia="Arial" w:hAnsi="Arial"/>
                <w:sz w:val="14"/>
                <w:szCs w:val="14"/>
                <w:b w:val="1"/>
                <w:bCs w:val="1"/>
                <w:color w:val="auto"/>
              </w:rPr>
              <w:t>20 vs. 19</w:t>
            </w:r>
          </w:p>
        </w:tc>
        <w:tc>
          <w:tcPr>
            <w:tcW w:w="0" w:type="dxa"/>
            <w:vAlign w:val="bottom"/>
          </w:tcPr>
          <w:p>
            <w:pPr>
              <w:spacing w:after="0"/>
              <w:rPr>
                <w:sz w:val="1"/>
                <w:szCs w:val="1"/>
                <w:color w:val="auto"/>
              </w:rPr>
            </w:pPr>
          </w:p>
        </w:tc>
      </w:tr>
      <w:tr>
        <w:trPr>
          <w:trHeight w:val="224"/>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32,857</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30,883</w:t>
            </w:r>
          </w:p>
        </w:tc>
        <w:tc>
          <w:tcPr>
            <w:tcW w:w="3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35,714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(13.5)%</w:t>
            </w: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3.8 %</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3.1 %</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3.7 %</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274,188</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282,017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273,474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3.1 %</w:t>
            </w: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31.5 %</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28.5 %</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28.3 %</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32,830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25,746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24,803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27.5 %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3.8 %</w:t>
            </w: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3.8 %</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2.6 %</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2.6 %</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1,028</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50,599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(98.0)%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0.1 %</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5.1 %</w:t>
            </w:r>
          </w:p>
        </w:tc>
        <w:tc>
          <w:tcPr>
            <w:tcW w:w="380" w:type="dxa"/>
            <w:vAlign w:val="bottom"/>
          </w:tcPr>
          <w:p>
            <w:pPr>
              <w:spacing w:after="0"/>
              <w:rPr>
                <w:sz w:val="19"/>
                <w:szCs w:val="19"/>
                <w:color w:val="auto"/>
              </w:rPr>
            </w:pPr>
          </w:p>
        </w:tc>
        <w:tc>
          <w:tcPr>
            <w:tcW w:w="1160" w:type="dxa"/>
            <w:vAlign w:val="bottom"/>
            <w:gridSpan w:val="2"/>
          </w:tcPr>
          <w:p>
            <w:pPr>
              <w:ind w:left="680"/>
              <w:spacing w:after="0"/>
              <w:rPr>
                <w:sz w:val="20"/>
                <w:szCs w:val="20"/>
                <w:color w:val="auto"/>
              </w:rPr>
            </w:pPr>
            <w:r>
              <w:rPr>
                <w:rFonts w:ascii="Arial" w:cs="Arial" w:eastAsia="Arial" w:hAnsi="Arial"/>
                <w:sz w:val="18"/>
                <w:szCs w:val="18"/>
                <w:i w:val="1"/>
                <w:iCs w:val="1"/>
                <w:color w:val="auto"/>
              </w:rPr>
              <w:t>— %</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on divestitures and sale of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(32,812)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(8,083)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8"/>
                <w:szCs w:val="18"/>
                <w:i w:val="1"/>
                <w:iCs w:val="1"/>
                <w:color w:val="auto"/>
              </w:rPr>
              <w:t>n/m</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(3.8)%</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(0.8)%</w:t>
            </w:r>
          </w:p>
        </w:tc>
        <w:tc>
          <w:tcPr>
            <w:tcW w:w="380" w:type="dxa"/>
            <w:vAlign w:val="bottom"/>
          </w:tcPr>
          <w:p>
            <w:pPr>
              <w:spacing w:after="0"/>
              <w:rPr>
                <w:sz w:val="19"/>
                <w:szCs w:val="19"/>
                <w:color w:val="auto"/>
              </w:rPr>
            </w:pPr>
          </w:p>
        </w:tc>
        <w:tc>
          <w:tcPr>
            <w:tcW w:w="1160" w:type="dxa"/>
            <w:vAlign w:val="bottom"/>
            <w:gridSpan w:val="2"/>
          </w:tcPr>
          <w:p>
            <w:pPr>
              <w:ind w:left="680"/>
              <w:spacing w:after="0"/>
              <w:rPr>
                <w:sz w:val="20"/>
                <w:szCs w:val="20"/>
                <w:color w:val="auto"/>
              </w:rPr>
            </w:pPr>
            <w:r>
              <w:rPr>
                <w:rFonts w:ascii="Arial" w:cs="Arial" w:eastAsia="Arial" w:hAnsi="Arial"/>
                <w:sz w:val="18"/>
                <w:szCs w:val="18"/>
                <w:i w:val="1"/>
                <w:iCs w:val="1"/>
                <w:color w:val="auto"/>
              </w:rPr>
              <w:t>— %</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308,091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381,162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333,991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14.1 %</w:t>
            </w: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35.4 %</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38.6 %</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34.5 %</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expenses increased 6.4% during fiscal 2021 as compared with fiscal 2020. Without the effects of foreign exchange, research and development expenses increased 6.1% during fiscal 2021. The increase in fiscal 2021 was primarily due to increased spend related to European Medical Device Regulation costs, recent acquisitions and continued investments in our Plasma and Hospital Business units. The increases were partially offset by cost savings primarily related to the 2020 Program.</w:t>
      </w:r>
    </w:p>
    <w:p>
      <w:pPr>
        <w:spacing w:after="0" w:line="21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Research and development expenses decreased 13.5% during fiscal 2020 as compared with fiscal 2019. Without the effects of foreign exchange, research and development expenses decreased 13.4% during fiscal 2020. The decrease in fiscal 2020 was primarily driven by investments made in clinical programs in the prior year period in order to support FDA clearance for the use of TEG 6s in adult trauma settings, which was received in May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Selling, general and administrative expenses decreased 2.8% during fiscal 2021 as compared with fiscal 2020. Without the effects of foreign exchange, selling, general and administrative expenses decreased 3.5% during fiscal 2021. The decrease in fiscal 2021 was primarily due to cost containment actions taken to offset the negative effects related to the COVID-19 pandemic, incremental productivity savings from the 2020 Program and a reduction in restructuring and turnaround costs.</w:t>
      </w:r>
    </w:p>
    <w:p>
      <w:pPr>
        <w:spacing w:after="0" w:line="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The decrease was partially offset by higher transaction and integration costs, increased deal amortization expense as a result of recent acquisitions and higher share-based and variable compensation expense.</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increased 3.1% during fiscal 2020 as compared with fiscal 2019. Without the effects of foreign exchange, selling, general and administrative expenses increased 4.1% during fiscal 2020. The increase in fiscal 2020 was primarily due to an increase in investments, share-based compensation expense, restructuring and turnaround costs and PCS2 related costs. This increase was partially offset by incremental savings from both the 2020 Program and the complexity reduction initiative.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recognized amortization expense of $32.8 million and $25.7 million during fiscal 2021 and fiscal 2020, respectively. The increase in fiscal 2021 was primarily driven by an increase in intangible assets resulting from recent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Assets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We recognized impairment charges of $1.0 million during fiscal 2021 in connection with the sale of our Fajardo, Puerto Rico, manufacturing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recognized impairment charges of $50.6 million during fiscal 2020 in connection with the sale of our Union, South Carolina facility. Refer to Note 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Divestitures</w:t>
      </w:r>
      <w:r>
        <w:rPr>
          <w:rFonts w:ascii="Arial" w:cs="Arial" w:eastAsia="Arial" w:hAnsi="Arial"/>
          <w:sz w:val="17"/>
          <w:szCs w:val="17"/>
          <w:color w:val="auto"/>
        </w:rPr>
        <w:t>, to the Consolidated Financial Statements in Item 8 of this Annual Report on Form 10-K for information pertaining to these agreements.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on Divestitures</w:t>
      </w:r>
    </w:p>
    <w:p>
      <w:pPr>
        <w:spacing w:after="0" w:line="2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We recognized gains on divestitures of $32.8 million during fiscal 2021. Refer to Note 5, </w:t>
      </w:r>
      <w:r>
        <w:rPr>
          <w:rFonts w:ascii="Arial" w:cs="Arial" w:eastAsia="Arial" w:hAnsi="Arial"/>
          <w:sz w:val="18"/>
          <w:szCs w:val="18"/>
          <w:i w:val="1"/>
          <w:iCs w:val="1"/>
          <w:color w:val="auto"/>
        </w:rPr>
        <w:t>Divestitures</w:t>
      </w:r>
      <w:r>
        <w:rPr>
          <w:rFonts w:ascii="Arial" w:cs="Arial" w:eastAsia="Arial" w:hAnsi="Arial"/>
          <w:sz w:val="18"/>
          <w:szCs w:val="18"/>
          <w:color w:val="auto"/>
        </w:rPr>
        <w:t>, to the Consolidated Financial Statements in Item 8 of this Annual Report on Form 10-K for information pertaining to these divestitures. We recognized gains of $8.1 million due to the sale of assets associated with our Braintree corporate headquarters during fiscal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56"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color w:val="auto"/>
        </w:rPr>
        <w:t>Interest and other expenses increased 3.9% during fiscal 2021 as compared with fiscal 2020. Without the effects of foreign exchange, interest and other expenses increased 4.8% during fiscal 2021. The increase is primarily driven by realized losses on interest rate swaps due to declining rates, interest and debt issuance costs incurred in connection with short-term financing for the Cardiva acquisition and amortization of the debt discount associated with the 2026 Notes partially offset by a reduction in interest expense from borrowings under our $350.0 million term loan and $350.0 million revolving loan. The effective interest rate on total debt outstanding for the fiscal year ended April 3, 2021 was 1.4%.</w:t>
      </w:r>
    </w:p>
    <w:p>
      <w:pPr>
        <w:spacing w:after="0" w:line="20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Interest and other expenses increased 63.4% during fiscal 2020 as compared with fiscal 2019. Without the effects of foreign exchange, interest and other expenses increased 68.3% during fiscal 2020. The increase was primarily driven by a reduction in capitalized interest, realized losses on interest rate swaps due to declining rates, and an increase in interest expense from borrowings under our $350.0 million term loan and $350.0 million revolving loan. The effective interest rate on total debt outstanding for the fiscal year ended March 28, 2020 was 2.9%.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60" w:type="dxa"/>
            <w:vAlign w:val="bottom"/>
          </w:tcPr>
          <w:p>
            <w:pPr>
              <w:jc w:val="center"/>
              <w:ind w:right="322"/>
              <w:spacing w:after="0"/>
              <w:rPr>
                <w:sz w:val="20"/>
                <w:szCs w:val="20"/>
                <w:color w:val="auto"/>
              </w:rPr>
            </w:pPr>
            <w:r>
              <w:rPr>
                <w:rFonts w:ascii="Arial" w:cs="Arial" w:eastAsia="Arial" w:hAnsi="Arial"/>
                <w:sz w:val="14"/>
                <w:szCs w:val="14"/>
                <w:b w:val="1"/>
                <w:bCs w:val="1"/>
                <w:color w:val="auto"/>
                <w:w w:val="91"/>
              </w:rPr>
              <w:t>Fiscal Year</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12"/>
                <w:szCs w:val="12"/>
                <w:color w:val="auto"/>
              </w:rPr>
            </w:pPr>
          </w:p>
        </w:tc>
        <w:tc>
          <w:tcPr>
            <w:tcW w:w="1560" w:type="dxa"/>
            <w:vAlign w:val="bottom"/>
            <w:vMerge w:val="restart"/>
          </w:tcPr>
          <w:p>
            <w:pPr>
              <w:jc w:val="right"/>
              <w:ind w:right="762"/>
              <w:spacing w:after="0"/>
              <w:rPr>
                <w:sz w:val="20"/>
                <w:szCs w:val="20"/>
                <w:color w:val="auto"/>
              </w:rPr>
            </w:pPr>
            <w:r>
              <w:rPr>
                <w:rFonts w:ascii="Arial" w:cs="Arial" w:eastAsia="Arial" w:hAnsi="Arial"/>
                <w:sz w:val="14"/>
                <w:szCs w:val="14"/>
                <w:b w:val="1"/>
                <w:bCs w:val="1"/>
                <w:color w:val="auto"/>
              </w:rPr>
              <w:t>2020</w:t>
            </w:r>
          </w:p>
        </w:tc>
        <w:tc>
          <w:tcPr>
            <w:tcW w:w="116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5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4"/>
              </w:rPr>
              <w:t>% Increase/(Decrease)</w:t>
            </w:r>
          </w:p>
        </w:tc>
        <w:tc>
          <w:tcPr>
            <w:tcW w:w="14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 Increase/(Decrease)</w:t>
            </w:r>
          </w:p>
        </w:tc>
        <w:tc>
          <w:tcPr>
            <w:tcW w:w="0" w:type="dxa"/>
            <w:vAlign w:val="bottom"/>
          </w:tcPr>
          <w:p>
            <w:pPr>
              <w:spacing w:after="0"/>
              <w:rPr>
                <w:sz w:val="1"/>
                <w:szCs w:val="1"/>
                <w:color w:val="auto"/>
              </w:rPr>
            </w:pPr>
          </w:p>
        </w:tc>
      </w:tr>
      <w:tr>
        <w:trPr>
          <w:trHeight w:val="186"/>
        </w:trPr>
        <w:tc>
          <w:tcPr>
            <w:tcW w:w="458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21 vs. 20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20 vs. 19</w:t>
            </w:r>
          </w:p>
        </w:tc>
        <w:tc>
          <w:tcPr>
            <w:tcW w:w="0" w:type="dxa"/>
            <w:vAlign w:val="bottom"/>
          </w:tcPr>
          <w:p>
            <w:pPr>
              <w:spacing w:after="0"/>
              <w:rPr>
                <w:sz w:val="1"/>
                <w:szCs w:val="1"/>
                <w:color w:val="auto"/>
              </w:rPr>
            </w:pPr>
          </w:p>
        </w:tc>
      </w:tr>
      <w:tr>
        <w:trPr>
          <w:trHeight w:val="227"/>
        </w:trPr>
        <w:tc>
          <w:tcPr>
            <w:tcW w:w="3760" w:type="dxa"/>
            <w:vAlign w:val="bottom"/>
          </w:tcPr>
          <w:p>
            <w:pPr>
              <w:spacing w:after="0"/>
              <w:rPr>
                <w:sz w:val="20"/>
                <w:szCs w:val="20"/>
                <w:color w:val="auto"/>
              </w:rPr>
            </w:pPr>
            <w:r>
              <w:rPr>
                <w:rFonts w:ascii="Arial" w:cs="Arial" w:eastAsia="Arial" w:hAnsi="Arial"/>
                <w:sz w:val="18"/>
                <w:szCs w:val="18"/>
                <w:color w:val="auto"/>
              </w:rPr>
              <w:t>Reported income tax rate</w:t>
            </w:r>
          </w:p>
        </w:tc>
        <w:tc>
          <w:tcPr>
            <w:tcW w:w="8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0"/>
              </w:rPr>
              <w:t>(9.0)%</w:t>
            </w:r>
          </w:p>
        </w:tc>
        <w:tc>
          <w:tcPr>
            <w:tcW w:w="156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12.2 %</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25.3 %</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Reported Tax Rate</w:t>
      </w:r>
    </w:p>
    <w:p>
      <w:pPr>
        <w:spacing w:after="0" w:line="2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U.S. Our reported tax rate is impacted by the jurisdictional mix of earnings in any given period as the foreign jurisdictions in which we operate have tax rates that differ from the U.S. statutory tax rate.</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As of April 3, 2021, we maintain a valuation allowance against certain U.S. state deferred tax assets that are not more-likely-than-not realizable and have a full valuation allowance against the net deferred tax assets of certain foreign subsidiaries.</w:t>
      </w:r>
    </w:p>
    <w:p>
      <w:pPr>
        <w:spacing w:after="0" w:line="21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the year ended April 3, 2021, we recorded an income tax benefit of $6.6 million on our worldwide pre-tax income of $72.9 million, resulting in a reported tax rate of (9.0)%. Our effective tax rate for the year ended April 3, 2021 is lower than our effective tax rates of 12.2% and 25.3% for the years ended March 28, 2020 and March 30, 2019, respectively. The decrease in our tax rate for fiscal 2021, as compared with fiscal 2020, is primarily the result of a deferred tax asset recorded related to the U.S. purchase of intellectual property, a non-recurring tax benefit from the release of a portion of the valuation allowance due to</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taxable temporary differences acquired with the acquisition of Cardiva being available as a source of income to realize certain pre-existing deferred tax assets, favorable changes in the jurisdictional mix of earnings, and a decrease in the global intangible low taxed income inclusion due to legislation enacted during the year, offset by lower tax benefits associated with windfall stock compensation deductions as compared to fiscal 2020. Our decrease in tax rate for fiscal 2020, as compared with fiscal 2019, is primarily the result of tax benefits associated with windfall stock compensation deductions and favorable changes in the jurisdictional mix of earnings partially offset by the impact of changes in valuation allowance, tax reserves and increased nondeductible executive compensation.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Acts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Beginning in fiscal 2019, we incorporated the certain provisions of the Tax Cuts and Jobs Act (the “Act”) in the calculation of the tax provision and effective tax rate, including the provisions related to global intangible low taxed income (“GILTI”), foreign derived intangible income (“FDII”), base erosion anti abuse Tax (“BEAT”), as well as other provisions which limit tax deductibility of expenses. Under the GILTI provisions, U.S. taxes are imposed on foreign income in excess of a deemed return on tangible assets of its foreign subsidiaries. The ability to benefit from a deduction and foreign tax credits against a portion of the GILTI income may be limited under the GILTI rules as a result of the utilization of net operating losses, foreign sourced income, and other potential limitations within the foreign tax credit calculation.</w:t>
      </w:r>
    </w:p>
    <w:p>
      <w:pPr>
        <w:spacing w:after="0" w:line="21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In July 2020, the U.S. Treasury issued final regulations and additional proposed regulations that address the application of the high-taxed exclusion from GILTI. Under these regulations, the Company can make an annual election to exclude from its GILTI calculation, income from its foreign subsidiaries whose effective income tax rate exceeds 18.9% for that year. The regulations must be applied for tax years beginning after July 23, 2020 but companies have the option to apply them retroactively for tax years beginning after December 31, 2017 and before July 23, 2020.</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Coronavirus Aid, Relief and Economic Security Act (the “CARES Act”) was enacted in the United States on March 27, 2020. The CARES Act is an emergency economic stimulus package that includes spending and tax breaks to strengthen the United States economy and fund a nationwide effort to curtail the effect of COVID-19. While the CARES Act provides extensive tax changes in response to the COVID-19 pandemic, the provisions did not have a significant impact on the Company’s financial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4"/>
                <w:szCs w:val="14"/>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137,311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440,051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328,817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ratio</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line="230" w:lineRule="exact"/>
              <w:rPr>
                <w:sz w:val="20"/>
                <w:szCs w:val="20"/>
                <w:color w:val="auto"/>
              </w:rPr>
            </w:pPr>
            <w:r>
              <w:rPr>
                <w:rFonts w:ascii="Arial" w:cs="Arial" w:eastAsia="Arial" w:hAnsi="Arial"/>
                <w:sz w:val="18"/>
                <w:szCs w:val="18"/>
                <w:color w:val="auto"/>
              </w:rPr>
              <w:t>Net debt position</w:t>
            </w:r>
            <w:r>
              <w:rPr>
                <w:rFonts w:ascii="Arial" w:cs="Arial" w:eastAsia="Arial" w:hAnsi="Arial"/>
                <w:sz w:val="23"/>
                <w:szCs w:val="23"/>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(515,303)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(245,182)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Days sales outstanding (DSO)</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Inventory turnover</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0"/>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Net debt position is the sum of cash and cash equivalents less total debt.</w:t>
      </w:r>
    </w:p>
    <w:p>
      <w:pPr>
        <w:spacing w:after="0" w:line="2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our Revolving Credit Facility and proceeds from employee stock option exercises. We believe these sources are sufficient to fund our cash requirements over at least the next twelve months. Our expected cash outlays relate primarily to acquisitions, investments, capital expenditures and the build out of our new manufacturing facility in Clinton, PA, cash payments under the loan agreement and restructuring and turnaround initiatives.</w:t>
      </w:r>
    </w:p>
    <w:p>
      <w:pPr>
        <w:spacing w:after="0" w:line="214"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In March 2021, we issued $500.0 million aggregate principal amount of 0% convertible senior notes due 2026, or the 2026 Notes. The 2026 Notes are governed by the terms of the Indenture between the Company and U.S. Bank National Association, as trustee. The total net proceeds from the sale of the 2026 Notes, after deducting the initial purchasers’ discounts and debt issuance costs, were approximately $486.7 million. The 2026 Notes will mature on March 1, 2026, unless earlier converted, redeemed or repurchased. The 2026 Notes have an effective interest rate of 4.21% as of April 3, 2021.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of April 3, 2021, we had $192.3 million in cash and cash equivalents, the majority of which is held in the U.S. or in countries from which it can be freely repatriated to the U.S. On June 15, 2018, we entered into a five-year credit agreement which provided for a $350.0 million Term Loan and a $350.0 million Revolving Credit Facility, which we refer to together as the Credit Facilities. Interest on the Term Loan and Revolving Credit Facility is established using LIBOR plus 1.13% - 1.75%, depending on our leverage ratio. Under the Credit Facilities, we are required to maintain certain leverage and interest coverage ratios specified in the credit agreement as well as other customary non-financial affirmative and negative covenants. During the fourth quarter of fiscal 2021, the Company entered into an additional $150.0 million term loan under the existing Credit Facilities and borrowed $290.0 million under the Revolving Credit Facility in connection with the acquisition of Cardiva. Both of these borrowings were subsequently paid in full during the same period using the proceeds from the 2026 Notes. In connection with the additional $150 million term loan borrowing, the Company and its lenders also agreed to increase the maximum consolidated leverage ratio the Company is required to maintain for the four consecutive quarters immediately following the closing of the Cardiva acquisition to 4.25:1.0, after which the maximum consolidated leverage ratio the Company is required to maintain will revert to 3.5:1.0.</w:t>
      </w:r>
    </w:p>
    <w:p>
      <w:pPr>
        <w:spacing w:after="0" w:line="19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As of April 3, 2021, $301.9 million was outstanding under the Term Loan and no borrowings were outstanding on the Revolving Credit Facility, both, with an effective interest rate of 1.4%. We also had $25.7 million of uncommitted operating lines of credit to fund our global operations under which there were no outstanding borrowings as of April 3, 2021.</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fiscal 2021, we paid $21.9 million in scheduled principal repayments for the Term Loan. We have scheduled principal repayments of $301.9 million required through fiscal 2024. We were in compliance with the leverage and interest coverage ratios specified in the credit agreement as well as all other bank covenants as of April 3, 2021.</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July 2019, our Board of Directors approved the 2020 Program. We estimate that we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During fiscal 2021 and 2020, we incurred $15.1 million and $11.9 million of restructuring and turnaround costs under this program, respectively.</w:t>
      </w:r>
    </w:p>
    <w:p>
      <w:pPr>
        <w:spacing w:after="0" w:line="21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May 2019, our Board of Directors authorized the repurchase of up to $500.0 million of Haemonetics common shares over the two year period ending May 2021. As of April 3, 2021, the total remaining authorization for repurchases of the Company's common stock under the share repurchase program was $325.0 million. We did not make any additional share repurchases under this program which expired in May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1"/>
                <w:szCs w:val="11"/>
                <w:color w:val="auto"/>
              </w:rPr>
            </w:pPr>
          </w:p>
        </w:tc>
        <w:tc>
          <w:tcPr>
            <w:tcW w:w="100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13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Increase/(Decrease)</w:t>
            </w:r>
          </w:p>
        </w:tc>
        <w:tc>
          <w:tcPr>
            <w:tcW w:w="100" w:type="dxa"/>
            <w:vAlign w:val="bottom"/>
          </w:tcPr>
          <w:p>
            <w:pPr>
              <w:spacing w:after="0"/>
              <w:rPr>
                <w:sz w:val="11"/>
                <w:szCs w:val="11"/>
                <w:color w:val="auto"/>
              </w:rPr>
            </w:pPr>
          </w:p>
        </w:tc>
        <w:tc>
          <w:tcPr>
            <w:tcW w:w="13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3"/>
              </w:rPr>
              <w:t>Increase/(Decrease)</w:t>
            </w:r>
          </w:p>
        </w:tc>
        <w:tc>
          <w:tcPr>
            <w:tcW w:w="0" w:type="dxa"/>
            <w:vAlign w:val="bottom"/>
          </w:tcPr>
          <w:p>
            <w:pPr>
              <w:spacing w:after="0"/>
              <w:rPr>
                <w:sz w:val="1"/>
                <w:szCs w:val="1"/>
                <w:color w:val="auto"/>
              </w:rPr>
            </w:pPr>
          </w:p>
        </w:tc>
      </w:tr>
      <w:tr>
        <w:trPr>
          <w:trHeight w:val="186"/>
        </w:trPr>
        <w:tc>
          <w:tcPr>
            <w:tcW w:w="42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21 vs. 20</w:t>
            </w:r>
          </w:p>
        </w:tc>
        <w:tc>
          <w:tcPr>
            <w:tcW w:w="260" w:type="dxa"/>
            <w:vAlign w:val="bottom"/>
          </w:tcPr>
          <w:p>
            <w:pPr>
              <w:spacing w:after="0"/>
              <w:rPr>
                <w:sz w:val="16"/>
                <w:szCs w:val="16"/>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20 vs. 19</w:t>
            </w:r>
          </w:p>
        </w:tc>
        <w:tc>
          <w:tcPr>
            <w:tcW w:w="0" w:type="dxa"/>
            <w:vAlign w:val="bottom"/>
          </w:tcPr>
          <w:p>
            <w:pPr>
              <w:spacing w:after="0"/>
              <w:rPr>
                <w:sz w:val="1"/>
                <w:szCs w:val="1"/>
                <w:color w:val="auto"/>
              </w:rPr>
            </w:pPr>
          </w:p>
        </w:tc>
      </w:tr>
      <w:tr>
        <w:trPr>
          <w:trHeight w:val="226"/>
        </w:trPr>
        <w:tc>
          <w:tcPr>
            <w:tcW w:w="420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159,281</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(425,442)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(57,176)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(116,148)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368,266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(58,972)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80,580</w:t>
            </w:r>
          </w:p>
        </w:tc>
        <w:tc>
          <w:tcPr>
            <w:tcW w:w="0" w:type="dxa"/>
            <w:vAlign w:val="bottom"/>
          </w:tcPr>
          <w:p>
            <w:pPr>
              <w:spacing w:after="0"/>
              <w:rPr>
                <w:sz w:val="1"/>
                <w:szCs w:val="1"/>
                <w:color w:val="auto"/>
              </w:rPr>
            </w:pPr>
          </w:p>
        </w:tc>
      </w:tr>
      <w:tr>
        <w:trPr>
          <w:trHeight w:val="175"/>
        </w:trPr>
        <w:tc>
          <w:tcPr>
            <w:tcW w:w="4200" w:type="dxa"/>
            <w:vAlign w:val="bottom"/>
          </w:tcPr>
          <w:p>
            <w:pPr>
              <w:ind w:left="140"/>
              <w:spacing w:after="0" w:line="176" w:lineRule="exact"/>
              <w:rPr>
                <w:sz w:val="20"/>
                <w:szCs w:val="20"/>
                <w:color w:val="auto"/>
              </w:rPr>
            </w:pPr>
            <w:r>
              <w:rPr>
                <w:rFonts w:ascii="Arial" w:cs="Arial" w:eastAsia="Arial" w:hAnsi="Arial"/>
                <w:sz w:val="18"/>
                <w:szCs w:val="18"/>
                <w:color w:val="auto"/>
                <w:w w:val="99"/>
              </w:rPr>
              <w:t>Effect of exchange rate changes on cash and cash</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6,052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equivalents</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0" w:right="500" w:firstLine="6"/>
        <w:spacing w:after="0" w:line="236" w:lineRule="auto"/>
        <w:tabs>
          <w:tab w:leader="none" w:pos="152" w:val="left"/>
        </w:tabs>
        <w:numPr>
          <w:ilvl w:val="0"/>
          <w:numId w:val="19"/>
        </w:numPr>
        <w:rPr>
          <w:rFonts w:ascii="Arial" w:cs="Arial" w:eastAsia="Arial" w:hAnsi="Arial"/>
          <w:sz w:val="9"/>
          <w:szCs w:val="9"/>
          <w:color w:val="auto"/>
        </w:rPr>
      </w:pPr>
      <w:r>
        <w:rPr>
          <w:rFonts w:ascii="Arial" w:cs="Arial" w:eastAsia="Arial" w:hAnsi="Arial"/>
          <w:sz w:val="14"/>
          <w:szCs w:val="14"/>
          <w:color w:val="auto"/>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Net cash provided by operating activities was $108.8 million during fiscal 2021, a decrease of $49.4 million as compared with fiscal 2020. The decrease in cash provided by operating activities was primarily the result of a reduction in net income, as adjusted for depreciation, amortization and other non-cash charges compared with the prior year period, partially offset by a decrease in working capital outflow as compared with the prior year period due to lower inventory growth, primarily related to NexSys PCS devices, a decline in the build of accounts receivable due to lower sales and improved collection timing and a payment for a compensation-related liability paid at the closing of the Cardiva acquisition.</w:t>
      </w:r>
    </w:p>
    <w:p>
      <w:pPr>
        <w:spacing w:after="0" w:line="20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Net cash provided by operating activities was $158.2 million during fiscal 2020, a decrease of $1.1 million as compared with fiscal 2019. The decrease in cash provided by operating activities was primarily due to a working capital outflow driven by an increase in inventory build to support the launch of the NexSys PCS devices and decreases in accounts payable and accrued payroll. Net income, as adjusted for depreciation, amortization and other non-cash charges and a decrease in accounts receivable due to the timing of collections partially offset the decrease in operating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Net cash used in investing activities was $425.4 million during fiscal 2021, an increase of $368.3 million as compared with fiscal 2020. The increase in cash used in investing activities was primarily the result of cash paid for acquisitions. The increase was partially offset by an increase in proceeds received relating to divestitures and a decrease in capital expenditures.</w:t>
      </w:r>
    </w:p>
    <w:p>
      <w:pPr>
        <w:spacing w:after="0" w:line="21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Net cash used in investing activities was $57.2 million during fiscal 2020, a decrease of $59.0 million as compared with fiscal 2019. The decrease in cash used in investing activities was primarily the result of a decrease in capital expenditures in fiscal 2020 due to the NexSys PCS launch and manufacturing capacity expansion projects in our Plasma business unit in fiscal 2019. Proceeds received related to the divestiture of our plasma liquid solutions operations and sale of real estate and other assets associated with the Braintree corporate headquarters in fiscal 2020 also contributed to the decrease in cash used in investing activities. This decrease was partially offset by the acquisition of the technology underlying the TEG 6s system during fiscal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Net cash provided by financing activities was $367.5 million during fiscal 2021, an increase of $498.7 million as compared with fiscal 2020. The increase in cash provided by financing activities was primarily due to the $500.0 million of proceeds related to the 2026 Notes entered into in March 2021 and a decrease in share repurchases compared with the prior year period. The increase was partially offset by the repayment of borrowings on our revolving credit facility, the purchase of the Capped Call on the 2026 Notes and higher payments on our term loan.</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used in financing activities was $131.2 million during fiscal 2020, an increase of $80.6 million as compared with fiscal 2019. The increase in cash used in financing activities was primarily due to lower borrowings, net of payments, on our Credit Facilities and increased share repurchases in fiscal 2020.</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contractual and commercial commitments as of April 3, 2021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8"/>
        </w:trPr>
        <w:tc>
          <w:tcPr>
            <w:tcW w:w="42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18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Less than 1 year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1-3 years</w:t>
            </w: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13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More than 5 years</w:t>
            </w:r>
          </w:p>
        </w:tc>
      </w:tr>
      <w:tr>
        <w:trPr>
          <w:trHeight w:val="231"/>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301,875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284,375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89,965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47,142</w:t>
            </w:r>
          </w:p>
        </w:tc>
      </w:tr>
      <w:tr>
        <w:trPr>
          <w:trHeight w:val="230"/>
        </w:trPr>
        <w:tc>
          <w:tcPr>
            <w:tcW w:w="4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Expected retirement plan benefit payments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w:t>
            </w:r>
          </w:p>
        </w:tc>
      </w:tr>
      <w:tr>
        <w:trPr>
          <w:trHeight w:val="221"/>
        </w:trPr>
        <w:tc>
          <w:tcPr>
            <w:tcW w:w="422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1,052,230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173,593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307,275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516,861</w:t>
            </w:r>
          </w:p>
        </w:tc>
        <w:tc>
          <w:tcPr>
            <w:tcW w:w="10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1517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20" w:right="80" w:firstLine="6"/>
        <w:spacing w:after="0" w:line="224" w:lineRule="auto"/>
        <w:tabs>
          <w:tab w:leader="none" w:pos="152" w:val="left"/>
        </w:tabs>
        <w:numPr>
          <w:ilvl w:val="0"/>
          <w:numId w:val="20"/>
        </w:numPr>
        <w:rPr>
          <w:rFonts w:ascii="Arial" w:cs="Arial" w:eastAsia="Arial" w:hAnsi="Arial"/>
          <w:sz w:val="15"/>
          <w:szCs w:val="15"/>
          <w:color w:val="auto"/>
          <w:vertAlign w:val="superscript"/>
        </w:rPr>
      </w:pPr>
      <w:r>
        <w:rPr>
          <w:rFonts w:ascii="Arial" w:cs="Arial" w:eastAsia="Arial" w:hAnsi="Arial"/>
          <w:sz w:val="11"/>
          <w:szCs w:val="11"/>
          <w:color w:val="auto"/>
        </w:rPr>
        <w:t>Interest payments reflect the contractual interest payments on our outstanding debt and exclude the impact of interest rate swap agreements. Interest payments are projected using interest rates in effect as of April 3, 2021. Certain of these projected interest payments may differ in the future based on changes in market interest rates.</w:t>
      </w:r>
    </w:p>
    <w:p>
      <w:pPr>
        <w:ind w:left="20" w:right="200" w:firstLine="6"/>
        <w:spacing w:after="0" w:line="251" w:lineRule="auto"/>
        <w:tabs>
          <w:tab w:leader="none" w:pos="152" w:val="left"/>
        </w:tabs>
        <w:numPr>
          <w:ilvl w:val="0"/>
          <w:numId w:val="20"/>
        </w:numPr>
        <w:rPr>
          <w:rFonts w:ascii="Arial" w:cs="Arial" w:eastAsia="Arial" w:hAnsi="Arial"/>
          <w:sz w:val="15"/>
          <w:szCs w:val="15"/>
          <w:color w:val="auto"/>
          <w:vertAlign w:val="superscript"/>
        </w:rPr>
      </w:pPr>
      <w:r>
        <w:rPr>
          <w:rFonts w:ascii="Arial" w:cs="Arial" w:eastAsia="Arial" w:hAnsi="Arial"/>
          <w:sz w:val="11"/>
          <w:szCs w:val="11"/>
          <w:color w:val="auto"/>
        </w:rPr>
        <w:t>Includes amounts we are committed to spend on purchase orders entered in the normal course of business for capital equipment as well as commitments with contractors for the manufacture of certain disposable products and equipment. The majority of our operating expense spending does not require any advance commitment.</w:t>
      </w:r>
    </w:p>
    <w:p>
      <w:pPr>
        <w:spacing w:after="0" w:line="23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above table does not reflect our long-term liabilities associated with unrecognized tax benefits of $3.6 million recorded in accordance with ASC Topic 740, Income Taxes. We cannot reasonably make a reliable estimate of the period in which we expect to settle these long-term liabilities due to factors outside of our control, such as tax examinations.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While approximately 49% of our revenue during fiscal 2021 was generated by our ten largest customers, 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22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accordance with U.S. GAAP, we record a liability in our consolidated financial statements for legal matters when a loss is known or considered probable and the amount may be reasonably estimated. Actual settlements may be different than estimated and could have a material impact on our consolidated earnings, financial position and/or cash flows. For a discussion of our material legal proceedings refer to Note 16, </w:t>
      </w:r>
      <w:r>
        <w:rPr>
          <w:rFonts w:ascii="Arial" w:cs="Arial" w:eastAsia="Arial" w:hAnsi="Arial"/>
          <w:sz w:val="18"/>
          <w:szCs w:val="18"/>
          <w:i w:val="1"/>
          <w:iCs w:val="1"/>
          <w:color w:val="auto"/>
        </w:rPr>
        <w:t>Commitments &amp; Contingencies,</w:t>
      </w:r>
      <w:r>
        <w:rPr>
          <w:rFonts w:ascii="Arial" w:cs="Arial" w:eastAsia="Arial" w:hAnsi="Arial"/>
          <w:sz w:val="18"/>
          <w:szCs w:val="18"/>
          <w:color w:val="auto"/>
        </w:rPr>
        <w:t xml:space="preserve"> to the Consolidated Financial Statements in Item 8 of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During fiscal 2021, 40.0%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0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252"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In December 2019, the Financial Accounting Standards Board (“FASB”) issued Accounting Standards Codification (“ASC”) Update No. 2019-12, Income Taxes (Topic 740). The new guidance will improve consistent application of and simplify the accounting for income taxes by removing certain exceptions to the general principals in Topic 740. ASC Update No. 2019-12 is effective for annual periods beginning after December 15, 2020, and is applicable to us in fiscal 2022. We are in the process of determining the effect that the adoption will have on our financial position and results of operations.</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August 2020, the FASB issued ASC ASU Update No. 2020-06 Debt - Debt with Conversion and Other Options (Subtopic 470-20) and Derivatives and Hedging - Contracts in Entity's Own Equity (Subtopic 815-40). The amendments simplify the complexity associated with applying U.S. GAAP for certain financial instruments with characteristics of liabilities and equity. Update No. 2020-06 is effective for fiscal years beginning after December 15, 2021, including interim periods within those fiscal years. We early adopted ASC Update No. 2020-06 effective April 4, 2021 using the modified retrospective method, which will result in a decrease of approximately $81.3 million to additional paid-in capital and an increase of approximately $80.3 million to non-current convertible notes, net, on the Consolidated Balance Sheets. Additionally, retained earnings will be adjusted to remove amortization expense recognized in prior periods related to the debt discount and the convertible notes will no longer have a debt discount that will be amortized. The impact to retained earnings on the Consolidated Balance Sheets as of April 4, 2021 is an increase of approximately $1.0 million. While we do not expect a material impact to our consolidated statements of operations and consolidated statements of cash flows upon adoption, non-cash interest expense associated with the amortization of debt discounts will be reduced in future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Our significant accounting policies are summarized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in Item 8 of this Annual Report on Form 10-K.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 We consider an estimate to be a “critical</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accounting estimate” when (i) the nature of the estimate is material due to the level of subjectivity and judgment necessary to account for highly uncertain matters or the susceptibility of such matters to change; and (ii) the impact of the estimate on financial condition or operating performance is material. The accounting policies and estimates identified as critical are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Revenues from product sales are recorded at the net sales price, which includes estimates of variable consideration related to rebates, product returns and volume discounts. These reserves, which are based on estimates of the amounts earned or to be claimed on the related sales, are recorded as a reduction of revenue and a current liability. Our estimates take into consideration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 If we are unable to estimate the expected rebates reasonably, we record a liability for the maximum potential rebate or discount that could be earned. In circumstances where we provide upfront rebate payments to customers, we capitalize the rebate payments and amortize the resulting asset as a reduction of revenue using a systematic method over the life of the contract. Refer to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and Note 8, </w:t>
      </w:r>
      <w:r>
        <w:rPr>
          <w:rFonts w:ascii="Arial" w:cs="Arial" w:eastAsia="Arial" w:hAnsi="Arial"/>
          <w:sz w:val="16"/>
          <w:szCs w:val="16"/>
          <w:i w:val="1"/>
          <w:iCs w:val="1"/>
          <w:color w:val="auto"/>
        </w:rPr>
        <w:t>Revenue</w:t>
      </w:r>
      <w:r>
        <w:rPr>
          <w:rFonts w:ascii="Arial" w:cs="Arial" w:eastAsia="Arial" w:hAnsi="Arial"/>
          <w:sz w:val="16"/>
          <w:szCs w:val="16"/>
          <w:color w:val="auto"/>
        </w:rPr>
        <w:t>, to the Consolidated Financial Statements in Item 8 of this Annual Report on Form 10-K for further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use consistent methodologies in developing the assumptions and estimates underlying the fair value calculations used in our impairment tests, these estimates are uncertain by nature and can vary from actual results. The use of alternative valuation assumptions, including estimated revenue projections, growth rates, cash flows and discount rates could result in different fair value estimates.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events that could have a negative impact on the levels of excess fair value over carrying value of our reporting units include, but are not limited to, the following:</w:t>
      </w:r>
    </w:p>
    <w:p>
      <w:pPr>
        <w:spacing w:after="0" w:line="197" w:lineRule="exact"/>
        <w:rPr>
          <w:sz w:val="20"/>
          <w:szCs w:val="20"/>
          <w:color w:val="auto"/>
        </w:rPr>
      </w:pPr>
    </w:p>
    <w:p>
      <w:pPr>
        <w:ind w:left="660" w:right="5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Decreases in estimated market sizes or market growth rates due to greater-than-expected declines in procedural volumes, pricing pressures, product actions and/or competitive technology developments,</w:t>
      </w:r>
    </w:p>
    <w:p>
      <w:pPr>
        <w:spacing w:after="0" w:line="197" w:lineRule="exact"/>
        <w:rPr>
          <w:rFonts w:ascii="Arial" w:cs="Arial" w:eastAsia="Arial" w:hAnsi="Arial"/>
          <w:sz w:val="18"/>
          <w:szCs w:val="18"/>
          <w:color w:val="auto"/>
        </w:rPr>
      </w:pPr>
    </w:p>
    <w:p>
      <w:pPr>
        <w:jc w:val="both"/>
        <w:ind w:left="660" w:right="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Declines in our market share and penetration assumptions due to increased competition, an inability to develop or launch new and next-generation products and technology features in line with our commercialization strategies and market and/or regulatory conditions that may cause significant launch delays or product recalls,</w:t>
      </w:r>
    </w:p>
    <w:p>
      <w:pPr>
        <w:spacing w:after="0" w:line="210"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Decreases in our forecasted profitability due to an inability to implement successfully and achieve timely and sustainable cost improvement measures consistent with our expectations,</w:t>
      </w:r>
    </w:p>
    <w:p>
      <w:pPr>
        <w:spacing w:after="0" w:line="197"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reporting units or in the structure of our business as a result of future reorganizations, acquisitions or divestitures of assets or businesses and</w:t>
      </w:r>
    </w:p>
    <w:p>
      <w:pPr>
        <w:spacing w:after="0" w:line="19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our market-participant risk-adjusted weighted average cost of capital and increases in our market-participant tax rate and/or changes in tax laws or macroeconomic conditions.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Negative changes in one or more of these factors, among others, could result in future impairment charges.</w:t>
      </w:r>
    </w:p>
    <w:p>
      <w:pPr>
        <w:spacing w:after="0" w:line="25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We review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 Refer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and Note 11, </w:t>
      </w:r>
      <w:r>
        <w:rPr>
          <w:rFonts w:ascii="Arial" w:cs="Arial" w:eastAsia="Arial" w:hAnsi="Arial"/>
          <w:sz w:val="16"/>
          <w:szCs w:val="16"/>
          <w:i w:val="1"/>
          <w:iCs w:val="1"/>
          <w:color w:val="auto"/>
        </w:rPr>
        <w:t>Goodwill &amp; Intangible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to the Consolidated Financial Statements in Item 8 of this Annual Report on Form 10-K for additional information.</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Provisions</w:t>
      </w:r>
    </w:p>
    <w:p>
      <w:pPr>
        <w:spacing w:after="0" w:line="25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base our provisions for excess, expired and obsolete inventory primarily on our estimates of forecasted net sales. A significant change in the timing or level of demand for our products as compared with forecasted amounts may result in recording additional provisions for excess, expired and obsolete inventory in the future. Additionally, uncertain timing of next-generation product approvals, variability in product launch strategies, product recalls and variation in product utilization all affect our estimates related to excess, expired and obsolete inventory.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The income tax provision is calculated for all jurisdictions in which we operate.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 All available evidence, both positive and negative, has been considered to determine whether, based on the weight of that evidence, a valuation allowance is needed against the deferred tax assets. Refer to Note 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the Consolidated Financial Statements in Item 8 of this Annual Report on Form 10-K for further information and discussion of our income tax provision and balances.</w:t>
      </w:r>
    </w:p>
    <w:p>
      <w:pPr>
        <w:spacing w:after="0" w:line="22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that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an additional loss provision is recorded when either a best estimate can be made or the minimum loss amount is increased. When events result in an expectation of a more favorable outcome than previously expected, our best estimate is changed to a lower amount.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record tangible and intangible assets acquired and liabilities assumed in business combinations under the purchase method of accounting. Amounts paid for each acquisition are allocated to the assets acquired and liabilities assumed based on their fair values at the dates of acquisition. The fair value of identifiable intangible assets is based on detailed valuations that use information and assumptions including forecasted cash flows, revenues attributable to existing technology and existing customer attrition. When estimating the significant assumptions to be used in the valuation we included a consideration of current industry information, market and economic trends, historical results of the acquired business, and other relevant factors. These significant assumptions are forward-looking and could be affected by future economic and market conditions. We allocate any excess purchase price over the fair value of the net tangible and intangible assets acquired and liabilities assumed to goodwill.</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Contingent consideration is recorded at fair value as measured on the date of acquisition using an appropriate valuation model, such as the Monte Carlo simulation model. The value recorded is based on estimates of future financial projections under various potential scenarios, in which the model runs many simulations based on comparable companies' growth rates and their implied volatility. Our estimates of forecasted revenues in the earn out period include a consideration of current industry information, market and economic trends, historical results of the acquired business, and other relevant factors. These cash flow</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projections are discounted with a risk adjusted rate. Each quarter until such contingent amounts are earned, the fair value of the liability is remeasured at each reporting period and adjusted as a component of operating expenses based on changes to the underlying assumptions. The estimates used to determine the fair value of the contingent consideration liability are subject to significant judgment and given the inherent uncertainties in making these estimates, actual results are likely to differ from the amounts originally recorded and could be materially different.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Significant judgment is required in determining the liability component of the related convertible senior notes as well as the balance sheet classification of the elements of the convertible senior notes. We account for convertible senior notes as separate liability and equity components, determining the fair value of the respective liability components based on an estimate of the fair value of a similar liability without a conversion option and assigning the residual value to the equity component.</w:t>
      </w:r>
    </w:p>
    <w:p>
      <w:pPr>
        <w:spacing w:after="0" w:line="21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estimate the fair value of the liability component of the convertible senior notes using a discounted cash flow model with a risk adjusted yield for similar debt instruments, absent any embedded conversion feature. In estimating the risk adjusted yield, we utilize both an income and market approach. For the income approach, we use a convertible bond pricing model, which include several assumptions including volatility and the risk-free rate. For the market approach, we perform an evaluation of issuances of convertible debt securities issued by other comparable companies. Additionally, a detailed analysis of the terms of the convertible senior notes transactions is required to determine existence of any derivatives that may require separate mark-to-market accounting under applicable accounting guidance.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exposures relative to market risk are due to foreign exchange risk and interest rate risk.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21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As of April 3, 2021, in the event of a 10% strengthening of the U.S. dollar, the change in fair value of all forward contracts would result in a $7.2 million increase in the fair value of the forward contracts, whereas a 10% weakening of the U.S. dollar would result in a $8.2 million decrease in the fair value of the forward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exposure to changes in interest rates is associated with borrowings under our Credit Facilities, all of which is variable rate debt. Total outstanding debt under our Credit Facilities for the fiscal year ended April 3, 2021 was $301.9 million with an interest rate of 1.4% based on prevailing LIBOR rates. An increase of 100 basis points in LIBOR rates would result in additional annual interest expense of $0.8 million. On August 21, 2018, we entered into two interest rate swap agreements to effectively convert $241.9 million of borrowings under our Credit Facilities from a variable rate to a fixed rate. These interest rate swaps are intended to mitigate the exposure to fluctuations in interest rates and qualify for hedge accounting treatment as cash flow hedges.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Haemonetics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Haemonetics Corporation and subsidiaries (the Company) as of April 3, 2021 and March 28, 2020, the related consolidated statements of income, comprehensive income, stockholders' equity and cash flows for each of the three years in the period ended April 3, 2021, and the related notes (collectively referred to as the “consolidated financial statements”). In our opinion, the consolidated financial statements present fairly, in all material respects, the financial position of the Company at April 3, 2021 and March 28, 2020, and the results of its operations and its cash flows for each of the three years in the period ended April 3, 2021, in conformity with U.S. generally accepted accounting principles.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April 3, 2021, based on criteria established in Internal Control—Integrated Framework issued by the Committee of Sponsoring Organizations of the Treadway Commission (2013 framework) and our report dated May 26, 2021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effective March 31, 2019 due to adoption of Accounting Standards Update (ASU) No. 2016-02, Leases (Topic 842), and the related amendments.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right="180"/>
        <w:spacing w:after="0" w:line="28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right="180"/>
        <w:spacing w:after="0" w:line="28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w:t>
      </w:r>
    </w:p>
    <w:p>
      <w:pPr>
        <w:spacing w:after="0" w:line="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discussed in Note 11 to the consolidated financial statements, the Company had approximately $466 million of goodwill allocated among its three reporting units as of April 3, 2021. The Company performs its annual quantitative impairment analysis as of the first day of the fourth quarter, and more frequently if the Company believes indicators of impairment exist, utilizing a discounted cash flow income approach in order to value reporting units for the test.</w:t>
      </w:r>
    </w:p>
    <w:p>
      <w:pPr>
        <w:spacing w:after="0" w:line="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Auditing the annual goodwill impairment test was especially complex and judgmental due to the significant estimation required in determining the fair values of the reporting units. In particular, the fair value estimates involve judgmental assumptions including discount rates, terminal values, and the amount and timing of expected future cash flows, which are all affected by expectations about future market or economic conditions and reporting unit specific risk factors.</w:t>
      </w:r>
    </w:p>
    <w:p>
      <w:pPr>
        <w:spacing w:after="0" w:line="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goodwill impairment review process. For example, we tested controls over management's review of the significant inputs and assumptions used in determining the reporting unit fair values.</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test the estimated fair value of the Company’s reporting units, we performed audit procedures that included, among others, assessing fair value methodologies, testing the significant assumptions discussed above and the completeness and accuracy of the underlying data used by the Company in its analysis. We compared the significant assumptions used by management to current industry trends, historical financial results of the reporting unit, and other relevant factors. We considered the historical accuracy of management’s estimates and performed sensitivity analyses of significant assumptions to evaluate the changes in the fair value of the reporting unit that would result from changes in the assumptions. In addition, we involved our valuation professionals to assist in our evaluation of the significant assumptions used to develop the fair value estimates. We also evaluated the reconciliation of the estimated aggregate fair value of the reporting units to the market capitalization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 valuation allowance</w:t>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Note 6 to the consolidated financial statements, the Company had gross deferred tax assets on temporary differences of approximately $94 million offset by an approximately $11 million valuation allowance as of April 3, 2021. Deferred tax assets are reduced by a valuation allowance if, based upon the weight of all available evidence, both positive and negative, in management’s judgment it is more likely than not that some portion, or all, of the deferred tax assets will not be realized.</w:t>
      </w:r>
    </w:p>
    <w:p>
      <w:pPr>
        <w:spacing w:after="0" w:line="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Auditing management’s analysis of the realizability of its deferred tax assets was especially challenging and complex in relation to estimating projections of future taxable income that involved significant judgment and assumptions that may be affected by future market or economic conditions.</w:t>
      </w:r>
    </w:p>
    <w:p>
      <w:pPr>
        <w:spacing w:after="0" w:line="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analysis of the realizability of deferred tax assets. This included controls over management’s projections of future taxable income.</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test the Company’s analysis of the realizability of deferred tax assets and the resultant valuation allowance, we performed audit procedures with the assistance of tax professionals that included, among others, evaluating the analyses used by management to consider the four sources of taxable income. We evaluated the assumptions used by the Company to develop projections of future taxable income by jurisdiction and tested the completeness and accuracy of the underlying data used in its projections. For example, we compared the projections of future taxable income with the actual results of prior periods, as well as management’s consideration of current industry and economic trends. We also considered the historical accuracy of management’s projections and compared the projections of future taxable income with other forecasted financial information prepared by the Company.</w:t>
      </w:r>
    </w:p>
    <w:p>
      <w:pPr>
        <w:spacing w:after="0" w:line="200" w:lineRule="exact"/>
        <w:rPr>
          <w:sz w:val="20"/>
          <w:szCs w:val="20"/>
          <w:color w:val="auto"/>
        </w:rPr>
      </w:pPr>
    </w:p>
    <w:p>
      <w:pPr>
        <w:sectPr>
          <w:pgSz w:w="11900" w:h="16838" w:orient="portrait"/>
          <w:cols w:equalWidth="0" w:num="2">
            <w:col w:w="1860" w:space="220"/>
            <w:col w:w="9140"/>
          </w:cols>
          <w:pgMar w:left="320" w:top="130" w:right="35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right="180"/>
        <w:spacing w:after="0" w:line="28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Convertible Senior Notes</w:t>
      </w:r>
    </w:p>
    <w:p>
      <w:pPr>
        <w:spacing w:after="0" w:line="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13 to the consolidated financial statements, in March 2021 the Company issued $500 million of 0% convertible senior notes due March 2026 (the “2026 Notes”), which requires the Company to settle the principle in cash and any conversion premium in cash or stock at its option. Concurrent with the offering of the 2026 Notes, the Company entered into separate capped call transactions to reduce potential dilution upon conversion of the 2026 Notes. These transactions are collectively referred to as the Convertible Notes Transactions. The financial statement accounts primarily affected by these transactions were debt and equity.</w:t>
      </w:r>
    </w:p>
    <w:p>
      <w:pPr>
        <w:spacing w:after="0" w:line="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Auditing the Company’s accounting for the 2026 Notes was complex due to the significant judgment required in determining the liability component of the related convertible senior notes as well as the balance sheet classification of the elements of the Convertible Notes Transactions. The Company accounted for the 2026 Notes as separate liability and equity components, determining the fair value of the respective liability component based on an estimate of the fair value of a similar liability without a conversion option and assigning the residual value to the equity component.</w:t>
      </w:r>
    </w:p>
    <w:p>
      <w:pPr>
        <w:spacing w:after="0" w:line="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estimated the fair value of the liability component of the 2026 Notes using a discounted cash flow model with a risk adjusted yield for similar debt instruments, absent any embedded conversion feature. In estimating the risk adjusted yield, the Company utilized both an income and market approach. For the income approach, the Company used a convertible bond pricing model, which included several assumptions including volatility and the risk-free rate. For the market approach, the Company performed an evaluation of issuances of debt securities issued by other comparable companies and broader market indices. Additionally, a detailed analysis of the terms of the Convertible Notes Transactions was required to determine existence of any derivatives that may require separate mark-to-market accounting under applicable accounting guidance.</w:t>
      </w:r>
    </w:p>
    <w:p>
      <w:pPr>
        <w:spacing w:after="0" w:line="4"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Convertible Notes Transactions. For example, we tested the Company’s controls over the initial recognition and measurement of the Convertible Notes Transactions, including the recording of the associated liability and equity components.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testing of the Company’s initial accounting for the Convertible Notes Transactions, among other procedures, included reading the underlying agreements and evaluating the Company’s accounting analysis of the initial accounting of the Convertible Notes Transactions, including the determination of the balance sheet classification of each transaction and identification of any derivatives included in the arrangements.</w:t>
      </w:r>
    </w:p>
    <w:p>
      <w:pPr>
        <w:spacing w:after="0" w:line="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testing of the fair value of the liability component of the 2026 Notes, included, among other procedures, evaluating the Company's selection of the valuation methodology and significant assumptions used by the Company and evaluating the completeness and accuracy of the underlying data supporting the significant assumptions and estimates. Specifically, when assessing the key assumptions, we focused on the Company’s assumptions used to determine the risk adjusted yield, which was based on a calibration to the convertible senior notes’ issuance price and corroborated by an analysis of comparable issuances of debt securities by other companies. In addition, we involved valuation professionals to assist in our evaluation of the methodology used by the Company and significant assumptions.</w:t>
      </w:r>
    </w:p>
    <w:p>
      <w:pPr>
        <w:spacing w:after="0" w:line="200" w:lineRule="exact"/>
        <w:rPr>
          <w:sz w:val="20"/>
          <w:szCs w:val="20"/>
          <w:color w:val="auto"/>
        </w:rPr>
      </w:pPr>
    </w:p>
    <w:p>
      <w:pPr>
        <w:sectPr>
          <w:pgSz w:w="11900" w:h="16838" w:orient="portrait"/>
          <w:cols w:equalWidth="0" w:num="2">
            <w:col w:w="1860" w:space="220"/>
            <w:col w:w="914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right="180"/>
        <w:spacing w:after="0" w:line="28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Acquisitions</w:t>
      </w:r>
    </w:p>
    <w:p>
      <w:pPr>
        <w:spacing w:after="0" w:line="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described in Note 4 to the consolidated financial statements, the Company completed two acquisitions in fiscal year 2021 for total purchase consideration of $510.3 million consisting of a combination of cash and future contingent earnout payments. The acquisitions were accounted for as business combinations. The most significant was the acquisition of all the outstanding equity of Cardiva Medical, Inc. for purchase consideration of $489.8 million. The recognition, measurement and disclosure of the Company’s business combinations in the 2021 consolidated financial statements was considered especially challenging and required significant auditor judgment due to the complex nature in the determination by management of the appropriate assumptions and related valuation models for the valuation of acquired assets and assumed liabilities related to the Cardiva Medical, Inc. acquisition, including, but not limited to, the developed technology intangible asset and contingent consideration liability. The financial statement accounts primarily affected by these transactions were intangible assets, goodwill, and contingent consideration liabilities.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Auditing the Company's accounting for the Cardiva Medical, Inc. acquisition was especially challenging due to the significant estimation required by management in determining the fair value of the developed technology intangible asset and contingent consideration liability of $230 million and $24 million, respectively. The significant estimation was primarily due to the judgmental nature of the inputs to the valuation models used to measure the fair value of the intangible asset and contingent consideration liability, as well as the sensitivity of the respective fair values to the underlying significant assumptions. The Company used the income approach to measure the fair value of the intangible asset and a Monte Carlo simulation model to measure the fair value of the contingent consideration liability. The significant assumptions used to estimate the fair value of the intangible asset and contingent consideration liability included forecasted revenues attributable to existing technology, forecasted revenues for the contingent consideration earnout period and the discount rates. When estimating the significant assumptions to be used in the valuation the Company included a consideration of current industry information, market and economic trends, historical results of the acquired business, and other relevant factors. These significant assumptions are forward-looking and could be affected by future economic and market conditions.</w:t>
      </w:r>
    </w:p>
    <w:p>
      <w:pPr>
        <w:spacing w:after="0" w:line="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obtained an understanding, evaluated the design and tested the operating effectiveness of the controls over the Company’s accounting for acquisitions. We tested controls over the valuation of intangible assets and contingent consideration liabilities, including the valuation models and underlying assumptions used to develop such estimates.</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test the fair value of the acquired intangible assets and contingent consideration liability, our audit procedures included, among others, evaluating the significant assumptions used, and the testing of the completeness and accuracy of underlying data. We tested the valuation models used to value the acquired intangible assets and contingent consideration liability including consideration of the nature and classification of such contingent liability. Our testing procedures over the significant assumptions included, among others, comparing them to current industry, market and economic trends, historical results of the acquired business and to other relevant factors. We also performed sensitivity analyses of the significant assumptions to evaluate the change in the fair value resulting from changes in the assumptions. In addition, we involved valuation professionals to assist in our evaluation of the methodology, computations, and significant assumptions used by the Company within the valuation.</w:t>
      </w:r>
    </w:p>
    <w:p>
      <w:pPr>
        <w:spacing w:after="0" w:line="657" w:lineRule="exact"/>
        <w:rPr>
          <w:sz w:val="20"/>
          <w:szCs w:val="20"/>
          <w:color w:val="auto"/>
        </w:rPr>
      </w:pPr>
    </w:p>
    <w:p>
      <w:pPr>
        <w:sectPr>
          <w:pgSz w:w="11900" w:h="16838" w:orient="portrait"/>
          <w:cols w:equalWidth="0" w:num="2">
            <w:col w:w="1860" w:space="220"/>
            <w:col w:w="9140"/>
          </w:cols>
          <w:pgMar w:left="320" w:top="130" w:right="35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26, 2021</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35"/>
        </w:trPr>
        <w:tc>
          <w:tcPr>
            <w:tcW w:w="6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April 3,</w:t>
            </w: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March 28,</w:t>
            </w:r>
          </w:p>
        </w:tc>
        <w:tc>
          <w:tcPr>
            <w:tcW w:w="260" w:type="dxa"/>
            <w:vAlign w:val="bottom"/>
          </w:tcPr>
          <w:p>
            <w:pPr>
              <w:spacing w:after="0"/>
              <w:rPr>
                <w:sz w:val="11"/>
                <w:szCs w:val="11"/>
                <w:color w:val="auto"/>
              </w:rPr>
            </w:pPr>
          </w:p>
        </w:tc>
        <w:tc>
          <w:tcPr>
            <w:tcW w:w="1180" w:type="dxa"/>
            <w:vAlign w:val="bottom"/>
          </w:tcPr>
          <w:p>
            <w:pPr>
              <w:jc w:val="right"/>
              <w:ind w:right="312"/>
              <w:spacing w:after="0" w:line="135" w:lineRule="exact"/>
              <w:rPr>
                <w:sz w:val="20"/>
                <w:szCs w:val="20"/>
                <w:color w:val="auto"/>
              </w:rPr>
            </w:pPr>
            <w:r>
              <w:rPr>
                <w:rFonts w:ascii="Arial" w:cs="Arial" w:eastAsia="Arial" w:hAnsi="Arial"/>
                <w:sz w:val="14"/>
                <w:szCs w:val="14"/>
                <w:b w:val="1"/>
                <w:bCs w:val="1"/>
                <w:color w:val="auto"/>
              </w:rPr>
              <w:t>March 30,</w:t>
            </w:r>
          </w:p>
        </w:tc>
      </w:tr>
      <w:tr>
        <w:trPr>
          <w:trHeight w:val="188"/>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70"/>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967,579</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503,966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550,043</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417,536</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35,714</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274,188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273,474</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24,803</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on divestitures and sale of assets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308,091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381,162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333,991</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83,545</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(9,912)</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(benefit) provision for income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73,633</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18,614</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79,469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55,019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per share – 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Net income per share –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6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51,533</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51,815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52,942</w:t>
            </w: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4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35"/>
        </w:trPr>
        <w:tc>
          <w:tcPr>
            <w:tcW w:w="6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April 3,</w:t>
            </w: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March 28,</w:t>
            </w:r>
          </w:p>
        </w:tc>
        <w:tc>
          <w:tcPr>
            <w:tcW w:w="260" w:type="dxa"/>
            <w:vAlign w:val="bottom"/>
          </w:tcPr>
          <w:p>
            <w:pPr>
              <w:spacing w:after="0"/>
              <w:rPr>
                <w:sz w:val="11"/>
                <w:szCs w:val="11"/>
                <w:color w:val="auto"/>
              </w:rPr>
            </w:pPr>
          </w:p>
        </w:tc>
        <w:tc>
          <w:tcPr>
            <w:tcW w:w="1180" w:type="dxa"/>
            <w:vAlign w:val="bottom"/>
          </w:tcPr>
          <w:p>
            <w:pPr>
              <w:jc w:val="right"/>
              <w:ind w:right="314"/>
              <w:spacing w:after="0" w:line="135" w:lineRule="exact"/>
              <w:rPr>
                <w:sz w:val="20"/>
                <w:szCs w:val="20"/>
                <w:color w:val="auto"/>
              </w:rPr>
            </w:pPr>
            <w:r>
              <w:rPr>
                <w:rFonts w:ascii="Arial" w:cs="Arial" w:eastAsia="Arial" w:hAnsi="Arial"/>
                <w:sz w:val="14"/>
                <w:szCs w:val="14"/>
                <w:b w:val="1"/>
                <w:bCs w:val="1"/>
                <w:color w:val="auto"/>
              </w:rPr>
              <w:t>March 30,</w:t>
            </w:r>
          </w:p>
        </w:tc>
      </w:tr>
      <w:tr>
        <w:trPr>
          <w:trHeight w:val="188"/>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51"/>
        </w:trPr>
        <w:tc>
          <w:tcPr>
            <w:tcW w:w="6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55,019</w:t>
            </w:r>
          </w:p>
        </w:tc>
      </w:tr>
      <w:tr>
        <w:trPr>
          <w:trHeight w:val="270"/>
        </w:trPr>
        <w:tc>
          <w:tcPr>
            <w:tcW w:w="6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Impact of defined benefit plans, net of tax</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 net of tax</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(9,108)</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Unrealized loss on cash flow hedges, net of tax</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(1,877)</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into earnings of cash flow hedge losses (gains), net of tax</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(11,389)</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43,630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 data)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4"/>
                <w:szCs w:val="14"/>
                <w:color w:val="auto"/>
              </w:rPr>
            </w:pPr>
          </w:p>
        </w:tc>
        <w:tc>
          <w:tcPr>
            <w:tcW w:w="1180" w:type="dxa"/>
            <w:vAlign w:val="bottom"/>
          </w:tcPr>
          <w:p>
            <w:pPr>
              <w:jc w:val="right"/>
              <w:ind w:right="320"/>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52"/>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192,305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137,311</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less allowance of $2,226 at April 3, 2021 and $3,824 at March 28, 2020</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165,207</w:t>
            </w: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322,614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270,276</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30,845</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693,546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603,639</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253,399</w:t>
            </w: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Intangible assets, less accumulated amortization of $320,640 at April 3, 2021 and $296,942 at March 28, 2020</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365,483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133,106</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210,652</w:t>
            </w: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Deferred tax asset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3,930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70,882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62,384</w:t>
            </w:r>
          </w:p>
        </w:tc>
        <w:tc>
          <w:tcPr>
            <w:tcW w:w="0" w:type="dxa"/>
            <w:vAlign w:val="bottom"/>
          </w:tcPr>
          <w:p>
            <w:pPr>
              <w:spacing w:after="0"/>
              <w:rPr>
                <w:sz w:val="1"/>
                <w:szCs w:val="1"/>
                <w:color w:val="auto"/>
              </w:rPr>
            </w:pPr>
          </w:p>
        </w:tc>
      </w:tr>
      <w:tr>
        <w:trPr>
          <w:trHeight w:val="213"/>
        </w:trPr>
        <w:tc>
          <w:tcPr>
            <w:tcW w:w="8020" w:type="dxa"/>
            <w:vAlign w:val="bottom"/>
          </w:tcPr>
          <w:p>
            <w:pPr>
              <w:ind w:left="36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1,819,923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1,267,110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payable and current maturities of long-term debt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76,980</w:t>
            </w: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50,293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50,730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payroll and related costs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49,471</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138,586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97,641</w:t>
            </w: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253,495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274,822</w:t>
            </w:r>
          </w:p>
        </w:tc>
        <w:tc>
          <w:tcPr>
            <w:tcW w:w="0" w:type="dxa"/>
            <w:vAlign w:val="bottom"/>
          </w:tcPr>
          <w:p>
            <w:pPr>
              <w:spacing w:after="0"/>
              <w:rPr>
                <w:sz w:val="1"/>
                <w:szCs w:val="1"/>
                <w:color w:val="auto"/>
              </w:rPr>
            </w:pPr>
          </w:p>
        </w:tc>
      </w:tr>
      <w:tr>
        <w:trPr>
          <w:trHeight w:val="207"/>
        </w:trPr>
        <w:tc>
          <w:tcPr>
            <w:tcW w:w="8020" w:type="dxa"/>
            <w:vAlign w:val="bottom"/>
          </w:tcPr>
          <w:p>
            <w:pPr>
              <w:ind w:left="140"/>
              <w:spacing w:after="0"/>
              <w:rPr>
                <w:sz w:val="20"/>
                <w:szCs w:val="20"/>
                <w:color w:val="auto"/>
              </w:rPr>
            </w:pPr>
            <w:r>
              <w:rPr>
                <w:rFonts w:ascii="Arial" w:cs="Arial" w:eastAsia="Arial" w:hAnsi="Arial"/>
                <w:sz w:val="16"/>
                <w:szCs w:val="16"/>
                <w:color w:val="auto"/>
              </w:rPr>
              <w:t>Long-term debt, net of current maturities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690,592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305,513</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liability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10,562</w:t>
            </w: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Other long-term liabilities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100,341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89,104</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140"/>
              <w:spacing w:after="0" w:line="166" w:lineRule="exact"/>
              <w:rPr>
                <w:sz w:val="20"/>
                <w:szCs w:val="20"/>
                <w:color w:val="auto"/>
              </w:rPr>
            </w:pPr>
            <w:r>
              <w:rPr>
                <w:rFonts w:ascii="Arial" w:cs="Arial" w:eastAsia="Arial" w:hAnsi="Arial"/>
                <w:sz w:val="16"/>
                <w:szCs w:val="16"/>
                <w:color w:val="auto"/>
                <w:w w:val="95"/>
              </w:rPr>
              <w:t>Common stock, $0.01 par value; Authorized — 150,000,000 shares; Issued and outstanding — 50,868,820 shares at</w:t>
            </w:r>
          </w:p>
        </w:tc>
        <w:tc>
          <w:tcPr>
            <w:tcW w:w="3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09"/>
        </w:trPr>
        <w:tc>
          <w:tcPr>
            <w:tcW w:w="8020" w:type="dxa"/>
            <w:vAlign w:val="bottom"/>
          </w:tcPr>
          <w:p>
            <w:pPr>
              <w:ind w:left="140"/>
              <w:spacing w:after="0"/>
              <w:rPr>
                <w:sz w:val="20"/>
                <w:szCs w:val="20"/>
                <w:color w:val="auto"/>
              </w:rPr>
            </w:pPr>
            <w:r>
              <w:rPr>
                <w:rFonts w:ascii="Arial" w:cs="Arial" w:eastAsia="Arial" w:hAnsi="Arial"/>
                <w:sz w:val="16"/>
                <w:szCs w:val="16"/>
                <w:color w:val="auto"/>
              </w:rPr>
              <w:t>April 3, 2021 and 50,322,930 shares at March 28, 2020</w:t>
            </w:r>
          </w:p>
        </w:tc>
        <w:tc>
          <w:tcPr>
            <w:tcW w:w="3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602,727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553,229</w:t>
            </w: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157,981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78,512</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(45,135)</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731,670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587,109</w:t>
            </w: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1,819,923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1,267,110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30" w:right="57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4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72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980" w:type="dxa"/>
            <w:vAlign w:val="bottom"/>
          </w:tcPr>
          <w:p>
            <w:pPr>
              <w:jc w:val="center"/>
              <w:ind w:right="6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45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4"/>
                <w:szCs w:val="4"/>
                <w:color w:val="auto"/>
              </w:rPr>
            </w:pPr>
          </w:p>
        </w:tc>
        <w:tc>
          <w:tcPr>
            <w:tcW w:w="980" w:type="dxa"/>
            <w:vAlign w:val="bottom"/>
            <w:vMerge w:val="restart"/>
          </w:tcPr>
          <w:p>
            <w:pPr>
              <w:jc w:val="center"/>
              <w:ind w:right="49"/>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line="20" w:lineRule="exact"/>
              <w:rPr>
                <w:sz w:val="1"/>
                <w:szCs w:val="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Par Value</w:t>
            </w:r>
          </w:p>
        </w:tc>
        <w:tc>
          <w:tcPr>
            <w:tcW w:w="1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Retained Earnings</w:t>
            </w: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Paid-in Capital</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Income/(Loss)</w:t>
            </w:r>
          </w:p>
        </w:tc>
        <w:tc>
          <w:tcPr>
            <w:tcW w:w="120" w:type="dxa"/>
            <w:vAlign w:val="bottom"/>
          </w:tcPr>
          <w:p>
            <w:pPr>
              <w:spacing w:after="0"/>
              <w:rPr>
                <w:sz w:val="14"/>
                <w:szCs w:val="14"/>
                <w:color w:val="auto"/>
              </w:rPr>
            </w:pPr>
          </w:p>
        </w:tc>
        <w:tc>
          <w:tcPr>
            <w:tcW w:w="980" w:type="dxa"/>
            <w:vAlign w:val="bottom"/>
          </w:tcPr>
          <w:p>
            <w:pPr>
              <w:jc w:val="center"/>
              <w:ind w:right="69"/>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13"/>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2018</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52,343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503,955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266,942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752,429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vMerge w:val="restart"/>
          </w:tcPr>
          <w:p>
            <w:pPr>
              <w:ind w:left="140"/>
              <w:spacing w:after="0"/>
              <w:rPr>
                <w:sz w:val="20"/>
                <w:szCs w:val="20"/>
                <w:color w:val="auto"/>
              </w:rPr>
            </w:pPr>
            <w:r>
              <w:rPr>
                <w:rFonts w:ascii="Arial" w:cs="Arial" w:eastAsia="Arial" w:hAnsi="Arial"/>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20" w:type="dxa"/>
            <w:vAlign w:val="bottom"/>
            <w:tcBorders>
              <w:top w:val="single" w:sz="8" w:color="CCEEFF"/>
            </w:tcBorders>
            <w:vMerge w:val="continue"/>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3,253</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10,191</w:t>
            </w:r>
          </w:p>
        </w:tc>
        <w:tc>
          <w:tcPr>
            <w:tcW w:w="0" w:type="dxa"/>
            <w:vAlign w:val="bottom"/>
          </w:tcPr>
          <w:p>
            <w:pPr>
              <w:spacing w:after="0"/>
              <w:rPr>
                <w:sz w:val="1"/>
                <w:szCs w:val="1"/>
                <w:color w:val="auto"/>
              </w:rPr>
            </w:pPr>
          </w:p>
        </w:tc>
      </w:tr>
      <w:tr>
        <w:trPr>
          <w:trHeight w:val="186"/>
        </w:trPr>
        <w:tc>
          <w:tcPr>
            <w:tcW w:w="4520" w:type="dxa"/>
            <w:vAlign w:val="bottom"/>
          </w:tcPr>
          <w:p>
            <w:pPr>
              <w:ind w:left="140"/>
              <w:spacing w:after="0"/>
              <w:rPr>
                <w:sz w:val="20"/>
                <w:szCs w:val="20"/>
                <w:color w:val="auto"/>
              </w:rPr>
            </w:pPr>
            <w:r>
              <w:rPr>
                <w:rFonts w:ascii="Arial" w:cs="Arial" w:eastAsia="Arial" w:hAnsi="Arial"/>
                <w:sz w:val="14"/>
                <w:szCs w:val="14"/>
                <w:color w:val="auto"/>
              </w:rPr>
              <w:t>Shares repurchased</w:t>
            </w:r>
          </w:p>
        </w:tc>
        <w:tc>
          <w:tcPr>
            <w:tcW w:w="660" w:type="dxa"/>
            <w:vAlign w:val="bottom"/>
          </w:tcPr>
          <w:p>
            <w:pPr>
              <w:jc w:val="right"/>
              <w:spacing w:after="0"/>
              <w:rPr>
                <w:sz w:val="20"/>
                <w:szCs w:val="20"/>
                <w:color w:val="auto"/>
              </w:rPr>
            </w:pPr>
            <w:r>
              <w:rPr>
                <w:rFonts w:ascii="Arial" w:cs="Arial" w:eastAsia="Arial" w:hAnsi="Arial"/>
                <w:sz w:val="14"/>
                <w:szCs w:val="14"/>
                <w:color w:val="auto"/>
              </w:rPr>
              <w:t>(1,841)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(161,719)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(160,000)</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20" w:type="dxa"/>
            <w:vAlign w:val="bottom"/>
          </w:tcPr>
          <w:p>
            <w:pPr>
              <w:ind w:left="14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17,188</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Cumulative effect of change in accounting standards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186"/>
        </w:trPr>
        <w:tc>
          <w:tcPr>
            <w:tcW w:w="45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55,019</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(11,389)</w:t>
            </w:r>
          </w:p>
        </w:tc>
        <w:tc>
          <w:tcPr>
            <w:tcW w:w="0" w:type="dxa"/>
            <w:vAlign w:val="bottom"/>
          </w:tcPr>
          <w:p>
            <w:pPr>
              <w:spacing w:after="0"/>
              <w:rPr>
                <w:sz w:val="1"/>
                <w:szCs w:val="1"/>
                <w:color w:val="auto"/>
              </w:rPr>
            </w:pPr>
          </w:p>
        </w:tc>
      </w:tr>
      <w:tr>
        <w:trPr>
          <w:trHeight w:val="186"/>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Balance, March 30, 2019</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51,020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536,320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161,418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(30,380)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667,868</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stock purchase plan</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3,369</w:t>
            </w:r>
          </w:p>
        </w:tc>
        <w:tc>
          <w:tcPr>
            <w:tcW w:w="0" w:type="dxa"/>
            <w:vAlign w:val="bottom"/>
          </w:tcPr>
          <w:p>
            <w:pPr>
              <w:spacing w:after="0"/>
              <w:rPr>
                <w:sz w:val="1"/>
                <w:szCs w:val="1"/>
                <w:color w:val="auto"/>
              </w:rPr>
            </w:pPr>
          </w:p>
        </w:tc>
      </w:tr>
      <w:tr>
        <w:trPr>
          <w:trHeight w:val="186"/>
        </w:trPr>
        <w:tc>
          <w:tcPr>
            <w:tcW w:w="452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8,647</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 repurchased</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(175,000)</w:t>
            </w:r>
          </w:p>
        </w:tc>
        <w:tc>
          <w:tcPr>
            <w:tcW w:w="0" w:type="dxa"/>
            <w:vAlign w:val="bottom"/>
          </w:tcPr>
          <w:p>
            <w:pPr>
              <w:spacing w:after="0"/>
              <w:rPr>
                <w:sz w:val="1"/>
                <w:szCs w:val="1"/>
                <w:color w:val="auto"/>
              </w:rPr>
            </w:pPr>
          </w:p>
        </w:tc>
      </w:tr>
      <w:tr>
        <w:trPr>
          <w:trHeight w:val="186"/>
        </w:trPr>
        <w:tc>
          <w:tcPr>
            <w:tcW w:w="4520" w:type="dxa"/>
            <w:vAlign w:val="bottom"/>
          </w:tcPr>
          <w:p>
            <w:pPr>
              <w:ind w:left="14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20,454</w:t>
            </w:r>
          </w:p>
        </w:tc>
        <w:tc>
          <w:tcPr>
            <w:tcW w:w="0" w:type="dxa"/>
            <w:vAlign w:val="bottom"/>
          </w:tcPr>
          <w:p>
            <w:pPr>
              <w:spacing w:after="0"/>
              <w:rPr>
                <w:sz w:val="1"/>
                <w:szCs w:val="1"/>
                <w:color w:val="auto"/>
              </w:rPr>
            </w:pPr>
          </w:p>
        </w:tc>
      </w:tr>
      <w:tr>
        <w:trPr>
          <w:trHeight w:val="186"/>
        </w:trPr>
        <w:tc>
          <w:tcPr>
            <w:tcW w:w="45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76,526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76,526</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(14,755)</w:t>
            </w:r>
          </w:p>
        </w:tc>
        <w:tc>
          <w:tcPr>
            <w:tcW w:w="0" w:type="dxa"/>
            <w:vAlign w:val="bottom"/>
          </w:tcPr>
          <w:p>
            <w:pPr>
              <w:spacing w:after="0"/>
              <w:rPr>
                <w:sz w:val="1"/>
                <w:szCs w:val="1"/>
                <w:color w:val="auto"/>
              </w:rPr>
            </w:pPr>
          </w:p>
        </w:tc>
      </w:tr>
      <w:tr>
        <w:trPr>
          <w:trHeight w:val="186"/>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Balance, March 28, 2020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50,323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553,229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78,512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(45,135)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587,109</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stock purchase plan</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4,013</w:t>
            </w:r>
          </w:p>
        </w:tc>
        <w:tc>
          <w:tcPr>
            <w:tcW w:w="0" w:type="dxa"/>
            <w:vAlign w:val="bottom"/>
          </w:tcPr>
          <w:p>
            <w:pPr>
              <w:spacing w:after="0"/>
              <w:rPr>
                <w:sz w:val="1"/>
                <w:szCs w:val="1"/>
                <w:color w:val="auto"/>
              </w:rPr>
            </w:pPr>
          </w:p>
        </w:tc>
      </w:tr>
      <w:tr>
        <w:trPr>
          <w:trHeight w:val="186"/>
        </w:trPr>
        <w:tc>
          <w:tcPr>
            <w:tcW w:w="452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6,219</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20" w:type="dxa"/>
            <w:vAlign w:val="bottom"/>
          </w:tcPr>
          <w:p>
            <w:pPr>
              <w:ind w:left="14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25,516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25,516</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component of convertible notes, net of issuance costs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61,156</w:t>
            </w:r>
          </w:p>
        </w:tc>
        <w:tc>
          <w:tcPr>
            <w:tcW w:w="0" w:type="dxa"/>
            <w:vAlign w:val="bottom"/>
          </w:tcPr>
          <w:p>
            <w:pPr>
              <w:spacing w:after="0"/>
              <w:rPr>
                <w:sz w:val="1"/>
                <w:szCs w:val="1"/>
                <w:color w:val="auto"/>
              </w:rPr>
            </w:pPr>
          </w:p>
        </w:tc>
      </w:tr>
      <w:tr>
        <w:trPr>
          <w:trHeight w:val="186"/>
        </w:trPr>
        <w:tc>
          <w:tcPr>
            <w:tcW w:w="4520" w:type="dxa"/>
            <w:vAlign w:val="bottom"/>
          </w:tcPr>
          <w:p>
            <w:pPr>
              <w:ind w:left="140"/>
              <w:spacing w:after="0"/>
              <w:rPr>
                <w:sz w:val="20"/>
                <w:szCs w:val="20"/>
                <w:color w:val="auto"/>
              </w:rPr>
            </w:pPr>
            <w:r>
              <w:rPr>
                <w:rFonts w:ascii="Arial" w:cs="Arial" w:eastAsia="Arial" w:hAnsi="Arial"/>
                <w:sz w:val="14"/>
                <w:szCs w:val="14"/>
                <w:color w:val="auto"/>
              </w:rPr>
              <w:t>Purchase of capped call related to convertible notes</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(47,400)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(47,400)</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79,469</w:t>
            </w:r>
          </w:p>
        </w:tc>
        <w:tc>
          <w:tcPr>
            <w:tcW w:w="0" w:type="dxa"/>
            <w:vAlign w:val="bottom"/>
          </w:tcPr>
          <w:p>
            <w:pPr>
              <w:spacing w:after="0"/>
              <w:rPr>
                <w:sz w:val="1"/>
                <w:szCs w:val="1"/>
                <w:color w:val="auto"/>
              </w:rPr>
            </w:pPr>
          </w:p>
        </w:tc>
      </w:tr>
      <w:tr>
        <w:trPr>
          <w:trHeight w:val="186"/>
        </w:trPr>
        <w:tc>
          <w:tcPr>
            <w:tcW w:w="452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15,588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15,588</w:t>
            </w:r>
          </w:p>
        </w:tc>
        <w:tc>
          <w:tcPr>
            <w:tcW w:w="0" w:type="dxa"/>
            <w:vAlign w:val="bottom"/>
          </w:tcPr>
          <w:p>
            <w:pPr>
              <w:spacing w:after="0"/>
              <w:rPr>
                <w:sz w:val="1"/>
                <w:szCs w:val="1"/>
                <w:color w:val="auto"/>
              </w:rPr>
            </w:pPr>
          </w:p>
        </w:tc>
      </w:tr>
      <w:tr>
        <w:trPr>
          <w:trHeight w:val="211"/>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Balance, April 3,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50,869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602,727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157,981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(29,547)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731,670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April 3,</w:t>
            </w: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March 28,</w:t>
            </w:r>
          </w:p>
        </w:tc>
        <w:tc>
          <w:tcPr>
            <w:tcW w:w="260" w:type="dxa"/>
            <w:vAlign w:val="bottom"/>
          </w:tcPr>
          <w:p>
            <w:pPr>
              <w:spacing w:after="0"/>
              <w:rPr>
                <w:sz w:val="11"/>
                <w:szCs w:val="11"/>
                <w:color w:val="auto"/>
              </w:rPr>
            </w:pPr>
          </w:p>
        </w:tc>
        <w:tc>
          <w:tcPr>
            <w:tcW w:w="1180" w:type="dxa"/>
            <w:vAlign w:val="bottom"/>
          </w:tcPr>
          <w:p>
            <w:pPr>
              <w:jc w:val="right"/>
              <w:ind w:right="319"/>
              <w:spacing w:after="0" w:line="135"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88"/>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79,469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76,526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55,019</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Non-cash items: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109,418</w:t>
            </w: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Impairment of assets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21,969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50,599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21,170</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17,188</w:t>
            </w: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Gain on divestiture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(32,812)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(benefit) provision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13,351</w:t>
            </w: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Unrealized loss (gain) from hedging activities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(benefit) for losses on inventory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Other non-cash operating activities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3,798</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operating assets and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Change in accounts receivable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44,121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(38,064)</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inventories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(39,322)</w:t>
            </w: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Change in prepaid income taxes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(3,594)</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other assets and other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 in accounts payable and accrued expenses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(17,308)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17,736</w:t>
            </w: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159,281</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(118,961)</w:t>
            </w: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Proceeds from divestiture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44,587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Acquisitions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(434,804)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(425,442)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(116,148)</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 borrowings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347,780</w:t>
            </w: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Repayment of term loan borrowings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(21,875)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(266,853)</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(decrease) increase in short-term loans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Proceeds from issuance of convertible notes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capped call related to convertible notes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Transaction costs paid in connection with convertible notes issuance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employee stock purchase plan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w:t>
            </w: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10,191</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 repurchases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(160,000)</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367,452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(50,628)</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(3,323)</w:t>
            </w: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(10,818)</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137,311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169,351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180,169</w:t>
            </w:r>
          </w:p>
        </w:tc>
        <w:tc>
          <w:tcPr>
            <w:tcW w:w="0" w:type="dxa"/>
            <w:vAlign w:val="bottom"/>
          </w:tcPr>
          <w:p>
            <w:pPr>
              <w:spacing w:after="0"/>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192,305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137,311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169,351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13,116</w:t>
            </w: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Income taxes paid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12,487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11,507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8,205</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9,287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14,479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16,345</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Tenant improvement allowances excluded from capital expenditures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BASIS OF PRESENTATION</w:t>
      </w:r>
    </w:p>
    <w:p>
      <w:pPr>
        <w:spacing w:after="0" w:line="2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Haemonetics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Blood is essential to a modern healthcare system. Blood and its components (plasma, red cells and platelets)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Haemonetics manages its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Cell Salvage, Transfusion Management and Vascular Closure products, includes devices and methodologies for measuring coagulation characteristics of blood, surgical blood salvage systems, specialized blood cell processing systems and disposables, blood transfusion management software and vascular closure devices.</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consolidated financial statements present separately the Company's consolidated financial position, results of operations, cash flows and changes in shareholders’ equity. The consolidated financial statements have been prepared in accordance with U.S. generally accepted accounting principles (“U.S. GAAP”). All amounts presented, except per share amounts, are stated in thousands of U.S. dollars, unless otherwise indicated. The Company has assessed its ability to continue as a going concern. As of April 3, 2021, Haemonetics has concluded that substantial doubt about its ability to continue as a going concern does not exist.</w:t>
      </w:r>
    </w:p>
    <w:p>
      <w:pPr>
        <w:spacing w:after="0" w:line="21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There were no material recognized or unrecognized subsequent events.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5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Haemonetics' fiscal year ends on the Saturday closest to the last day of March. Fiscal 2021 included 53 weeks with each of the first three quarters having 13 weeks and the fourth quarter having 14 weeks. Fiscal 2020 and 2019 included 52 weeks with each quarter having 13 weeks.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accompanying consolidated financial statements include all accounts including those of its subsidiaries. All significant intercompany accounts and transactions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the Company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amounts derived from its estimates and assumptions. The Company considers estimates to be critical if they are required to make assumptions about material matters that are uncertain at the time of estimation or if materially different estimates could have been made or it is reasonably likely that the accounting estimate will change from period to period. The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2" w:name="page63"/>
    <w:bookmarkEnd w:id="6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following are areas considered to be critical and require management’s judgment: revenue recognition, inventory provisions, intangible asset and goodwill valuation, convertible note valuation, legal and other judgmental accruals and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the Company records the minimum loss contingency amount, which could be zero. These estimates are often initially developed substantially earlier than the ultimate loss is known and the estimates are reevaluated each accounting period, as additional information is available. As information becomes known, an additional loss provision is recorded when either a best estimate can be made or the minimum loss amount is increased. When events result in an expectation of a more favorable outcome than previously expected, the best estimate is changed to a lower amount.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Company's revenue recognition policy is to recognize revenues from product sales, software and services in accordance with the Financial Accounting Standards Board (“FASB”) issued Accounting Standards Codification (“ASC”) Update No. 2014-19,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Revenue is recognized when obligations under the terms of a contract with a customer are satisfied; this occurs with the 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the Company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Revenues</w:t>
      </w:r>
    </w:p>
    <w:p>
      <w:pPr>
        <w:spacing w:after="0" w:line="25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majority of the Company’s performance obligations related to product sales are satisfied at a point in time. Product revenue consists of the sale of its disposable blood component collection and processing sets and the related equipment. The Company’s performance obligation related to product sales is satisfied upon shipment or delivery to the customer based on the specified terms set forth in the customer contract. Shipping and handling activities performed after a customer obtains control of the good are treated as fulfillment activities and are not considered to be a separate performance obligation. Revenue is recognized over time for maintenance plans provided to customers that provide services beyond the Company’s standard warranty period. Payment terms between customers related to product sales vary by the type of customer, country of sale, and the products or services offered and could result in an unbilled receivable or deferred revenue balance depending on whether the performance obligation has been satisfied (or partially satisfied).</w:t>
      </w:r>
    </w:p>
    <w:p>
      <w:pPr>
        <w:spacing w:after="0" w:line="193"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For product sales to distributors, the Company recognizes revenue for both equipment and disposables upon shipment to distributors, which is when its performance obligations are complete. The Company's standard contracts with its distributors state that title to the equipment passes to the distributors at point of shipment to a distributor’s location. The distributors are responsible for shipment to the end customer along with any installation, training and acceptance of the equipment by the end customer. Payments from distributors are not contingent upon resale of the product.</w:t>
      </w:r>
    </w:p>
    <w:p>
      <w:pPr>
        <w:spacing w:after="0" w:line="1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also places equipment at customer sites. While the Company retains ownership of this equipment, the customer has the right to use it for a period of time provided they meet certain agreed to conditions. The Company recovers the cost of providing the equipment from the sale of its disposables.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Software and Other Revenues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a lesser extent, the Company enters into other types of contracts including certain software licensing arrangements to provide software solutions to support its plasma, blood collection and hospital customers. A portion of its software sales are perpetual licenses typically accompanied by significant implementation services related to software customization as well as other professional and technical services. The Company generally recognizes revenue from the sale of perpetual licenses and related customization services over time (the Company is creating or enhancing an asset that the customer controls) using an input method which requires it to make estimates of the extent of progress toward completion of the contract. When the Company provides other services, including in some instances hosting, technical support and maintenance, it recognizes these fees and charges over time (the customer simultaneously receives and consumes benefits), as performance obligations for these services are satisfied during the contract period. Certain of the Company's software licensing arrangements are term-based licenses that include a per-collection or a usage-based fee related to the use of the license and the related technical support and hosting services. For these usage-based arrangements, the Company applies the revenue recognition exception resulting in revenue recognition occurring upon the later of actual usage or satisfaction of the related performance obligations. The payment terms for software licensing arrangements vary by customer pursuant to the terms set forth in the customer contract and result in an unbilled receivable or deferred revenue balance depending on whether the performance obligation has been satisfied (or partially satisfied).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Revenues from product sales are recorded at the net sales price, which includes estimates of variable consideration related to rebates, product returns and volume discounts. These reserves, which are based on estimates of the amounts earned or to be claimed on the related sales, are recorded as a reduction of revenue and a current liability. The Company's estimates take into consideration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 If the Company is unable to estimate the expected rebates reasonably, it records a liability for the maximum potential rebate or discount that could be earned. In circumstances where the Company provides upfront rebate payments to customers, it capitalizes the rebate payments and amortizes the resulting asset as a reduction of revenue using a systematic method over the life of the contract.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Balances</w:t>
      </w:r>
    </w:p>
    <w:p>
      <w:pPr>
        <w:spacing w:after="0" w:line="25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consolidated balance sheets. The difference in timing between billing and revenue recognition primarily occurs in software licensing arrangements, resulting in contract assets and contract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elected not to disclose the value of transaction price allocated to unsatisfied performance obligations for contracts with an original expected length of one year or less. When applicable, the Company has also elected to use the practical expedient to not adjust the promised amount of consideration for the effects of a significant financing component if it is expected, at contract inception, that the period between when the Company transfers a promised good or service to a customer and when the customer pays for that good or service, will be one year or less.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Foreign Currencies</w:t>
      </w:r>
    </w:p>
    <w:p>
      <w:pPr>
        <w:spacing w:after="0" w:line="25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All assets and liabilities of foreign subsidiaries are translated at the rate of exchange at year-end while sales and expenses are translated at an average rate in effect during the year. The net effect of these translation adjustments is shown in the accompanying financial statements as a component of stockholders' equity. Foreign currency transaction gains and losses, including those resulting from intercompany transactions, are charged directly to earnings and included in other expense, net on the consolidated statements of income. The impact of foreign exchange on long-term intercompany loans, for which repayment has not been scheduled or planned, are recorded in accumulated other comprehensive loss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4" w:name="page65"/>
    <w:bookmarkEnd w:id="6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Cash equivalents include various instruments such as money market funds, U.S. government obligations and commercial paper with maturities of three months or less at date of acquisition. Cash and cash equivalents are recorded at cost, which approximates fair market value. As of April 3, 2021, cash and cash equivalents consisted of investments in United States Government Agency and institutional money market funds.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establishes a specific allowance for customers when it is probable that they will not be able to meet their financial obligations. Customer accounts are reviewed individually on a regular basis and reserves are established as deemed appropriate. The Company also maintains a general reserve using a percentage that is established based upon the age of its receivables and its collection history. The Company establishes allowances for balances not yet due and past due accounts based on past experience.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Inventories are stated at the lower of cost or market and include the cost of material, labor and manufacturing overhead. Cost is determined with the first-in, first-out method. The Company has based its provisions for excess, expired and obsolete inventory primarily on its estimates of forecasted net sales. Significant changes in the timing or level of demand for the Company's products result in recording additional provisions for excess, expired and obsolete inventory. Additionally, uncertain timing of next-generation product approvals, variability in product launch strategies, non-cancelable purchase commitments, product recalls and variation in product utilization all affect the Company's estimates related to excess, expired and obsolete inventory.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Property, plant and equipment is recorded at historical cost. The Company provides for depreciation and amortization by charges to operations using the straight-line method in amounts estimated to recover the cost of the building and improvements, equipment and furniture and fixtures over their estimated useful lives as follows:</w:t>
      </w:r>
    </w:p>
    <w:tbl>
      <w:tblPr>
        <w:tblLayout w:type="fixed"/>
        <w:tblInd w:w="0" w:type="dxa"/>
        <w:tblCellMar>
          <w:top w:w="0" w:type="dxa"/>
          <w:left w:w="0" w:type="dxa"/>
          <w:bottom w:w="0" w:type="dxa"/>
          <w:right w:w="0" w:type="dxa"/>
        </w:tblCellMar>
      </w:tblPr>
      <w:tr>
        <w:trPr>
          <w:trHeight w:val="144"/>
        </w:trPr>
        <w:tc>
          <w:tcPr>
            <w:tcW w:w="67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Asset Classification</w:t>
            </w:r>
          </w:p>
        </w:tc>
        <w:tc>
          <w:tcPr>
            <w:tcW w:w="4460" w:type="dxa"/>
            <w:vAlign w:val="bottom"/>
            <w:shd w:val="clear" w:color="auto" w:fill="CCEEFF"/>
          </w:tcPr>
          <w:p>
            <w:pPr>
              <w:jc w:val="center"/>
              <w:ind w:left="3115"/>
              <w:spacing w:after="0" w:line="144"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8"/>
        </w:trPr>
        <w:tc>
          <w:tcPr>
            <w:tcW w:w="6740" w:type="dxa"/>
            <w:vAlign w:val="bottom"/>
            <w:tcBorders>
              <w:bottom w:val="single" w:sz="8" w:color="auto"/>
            </w:tcBorders>
            <w:vMerge w:val="continue"/>
            <w:shd w:val="clear" w:color="auto" w:fill="CCEEFF"/>
          </w:tcPr>
          <w:p>
            <w:pPr>
              <w:spacing w:after="0"/>
              <w:rPr>
                <w:sz w:val="16"/>
                <w:szCs w:val="16"/>
                <w:color w:val="auto"/>
              </w:rPr>
            </w:pPr>
          </w:p>
        </w:tc>
        <w:tc>
          <w:tcPr>
            <w:tcW w:w="4460" w:type="dxa"/>
            <w:vAlign w:val="bottom"/>
            <w:tcBorders>
              <w:bottom w:val="single" w:sz="8" w:color="auto"/>
            </w:tcBorders>
            <w:shd w:val="clear" w:color="auto" w:fill="CCEEFF"/>
          </w:tcPr>
          <w:p>
            <w:pPr>
              <w:jc w:val="center"/>
              <w:ind w:left="3095"/>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224"/>
        </w:trPr>
        <w:tc>
          <w:tcPr>
            <w:tcW w:w="6740" w:type="dxa"/>
            <w:vAlign w:val="bottom"/>
          </w:tcPr>
          <w:p>
            <w:pPr>
              <w:ind w:left="20"/>
              <w:spacing w:after="0"/>
              <w:rPr>
                <w:sz w:val="20"/>
                <w:szCs w:val="20"/>
                <w:color w:val="auto"/>
              </w:rPr>
            </w:pPr>
            <w:r>
              <w:rPr>
                <w:rFonts w:ascii="Arial" w:cs="Arial" w:eastAsia="Arial" w:hAnsi="Arial"/>
                <w:sz w:val="18"/>
                <w:szCs w:val="18"/>
                <w:color w:val="auto"/>
              </w:rPr>
              <w:t>Building</w:t>
            </w:r>
          </w:p>
        </w:tc>
        <w:tc>
          <w:tcPr>
            <w:tcW w:w="4460" w:type="dxa"/>
            <w:vAlign w:val="bottom"/>
          </w:tcPr>
          <w:p>
            <w:pPr>
              <w:jc w:val="center"/>
              <w:ind w:left="3115"/>
              <w:spacing w:after="0"/>
              <w:rPr>
                <w:sz w:val="20"/>
                <w:szCs w:val="20"/>
                <w:color w:val="auto"/>
              </w:rPr>
            </w:pPr>
            <w:r>
              <w:rPr>
                <w:rFonts w:ascii="Arial" w:cs="Arial" w:eastAsia="Arial" w:hAnsi="Arial"/>
                <w:sz w:val="18"/>
                <w:szCs w:val="18"/>
                <w:color w:val="auto"/>
                <w:w w:val="87"/>
              </w:rPr>
              <w:t>30-40 Years</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improvements</w:t>
            </w:r>
          </w:p>
        </w:tc>
        <w:tc>
          <w:tcPr>
            <w:tcW w:w="4460" w:type="dxa"/>
            <w:vAlign w:val="bottom"/>
            <w:shd w:val="clear" w:color="auto" w:fill="CCEEFF"/>
          </w:tcPr>
          <w:p>
            <w:pPr>
              <w:jc w:val="center"/>
              <w:ind w:left="3115"/>
              <w:spacing w:after="0"/>
              <w:rPr>
                <w:sz w:val="20"/>
                <w:szCs w:val="20"/>
                <w:color w:val="auto"/>
              </w:rPr>
            </w:pPr>
            <w:r>
              <w:rPr>
                <w:rFonts w:ascii="Arial" w:cs="Arial" w:eastAsia="Arial" w:hAnsi="Arial"/>
                <w:sz w:val="18"/>
                <w:szCs w:val="18"/>
                <w:color w:val="auto"/>
                <w:w w:val="88"/>
              </w:rPr>
              <w:t>5-20 Years</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Plant equipment and machinery</w:t>
            </w:r>
          </w:p>
        </w:tc>
        <w:tc>
          <w:tcPr>
            <w:tcW w:w="4460" w:type="dxa"/>
            <w:vAlign w:val="bottom"/>
          </w:tcPr>
          <w:p>
            <w:pPr>
              <w:jc w:val="center"/>
              <w:ind w:left="3115"/>
              <w:spacing w:after="0"/>
              <w:rPr>
                <w:sz w:val="20"/>
                <w:szCs w:val="20"/>
                <w:color w:val="auto"/>
              </w:rPr>
            </w:pPr>
            <w:r>
              <w:rPr>
                <w:rFonts w:ascii="Arial" w:cs="Arial" w:eastAsia="Arial" w:hAnsi="Arial"/>
                <w:sz w:val="18"/>
                <w:szCs w:val="18"/>
                <w:color w:val="auto"/>
                <w:w w:val="88"/>
              </w:rPr>
              <w:t>3-15 Years</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 and information technology</w:t>
            </w:r>
          </w:p>
        </w:tc>
        <w:tc>
          <w:tcPr>
            <w:tcW w:w="4460" w:type="dxa"/>
            <w:vAlign w:val="bottom"/>
            <w:shd w:val="clear" w:color="auto" w:fill="CCEEFF"/>
          </w:tcPr>
          <w:p>
            <w:pPr>
              <w:jc w:val="center"/>
              <w:ind w:left="3115"/>
              <w:spacing w:after="0"/>
              <w:rPr>
                <w:sz w:val="20"/>
                <w:szCs w:val="20"/>
                <w:color w:val="auto"/>
              </w:rPr>
            </w:pPr>
            <w:r>
              <w:rPr>
                <w:rFonts w:ascii="Arial" w:cs="Arial" w:eastAsia="Arial" w:hAnsi="Arial"/>
                <w:sz w:val="18"/>
                <w:szCs w:val="18"/>
                <w:color w:val="auto"/>
                <w:w w:val="88"/>
              </w:rPr>
              <w:t>3-10 Years</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Haemonetics equipment</w:t>
            </w:r>
          </w:p>
        </w:tc>
        <w:tc>
          <w:tcPr>
            <w:tcW w:w="4460" w:type="dxa"/>
            <w:vAlign w:val="bottom"/>
          </w:tcPr>
          <w:p>
            <w:pPr>
              <w:jc w:val="center"/>
              <w:ind w:left="3095"/>
              <w:spacing w:after="0"/>
              <w:rPr>
                <w:sz w:val="20"/>
                <w:szCs w:val="20"/>
                <w:color w:val="auto"/>
              </w:rPr>
            </w:pPr>
            <w:r>
              <w:rPr>
                <w:rFonts w:ascii="Arial" w:cs="Arial" w:eastAsia="Arial" w:hAnsi="Arial"/>
                <w:sz w:val="18"/>
                <w:szCs w:val="18"/>
                <w:color w:val="auto"/>
                <w:w w:val="87"/>
              </w:rPr>
              <w:t>3-7 Years</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evaluates the depreciation periods of property, plant and equipment to determine whether events or circumstances warrant revised estimates of useful lives. All property, plant and equipment are also tested for impairment whenever events or changes in circumstances indicate that their carrying amount may not be recoverable.</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installed base of devices includes devices owned by the Company and devices sold to the customer. The asset on its balance sheet classified as Haemonetics equipment consists of medical devices installed at customer sites but owned by Haemonetics. Generally, the customer has the right to use it for a period of time as long as they meet the conditions the Company has established, which among other things, generally include one or more of the following:</w:t>
      </w:r>
    </w:p>
    <w:p>
      <w:pPr>
        <w:spacing w:after="0" w:line="214"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Purchase and consumption of a certain level of disposable products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 of monthly rental fees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3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Consistent with the impairment tests noted below for other intangible assets subject to amortization, the Company reviews Haemonetics equipment and the related useful lives of such equipment at least once a year, or more frequently if certain conditions arise, to determine if any adverse conditions exist that would indicate the carrying value of these assets may not be recoverable. To conduct these reviews, the Company estimates the future amount and timing of demand for disposables used with these devices, from which it generates revenues. The Company also considers product life cycle in its evaluation of useful life and recoverability. Changes in expected demand can result in additional depreciation expense, which is classified as cost of</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5" w:name="page66"/>
    <w:bookmarkEnd w:id="6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goods sold. Any significant unanticipated changes in demand could impact the value of the Company's devices and its reported operating results.</w:t>
      </w:r>
    </w:p>
    <w:p>
      <w:pPr>
        <w:spacing w:after="0" w:line="2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Leasehold improvements are depreciated over the lesser of their useful lives or the term of the lease. Maintenance and repairs are generally expensed to operations as incurred. When the repair or maintenance costs significantly extend the life of the asset, these costs may be capitalized. When equipment and improvements are sold or otherwise disposed of, the asset cost and accumulated depreciation are removed from the accounts and the resulting gain or loss, if any, is included in the consolidated statements of income.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In February 2016, the FASB issued ASC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ASC Update No. 2016-02 is intended to increase the transparency and comparability among organizations by recognizing lease asset and lease liabilities on the balance sheet, including those previously classified as operating leases under current U.S. GAAP and disclosing key information about leasing arrangements. In July 2018, the FASB issued an update to the leasing guidance to allow an additional transition option which would allow companies to adopt the standard as of the beginning of the year of adoption as opposed to the earliest comparative period presented. The Company adopted the new standard on March 31, 2019.</w:t>
      </w:r>
    </w:p>
    <w:p>
      <w:pPr>
        <w:spacing w:after="0" w:line="2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Upon transition, the Company applied the package of practical expedients permitted under ASC Update No. 2016-02 transition guidance to its entire lease portfolio at March 31, 2019. As a result, the Company is not required to reassess (i) whether any expired or existing contracts are or contain leases, (ii) the classification of any expired or existing leases, and (iii) initial direct costs for any existing leases. The Company also elected to account for each lease component and the associated non-lease components as a single lease component and also elected not to recognize a lease liability or right-of-use asset for any lease that, at commencement date, has a lease term of 12 months or less and does not include an option to purchase the underlying asset that the Company is reasonably certain to exercise.</w:t>
      </w:r>
    </w:p>
    <w:p>
      <w:pPr>
        <w:spacing w:after="0" w:line="21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a result of adopting ASC Update No. 2016-02, the Company recognized additional right-of-use assets of $22.9 million and corresponding liabilities of $22.7 million for its existing lease portfolio on the consolidated balance sheets, with no material impact to the consolidated statements of operations or consolidated statements of cash flows. Additionally, the Company implemented a new lease administration and lease accounting system and has updated controls and procedures for maintaining and accounting for its lease portfolio under the new standard.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represents the excess purchase price over the fair value of the net tangible and other identifiable intangible assets acquired. Goodwill is not amortized. Instead goodwill is reviewed for impairment at least annually, or on an interim basis between annual tests when events or circumstances indicate that it is more likely than not that the fair value of a reporting unit is less than its carrying value. The Company performs its annual impairment test on the first day of the fiscal fourth quarter for each of its reporting units.</w:t>
      </w:r>
    </w:p>
    <w:p>
      <w:pPr>
        <w:spacing w:after="0" w:line="21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Under ASC Update No.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xml:space="preserve"> entities perform their goodwill impairment test by comparing the fair value of a reporting unit with its carrying amount. An impairment charge is recognized for the amount by which the carrying value exceeds the reporting unit's fair value. A reporting unit is defined as an operating segment or one level below an operating segment, referred to as a component. The Company determines its reporting units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Haemonetics' reporting units for purposes of assessing goodwill impairment were historically based primarily on geography. Effective as of March 31, 2019, the Company completed the transition of its operating structure to three global business units and accordingly has reorganized its reporting structure to align with its three global business units and the information that will be regularly reviewed by the Company's chief operating decision maker. Following the reorganization, the Company's reportable segments are as follows: Plasma, Blood Center, and Hospital.</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When allocating goodwill from business combinations to its reporting units, the Company assigns goodwill to the reporting units that it expects to benefit from the respective business combination at the time of acquisition. In addition, for purposes of performing its goodwill impairment tests, assets and liabilities, including corporate assets, which relate to a reporting unit’s operations and would be considered in determining its fair value, are allocated to the individual reporting units. The Company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6" w:name="page67"/>
    <w:bookmarkEnd w:id="6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allocates assets and liabilities not directly related to a specific reporting unit, but from which the reporting unit benefits, based primarily on the respective revenue contribution of each reporting unit.</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uses the income approach, specifically the discounted cash flow method, to derive the fair value of each of its reporting units in preparing its goodwill impairment assessments. This approach calculates fair value by estimating the after-tax cash flows attributable to a reporting unit and then discounting these after-tax cash flows to a present value using a risk-adjusted discount rate. The Company selected this method as being the most meaningful in preparing its goodwill assessments because the use of the income approach typically generates a more precise measurement of fair value than the market approach. In applying the income approach to its accounting for goodwill, the Company makes assumptions about the amount and timing of future expected cash flows, terminal value growth rates and appropriate discount rates. The amount and timing of future cash flows within the Company's discounted cash flow analysis is based on its most recent operational budgets, long range strategic plans and other estimates. The terminal value growth rate is used to calculate the value of cash flows beyond the last projected period in the Company's discounted cash flow analysis and reflects the Company's best estimates for stable, perpetual growth of its reporting units. The Company uses estimates of market-participant risk adjusted weighted average cost of capital as a basis for determining the discount rates to apply to its reporting units’ future expected cash flows. The Company corroborated the valuations that arose from the discounted cash flow approach by performing both a market multiple valuation and by reconciling the aggregate fair value of its reporting units to its market capitalization at the time of the test.</w:t>
      </w:r>
    </w:p>
    <w:p>
      <w:pPr>
        <w:spacing w:after="0" w:line="19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During the fourth quarter of fiscal 2021, 2020 and 2019, the Company performed its annual goodwill impairment test under the guidelines of ASC Update No. 2017-04. The results of the goodwill impairment test performed indicated that the estimated fair value of all of its reporting units exceeded their respective carrying values. There were no reporting units at risk of impairment as of the fiscal 2021, 2020 and 2019 annual test date.</w:t>
      </w:r>
    </w:p>
    <w:p>
      <w:pPr>
        <w:spacing w:after="0" w:line="1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reviews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its products or the size of the market for its products.</w:t>
      </w:r>
    </w:p>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When an impairment indicator exists, the Company tests the intangible asset for recoverability. For purposes of the recoverability test, the Company groups its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the Company will write the carrying value down to the fair value in the period identified.</w:t>
      </w:r>
    </w:p>
    <w:p>
      <w:pPr>
        <w:spacing w:after="0" w:line="215"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Company generally calculates the fair value of its intangible assets as the present value of estimated future cash flows it expects to generate from the asset using a risk-adjusted discount rate. In determining its estimated future cash flows associated with its intangible assets, the Company uses estimates and assumptions about future revenue contributions, cost structures and remaining useful lives of the asset (asset group).</w:t>
      </w:r>
    </w:p>
    <w:p>
      <w:pPr>
        <w:spacing w:after="0" w:line="1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If the Company determines the estimate of an intangible asset's remaining useful life should be reduced based on its expected use of the asset, the remaining carrying amount of the asset is amortized prospectively over the revised estimated useful life. During fiscal 2021, 2020 and 2019 the Company did not incur any intangible asset impairments.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Costs of Computer Software to be Sold, Leased, or Otherwise Marketed</w:t>
      </w:r>
    </w:p>
    <w:p>
      <w:pPr>
        <w:spacing w:after="0" w:line="25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ASC Topic 985-20, </w:t>
      </w:r>
      <w:r>
        <w:rPr>
          <w:rFonts w:ascii="Arial" w:cs="Arial" w:eastAsia="Arial" w:hAnsi="Arial"/>
          <w:sz w:val="17"/>
          <w:szCs w:val="17"/>
          <w:i w:val="1"/>
          <w:iCs w:val="1"/>
          <w:color w:val="auto"/>
        </w:rPr>
        <w:t>Software - Costs of Software to be Sold, Leased or Marketed</w:t>
      </w:r>
      <w:r>
        <w:rPr>
          <w:rFonts w:ascii="Arial" w:cs="Arial" w:eastAsia="Arial" w:hAnsi="Arial"/>
          <w:sz w:val="17"/>
          <w:szCs w:val="17"/>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at which point capitalized costs are amortized over their estimated useful life of 5 to 10 years. Technological feasibility is established when it has a detailed design of the software and when research and development activities on the underlying device, if applicable, are completed. The Company capitalizes costs associated with both software that it sells as a separate product and software that is embedded in a device.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reviews the net realizable value of capitalized assets periodically to assess the recoverability of amounts capitalized. There were no impairment charges recorded during fiscal 2021, 2020 and 2019. In the future, the net realizable value may be adversely affected by the loss of a significant customer or a significant change in the market place, which could result in an impairment being recorded.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252"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color w:val="auto"/>
        </w:rPr>
        <w:t>Other current liabilities represent items payable or expected to settle within the next twelve months. The items included in the fiscal year end balances were:</w:t>
      </w:r>
    </w:p>
    <w:tbl>
      <w:tblPr>
        <w:tblLayout w:type="fixed"/>
        <w:tblInd w:w="0" w:type="dxa"/>
        <w:tblCellMar>
          <w:top w:w="0" w:type="dxa"/>
          <w:left w:w="0" w:type="dxa"/>
          <w:bottom w:w="0" w:type="dxa"/>
          <w:right w:w="0" w:type="dxa"/>
        </w:tblCellMar>
      </w:tblPr>
      <w:tr>
        <w:trPr>
          <w:trHeight w:val="144"/>
        </w:trPr>
        <w:tc>
          <w:tcPr>
            <w:tcW w:w="8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2"/>
                <w:szCs w:val="12"/>
                <w:color w:val="auto"/>
              </w:rPr>
            </w:pPr>
          </w:p>
        </w:tc>
        <w:tc>
          <w:tcPr>
            <w:tcW w:w="1240" w:type="dxa"/>
            <w:vAlign w:val="bottom"/>
            <w:gridSpan w:val="2"/>
          </w:tcPr>
          <w:p>
            <w:pPr>
              <w:ind w:left="180"/>
              <w:spacing w:after="0" w:line="145"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2"/>
                <w:szCs w:val="12"/>
                <w:color w:val="auto"/>
              </w:rPr>
            </w:pPr>
          </w:p>
        </w:tc>
        <w:tc>
          <w:tcPr>
            <w:tcW w:w="1180" w:type="dxa"/>
            <w:vAlign w:val="bottom"/>
          </w:tcPr>
          <w:p>
            <w:pPr>
              <w:jc w:val="right"/>
              <w:ind w:right="313"/>
              <w:spacing w:after="0" w:line="145"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VAT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Forward contracts and interest rate swaps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8,870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13,292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line="230" w:lineRule="exact"/>
              <w:rPr>
                <w:sz w:val="20"/>
                <w:szCs w:val="20"/>
                <w:color w:val="auto"/>
              </w:rPr>
            </w:pPr>
            <w:r>
              <w:rPr>
                <w:rFonts w:ascii="Arial" w:cs="Arial" w:eastAsia="Arial" w:hAnsi="Arial"/>
                <w:sz w:val="18"/>
                <w:szCs w:val="18"/>
                <w:color w:val="auto"/>
              </w:rPr>
              <w:t>Acquisition related liability</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36,051</w:t>
            </w:r>
          </w:p>
        </w:tc>
        <w:tc>
          <w:tcPr>
            <w:tcW w:w="0" w:type="dxa"/>
            <w:vAlign w:val="bottom"/>
          </w:tcPr>
          <w:p>
            <w:pPr>
              <w:spacing w:after="0"/>
              <w:rPr>
                <w:sz w:val="1"/>
                <w:szCs w:val="1"/>
                <w:color w:val="auto"/>
              </w:rPr>
            </w:pPr>
          </w:p>
        </w:tc>
      </w:tr>
      <w:tr>
        <w:trPr>
          <w:trHeight w:val="248"/>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138,586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97,641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right="140"/>
        <w:spacing w:after="0" w:line="205"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Related to equity and employee compensation payments associated with the acquisition of Cardiva Medical Inc. that were funded to a third party agent at the transaction closing date but were not yet paid to certain selling shareholders and/or employees as of April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-188595</wp:posOffset>
            </wp:positionV>
            <wp:extent cx="18859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Other long-term liabilities represent items that are not payable or expected to settle within the next twelve months. The items included in the fiscal year end balances were:</w:t>
      </w:r>
    </w:p>
    <w:tbl>
      <w:tblPr>
        <w:tblLayout w:type="fixed"/>
        <w:tblInd w:w="0" w:type="dxa"/>
        <w:tblCellMar>
          <w:top w:w="0" w:type="dxa"/>
          <w:left w:w="0" w:type="dxa"/>
          <w:bottom w:w="0" w:type="dxa"/>
          <w:right w:w="0" w:type="dxa"/>
        </w:tblCellMar>
      </w:tblPr>
      <w:tr>
        <w:trPr>
          <w:trHeight w:val="144"/>
        </w:trPr>
        <w:tc>
          <w:tcPr>
            <w:tcW w:w="82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2"/>
                <w:szCs w:val="12"/>
                <w:color w:val="auto"/>
              </w:rPr>
            </w:pPr>
          </w:p>
        </w:tc>
        <w:tc>
          <w:tcPr>
            <w:tcW w:w="1260" w:type="dxa"/>
            <w:vAlign w:val="bottom"/>
            <w:gridSpan w:val="2"/>
          </w:tcPr>
          <w:p>
            <w:pPr>
              <w:ind w:left="180"/>
              <w:spacing w:after="0" w:line="145"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2"/>
                <w:szCs w:val="12"/>
                <w:color w:val="auto"/>
              </w:rPr>
            </w:pPr>
          </w:p>
        </w:tc>
        <w:tc>
          <w:tcPr>
            <w:tcW w:w="1180" w:type="dxa"/>
            <w:vAlign w:val="bottom"/>
          </w:tcPr>
          <w:p>
            <w:pPr>
              <w:jc w:val="right"/>
              <w:ind w:right="314"/>
              <w:spacing w:after="0" w:line="145"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88"/>
        </w:trPr>
        <w:tc>
          <w:tcPr>
            <w:tcW w:w="82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pension liability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13,083</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9,475</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Transition tax liability</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52,014</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100,341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89,104</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All research and development costs are expensed as incurred.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All advertising costs are expensed as incurred and are included in selling, general and administrative expenses in the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$2.7 million, $4.3 million and $4.5 million in fiscal 2021, 2020 and 2019,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included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The income tax provision is calculated for all jurisdictions in which the Company operates.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the Company's deferred tax assets that are not more-likely-than-not realizable. All available evidence, both positive and negative, has been considered to determine whether, based on the weight of that evidence, a valuation allowance is needed against the deferred tax assets. Refer to Note 6,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for further information and discussion of the Company's income tax provision and balances.</w:t>
      </w:r>
    </w:p>
    <w:p>
      <w:pPr>
        <w:spacing w:after="0" w:line="2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files income tax returns in all jurisdictions in which it operates. The Company records a liability for uncertain tax positions taken or expected to be taken in income tax returns. The Company's financial statements reflect expected future tax consequences of such positions presuming the taxing authorities' full knowledge of the position and all relevant facts. The Company records a liability for the portion of unrecognized tax benefits claimed that it has determined are not more-likely-than-not realizable. These tax reserves have been established based on management's assessment as to the potential exposure attributable to the Company's uncertain tax positions as well as interest and penalties attributable to these uncertain tax positions. All tax reserves are analyzed quarterly and adjustments are made as events occur that result in changes in judgment.</w:t>
      </w:r>
    </w:p>
    <w:p>
      <w:pPr>
        <w:spacing w:after="0" w:line="191"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The Company evaluates at the end of each reporting period whether some or all of the undistributed earnings of its foreign subsidiaries are permanently reinvested. The Company recognizes deferred income tax liabilities to the extent that management asserts that undistributed earnings of its foreign subsidiaries are not permanently reinvested or will not be permanently reinvested in the future. The Company's position is based upon several factors including management’s evaluation of the Haemonetics and its subsidiaries’ financial requirements, the short-term and long-term operational and fiscal objectives of the Company and the tax consequences associated with the repatriation of earnings.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52"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The Company accounts for convertible senior notes as separate liability and equity components, determining the fair value of the respective liability components based on an estimate of the fair value of a similar liability without a conversion option and assigning the residual value to the equity component.</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estimates the fair value of the liability component of the convertible senior notes using a discounted cash flow model with a risk adjusted yield for similar debt instruments, absent any embedded conversion feature. In estimating the risk adjusted yield, the Company utilizes both an income and market approach. For the income approach, the Company uses a convertible bond pricing model, which includes several assumptions including volatility and the risk-free rate. For the market approach, the Company performs an evaluation of issuances of convertible debt securities issued by other comparable companies. Additionally, a detailed analysis of the terms of the convertible senior notes transactions is required to determine existence of any derivatives that may require separate mark-to-market accounting under applicable accounting guidance.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The Company accounts for its derivative financial instruments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and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w:t>
      </w:r>
      <w:r>
        <w:rPr>
          <w:rFonts w:ascii="Arial" w:cs="Arial" w:eastAsia="Arial" w:hAnsi="Arial"/>
          <w:sz w:val="16"/>
          <w:szCs w:val="16"/>
          <w:i w:val="1"/>
          <w:iCs w:val="1"/>
          <w:color w:val="auto"/>
        </w:rPr>
        <w:t>.</w:t>
      </w:r>
      <w:r>
        <w:rPr>
          <w:rFonts w:ascii="Arial" w:cs="Arial" w:eastAsia="Arial" w:hAnsi="Arial"/>
          <w:sz w:val="16"/>
          <w:szCs w:val="16"/>
          <w:color w:val="auto"/>
        </w:rPr>
        <w:t xml:space="preserve"> In accordance with ASC 815, the Company records all derivatives on the balance sheet at fair value. The accounting for the change in the fair value of derivatives depends on the intended use of the derivative, whether the Company has elected to designate a derivative as a hedging instrument for accounting purposes and whether the hedging relationship has satisfied the criteria necessary to apply hedge accounting. In addition, ASC 815 provides that, for derivative instruments that qualify for hedge accounting, changes in the fair value are either</w:t>
      </w:r>
    </w:p>
    <w:p>
      <w:pPr>
        <w:spacing w:after="0" w:line="2" w:lineRule="exact"/>
        <w:rPr>
          <w:sz w:val="20"/>
          <w:szCs w:val="20"/>
          <w:color w:val="auto"/>
        </w:rPr>
      </w:pPr>
    </w:p>
    <w:p>
      <w:pPr>
        <w:ind w:right="80" w:firstLine="8"/>
        <w:spacing w:after="0" w:line="253"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offset against the change in fair value of the hedged assets, liabilities, or firm commitments through earnings or (b) recognized in equity until the hedged item is recognized in earnings, depending on whether the derivative is being used to hedge changes in fair value or cash flows. The ineffective portion of a derivative’s change in fair value is immediately recognized in earnings. The Company does not use derivative financial instruments for trading or speculation purposes.</w:t>
      </w:r>
    </w:p>
    <w:p>
      <w:pPr>
        <w:spacing w:after="0" w:line="2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the underlying hedged transaction affects earnings, the gains or losses on the forward foreign exchange rate contracts designated as hedges are recorded in net revenues, cost of goods sold, operating expenses and other expense, net in the Company's consolidated statements of income, depending on the nature of the underlying hedged transactions. The cash flows related to the gains and losses are classified in the consolidated statements of cash flows as part of cash flows from operating activities. For those derivative instruments that are not designated as part of a hedging relationship the Company records the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9" w:name="page70"/>
    <w:bookmarkEnd w:id="6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gains or losses in earnings currently. These gains and losses are intended to offset the gains and losses recorded on net monetary assets or liabilities that are denominated in foreign currencies. The Company recorded foreign currency losses of $0.7 million, $2.9 million and $2.3 million in fiscal 2021, 2020 and 2019, respectively.</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 quarterly basis, the Company assesses whether the cash flow hedges are highly effective in offsetting changes in the cash flow of the hedged item. The Company manages the credit risk of its counterparties by dealing only with institutions that it considers financially sound and considers the risk of non-performance to be remote. Additionally,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derivative instruments do not subject its earnings or cash flows to material risk, as gains and losses on these derivatives are intended to offset losses and gains on the item being hedged. The Company does not enter into derivative transactions for speculative purposes and it does not have any non-derivative instruments that are designated as hedging instruments pursuant to ASC 815.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expenses the fair value of share-based awards granted to employees, board members and others, net of estimated forfeitures. To calculate the grant-date fair value of its stock options the Company uses the Black-Scholes option-pricing model and for performance share units it uses Monte Carlo simulation models.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Associated with Exit Activities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records employee termination costs in accordance with ASC Topic 712</w:t>
      </w:r>
      <w:r>
        <w:rPr>
          <w:rFonts w:ascii="Arial" w:cs="Arial" w:eastAsia="Arial" w:hAnsi="Arial"/>
          <w:sz w:val="17"/>
          <w:szCs w:val="17"/>
          <w:i w:val="1"/>
          <w:iCs w:val="1"/>
          <w:color w:val="auto"/>
        </w:rPr>
        <w:t>, Compensation - Nonretirement and Postemployment Benefits</w:t>
      </w:r>
      <w:r>
        <w:rPr>
          <w:rFonts w:ascii="Arial" w:cs="Arial" w:eastAsia="Arial" w:hAnsi="Arial"/>
          <w:sz w:val="17"/>
          <w:szCs w:val="17"/>
          <w:color w:val="auto"/>
        </w:rPr>
        <w:t>, if it pays the benefits as part of an on-going benefit arrangement, which includes benefits provided as part of its established severance policies or that it provides in accordance with international statutory requirements. The Company accrues employee termination costs associated with an on-going benefit arrangement if the obligation is attributable to prior services rendered, the rights to the benefits have vested, the payment is probable and the liability can be reasonably estimated. The Company accounts for employee termination benefits that represent a one-time benefit in accordance with ASC Topic 420</w:t>
      </w:r>
      <w:r>
        <w:rPr>
          <w:rFonts w:ascii="Arial" w:cs="Arial" w:eastAsia="Arial" w:hAnsi="Arial"/>
          <w:sz w:val="17"/>
          <w:szCs w:val="17"/>
          <w:i w:val="1"/>
          <w:iCs w:val="1"/>
          <w:color w:val="auto"/>
        </w:rPr>
        <w:t>, Exit</w:t>
      </w:r>
      <w:r>
        <w:rPr>
          <w:rFonts w:ascii="Arial" w:cs="Arial" w:eastAsia="Arial" w:hAnsi="Arial"/>
          <w:sz w:val="17"/>
          <w:szCs w:val="17"/>
          <w:color w:val="auto"/>
        </w:rPr>
        <w:t xml:space="preserve"> </w:t>
      </w:r>
      <w:r>
        <w:rPr>
          <w:rFonts w:ascii="Arial" w:cs="Arial" w:eastAsia="Arial" w:hAnsi="Arial"/>
          <w:sz w:val="17"/>
          <w:szCs w:val="17"/>
          <w:i w:val="1"/>
          <w:iCs w:val="1"/>
          <w:color w:val="auto"/>
        </w:rPr>
        <w:t>or Disposal Cost Obligation</w:t>
      </w:r>
      <w:r>
        <w:rPr>
          <w:rFonts w:ascii="Arial" w:cs="Arial" w:eastAsia="Arial" w:hAnsi="Arial"/>
          <w:sz w:val="17"/>
          <w:szCs w:val="17"/>
          <w:color w:val="auto"/>
        </w:rPr>
        <w:t>s. It records such costs into expense over the employee’s future service period, if any.</w:t>
      </w:r>
    </w:p>
    <w:p>
      <w:pPr>
        <w:spacing w:after="0" w:line="2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Other costs associated with exit activities may include contract termination costs, including costs related to leased facilities to be abandoned or subleased, consultant fees and impairments of long-lived assets. The costs are expensed in accordance with ASC Topic 420 and ASC Topic 360</w:t>
      </w:r>
      <w:r>
        <w:rPr>
          <w:rFonts w:ascii="Arial" w:cs="Arial" w:eastAsia="Arial" w:hAnsi="Arial"/>
          <w:sz w:val="17"/>
          <w:szCs w:val="17"/>
          <w:i w:val="1"/>
          <w:iCs w:val="1"/>
          <w:color w:val="auto"/>
        </w:rPr>
        <w:t>, Property, Plant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Equipment </w:t>
      </w:r>
      <w:r>
        <w:rPr>
          <w:rFonts w:ascii="Arial" w:cs="Arial" w:eastAsia="Arial" w:hAnsi="Arial"/>
          <w:sz w:val="17"/>
          <w:szCs w:val="17"/>
          <w:color w:val="auto"/>
        </w:rPr>
        <w:t>and are included primarily in selling, general and administrative costs in its consolidated statement of income. Additionally, costs 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related to the Company's active restructuring initiatives, including program management costs, accelerated depreciation and costs to transfer product lines among facilities are included within costs of goods sold and selling, general and administrative costs in its consolidated statement of income. Refer to Note 3, </w:t>
      </w:r>
      <w:r>
        <w:rPr>
          <w:rFonts w:ascii="Arial" w:cs="Arial" w:eastAsia="Arial" w:hAnsi="Arial"/>
          <w:sz w:val="17"/>
          <w:szCs w:val="17"/>
          <w:i w:val="1"/>
          <w:iCs w:val="1"/>
          <w:color w:val="auto"/>
        </w:rPr>
        <w:t>Restructuring,</w:t>
      </w:r>
      <w:r>
        <w:rPr>
          <w:rFonts w:ascii="Arial" w:cs="Arial" w:eastAsia="Arial" w:hAnsi="Arial"/>
          <w:sz w:val="17"/>
          <w:szCs w:val="17"/>
          <w:color w:val="auto"/>
        </w:rPr>
        <w:t xml:space="preserve"> for further information and discussion of its restructuring plans.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Acquisitions</w:t>
      </w:r>
    </w:p>
    <w:p>
      <w:pPr>
        <w:spacing w:after="0" w:line="25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 allocates the amounts it pays for each acquisition to the assets acquired and liabilities assumed based on their estimated fair values at the dates of acquisition, including acquired identifiable intangible assets. The Company bases the estimated fair value of identifiable intangible assets on detailed valuations that use significant assumptions including forecasted cash flows, revenues attributable to existing technology and existing customer attrition. When estimating the significant assumptions to be used in the valuation, the Company includes a consideration of current industry information, market and economic trends, historical results of the acquired business, and other relevant factors. These significant assumptions are forward-looking and could be affected by future economic and market conditions. The Company allocates any excess purchase price over the fair value of the net tangible and intangible assets acquired to goodwill.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equivalents and accounts receivable. In fiscal 2021, 2020 and 2019, the Company's ten largest customers accounted for approximately 49%, 54% and 52% of net revenues, respectively. In fiscal 2021, 2020 and 2019, two Plasma customers, CSL Limited. (together with</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0" w:name="page71"/>
    <w:bookmarkEnd w:id="7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its affiliates, “CSL”) and Grifols S.A. (together with its affiliates, “Grifols”), each were greater than 10% of total net revenue and in total accounted for approximately 23%, 27% and 27% of net revenues, respectively. In addition, a third customer accounted for greater than 10% of the Plasma segment's net revenues, but did not exceed 10% of total net revenue in fiscal 2021, 2020 and 2019. One customer also accounted for greater than 10% of the Blood Center segment's net revenues, but did not exceed 10% of total net revenues, in fiscal 2021, 2020 and 2019.</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other markets and industries can expose the Company to concentrations of credit risk. For example, in the Plasma business unit, sales are concentrated with several large customers. As a result, accounts receivable extended to any one of these biopharmaceutical customers can be significant at any point in time. Also, a portion of the Company's trade accounts receivable outside the U.S. include sales to government-owned or supported healthcare systems in several countries, which are subject to payment delays. Payment is dependent upon the financial stability and creditworthiness of those countries’ national economies. The Company has not incurred significant losses on government receivables. The Company continually evaluates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Implemented</w:t>
      </w:r>
    </w:p>
    <w:p>
      <w:pPr>
        <w:spacing w:after="0" w:line="25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June 2016, the Financial Accounting Standards Board (“FASB”) issued Accounting Standards Codification (“ASC”) Update No. 2016-13, Financial Instruments - Credit Losses (Topic 326). ASC Update No. 2016-13 is intended to replace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The Company adopted ASC Update No. 2016-13 during the first quarter of fiscal 2021. The adoption did not have a material impact on the Company's consolidated financial statements.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August 2018, the FASB issued ASC Update No. 2018-15, Intangibles, Goodwill and Other - Internal-Use Software (Subtopic 350-40). The new guidance aligns the accounting implementation costs incurred in a cloud computing arrangement that is a service contract with the accounting for internal-use software licenses. The Company adopted ASC Update No. 2018-15 during the first quarter of fiscal 2021. The adoption did not have a material impact on the Company's consolidated financial statements.</w:t>
      </w:r>
    </w:p>
    <w:p>
      <w:pPr>
        <w:spacing w:after="0" w:line="21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May 2020, the Securities and Exchange Commission (“SEC”) issued a final rule that amends the financial statement requirements for acquisitions and dispositions of businesses. The amendments primarily relate to disclosures required by Rule 3-05 and Article 11 of Regulation S-X and modifies the tests provided in Rule 1-02(w) of Regulation S-X used to determine whether a subsidiary or an acquired or disposed business is significant and modifies the number of years of audited financial statements required for acquisitions with significance levels greater than specified percentages. The Company early adopted these amendments during the fourth quarter of fiscal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July 2019, the Board of Directors of the Company approved a new Operational Excellence Program (the “2020 Program”) and delegated authority to the Company's management to determine the detail of the initiatives that will comprise the program. The 2020 Program is designed to improve operational performance and reduce cost principally in our manufacturing and supply chain operations. The Company initially expected to incur aggregate charges between $60 million and $70 million by the end of fiscal 2023. However, the Company is currently assessing the potential impact of CSL's decision not to renew its supply agreement for the purchase of disposable plasmapheresis kits on the timing and charges of the 2020 Program. The majority of charges will result in cash outlays, including severance and other employee costs, and will be incurred as the specific actions required to execute these initiatives are identified and approved. During fiscal 2021 and fiscal 2020 the Company incurred $15.1 million and $11.9 million of restructuring and turnaround costs under this program, respectively. Total cumulative charges under this program are $27.0 million as of April 3, 2021.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1" w:name="page72"/>
    <w:bookmarkEnd w:id="7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fiscal 2018, the Company launched a Complexity Reduction Initiative (the “2018 Program”), a company-wide restructuring program designed to improve operational performance and reduce cost, freeing up resources to invest in accelerated growth. During fiscal 2021, 2020 and 2019, the Company incurred $0.6 million, $7.9 million and $13.7 million of restructuring and turnaround costs under this program, respectively. Total cumulative charges under this program are $58.8 million as of April 3, 2021. The 2018 Program is substantially complete.</w:t>
      </w:r>
    </w:p>
    <w:p>
      <w:pPr>
        <w:spacing w:after="0" w:line="214"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The following table summarizes the activity for restructuring reserves related to the 2020 Program, the 2018 Program and prior programs for the fiscal years ended April 3, 2021, March 28, 2020 and March 30, 2019, substantially all of which relates to employee severance and other employee costs:</w:t>
      </w:r>
    </w:p>
    <w:tbl>
      <w:tblPr>
        <w:tblLayout w:type="fixed"/>
        <w:tblInd w:w="0" w:type="dxa"/>
        <w:tblCellMar>
          <w:top w:w="0" w:type="dxa"/>
          <w:left w:w="0" w:type="dxa"/>
          <w:bottom w:w="0" w:type="dxa"/>
          <w:right w:w="0" w:type="dxa"/>
        </w:tblCellMar>
      </w:tblPr>
      <w:tr>
        <w:trPr>
          <w:trHeight w:val="145"/>
        </w:trPr>
        <w:tc>
          <w:tcPr>
            <w:tcW w:w="6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2020 Program</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5"/>
              </w:rPr>
              <w:t>2018 and Prior</w:t>
            </w:r>
          </w:p>
        </w:tc>
        <w:tc>
          <w:tcPr>
            <w:tcW w:w="34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Programs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Costs incurred, net of reversals</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(21,392)</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Non-cash adjustments</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30, 2019</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7,479</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Costs incurred, net of reversals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Non-cash adjustments</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28,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Costs incurred, net of reversals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Balance at April 3,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The following presents the restructuring costs by line item during fiscal 2021, 2020 and 2019 within our accompanying consolidated statements of income and comprehensive income:</w:t>
      </w:r>
    </w:p>
    <w:tbl>
      <w:tblPr>
        <w:tblLayout w:type="fixed"/>
        <w:tblInd w:w="40" w:type="dxa"/>
        <w:tblCellMar>
          <w:top w:w="0" w:type="dxa"/>
          <w:left w:w="0" w:type="dxa"/>
          <w:bottom w:w="0" w:type="dxa"/>
          <w:right w:w="0" w:type="dxa"/>
        </w:tblCellMar>
      </w:tblPr>
      <w:tr>
        <w:trPr>
          <w:trHeight w:val="19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April 3, 2021, the Company had a restructuring liability of $1.0 million, of which approximately $0.6 million is payable within the next twelve months.</w:t>
      </w:r>
    </w:p>
    <w:p>
      <w:pPr>
        <w:spacing w:after="0" w:line="19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In addition to the restructuring expenses included in the table above, the Company also incurred costs of $14.2 million, $16.3 million and $13.2 million in fiscal 2021, 2020 and 2019, respectively, that do not constitute restructuring costs under ASC 420, </w:t>
      </w:r>
      <w:r>
        <w:rPr>
          <w:rFonts w:ascii="Arial" w:cs="Arial" w:eastAsia="Arial" w:hAnsi="Arial"/>
          <w:sz w:val="17"/>
          <w:szCs w:val="17"/>
          <w:i w:val="1"/>
          <w:iCs w:val="1"/>
          <w:color w:val="auto"/>
        </w:rPr>
        <w:t>Exit and Disposal Cost Obligations,</w:t>
      </w:r>
      <w:r>
        <w:rPr>
          <w:rFonts w:ascii="Arial" w:cs="Arial" w:eastAsia="Arial" w:hAnsi="Arial"/>
          <w:sz w:val="17"/>
          <w:szCs w:val="17"/>
          <w:color w:val="auto"/>
        </w:rPr>
        <w:t xml:space="preserve"> and which the Company instead refers to as turnaround costs. These costs consist primarily of expenditures directly related to the restructuring actions and include program management costs associated with the implementation of outsourcing initiatives and recent accounting standards.</w:t>
      </w:r>
    </w:p>
    <w:p>
      <w:pPr>
        <w:spacing w:after="0" w:line="198"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The following presents the turnaround costs by line item during fiscal 2021, 2020 and 2019 within our accompanying consolidated statements of income and comprehensive income:</w:t>
      </w:r>
    </w:p>
    <w:tbl>
      <w:tblPr>
        <w:tblLayout w:type="fixed"/>
        <w:tblInd w:w="40" w:type="dxa"/>
        <w:tblCellMar>
          <w:top w:w="0" w:type="dxa"/>
          <w:left w:w="0" w:type="dxa"/>
          <w:bottom w:w="0" w:type="dxa"/>
          <w:right w:w="0" w:type="dxa"/>
        </w:tblCellMar>
      </w:tblPr>
      <w:tr>
        <w:trPr>
          <w:trHeight w:val="19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11,923</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13,228</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restructuring and turnaround costs by reportable segment: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Restructuring costs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Blood Center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474"/>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Turnaround costs</w:t>
            </w:r>
          </w:p>
        </w:tc>
        <w:tc>
          <w:tcPr>
            <w:tcW w:w="340" w:type="dxa"/>
            <w:vAlign w:val="bottom"/>
          </w:tcPr>
          <w:p>
            <w:pPr>
              <w:spacing w:after="0"/>
              <w:rPr>
                <w:sz w:val="24"/>
                <w:szCs w:val="24"/>
                <w:color w:val="auto"/>
              </w:rPr>
            </w:pPr>
          </w:p>
        </w:tc>
        <w:tc>
          <w:tcPr>
            <w:tcW w:w="110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Blood Center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13,179</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restructuring and turnaround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13,623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ACQUISITIONS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660" w:type="dxa"/>
            <w:vAlign w:val="bottom"/>
          </w:tcPr>
          <w:p>
            <w:pPr>
              <w:spacing w:after="0"/>
              <w:rPr>
                <w:sz w:val="20"/>
                <w:szCs w:val="20"/>
                <w:color w:val="auto"/>
              </w:rPr>
            </w:pPr>
            <w:r>
              <w:rPr>
                <w:rFonts w:ascii="Arial" w:cs="Arial" w:eastAsia="Arial" w:hAnsi="Arial"/>
                <w:sz w:val="18"/>
                <w:szCs w:val="18"/>
                <w:color w:val="auto"/>
              </w:rPr>
              <w:t>Cardiva Medical, Inc.</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January 17, 2021, the Company entered into an Agreement and Plan of Merger with Cardiva Medical, Inc. (“Cardiva”), an industry-leading manufacturer of vascular closure systems based in Santa Clara, California. In connection with this acquisition, which closed on March 1, 2021, the Company acquired 100% of the issued and outstanding shares of capital stock of Cardiva for total consideration of $489.8 million, which consisted of upfront payments in the aggregate of $465.5 million ($418.2 million net of cash acquired) and the fair value of contingent consideration of $24.3 million. The Company’s purchase price is subject to customary working capital and certain other adjustments as of the closing of the transaction and a maximum of $35.0 million in contingent consideration payable over the next two years based on sales growth. The Company financed the acquisition through a combination of cash, borrowings under its revolving credit facility and an additional $150.0 million term loan under the existing credit facility.</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Cardiva’s portfolio includes two catheter-based vascular access site closure devices. The VASCADE® vascular closure system is designed for “small-bore” femoral arterial and venous closure, generally used in interventional cardiology and peripheral vascular procedures. The VASCADE MVP® vascular closure system is designed for “mid-bore” multi-access femoral venous closure, generally used in electrophysiology procedures, and is the only U.S. Food and Drug Administration (“FDA”) approved closure device for use following cardiac ablation procedures requiring two or more access sites within the same vessel. The addition of the VASCADE portfolio to the Hospital business unit includes products with demonstrated benefits and enhances penetration into the large and growing interventional cardiology and electrophysiology markets.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accounted for the acquisition as a business combination, and in accordance with FASB ASC Topic 805, Business Combinations (Topic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 The assessment of fair value is preliminary and is based on information that was available at the time the consolidated financial statements were prepared. The most significant open items included the valuation of certain intangible assets and the accounting for income taxes as the Company is awaiting additional information to complete its assessment of these matters. Measurement period adjustments will be recorded in the period in which they are determined, as if they had been completed at the acquisition date. The finalization of the Company’s purchase accounting assessment could result in changes in the valuation of assets acquired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liabilities assumed, which could be material. The final determination of the fair value of certain assets and liabilities will be completed within the measurement period as required by Topic 805. As of April 3, 2021, the valuation studies necessary to determine the fair market value of the assets acquired and liabilities assumed are preliminary, including the projection of the underlying cash flows used to determine the fair value of the identified tangible, intangible and financial assets and liabilities.</w:t>
      </w:r>
    </w:p>
    <w:p>
      <w:pPr>
        <w:spacing w:after="0" w:line="21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preliminary purchase price of $442.5 million, net of $47.3 million of cash acquired, consisted of the amounts presented below, which represent the preliminary determination of the fair value of the identifiable assets acquired and liabilities assumed: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1, 2021</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18,765</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1,186</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253,929</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251,635</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assets acquired</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535,537</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58,211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27,912</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r>
      <w:tr>
        <w:trPr>
          <w:trHeight w:val="223"/>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liabilities assumed</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93,040</w:t>
            </w: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442,497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determined the identifiable intangible assets were completed technology, customer relationships and trademarks. The fair values of intangible assets were based on valuation techniques with estimates and assumptions developed by the Company. Completed technology was valued using the excess earnings method. Customer relationships were valued using the distributor method. Trademarks were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 As of April 3, 2021, the valuation of the intangible assets is preliminary as the Company is still gathering information related to the assets’ cash flow projections.</w:t>
      </w:r>
    </w:p>
    <w:p>
      <w:pPr>
        <w:spacing w:after="0" w:line="20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excess of the purchase price over the tangible assets, identifiable intangible assets and assumed liabilities was recorded as goodwill. As a result of the acquisition of Cardiva, the Company recognized goodwill of $251.6 million, which is attributable to the revenue and cash flow projections associated with completed technologies and the development of future technology that does not exist in the current in-process research and development (“IPR&amp;D”) pipeline. The goodwill is not deductible for tax purposes and relates entirely to the Hospital reportable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consist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Risk-Adjusted Discount</w:t>
            </w:r>
          </w:p>
        </w:tc>
        <w:tc>
          <w:tcPr>
            <w:tcW w:w="0" w:type="dxa"/>
            <w:vAlign w:val="bottom"/>
          </w:tcPr>
          <w:p>
            <w:pPr>
              <w:spacing w:after="0"/>
              <w:rPr>
                <w:sz w:val="1"/>
                <w:szCs w:val="1"/>
                <w:color w:val="auto"/>
              </w:rPr>
            </w:pPr>
          </w:p>
        </w:tc>
      </w:tr>
      <w:tr>
        <w:trPr>
          <w:trHeight w:val="135"/>
        </w:trPr>
        <w:tc>
          <w:tcPr>
            <w:tcW w:w="66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1"/>
                <w:szCs w:val="11"/>
                <w:color w:val="auto"/>
              </w:rPr>
            </w:pPr>
          </w:p>
        </w:tc>
        <w:tc>
          <w:tcPr>
            <w:tcW w:w="11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Amount</w:t>
            </w:r>
          </w:p>
        </w:tc>
        <w:tc>
          <w:tcPr>
            <w:tcW w:w="1540" w:type="dxa"/>
            <w:vAlign w:val="bottom"/>
            <w:vMerge w:val="continue"/>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Rates used in Purchase</w:t>
            </w:r>
          </w:p>
        </w:tc>
        <w:tc>
          <w:tcPr>
            <w:tcW w:w="0" w:type="dxa"/>
            <w:vAlign w:val="bottom"/>
          </w:tcPr>
          <w:p>
            <w:pPr>
              <w:spacing w:after="0"/>
              <w:rPr>
                <w:sz w:val="1"/>
                <w:szCs w:val="1"/>
                <w:color w:val="auto"/>
              </w:rPr>
            </w:pPr>
          </w:p>
        </w:tc>
      </w:tr>
      <w:tr>
        <w:trPr>
          <w:trHeight w:val="188"/>
        </w:trPr>
        <w:tc>
          <w:tcPr>
            <w:tcW w:w="6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Price Allocation</w:t>
            </w:r>
          </w:p>
        </w:tc>
        <w:tc>
          <w:tcPr>
            <w:tcW w:w="0" w:type="dxa"/>
            <w:vAlign w:val="bottom"/>
          </w:tcPr>
          <w:p>
            <w:pPr>
              <w:spacing w:after="0"/>
              <w:rPr>
                <w:sz w:val="1"/>
                <w:szCs w:val="1"/>
                <w:color w:val="auto"/>
              </w:rPr>
            </w:pPr>
          </w:p>
        </w:tc>
      </w:tr>
      <w:tr>
        <w:trPr>
          <w:trHeight w:val="231"/>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230,326</w:t>
            </w:r>
          </w:p>
        </w:tc>
        <w:tc>
          <w:tcPr>
            <w:tcW w:w="15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2"/>
              </w:rPr>
              <w:t>13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18,166</w:t>
            </w:r>
          </w:p>
        </w:tc>
        <w:tc>
          <w:tcPr>
            <w:tcW w:w="1540" w:type="dxa"/>
            <w:vAlign w:val="bottom"/>
          </w:tcPr>
          <w:p>
            <w:pPr>
              <w:ind w:left="880"/>
              <w:spacing w:after="0"/>
              <w:rPr>
                <w:sz w:val="20"/>
                <w:szCs w:val="20"/>
                <w:color w:val="auto"/>
              </w:rPr>
            </w:pPr>
            <w:r>
              <w:rPr>
                <w:rFonts w:ascii="Arial" w:cs="Arial" w:eastAsia="Arial" w:hAnsi="Arial"/>
                <w:sz w:val="18"/>
                <w:szCs w:val="18"/>
                <w:color w:val="auto"/>
                <w:w w:val="92"/>
              </w:rPr>
              <w:t>12 years</w:t>
            </w:r>
          </w:p>
        </w:tc>
        <w:tc>
          <w:tcPr>
            <w:tcW w:w="1600" w:type="dxa"/>
            <w:vAlign w:val="bottom"/>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5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2"/>
              </w:rPr>
              <w:t>13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253,929</w:t>
            </w:r>
          </w:p>
        </w:tc>
        <w:tc>
          <w:tcPr>
            <w:tcW w:w="1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recorded a long-term deferred tax liability, net, of $27.9 million primarily related to definite-lived intangible assets which cannot be deducted for tax purposes, partially offset by deferred tax assets primarily related to net operating losses acquired.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Costs</w:t>
      </w:r>
    </w:p>
    <w:p>
      <w:pPr>
        <w:spacing w:after="0" w:line="25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amount of acquisition-related costs incurred associated with the acquisition was $9.6 million for the fiscal year ending April 3, 2021. The Company incurred acquisition costs related legal and other professional fees in the amount of $6.6 million and an additional $3.0 million of debt financing costs and lender fees which were recognized in selling, general and administrative and as interest expense on the consolidated statements of income,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Cardiva contributed revenues of $7.7 million to net revenues and losses of $7.6 million to net income for the period post acquisition through April 3, 2021.</w:t>
      </w:r>
    </w:p>
    <w:p>
      <w:pPr>
        <w:spacing w:after="0" w:line="27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unaudited estimated pro forma results presented below include the effects of the acquisition of Cardiva as if it was consummated on March 31, 2019. In fiscal 2021, the Company incurred nonrecurring charges attributed to the acquisition of Cardiva, which are presented in the consolidated statements of income for this period. These charges include acquisition-related costs, retention bonuses and severance payments, adjusted for the related tax effects. These nonrecurring charges are reflected as adjustments to the pro forma earnings presented below for fiscal 2021 and fiscal 2020.</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Additionally, these pro forma amounts have been calculated, net of tax, after adjusting the results of Cardiva to reflect the additional costs associated with fair value adjustments relating to inventories, leases and intangible assets as if the acquisition had occurred on March 31, 2019 and adjusting interest amounts related to long-term debt assumptions. There was no significant impact to the pro forma amounts after applying the Company’s accounting policies.</w:t>
      </w:r>
    </w:p>
    <w:p>
      <w:pPr>
        <w:spacing w:after="0" w:line="21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supplemental pro forma information presented below is for informational purposes only and should be read in conjunction with our historical financial statements. The pro forma results do not include any anticipated synergies or other expected benefits of the acquisition. Accordingly, the unaudited estimated pro forma financial information below is not necessarily indicative of what the actual results of operations of the combined companies would have been had the acquisition of Cardiva occurred as of March 31, 2019, nor are they indicative of future results of operations. The pro forma assumptions and adjustments are reasonable and appropriate under the circumstances and are factually supported based on information currently available.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(Unaudited)</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916,601</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1,024,235</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53,884</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19,191</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HAS Intellectual Property</w:t>
      </w:r>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January 2021, the Company entered into an agreement to acquire certain intellectual property owned by HemoAssay Science and Technology (Suzhou) Co. Ltd., a China-incorporated company, and its affiliates (collectively, “HemoAssay”) underlying their HAS viscoelastic diagnostic devices, related assays and disposables. The Company previously entered into exclusive manufacturing and distribution agreements with HemoAssay pursuant to which it has exclusive rights to commercialize HemoAssay’s HAS devices in China. In connection with the transaction, which did not meet the definition of a business, the Company has agreed to pay up to $15.0 million to HemoAssay in contingent consideration based on certain developmental and manufacturing based milestones. These products augment the Company's portfolio of hemostasis analyzers within the Hospital business unit.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enicor GmbH</w:t>
      </w:r>
    </w:p>
    <w:p>
      <w:pPr>
        <w:spacing w:after="0" w:line="247"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On April 1, 2020, the Company acquired all of the outstanding equity of enicor GmbH (“enicor”), the manufacturer of ClotPro</w:t>
      </w:r>
      <w:r>
        <w:rPr>
          <w:rFonts w:ascii="Arial" w:cs="Arial" w:eastAsia="Arial" w:hAnsi="Arial"/>
          <w:sz w:val="20"/>
          <w:szCs w:val="20"/>
          <w:color w:val="auto"/>
          <w:vertAlign w:val="superscript"/>
        </w:rPr>
        <w:t>®</w:t>
      </w:r>
      <w:r>
        <w:rPr>
          <w:rFonts w:ascii="Arial" w:cs="Arial" w:eastAsia="Arial" w:hAnsi="Arial"/>
          <w:sz w:val="16"/>
          <w:szCs w:val="16"/>
          <w:color w:val="auto"/>
        </w:rPr>
        <w:t>, a new generation whole blood coagulation testing system that is currently available in select European and Asia Pacific markets, for total consideration of $20.5 million, which consisted of upfront payments of $16.6 million and the fair value of contingent consideration of $3.9 million. The contingent consideration, which could total a maximum of $4.5 million, consists of payments related to the achievement of certain revenue and regulatory milestones. The acquisition of this viscoelastic diagnostic device augments the Company's portfolio of hemostasis analyzers within the Hospital business unit.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The Company accounted for the acquisition of enicor as a business combination, and in accordance with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805</w:t>
      </w:r>
      <w:r>
        <w:rPr>
          <w:rFonts w:ascii="Arial" w:cs="Arial" w:eastAsia="Arial" w:hAnsi="Arial"/>
          <w:sz w:val="18"/>
          <w:szCs w:val="18"/>
          <w:color w:val="auto"/>
        </w:rPr>
        <w:t>), recorded the assets acquired and liabilities assumed at their respective fair values as of the acquisition date.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amounts represent the fair value of the identifiable assets acquired and liabilities assumed for enicor completed during the fiscal 2021:</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April 1, 2020</w:t>
            </w:r>
          </w:p>
        </w:tc>
      </w:tr>
      <w:tr>
        <w:trPr>
          <w:trHeight w:val="223"/>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14,090</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8,153</w:t>
            </w:r>
          </w:p>
        </w:tc>
      </w:tr>
      <w:tr>
        <w:trPr>
          <w:trHeight w:val="223"/>
        </w:trPr>
        <w:tc>
          <w:tcPr>
            <w:tcW w:w="9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assets acquired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23,851</w:t>
            </w:r>
          </w:p>
        </w:tc>
      </w:tr>
      <w:tr>
        <w:trPr>
          <w:trHeight w:val="223"/>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r>
      <w:tr>
        <w:trPr>
          <w:trHeight w:val="223"/>
        </w:trPr>
        <w:tc>
          <w:tcPr>
            <w:tcW w:w="98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liabilities assumed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3,325</w:t>
            </w:r>
          </w:p>
        </w:tc>
      </w:tr>
      <w:tr>
        <w:trPr>
          <w:trHeight w:val="223"/>
        </w:trPr>
        <w:tc>
          <w:tcPr>
            <w:tcW w:w="9840" w:type="dxa"/>
            <w:vAlign w:val="bottom"/>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20,526</w:t>
            </w:r>
          </w:p>
        </w:tc>
      </w:tr>
      <w:tr>
        <w:trPr>
          <w:trHeight w:val="21"/>
        </w:trPr>
        <w:tc>
          <w:tcPr>
            <w:tcW w:w="9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determined the identifiable intangible assets were completed technology, customer relationships and a trademark. The fair value of the intangible assets was estimated using the income approach. The cash flows were based on estimates used to price the transaction, and the discount rates applied were benchmarked with reference to the implied rate of return from the transaction model and the weighted average cost of capital. The benefits of adding a viscoelastic diagnostic device to the Company’s portfolio of hemostasis analyzers within the Hospital business unit contributed to an acquisition price in excess of the fair value of net assets acquired for enicor, which resulted in the establishment of goodwill. In addition, the benefits of lower cost manufacturing and complementary sales channels also contributed to the establishment of goodwill for this acquisition. None of the goodwill is expected to be deductible for income tax purposes.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consist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Risk-Adjusted Discount</w:t>
            </w:r>
          </w:p>
        </w:tc>
        <w:tc>
          <w:tcPr>
            <w:tcW w:w="0" w:type="dxa"/>
            <w:vAlign w:val="bottom"/>
          </w:tcPr>
          <w:p>
            <w:pPr>
              <w:spacing w:after="0"/>
              <w:rPr>
                <w:sz w:val="1"/>
                <w:szCs w:val="1"/>
                <w:color w:val="auto"/>
              </w:rPr>
            </w:pPr>
          </w:p>
        </w:tc>
      </w:tr>
      <w:tr>
        <w:trPr>
          <w:trHeight w:val="135"/>
        </w:trPr>
        <w:tc>
          <w:tcPr>
            <w:tcW w:w="6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1"/>
                <w:szCs w:val="11"/>
                <w:color w:val="auto"/>
              </w:rPr>
            </w:pPr>
          </w:p>
        </w:tc>
        <w:tc>
          <w:tcPr>
            <w:tcW w:w="11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Rates used in Purchase</w:t>
            </w:r>
          </w:p>
        </w:tc>
        <w:tc>
          <w:tcPr>
            <w:tcW w:w="0" w:type="dxa"/>
            <w:vAlign w:val="bottom"/>
          </w:tcPr>
          <w:p>
            <w:pPr>
              <w:spacing w:after="0"/>
              <w:rPr>
                <w:sz w:val="1"/>
                <w:szCs w:val="1"/>
                <w:color w:val="auto"/>
              </w:rPr>
            </w:pPr>
          </w:p>
        </w:tc>
      </w:tr>
      <w:tr>
        <w:trPr>
          <w:trHeight w:val="188"/>
        </w:trPr>
        <w:tc>
          <w:tcPr>
            <w:tcW w:w="64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Amortization Period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Price Allocation</w:t>
            </w:r>
          </w:p>
        </w:tc>
        <w:tc>
          <w:tcPr>
            <w:tcW w:w="0" w:type="dxa"/>
            <w:vAlign w:val="bottom"/>
          </w:tcPr>
          <w:p>
            <w:pPr>
              <w:spacing w:after="0"/>
              <w:rPr>
                <w:sz w:val="1"/>
                <w:szCs w:val="1"/>
                <w:color w:val="auto"/>
              </w:rPr>
            </w:pPr>
          </w:p>
        </w:tc>
      </w:tr>
      <w:tr>
        <w:trPr>
          <w:trHeight w:val="224"/>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13,441</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5"/>
              </w:rPr>
              <w:t>10 Years</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1560" w:type="dxa"/>
            <w:vAlign w:val="bottom"/>
            <w:gridSpan w:val="2"/>
          </w:tcPr>
          <w:p>
            <w:pPr>
              <w:ind w:left="820"/>
              <w:spacing w:after="0"/>
              <w:rPr>
                <w:sz w:val="20"/>
                <w:szCs w:val="20"/>
                <w:color w:val="auto"/>
              </w:rPr>
            </w:pPr>
            <w:r>
              <w:rPr>
                <w:rFonts w:ascii="Arial" w:cs="Arial" w:eastAsia="Arial" w:hAnsi="Arial"/>
                <w:sz w:val="18"/>
                <w:szCs w:val="18"/>
                <w:color w:val="auto"/>
                <w:w w:val="99"/>
              </w:rPr>
              <w:t>10 Years</w:t>
            </w:r>
          </w:p>
        </w:tc>
        <w:tc>
          <w:tcPr>
            <w:tcW w:w="162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10 Years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2021, the Company incurred $0.2 million of acquisition-related costs associated with the acquisition.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enicor had an immaterial impact to the Company's net revenues and net income for fiscal 2021. The unaudited estimated pro forma impact of the results of the acquisition of enicor as if it was consummated on April 1, 2019 are immaterial.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TEG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6s Hemostasis Analyzer System Intellectual Property</w:t>
      </w:r>
    </w:p>
    <w:p>
      <w:pPr>
        <w:spacing w:after="0" w:line="19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On January 13, 2020, the Company purchased the technology underlying the TEG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6s Hemostasis Analyzer System from Cora Healthcare, Inc. and CoraMed Technologies, LLC (the “Cora Parties”) for $35.0 million. In connection with this transaction, which did not meet the definition of a business, the Company acquired ownership of intellectual property previously licensed from the Cora Parties on an exclusive basis in the field of hospitals and hospital laboratories. This acquisition will allow the Company to pursue site of care opportunities beyond the hospital setting. The intangible asset acquired as a result of this transaction was recorded in the Company's Hospital business unit.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Fajardo, Puerto Rico Manufacturing Operations</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29, 2020, the Company sold its Fajardo, Puerto Rico, manufacturing operations to GVS, S.p.A (“GVS”), a leading provider of advanced filtration solutions for critical applications for $15.1 million ($7.8 million, net of cash transferred). Under the terms of the agreement, Haemonetics retained all intellectual property rights to its proprietary blood filters currently manufactured at its Fajardo facility and GVS acquired certain assets consisting primarily of property, plant and equipment, inventory and cash and has assumed certain related liabilities. In connection with this transaction, the Company and GVS also entered into a long-term supply and development agreement that, among other things, grants GVS exclusive rights to manufacture and supply the blood filters currently produced at the Fajardo facility for Haemonetics. The Company also agreed to provide certain transition services to GVS, generally for a period of up to three months depending on the nature of the service.</w:t>
      </w:r>
    </w:p>
    <w:p>
      <w:pPr>
        <w:spacing w:after="0" w:line="2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this transaction, Haemonetics recognized a pre-tax impairment charge in its Blood Center business unit of $1.0 million in the first quarter of fiscal 2021 and an incremental loss of $0.4 million based on closing adjustments during the third quarter of fiscal 2021, as the carrying value of the assets and liabilities in the asset transfer exceeded the net of the $15.1 million of cash proceeds and an additional contingent liability of $1.5 million. The disposal group consisted of $3.3 million of inventory, $7.2 million of fixed assets, $3.2 million of other liabilities, and $0.4 million of goodwill allocated based on fair value to the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U.S. Blood Donor Management Software</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July 1, 2020, the Company sold certain U.S. blood donor management software solution assets within its Blood Center business unit to the GPI Group (“GPI”) for an upfront cash payment of $14.0 million ($13.6 million, net of working capital adjustments) and up to $14.0 million in additional consideration contingent on the achievement of commercial milestones over the twelve month period immediately following the closing of the transaction. The disposal group consisted of $1.4 million of accounts receivable, $0.9 million of intangible assets, other liabilities of $1.8 million and $1.4 million of goodwill allocated based on fair value to the business. The Company recognized a gain of $13.2 million associated with the transaction in fiscal 2021. To the extent the additional contingent consideration is earned and realized in a future period then such amounts will be recorded as additional gains in such future period. The Company also agreed to provide certain transition services to GPI, generally for a period of one to nine months depending on the nature of the service.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Inlog Holdings France</w:t>
      </w:r>
    </w:p>
    <w:p>
      <w:pPr>
        <w:spacing w:after="0" w:line="25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On September 18, 2020, the Company sold its wholly-owned subsidiary Inlog Holdings France SAS to Abénex Capital (“Abénex”), a private equity firm based in France for $30.5 million ($24.5 million, net of cash transferred), of which $29.2 million was received at closing and $1.5 million which was received during the fourth quarter of fiscal 2021. Inlog Holdings France SAS, through its subsidiary In Log SAS, develops and sells blood bank and hospital software solutions used predominantly in France and in several other countries outside of the U.S. The disposal group included $2.2 million of intangible assets, $2.2 million accounts receivable, $0.3 million other assets, $3.3 million of liabilities and $3.3 million of</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7" w:name="page78"/>
    <w:bookmarkEnd w:id="7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goodwill allocated based on the fair value of the business which impacted both the Blood Center and Hospital business units. The Company recognized a gain of $20.0 million associated with the transaction in fiscal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Asset Transfer to CSL</w:t>
      </w:r>
    </w:p>
    <w:p>
      <w:pPr>
        <w:spacing w:after="0" w:line="252"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On May 21, 2019, the Company transferred to CSL substantially all of its tangible assets held relating to the manufacture of anti-coagulant and saline (together, “Liquids”) at its Union, South Carolina facility (“Union”), which consisted primarily of property, plant and equipment and inventory, and CSL assumed certain related liabilities (the “Asset Transfer”) pursuant to the terms of a settlement, release and asset transfer agreement between the parties dated May 13, 2019. The Asset Transfer excluded all other assets related to Union, including accounts receivable, customer contracts and the Company's U.S. Food and Drug Administration (“FDA”) product approvals for manufacturing Liquids.</w:t>
      </w:r>
    </w:p>
    <w:p>
      <w:pPr>
        <w:spacing w:after="0" w:line="20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At closing, Haemonetics received $9.8 million of proceeds for the Asset Transfer and was concurrently released from its obligations to supply Liquids under a 2014 supply agreement with CSL. In connection with the Asset Transfer, CSL and Haemonetics also entered into related transition services, supply and manufacturing services and quality agreements that, among other things, permitted CSL to manufacture Liquids under the Company's FDA product approvals, exclusively for Haemonetics and CSL, until CSL obtains independent product approvals from the FDA to manufacture the Liquids.</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Company's and CSL's entry into the May 13, 2019 agreement for the Asset Transfer, the Company recognized a pre-tax impairment charge of $48.7 million in the first quarter of fiscal 2020, primarily related to the carrying balances of the property, plant and equipment exceeding the consideration received under the terms of the Agreement. The charge did not result in any future cash expenditures. Goodwill associated with the disposal was immaterial.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Domestic and foreign income before (benefit) provision for income tax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26,665</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46,968</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73,633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7220" w:type="dxa"/>
            <w:vAlign w:val="bottom"/>
            <w:gridSpan w:val="2"/>
          </w:tcPr>
          <w:p>
            <w:pPr>
              <w:spacing w:after="0"/>
              <w:rPr>
                <w:sz w:val="20"/>
                <w:szCs w:val="20"/>
                <w:color w:val="auto"/>
              </w:rPr>
            </w:pPr>
            <w:r>
              <w:rPr>
                <w:rFonts w:ascii="Arial" w:cs="Arial" w:eastAsia="Arial" w:hAnsi="Arial"/>
                <w:sz w:val="18"/>
                <w:szCs w:val="18"/>
                <w:color w:val="auto"/>
                <w:w w:val="93"/>
              </w:rPr>
              <w:t>The income tax (benefit) provision from continuing operations contains the following components: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Federal</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(4,165)</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Deferred</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State</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13,351</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18,614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incorporated certain provisions of the Tax Cuts and Jobs Act (the “Act”) in the calculation of the tax provision and effective tax rate, including the provisions related to global intangible low taxed income (“GILTI”), foreign derived intangible income (“FDII”), base erosion anti abuse Tax (“BEAT”), as well as other provisions which limit tax deductibility of expenses. Under the GILTI provisions, U.S. taxes are imposed on foreign income in excess of a deemed return on tangible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8" w:name="page79"/>
    <w:bookmarkEnd w:id="7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assets of its foreign subsidiaries. The ability to benefit from a deduction and foreign tax credits against a portion of the GILTI income may be limited under the GILTI rules as a result of the utilization of net operating losses, foreign sourced income, and other potential limitations within the foreign tax credit calculation.</w:t>
      </w:r>
    </w:p>
    <w:p>
      <w:pPr>
        <w:spacing w:after="0" w:line="21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July 2020, the U.S. Treasury issued final regulations and additional proposed regulations that address the application of the high-taxed exclusion from GILTI. Under these regulations, the Company can make an annual election to exclude from its GILTI calculation, income from its foreign subsidiaries that have effective income tax rate exceeds 18.9% for that year. The regulations must be applied for tax years beginning after July 23, 2020 but companies have the option to apply them retroactively for tax years beginning after December 31, 2017 and before July 23, 2020.</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Coronavirus Aid, Relief and Economic Security Act (the “CARES Act”) was enacted in the United States on March 27, 2020. The CARES Act is an emergency economic stimulus package that includes spending and tax breaks to strengthen the United States economy and fund a nationwide effort to curtail the effect of COVID-19. While the CARES Act provides extensive tax changes in response to the COVID-19 pandemic, the provisions did not have a significant impact on the Company’s financial results.</w:t>
      </w:r>
    </w:p>
    <w:p>
      <w:pPr>
        <w:spacing w:after="0" w:line="21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Company's subsidiary in Malaysia has been granted a full income tax exemption to manufacture whole blood and apheresis devices that could be in effect for up to ten years, provided certain conditions are satisfied. The income tax exemption was in effect beginning June 1,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Tax effected, significant temporary differences comprising the net deferred tax liability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4"/>
                <w:szCs w:val="14"/>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Accruals, reserves and other deferred tax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17,345</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Net operating loss carry-forward</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14,115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 carry-forward,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Capitalized research expenses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deferred tax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valuation allowance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(14,587)</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 (after valuation allowance)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(15,840)</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Amortization of goodwill and intangibles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(68,802)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(15,450)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Unremitted earnings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Operating lease assets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(12,743)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discount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deferred tax liabilities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(47,053)</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deferred tax liabilities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(6,632)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The increase in the worldwide net deferred tax liability is primarily due to the acquisition of Cardiva in March 2021 (as described in </w:t>
      </w:r>
      <w:r>
        <w:rPr>
          <w:rFonts w:ascii="Arial" w:cs="Arial" w:eastAsia="Arial" w:hAnsi="Arial"/>
          <w:sz w:val="18"/>
          <w:szCs w:val="18"/>
          <w:i w:val="1"/>
          <w:iCs w:val="1"/>
          <w:color w:val="auto"/>
        </w:rPr>
        <w:t>Note 4, Acquisitions</w:t>
      </w:r>
      <w:r>
        <w:rPr>
          <w:rFonts w:ascii="Arial" w:cs="Arial" w:eastAsia="Arial" w:hAnsi="Arial"/>
          <w:sz w:val="18"/>
          <w:szCs w:val="18"/>
          <w:color w:val="auto"/>
        </w:rPr>
        <w:t>). For federal income tax purposes the acquisition was deemed a stock purchase and therefore the historical tax basis in the assets acquired and liabilities assumed was carried over upon acquisition. Taxable or deductible temporary differences arising from differences in the assigned fair value for financial statement purposes and the historical tax bases in assets acquired or liabilities assumed is recorded as part of goodwill in the period the transaction occurred.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increase in the net deferred tax liabilities is also attributable to the basis difference in the conversion feature of the convertible senior notes (as described in Note 13</w:t>
      </w:r>
      <w:r>
        <w:rPr>
          <w:rFonts w:ascii="Arial" w:cs="Arial" w:eastAsia="Arial" w:hAnsi="Arial"/>
          <w:sz w:val="18"/>
          <w:szCs w:val="18"/>
          <w:i w:val="1"/>
          <w:iCs w:val="1"/>
          <w:color w:val="auto"/>
        </w:rPr>
        <w:t>, Notes Payable and Long-term Debt</w:t>
      </w:r>
      <w:r>
        <w:rPr>
          <w:rFonts w:ascii="Arial" w:cs="Arial" w:eastAsia="Arial" w:hAnsi="Arial"/>
          <w:sz w:val="18"/>
          <w:szCs w:val="18"/>
          <w:color w:val="auto"/>
        </w:rPr>
        <w:t>). In accounting for the issuance of the convertible senior notes, the Company recorded the basis difference associated with the equity component representing the conversion option to additional paid-in capital.</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 valuation allowance decrease of $3.5 million during fiscal 2021 is primarily due to the sale or transfer of net assets as part Puerto Rico Divesture in June 2020 (as described in </w:t>
      </w:r>
      <w:r>
        <w:rPr>
          <w:rFonts w:ascii="Arial" w:cs="Arial" w:eastAsia="Arial" w:hAnsi="Arial"/>
          <w:sz w:val="17"/>
          <w:szCs w:val="17"/>
          <w:i w:val="1"/>
          <w:iCs w:val="1"/>
          <w:color w:val="auto"/>
        </w:rPr>
        <w:t>Note 5, Divestitures</w:t>
      </w:r>
      <w:r>
        <w:rPr>
          <w:rFonts w:ascii="Arial" w:cs="Arial" w:eastAsia="Arial" w:hAnsi="Arial"/>
          <w:sz w:val="17"/>
          <w:szCs w:val="17"/>
          <w:color w:val="auto"/>
        </w:rPr>
        <w:t>) off as well as changes to valuation allowances on certain foreign jurisdictions where the Company has concluded that its deferred tax assets are not more-likely-than-not realizable. The Company has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It has also considered the ability to implement certain strategies that would, if necessary, be implemented to accelerate taxable income and use expiring deferred tax assets. The Company has concluded future taxable income can be considered a source of income to realize a benefit for deferred tax assets in certain jurisdictions. In addition, the Company has concluded that it cannot rely on future taxable income in certain risk bearing principal jurisdictions due uncertainty surrounding future taxable income including as a result of the effects of Covid-19 and the recent announcement of CSL intent not to renew its supply agreement for the use of PCS2 plasma collection system devices and the purchase of disposable plasmapheresis kits in the U.S. following the expiration of the current term in June 2022. The Company believes it is able to support the deferred tax assets recognized as of the end of the year based on all of the available evidence. The worldwide net deferred tax liability as of April 3, 2021 includes deferred tax liabilities related to amortizable tax basis in goodwill, which are indefinite lived and can only be used as a source of income to benefit other indefinite lived assets.</w:t>
      </w:r>
    </w:p>
    <w:p>
      <w:pPr>
        <w:spacing w:after="0" w:line="2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April 3, 2021, the Company maintains a valuation allowance against certain U.S. state deferred tax assets that are not more-likely-than-not realizable and maintains a full valuation allowance against the net deferred tax assets of certain foreign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acquisition of Cardiva, the Company acquired federal and state net operating loss carryforwards of $151.4 million and</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$70.7 million, respectively. The Company also acquired federal and state tax research credit carryforwards of $0.2 million and $0.4 million, respectively. These net operating loss and tax credit carryforwards may become subject to an annual limitation in the event of certain cumulative changes in the ownership interest of significant shareholders over a three-year period in excess of 50 percent as defined under Section 382 and 383 of the U.S. Internal Revenue Code of 1986, respectively, as well as similar state provisions. The amount of the annual limitation is determined based on the value of the Company immediately prior to the ownership change. The Company conducted a preliminary Section 382 study covering the period of inception (July 2002) through March 1, 2021. The study concluded that ownership changes occurred during that period which limit the amount of the Company’s net operating losses and tax credit carryforwards that can be utilized before expiring. The carryforwards disclosed represent the amount of attributes that can be utilized based on the results of the study.</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April 3, 2021, the Company has U.S. federal net operating loss carryforwards of $141.9 million of which $27.3 million will begin to expire in fiscal 2022 and $114.6 million can be carried forward indefinitely. The Company has U.S. state net operating losses of $102.7 million of which $79.7 million will begin to expire in fiscal 2022 and $23.0 million can be carried forward indefinitely. The Company has federal and state tax credits of $0.4 million and $5.7 million, respectively, which will begin to expire in fiscal 2031 and fiscal 2025, respectively.</w:t>
      </w:r>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April 3, 2021, the Company has foreign net operating losses of approximately $12.6 million that are available to reduce future income of which $6.3 million will begin to expire in fiscal 2034 and $6.3 million can be carried forward indefinitely.</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April 3, 2021, substantially all of the unremitted earnings of the Company have been taxed in the U.S. The Company has provided $0.6 million of net foreign withholding taxes on approximately $204.8 million of unremitted earnings that are not indefinitely reinvested. The Company has not provided U.S. deferred income taxes or foreign withholding taxes on unremitted earnings of foreign subsidiaries of approximately $94.0 million as such amounts are considered to be indefinitely reinvested in the business. The accumulated earnings in the foreign subsidiaries are primarily utilized to fund working capital requirements as its subsidiaries continue to expand their operations, to service existing debt obligations and to fund future foreign acquisitions. The Company does not believe it is practicable to estimate the amount of income taxes payable on the earnings that are indefinitely reinvested in foreign operations, however a significant portion of the unremitted earnings could be remitted without a future tax cost.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0" w:name="page81"/>
    <w:bookmarkEnd w:id="8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income tax (benefit) provision from continuing operations differs from the tax provision (benefit) computed at the U.S. federal statutory income tax rate due to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at federal statutory rate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Difference between U.S. and foreign tax</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Change in uncertain tax positions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intangible low taxed income</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Unremitted earnings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statutory rate changes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Non-deductible executive compensation</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other</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Stock compensation benefits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credits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Intercompany sale of intellectual property</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9"/>
                <w:szCs w:val="19"/>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One-time transition tax from tax reform</w:t>
            </w: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(0.3) %</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Income tax (benefit) provision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12.2 %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18,614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25.3 %</w:t>
            </w:r>
          </w:p>
        </w:tc>
      </w:tr>
      <w:tr>
        <w:trPr>
          <w:trHeight w:val="21"/>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Company recorded an income tax benefit of $6.6 million, representing an effective tax rate of (9.0)%. The effective tax rate is lower than the U.S. statutory rate of 21.0% primarily as a result of the tax benefit from the sale or transfer of net assets as part Puerto Rico Divesture in June 2020 (as described in </w:t>
      </w:r>
      <w:r>
        <w:rPr>
          <w:rFonts w:ascii="Arial" w:cs="Arial" w:eastAsia="Arial" w:hAnsi="Arial"/>
          <w:sz w:val="17"/>
          <w:szCs w:val="17"/>
          <w:i w:val="1"/>
          <w:iCs w:val="1"/>
          <w:color w:val="auto"/>
        </w:rPr>
        <w:t>Note 5, Divestitures</w:t>
      </w:r>
      <w:r>
        <w:rPr>
          <w:rFonts w:ascii="Arial" w:cs="Arial" w:eastAsia="Arial" w:hAnsi="Arial"/>
          <w:sz w:val="17"/>
          <w:szCs w:val="17"/>
          <w:color w:val="auto"/>
        </w:rPr>
        <w:t>) as well as recognizing a non-recurring tax benefit from the release of a portion of the valuation allowance due to taxable temporary differences acquired with the acquisition of Cardiva. Other factors decreasing the effective tax rate include the impact of tax benefits of stock compensation windfall deductions, research credits generated and jurisdictional mix of earnings, partially offset by the impact of GILTI, non-deductible executive compensation, tax reserves and non-deductible acquisition costs. The Company has recorded an immaterial tax expense related to unremitted foreign earnings that are not considered permanently reinvested.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Unrecognized tax benefits represent uncertain tax positions for which reserves have been established. As of April 3, 2021, the Company had $6.1 million of unrecognized tax benefits, of which $5.3 million would impact the effective tax rate, if recognized. As of March 28, 2020, the Company had $4.6 million of unrecognized tax benefits, of which $4.0 million would impact the effective tax rate, if recognized. At March 30, 2019, the Company had $4.7 million of unrecognized tax benefits, of which $3.9 million would impact the effective tax rate, if recognized.</w:t>
      </w: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fiscal year ended April 3, 2021, the Company settled an ongoing withholding tax audit with the Swiss taxing authorities covering fiscal 2014 through fiscal 2018.</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its gross unrecognized tax benefits for the fiscal years ended April 3, 2021, March 28,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30,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April 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18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88"/>
        </w:trPr>
        <w:tc>
          <w:tcPr>
            <w:tcW w:w="674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Additions for tax positions of current year</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Reductions of tax positions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of tax positions</w:t>
            </w: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Closure of statute of limitations</w:t>
            </w:r>
          </w:p>
        </w:tc>
        <w:tc>
          <w:tcPr>
            <w:tcW w:w="9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April 3, 2021, the Company anticipates that the liability for unrecognized tax benefits for uncertain tax positions could change by up to $2.3 million in the next twelve months, as a result of closure of various statutes of limitations and potential settlements with tax authorities.</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historical practice has been and continues to be to recognize interest and penalties related to federal, state and foreign income tax matters in income tax expense. Approximately $1.4 million and $0.4 million of gross interest and penalties were accrued at April 3, 2021 and March 28, 2020, respectively, and are not included in the amounts above. Additionally, $0.9 million and $0.3 million of accrued interest and penalties was included in income tax benefit for the years ended April 3, 2021 and March 28, 2020, respectively. Such amounts were immaterial during the fiscal year ended and March 30, 2019.</w:t>
      </w:r>
    </w:p>
    <w:p>
      <w:pPr>
        <w:spacing w:after="0" w:line="21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conducts business globally and, as a result, files federal, state and foreign income tax returns in multiple jurisdictions. In the normal course of business, it is subject to examination by taxing authorities throughout the world. With a few exceptions, the Company is no longer subject to U.S. federal, state, or local income tax examinations for years before fiscal 2017 and foreign income tax examinations for years before fiscal 2016. To the extent that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79,469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76,526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55,019</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51,533</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Basic income per share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79,469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76,526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55,019</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51,533</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effect of common stock equivalents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52,942</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Diluted income per share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Basic earnings per share is calculated using the Company's weighted-average outstanding common shares. Diluted earnings per share is calculated using its weighted-average outstanding common shares including the dilutive effect of stock awards as determined under the treasury stock method and the convertible senior notes as determined under the net share settlement method. From the time of the issuance of the convertible senior notes, the average market price of the Company's common shares has been less than the initial conversion price, and consequently no shares have been included in diluted earnings per share for the conversion value of the convertible senior notes. For fiscal 2021, 2020 and 2019, weighted average shares outstanding, assuming dilution, excludes the impact of 0.5 million, 0.2 million and 0.2 million anti-dilutive shares, respectively.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25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May 2019, the Company's Board of Directors authorized the repurchase of up to $500 million of Haemonetics common shares over the two year period ending May 2021. As of April 3, 2021, the total remaining authorization for repurchases of the Company's common stock under the share repurchase program was $325.0 million. The Company did not make any additional share repurchases under this program which expired in May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Company's revenue recognition policy is to recognize revenues from product sales, software and services in accordance with ASC Topic 606,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Revenue is recognized when obligations under the terms of a contract with a customer are satisfied; this occurs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20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of April 3, 2021, the Company had $20.7 million of transaction price allocated to remaining performance obligations related to executed contracts with an original duration of one year or more. The Company expects to recognize approximately 67% of this amount as revenue within the next twelve months and the remaining balance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5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consolidated balance sheets. The difference in timing between billing and revenue recognition primarily occurs in software licensing arrangements, resulting in contract assets and contract liabilities.</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April 3, 2021 and March 28, 2020, the Company had contract assets of $4.8 million and $5.0 million, respectively. The change is primarily due to the delay in billings compared to the revenue recognized. Contract assets are classified as other current assets and other long-term assets on the consolidated balance sheet.</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April 3, 2021 and March 28, 2020, the Company had contract liabilities of $20.9 million and $20.8 million, respectively. During fiscal 2021, the Company recognized $17.1 million of revenue that was included in the above March 28, 2020 contract liability balance. Contract liabilities are classified as other current liabilities and other long-term liabilities on the consolidated balance sheet.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INVENTORIES</w:t>
      </w:r>
    </w:p>
    <w:p>
      <w:pPr>
        <w:spacing w:after="0" w:line="256"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color w:val="auto"/>
        </w:rPr>
        <w:t>Inventories are stated at the lower of cost or net realizable value and include the cost of material, labor and manufacturing overhead. Cost is determined with the first-in, first-out method.</w:t>
      </w:r>
    </w:p>
    <w:tbl>
      <w:tblPr>
        <w:tblLayout w:type="fixed"/>
        <w:tblInd w:w="0" w:type="dxa"/>
        <w:tblCellMar>
          <w:top w:w="0" w:type="dxa"/>
          <w:left w:w="0" w:type="dxa"/>
          <w:bottom w:w="0" w:type="dxa"/>
          <w:right w:w="0" w:type="dxa"/>
        </w:tblCellMar>
      </w:tblPr>
      <w:tr>
        <w:trPr>
          <w:trHeight w:val="192"/>
        </w:trPr>
        <w:tc>
          <w:tcPr>
            <w:tcW w:w="82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 2021</w:t>
            </w:r>
          </w:p>
        </w:tc>
        <w:tc>
          <w:tcPr>
            <w:tcW w:w="180" w:type="dxa"/>
            <w:vAlign w:val="bottom"/>
          </w:tcPr>
          <w:p>
            <w:pPr>
              <w:spacing w:after="0"/>
              <w:rPr>
                <w:sz w:val="16"/>
                <w:szCs w:val="16"/>
                <w:color w:val="auto"/>
              </w:rPr>
            </w:pPr>
          </w:p>
        </w:tc>
        <w:tc>
          <w:tcPr>
            <w:tcW w:w="1260" w:type="dxa"/>
            <w:vAlign w:val="bottom"/>
          </w:tcPr>
          <w:p>
            <w:pPr>
              <w:jc w:val="right"/>
              <w:ind w:right="154"/>
              <w:spacing w:after="0"/>
              <w:rPr>
                <w:sz w:val="20"/>
                <w:szCs w:val="20"/>
                <w:color w:val="auto"/>
              </w:rPr>
            </w:pPr>
            <w:r>
              <w:rPr>
                <w:rFonts w:ascii="Arial" w:cs="Arial" w:eastAsia="Arial" w:hAnsi="Arial"/>
                <w:sz w:val="14"/>
                <w:szCs w:val="14"/>
                <w:b w:val="1"/>
                <w:bCs w:val="1"/>
                <w:color w:val="auto"/>
              </w:rPr>
              <w:t>March 28, 2020</w:t>
            </w:r>
          </w:p>
        </w:tc>
      </w:t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11,021</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182,388</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322,614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270,276</w:t>
            </w: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PLANT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 2021</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rPr>
              <w:t>March 28, 2020</w:t>
            </w:r>
          </w:p>
        </w:tc>
      </w:tr>
      <w:tr>
        <w:trPr>
          <w:trHeight w:val="229"/>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Building and building improvements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107,322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101,296</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Plant equipment and machinery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242,286</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Office equipment and information technology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115,810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113,600</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Haemonetics equipment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370,473</w:t>
            </w:r>
          </w:p>
        </w:tc>
      </w:tr>
      <w:tr>
        <w:trPr>
          <w:trHeight w:val="223"/>
        </w:trPr>
        <w:tc>
          <w:tcPr>
            <w:tcW w:w="824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817,258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832,434</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(579,035)</w:t>
            </w: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217,559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253,399</w:t>
            </w: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$43.1 million, $76.6 million and $76.8 million in fiscal 2021, 2020 and 2019, respectively.</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early April 2021, the Company was informed by CSL of its intent not to renew its supply agreement for the use of PCS2 plasma collection system devices and the purchase of disposable plasmapheresis kits in the U.S. following the expiration of the current term in June 2022. As a result, the Company incurred a one-time impairment of $20.9 million related to disposables manufacturing equipment previously recorded in construction in process which will not be placed into service as a result of the supply agreement expiration. The impairment charge was included in cost of goods sold on the consolidated statements of income and impacted the Plasma reporting segment.</w:t>
      </w:r>
    </w:p>
    <w:p>
      <w:pPr>
        <w:spacing w:after="0" w:line="2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During the fiscal 2020, the Company recognized a pre-tax impairment charge of $48.7 million relating to the asset transfer between the Company and CSL on May 13, 2019. This impairment is related to the carrying balances of the property, plant and equipment exceeding the consideration received under the terms of the agreement. The charge will not result in any future cash expenditures. For additional information regarding the transaction, refer to Note 5 - </w:t>
      </w:r>
      <w:r>
        <w:rPr>
          <w:rFonts w:ascii="Arial" w:cs="Arial" w:eastAsia="Arial" w:hAnsi="Arial"/>
          <w:sz w:val="18"/>
          <w:szCs w:val="18"/>
          <w:i w:val="1"/>
          <w:iCs w:val="1"/>
          <w:color w:val="auto"/>
        </w:rPr>
        <w:t>Divestitures</w:t>
      </w:r>
      <w:r>
        <w:rPr>
          <w:rFonts w:ascii="Arial" w:cs="Arial" w:eastAsia="Arial" w:hAnsi="Arial"/>
          <w:sz w:val="18"/>
          <w:szCs w:val="18"/>
          <w:color w:val="auto"/>
        </w:rPr>
        <w:t>. The Company also impaired an additional $1.9 million of property, plant and equipment as a result of the Company's corporate headquarter</w:t>
      </w:r>
      <w:r>
        <w:rPr>
          <w:rFonts w:ascii="Arial" w:cs="Arial" w:eastAsia="Arial" w:hAnsi="Arial"/>
          <w:sz w:val="18"/>
          <w:szCs w:val="18"/>
          <w:i w:val="1"/>
          <w:iCs w:val="1"/>
          <w:color w:val="auto"/>
        </w:rPr>
        <w:t xml:space="preserve"> </w:t>
      </w:r>
      <w:r>
        <w:rPr>
          <w:rFonts w:ascii="Arial" w:cs="Arial" w:eastAsia="Arial" w:hAnsi="Arial"/>
          <w:sz w:val="18"/>
          <w:szCs w:val="18"/>
          <w:color w:val="auto"/>
        </w:rPr>
        <w:t>move and a review of underperforming assets, resulting in total impairment charges of $50.6 million during fiscal 2020. Substantially all of these impairments were included within selling, general and administrative costs on the consolidated statements of income and primarily impacted the Plasma reporting segment.</w:t>
      </w:r>
    </w:p>
    <w:p>
      <w:pPr>
        <w:spacing w:after="0" w:line="22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During fiscal 2020, the Company sold $7.8 million of real estate and other assets associated with the Braintree corporate headquarters for net cash proceeds of $15.0 million and non-cash consideration of $0.9 million which resulted in a net gain of $8.1 million. Additionally, in connection with the lease for office space in Boston, MA which serves as the new corporate headquarters, the Company received a lease incentive in the form of property, plant and equipment totaling $5.6 million which was recorded during fiscal 2020. Refer to Note 12</w:t>
      </w:r>
      <w:r>
        <w:rPr>
          <w:rFonts w:ascii="Arial" w:cs="Arial" w:eastAsia="Arial" w:hAnsi="Arial"/>
          <w:sz w:val="16"/>
          <w:szCs w:val="16"/>
          <w:i w:val="1"/>
          <w:iCs w:val="1"/>
          <w:color w:val="auto"/>
        </w:rPr>
        <w:t>, Leases</w:t>
      </w:r>
      <w:r>
        <w:rPr>
          <w:rFonts w:ascii="Arial" w:cs="Arial" w:eastAsia="Arial" w:hAnsi="Arial"/>
          <w:sz w:val="16"/>
          <w:szCs w:val="16"/>
          <w:color w:val="auto"/>
        </w:rPr>
        <w:t>, for additional information regarding this lease.</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fiscal 2019, the Company recorded impairment charges of $21.2 million, which consisted of $19.8 million of charges related to the discontinued use of the HDC filter media manufacturing line and $1.4 million of charges related to non-core and underperforming assets. These impairments were included within cost of goods sold on the consolidated statements of income and impacted the Blood Center reporting segment.</w:t>
      </w:r>
    </w:p>
    <w:p>
      <w:pPr>
        <w:spacing w:after="0" w:line="192" w:lineRule="exact"/>
        <w:rPr>
          <w:sz w:val="20"/>
          <w:szCs w:val="20"/>
          <w:color w:val="auto"/>
        </w:rPr>
      </w:pPr>
    </w:p>
    <w:p>
      <w:pPr>
        <w:ind w:right="520"/>
        <w:spacing w:after="0" w:line="223" w:lineRule="auto"/>
        <w:rPr>
          <w:sz w:val="20"/>
          <w:szCs w:val="20"/>
          <w:color w:val="auto"/>
        </w:rPr>
      </w:pPr>
      <w:r>
        <w:rPr>
          <w:rFonts w:ascii="Arial" w:cs="Arial" w:eastAsia="Arial" w:hAnsi="Arial"/>
          <w:sz w:val="18"/>
          <w:szCs w:val="18"/>
          <w:color w:val="auto"/>
        </w:rPr>
        <w:t>Additionally, in the second quarter of fiscal 2019, the Company changed the estimated useful lives of PCS</w:t>
      </w:r>
      <w:r>
        <w:rPr>
          <w:rFonts w:ascii="Arial" w:cs="Arial" w:eastAsia="Arial" w:hAnsi="Arial"/>
          <w:sz w:val="23"/>
          <w:szCs w:val="23"/>
          <w:color w:val="auto"/>
          <w:vertAlign w:val="superscript"/>
        </w:rPr>
        <w:t>®</w:t>
      </w:r>
      <w:r>
        <w:rPr>
          <w:rFonts w:ascii="Arial" w:cs="Arial" w:eastAsia="Arial" w:hAnsi="Arial"/>
          <w:sz w:val="18"/>
          <w:szCs w:val="18"/>
          <w:color w:val="auto"/>
        </w:rPr>
        <w:t>2 devices included within Haemonetics Equipment, as these will be replaced by NexSys PCS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devices. During fiscal 2020 and 2019, the Company incurred $18.1 million and $18.0 million, respectively, of accelerated depreciation expense related to this change in estimate. As of March 28, 2020, the majority of PCS2 devices were fully depreciated.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INTANGIBLE ASSETS</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Effective as of March 31, 2019, the Company revised the composition of its reportable segments to align with its three global business units, Plasma, Blood Center and Hospital. Refer to Note 18, </w:t>
      </w:r>
      <w:r>
        <w:rPr>
          <w:rFonts w:ascii="Arial" w:cs="Arial" w:eastAsia="Arial" w:hAnsi="Arial"/>
          <w:sz w:val="18"/>
          <w:szCs w:val="18"/>
          <w:i w:val="1"/>
          <w:iCs w:val="1"/>
          <w:color w:val="auto"/>
        </w:rPr>
        <w:t>Segment and Enterprise-Wide Information,</w:t>
      </w:r>
      <w:r>
        <w:rPr>
          <w:rFonts w:ascii="Arial" w:cs="Arial" w:eastAsia="Arial" w:hAnsi="Arial"/>
          <w:sz w:val="18"/>
          <w:szCs w:val="18"/>
          <w:color w:val="auto"/>
        </w:rPr>
        <w:t xml:space="preserve"> for additional information regarding the change in the Company's reportable segments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 reporting unit is defined as an operating segment or one level below an operating segment, referred to as a component. The Company aggregates components within an operating segment that have similar economic characteristics. Consistent with its reportable segments, reporting units for purposes of assessing goodwill impairment have also been reorganized based on business unit and include: Plasma, Blood Center and Hospital.</w:t>
      </w:r>
    </w:p>
    <w:p>
      <w:pPr>
        <w:spacing w:after="0" w:line="19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To determine the amount of goodwill within each of the new reporting units, the Company reallocated, on a relative fair value basis, $84.0 million of goodwill previously allocated to the former Europe, APAC and Japan reporting units to the new global reporting units. In addition, the $126.8 million of goodwill previously allocated to the former North America reporting units was reallocated to each new respective global reporting unit.</w:t>
      </w:r>
    </w:p>
    <w:p>
      <w:pPr>
        <w:spacing w:after="0" w:line="1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represents the Company's goodwill balance by new global reportable segment for fiscal 2021 and 2020. The prior period information has been restated to conform to the current presentation: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Plasma</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Blood Center</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Hospital</w:t>
            </w:r>
          </w:p>
        </w:tc>
        <w:tc>
          <w:tcPr>
            <w:tcW w:w="32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2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amount as of March 30, 2019</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145,174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210,819</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Currency translation</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amount as of March 28, 2020</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145,041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210,652</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Divestitures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(5,034)</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259,788</w:t>
            </w:r>
          </w:p>
        </w:tc>
      </w:tr>
      <w:tr>
        <w:trPr>
          <w:trHeight w:val="22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translation</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Carrying amount as of April 3, 2021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402,873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466,444</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results of the Company's goodwill impairment test performed in the fourth quarter of fiscal 2021, 2020 and 2019 indicated that the estimated fair value of all reporting units exceeded their respective carrying values. There were no reporting units at risk of impairment as of the fiscal 2021, 2020 and 2019 annual test dates.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of intangible assets and the related accumulated amortization as of April 3, 2021 and March 28, 2020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153"/>
              <w:spacing w:after="0"/>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4"/>
                <w:szCs w:val="14"/>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4380" w:type="dxa"/>
            <w:vAlign w:val="bottom"/>
            <w:vMerge w:val="continue"/>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39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April 3, 2021</w:t>
            </w:r>
          </w:p>
        </w:tc>
        <w:tc>
          <w:tcPr>
            <w:tcW w:w="2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Amortizable:</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71,575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developed technology</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204,701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168,446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3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677,440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320,640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Non-amortizable:</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In-process software development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patents</w:t>
            </w:r>
          </w:p>
        </w:tc>
        <w:tc>
          <w:tcPr>
            <w:tcW w:w="23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20" w:type="dxa"/>
            <w:vAlign w:val="bottom"/>
            <w:vMerge w:val="restart"/>
          </w:tcPr>
          <w:p>
            <w:pPr>
              <w:jc w:val="right"/>
              <w:ind w:right="890"/>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43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280" w:type="dxa"/>
            <w:vAlign w:val="bottom"/>
          </w:tcPr>
          <w:p>
            <w:pPr>
              <w:jc w:val="right"/>
              <w:ind w:right="153"/>
              <w:spacing w:after="0"/>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4"/>
                <w:szCs w:val="14"/>
                <w:color w:val="auto"/>
              </w:rPr>
            </w:pPr>
          </w:p>
        </w:tc>
        <w:tc>
          <w:tcPr>
            <w:tcW w:w="10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6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39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March 28, 2020</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Amortizable:</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76,740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33,718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developed technology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56,461</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193,797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158,890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34,907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423,839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296,942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126,897</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Non-amortizable:</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In-process software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patents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fourth quarter of fiscal 2021, the Company acquired Cardiva and recorded $230.3 million of developed technology, $18.2 million of customer relationships, and $5.4 million of trademarks based on our preliminary purchase accounting valuation.</w:t>
      </w:r>
    </w:p>
    <w:p>
      <w:pPr>
        <w:spacing w:after="0" w:line="19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During the first quarter of fiscal 2021, the Company acquired enicor and recorded $13.4 million of developed technology, $0.3 million of customer relationships, and $0.3 million of trademarks.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additional information regarding these acquisitions.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Intangible assets include the value assigned to license rights and other developed technology, patents, customer contracts and relationships and trade names. The estimated useful lives for all of these intangible assets are approximately 5 to 15 years. The changes to the net carrying value of the Company's intangible assets from March 28, 2020 to April 3, 2021 reflect the impact of acquisitions and investments in capitalized software, partially offset by amortization expense.</w:t>
      </w:r>
    </w:p>
    <w:p>
      <w:pPr>
        <w:spacing w:after="0" w:line="214"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Aggregate amortization expense for amortized intangible assets for fiscal 2021, 2020, and 2019 was $41.2 million, $34.2 million and $32.6 million, respectively. There were no intangible asset impairments during fiscal 2021, 2020, and 2019. Future annual amortization expense on intangible assets is estimated to be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9"/>
        </w:trPr>
        <w:tc>
          <w:tcPr>
            <w:tcW w:w="9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53,672</w:t>
            </w:r>
          </w:p>
        </w:tc>
      </w:tr>
      <w:tr>
        <w:trPr>
          <w:trHeight w:val="230"/>
        </w:trPr>
        <w:tc>
          <w:tcPr>
            <w:tcW w:w="9560" w:type="dxa"/>
            <w:vAlign w:val="bottom"/>
            <w:gridSpan w:val="2"/>
          </w:tcPr>
          <w:p>
            <w:pPr>
              <w:ind w:left="20"/>
              <w:spacing w:after="0"/>
              <w:rPr>
                <w:sz w:val="20"/>
                <w:szCs w:val="20"/>
                <w:color w:val="auto"/>
              </w:rPr>
            </w:pPr>
            <w:r>
              <w:rPr>
                <w:rFonts w:ascii="Arial" w:cs="Arial" w:eastAsia="Arial" w:hAnsi="Arial"/>
                <w:sz w:val="18"/>
                <w:szCs w:val="18"/>
                <w:color w:val="auto"/>
              </w:rPr>
              <w:t>Fiscal 2023</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39,371</w:t>
            </w:r>
          </w:p>
        </w:tc>
      </w:tr>
      <w:tr>
        <w:trPr>
          <w:trHeight w:val="230"/>
        </w:trPr>
        <w:tc>
          <w:tcPr>
            <w:tcW w:w="9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34,937</w:t>
            </w:r>
          </w:p>
        </w:tc>
      </w:tr>
      <w:tr>
        <w:trPr>
          <w:trHeight w:val="229"/>
        </w:trPr>
        <w:tc>
          <w:tcPr>
            <w:tcW w:w="9560" w:type="dxa"/>
            <w:vAlign w:val="bottom"/>
            <w:gridSpan w:val="2"/>
          </w:tcPr>
          <w:p>
            <w:pPr>
              <w:ind w:left="20"/>
              <w:spacing w:after="0"/>
              <w:rPr>
                <w:sz w:val="20"/>
                <w:szCs w:val="20"/>
                <w:color w:val="auto"/>
              </w:rPr>
            </w:pPr>
            <w:r>
              <w:rPr>
                <w:rFonts w:ascii="Arial" w:cs="Arial" w:eastAsia="Arial" w:hAnsi="Arial"/>
                <w:sz w:val="18"/>
                <w:szCs w:val="18"/>
                <w:color w:val="auto"/>
              </w:rPr>
              <w:t>Fiscal 2025</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27,582</w:t>
            </w:r>
          </w:p>
        </w:tc>
      </w:tr>
      <w:tr>
        <w:trPr>
          <w:trHeight w:val="230"/>
        </w:trPr>
        <w:tc>
          <w:tcPr>
            <w:tcW w:w="9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22,247</w:t>
            </w:r>
          </w:p>
        </w:tc>
      </w:tr>
    </w:tbl>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the Company applies the provisions of ASC Topic 985-20, </w:t>
      </w:r>
      <w:r>
        <w:rPr>
          <w:rFonts w:ascii="Arial" w:cs="Arial" w:eastAsia="Arial" w:hAnsi="Arial"/>
          <w:sz w:val="18"/>
          <w:szCs w:val="18"/>
          <w:i w:val="1"/>
          <w:iCs w:val="1"/>
          <w:color w:val="auto"/>
        </w:rPr>
        <w:t>Software - Costs of Software to be Sold, Leased or Marketed</w:t>
      </w:r>
      <w:r>
        <w:rPr>
          <w:rFonts w:ascii="Arial" w:cs="Arial" w:eastAsia="Arial" w:hAnsi="Arial"/>
          <w:sz w:val="18"/>
          <w:szCs w:val="18"/>
          <w:color w:val="auto"/>
        </w:rPr>
        <w:t>, which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The costs capitalized for each project are included in intangible assets in the consolidated financial statements.</w:t>
      </w:r>
    </w:p>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capitalized $4.2 million and $3.9 million in software development costs for ongoing initiatives during fiscal 2021 and 2020, respectively. At April 3, 2021 and March 28, 2020, the Company had a total of $75.6 million and $79.3 million of software costs capitalized, of which $4.0 million and $2.6 million are related to in process software development initiatives, respectively, and the remaining balance represents in-service assets that are being amortized over their useful lives. Amortization expense for capitalized software was $7.8 million, $8.2 million, and $7.6 million for the fiscal years ended April 3, 2021, March 28, 2020, and March 30, 2019, respectively.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Activity</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has operating leases for office space, land, warehouse and manufacturing space, R&amp;D laboratories, vehicles and certain equipment. Finance leases are not significant. Leases with an initial term of 12 months or less are generally not recorded on the balance sheet and expense for these leases is recognized on a straight-line basis over the lease term. For leases executed in fiscal 2020 and later, the Company accounts for the lease components and the non-lease components as a single lease component. The Company's leases have remaining lease terms of 1 year to approximately 30 years, some of which may include options to extend the leases for up to 10 years and some include options to terminate early. These options have been included in the determination of the lease liability when it is reasonably certain that the option will be exercised. The Company does not have any leases that include residual value guarantees.</w:t>
      </w:r>
    </w:p>
    <w:p>
      <w:pPr>
        <w:spacing w:after="0" w:line="22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determines whether an arrangement is or contains a lease based on the unique facts and circumstances present at the inception of an arrangement. Operating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For operating leases that commenced prior to the Company's adoption of ASC 842, the Company measured the lease liabilities and right-of-use assets using the incremental borrowing rate as of March 31, 2019. Certain adjustments to the right-of-use asset may be required for items such as initial direct costs paid or incentives received.</w:t>
      </w:r>
    </w:p>
    <w:p>
      <w:pPr>
        <w:spacing w:after="0" w:line="20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During the first quarter of fiscal 2021, the Company entered into a lease for manufacturing space in Clinton, PA. The Company's current manufacturing operations in Leetsdale, PA will be relocated. The lease term associated with the new manufacturing facility is 15 years and 7 months and includes two five year renewal options followed by one four year renewal option. During the first quarter of fiscal 2021, the Company recorded a right-of-use asset of $11.3 million and corresponding liabilities of $15.4 million upon commencement of the lease term in May 2020. In addition, the Company recorded a $4.1 million lease incentive receivable associated with this lease agreement which was received during the third quarter of fiscal 2021.</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fiscal 2020, the Company entered into a lease for office space in Boston, MA to serve as its new corporate headquarters and completed the relocation to this new office from its previous corporate headquarters located in Braintree, MA. The lease term associated with the new corporate headquarters extends through June 30, 2032 and includes two five year renewal options. During fiscal 2020, the Company recorded a right-of-use asset of $36.2 million and corresponding liabilities of $41.8 million. In addition, the Company recorded $5.6 million of property, plant and equipment as a result of a lease incentive received associated with this lease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balance sheet information related to the Company's operating leases: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320" w:type="dxa"/>
            <w:vAlign w:val="bottom"/>
          </w:tcPr>
          <w:p>
            <w:pPr>
              <w:jc w:val="right"/>
              <w:ind w:right="295"/>
              <w:spacing w:after="0"/>
              <w:rPr>
                <w:sz w:val="20"/>
                <w:szCs w:val="20"/>
                <w:color w:val="auto"/>
              </w:rPr>
            </w:pPr>
            <w:r>
              <w:rPr>
                <w:rFonts w:ascii="Arial" w:cs="Arial" w:eastAsia="Arial" w:hAnsi="Arial"/>
                <w:sz w:val="14"/>
                <w:szCs w:val="14"/>
                <w:b w:val="1"/>
                <w:bCs w:val="1"/>
                <w:color w:val="auto"/>
              </w:rPr>
              <w:t>April 3, 2021</w:t>
            </w:r>
          </w:p>
        </w:tc>
        <w:tc>
          <w:tcPr>
            <w:tcW w:w="240" w:type="dxa"/>
            <w:vAlign w:val="bottom"/>
          </w:tcPr>
          <w:p>
            <w:pPr>
              <w:spacing w:after="0"/>
              <w:rPr>
                <w:sz w:val="16"/>
                <w:szCs w:val="16"/>
                <w:color w:val="auto"/>
              </w:rPr>
            </w:pPr>
          </w:p>
        </w:tc>
        <w:tc>
          <w:tcPr>
            <w:tcW w:w="1380" w:type="dxa"/>
            <w:vAlign w:val="bottom"/>
          </w:tcPr>
          <w:p>
            <w:pPr>
              <w:jc w:val="right"/>
              <w:ind w:right="235"/>
              <w:spacing w:after="0"/>
              <w:rPr>
                <w:sz w:val="20"/>
                <w:szCs w:val="20"/>
                <w:color w:val="auto"/>
              </w:rPr>
            </w:pPr>
            <w:r>
              <w:rPr>
                <w:rFonts w:ascii="Arial" w:cs="Arial" w:eastAsia="Arial" w:hAnsi="Arial"/>
                <w:sz w:val="14"/>
                <w:szCs w:val="14"/>
                <w:b w:val="1"/>
                <w:bCs w:val="1"/>
                <w:color w:val="auto"/>
              </w:rPr>
              <w:t>March 28, 2020</w:t>
            </w:r>
          </w:p>
        </w:tc>
      </w:tr>
      <w:tr>
        <w:trPr>
          <w:trHeight w:val="229"/>
        </w:trPr>
        <w:tc>
          <w:tcPr>
            <w:tcW w:w="7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r>
      <w:tr>
        <w:trPr>
          <w:trHeight w:val="23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 xml:space="preserve">Operating lease right-of-use assets in </w:t>
            </w:r>
            <w:r>
              <w:rPr>
                <w:rFonts w:ascii="Arial" w:cs="Arial" w:eastAsia="Arial" w:hAnsi="Arial"/>
                <w:sz w:val="18"/>
                <w:szCs w:val="18"/>
                <w:i w:val="1"/>
                <w:iCs w:val="1"/>
                <w:color w:val="auto"/>
              </w:rPr>
              <w:t>Other long-term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59,856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52,236</w:t>
            </w:r>
          </w:p>
        </w:tc>
      </w:tr>
      <w:tr>
        <w:trPr>
          <w:trHeight w:val="23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 xml:space="preserve">Operating lease liabilities in </w:t>
            </w:r>
            <w:r>
              <w:rPr>
                <w:rFonts w:ascii="Arial" w:cs="Arial" w:eastAsia="Arial" w:hAnsi="Arial"/>
                <w:sz w:val="18"/>
                <w:szCs w:val="18"/>
                <w:i w:val="1"/>
                <w:iCs w:val="1"/>
                <w:color w:val="auto"/>
              </w:rPr>
              <w:t>Other current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7,708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7,306</w:t>
            </w:r>
          </w:p>
        </w:tc>
      </w:tr>
      <w:tr>
        <w:trPr>
          <w:trHeight w:val="23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Operating lease liabilities in </w:t>
            </w:r>
            <w:r>
              <w:rPr>
                <w:rFonts w:ascii="Arial" w:cs="Arial" w:eastAsia="Arial" w:hAnsi="Arial"/>
                <w:sz w:val="18"/>
                <w:szCs w:val="18"/>
                <w:i w:val="1"/>
                <w:iCs w:val="1"/>
                <w:color w:val="auto"/>
              </w:rPr>
              <w:t>Other long-term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weighted average remaining lease term and discount rate information related to our operating leases: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April 3, 2021</w:t>
            </w:r>
          </w:p>
        </w:tc>
        <w:tc>
          <w:tcPr>
            <w:tcW w:w="15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March 28, 2020</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10.7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1880" w:type="dxa"/>
            <w:vAlign w:val="bottom"/>
          </w:tcPr>
          <w:p>
            <w:pPr>
              <w:jc w:val="right"/>
              <w:ind w:right="116"/>
              <w:spacing w:after="0"/>
              <w:rPr>
                <w:sz w:val="20"/>
                <w:szCs w:val="20"/>
                <w:color w:val="auto"/>
              </w:rPr>
            </w:pPr>
            <w:r>
              <w:rPr>
                <w:rFonts w:ascii="Arial" w:cs="Arial" w:eastAsia="Arial" w:hAnsi="Arial"/>
                <w:sz w:val="18"/>
                <w:szCs w:val="18"/>
                <w:color w:val="auto"/>
              </w:rPr>
              <w:t>4.59 %</w:t>
            </w:r>
          </w:p>
        </w:tc>
        <w:tc>
          <w:tcPr>
            <w:tcW w:w="1540" w:type="dxa"/>
            <w:vAlign w:val="bottom"/>
          </w:tcPr>
          <w:p>
            <w:pPr>
              <w:jc w:val="right"/>
              <w:spacing w:after="0"/>
              <w:rPr>
                <w:sz w:val="20"/>
                <w:szCs w:val="20"/>
                <w:color w:val="auto"/>
              </w:rPr>
            </w:pPr>
            <w:r>
              <w:rPr>
                <w:rFonts w:ascii="Arial" w:cs="Arial" w:eastAsia="Arial" w:hAnsi="Arial"/>
                <w:sz w:val="18"/>
                <w:szCs w:val="18"/>
                <w:color w:val="auto"/>
              </w:rPr>
              <w:t>3.97 %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lease cost was $11.7 million and $8.3 million during fiscal 2021 and 2020,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related to our operating leases: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April 3, 2021</w:t>
            </w:r>
          </w:p>
        </w:tc>
        <w:tc>
          <w:tcPr>
            <w:tcW w:w="20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 2020</w:t>
            </w:r>
          </w:p>
        </w:tc>
      </w:tr>
      <w:tr>
        <w:trPr>
          <w:trHeight w:val="229"/>
        </w:trPr>
        <w:tc>
          <w:tcPr>
            <w:tcW w:w="79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operating lease liabilities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8000" w:type="dxa"/>
            <w:vAlign w:val="bottom"/>
            <w:gridSpan w:val="2"/>
          </w:tcPr>
          <w:p>
            <w:pPr>
              <w:ind w:left="80"/>
              <w:spacing w:after="0"/>
              <w:rPr>
                <w:sz w:val="20"/>
                <w:szCs w:val="20"/>
                <w:color w:val="auto"/>
              </w:rPr>
            </w:pPr>
            <w:r>
              <w:rPr>
                <w:rFonts w:ascii="Arial" w:cs="Arial" w:eastAsia="Arial" w:hAnsi="Arial"/>
                <w:sz w:val="18"/>
                <w:szCs w:val="18"/>
                <w:color w:val="auto"/>
              </w:rPr>
              <w:t>Operating cash flows used for operating leases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10,456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6,780</w:t>
            </w:r>
          </w:p>
        </w:tc>
        <w:tc>
          <w:tcPr>
            <w:tcW w:w="40" w:type="dxa"/>
            <w:vAlign w:val="bottom"/>
          </w:tcPr>
          <w:p>
            <w:pPr>
              <w:spacing w:after="0"/>
              <w:rPr>
                <w:sz w:val="20"/>
                <w:szCs w:val="20"/>
                <w:color w:val="auto"/>
              </w:rPr>
            </w:pPr>
          </w:p>
        </w:tc>
      </w:tr>
      <w:tr>
        <w:trPr>
          <w:trHeight w:val="458"/>
        </w:trPr>
        <w:tc>
          <w:tcPr>
            <w:tcW w:w="8060" w:type="dxa"/>
            <w:vAlign w:val="bottom"/>
            <w:gridSpan w:val="3"/>
          </w:tcPr>
          <w:p>
            <w:pPr>
              <w:spacing w:after="0"/>
              <w:rPr>
                <w:sz w:val="20"/>
                <w:szCs w:val="20"/>
                <w:color w:val="auto"/>
              </w:rPr>
            </w:pPr>
            <w:r>
              <w:rPr>
                <w:rFonts w:ascii="Arial" w:cs="Arial" w:eastAsia="Arial" w:hAnsi="Arial"/>
                <w:sz w:val="18"/>
                <w:szCs w:val="18"/>
                <w:color w:val="auto"/>
              </w:rPr>
              <w:t>The following table presents the maturities of our operating lease liabilities as of April 3, 2021:</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60" w:type="dxa"/>
            <w:vAlign w:val="bottom"/>
          </w:tcPr>
          <w:p>
            <w:pPr>
              <w:spacing w:after="0"/>
              <w:rPr>
                <w:sz w:val="24"/>
                <w:szCs w:val="24"/>
                <w:color w:val="auto"/>
              </w:rPr>
            </w:pPr>
          </w:p>
        </w:tc>
        <w:tc>
          <w:tcPr>
            <w:tcW w:w="8000" w:type="dxa"/>
            <w:vAlign w:val="bottom"/>
            <w:gridSpan w:val="2"/>
          </w:tcPr>
          <w:p>
            <w:pPr>
              <w:ind w:left="20"/>
              <w:spacing w:after="0"/>
              <w:rPr>
                <w:sz w:val="20"/>
                <w:szCs w:val="20"/>
                <w:color w:val="auto"/>
              </w:rPr>
            </w:pPr>
            <w:r>
              <w:rPr>
                <w:rFonts w:ascii="Arial" w:cs="Arial" w:eastAsia="Arial" w:hAnsi="Arial"/>
                <w:sz w:val="18"/>
                <w:szCs w:val="18"/>
                <w:color w:val="auto"/>
              </w:rPr>
              <w:t xml:space="preserve">Fiscal Year </w:t>
            </w:r>
            <w:r>
              <w:rPr>
                <w:rFonts w:ascii="Arial" w:cs="Arial" w:eastAsia="Arial" w:hAnsi="Arial"/>
                <w:sz w:val="14"/>
                <w:szCs w:val="14"/>
                <w:color w:val="auto"/>
              </w:rPr>
              <w:t>(</w:t>
            </w:r>
            <w:r>
              <w:rPr>
                <w:rFonts w:ascii="Arial" w:cs="Arial" w:eastAsia="Arial" w:hAnsi="Arial"/>
                <w:sz w:val="14"/>
                <w:szCs w:val="14"/>
                <w:i w:val="1"/>
                <w:iCs w:val="1"/>
                <w:color w:val="auto"/>
              </w:rPr>
              <w:t>In thousands</w:t>
            </w: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 Leases</w:t>
            </w:r>
          </w:p>
        </w:tc>
      </w:tr>
      <w:tr>
        <w:trPr>
          <w:trHeight w:val="223"/>
        </w:trPr>
        <w:tc>
          <w:tcPr>
            <w:tcW w:w="60" w:type="dxa"/>
            <w:vAlign w:val="bottom"/>
          </w:tcPr>
          <w:p>
            <w:pPr>
              <w:spacing w:after="0"/>
              <w:rPr>
                <w:sz w:val="19"/>
                <w:szCs w:val="19"/>
                <w:color w:val="auto"/>
              </w:rPr>
            </w:pPr>
          </w:p>
        </w:tc>
        <w:tc>
          <w:tcPr>
            <w:tcW w:w="7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10,769</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9,803</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7,337</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47,142</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future minimum operating lease payments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89,965</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(19,297)</w:t>
            </w:r>
          </w:p>
        </w:tc>
        <w:tc>
          <w:tcPr>
            <w:tcW w:w="40" w:type="dxa"/>
            <w:vAlign w:val="bottom"/>
          </w:tcPr>
          <w:p>
            <w:pPr>
              <w:spacing w:after="0"/>
              <w:rPr>
                <w:sz w:val="19"/>
                <w:szCs w:val="19"/>
                <w:color w:val="auto"/>
              </w:rPr>
            </w:pPr>
          </w:p>
        </w:tc>
      </w:tr>
      <w:tr>
        <w:trPr>
          <w:trHeight w:val="248"/>
        </w:trPr>
        <w:tc>
          <w:tcPr>
            <w:tcW w:w="60" w:type="dxa"/>
            <w:vAlign w:val="bottom"/>
          </w:tcPr>
          <w:p>
            <w:pPr>
              <w:spacing w:after="0"/>
              <w:rPr>
                <w:sz w:val="21"/>
                <w:szCs w:val="21"/>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Present value of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70,668</w:t>
            </w: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Activity</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Assets on the Company's balance sheet classified as Haemonetics equipment primarily consists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less than 3 percent of the Company's total net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NOTES PAYABLE AND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and long-term debt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April 3, 2021</w:t>
            </w: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Arial" w:cs="Arial" w:eastAsia="Arial" w:hAnsi="Arial"/>
                <w:sz w:val="14"/>
                <w:szCs w:val="14"/>
                <w:b w:val="1"/>
                <w:bCs w:val="1"/>
                <w:color w:val="auto"/>
              </w:rPr>
              <w:t>March 28, 2020</w:t>
            </w:r>
          </w:p>
        </w:tc>
      </w:tr>
      <w:tr>
        <w:trPr>
          <w:trHeight w:val="229"/>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net of financing fees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301,019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322,330</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406,461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borrowings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60,163</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(76,980)</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690,592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305,513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March 2021, the Company issued $500.0 million aggregate principal amount of 0% convertible senior notes due 2026 (the “2026 Notes”). The 2026 Notes are governed by the terms of the Indenture between the Company and U.S. Bank National Association, as trustee (the “Indenture”). The total net proceeds from the sale of the 2026 Notes, after deducting the initial purchasers’ discounts and debt issuance costs, were approximately $486.7 million. The 2026 Notes will mature on March 1, 2026, unless earlier converted, redeemed or repurchased.</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Holders may convert their notes at their option at any time prior to the close of business on the business day immediately preceding September 1, 2025 only under the following circumstances: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328"/>
        <w:spacing w:after="0" w:line="25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beginning after June 30, 2021,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spacing w:after="0" w:line="213"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day of that period, the trading price per $1,000 principal amount of the 2026 Notes for such trading day was less than 98% of the product of the last reported sale price of the Company’s common stock and the applicable conversion rate on such trading day;</w:t>
      </w:r>
    </w:p>
    <w:p>
      <w:pPr>
        <w:spacing w:after="0" w:line="210" w:lineRule="exact"/>
        <w:rPr>
          <w:rFonts w:ascii="Arial" w:cs="Arial" w:eastAsia="Arial" w:hAnsi="Arial"/>
          <w:sz w:val="18"/>
          <w:szCs w:val="18"/>
          <w:color w:val="auto"/>
        </w:rPr>
      </w:pPr>
    </w:p>
    <w:p>
      <w:pPr>
        <w:jc w:val="both"/>
        <w:ind w:left="660" w:right="180" w:hanging="328"/>
        <w:spacing w:after="0" w:line="286"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spacing w:after="0" w:line="192"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set forth in the indenture governing the 2026 Notes;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to the related redemption date if the Company calls the 2026 Notes for redemption</w:t>
      </w:r>
    </w:p>
    <w:p>
      <w:pPr>
        <w:spacing w:after="0" w:line="25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or after September 1, 2025, until the close of business on the scheduled trading day immediately preceding the maturity date, holders may convert all or a portion of their 2026 Notes, in multiples of $1,000 principal amount, at any time, regardless of the foregoing circumstances. The conversion rate for the 2026 Notes is 5.7033 shares of common stock per $1,000 principal amount of notes (which is equal to an initial conversion price of approximately $175.34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2026 Notes in connection with such make-whole adjustment event, such holder may be entitled to an increase in the conversion rate as described in the Indenture.</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fiscal 2021, the conditions allowing holders of the 2026 Notes to convert have not been met. The 2026 Notes were therefore not convertible as of April 3, 2021 and were classified as long-term debt on the Company’s consolidated balance sheets.</w:t>
      </w:r>
    </w:p>
    <w:p>
      <w:pPr>
        <w:spacing w:after="0" w:line="19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2026 Notes will be redeemable, in whole or in part, at the Company’s option at any time, and from time to time, on or after March 5, 2024 and on or before the 40th scheduled trading day immediately before the maturity date, if the last reported sale price per share of the Company’s common stock exceeds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before the date the Company sends the related redemption notice at a redemption price equal to 100% of the principal amount of the 2026 Notes to be redeemed, plus accrued and unpaid interest to, but excluding the redemption date. Upon the occurrence of certain fundamental changes involving the Company, holders of the 2026 Notes may require the Company to repurchase for cash all or part of their 2026 Notes at a repurchase price equal to 100% of the principal amount of the 2026 Notes to be repurchased, plus accrued and unpaid interest.</w:t>
      </w:r>
    </w:p>
    <w:p>
      <w:pPr>
        <w:spacing w:after="0" w:line="2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accounting for the issuance of the 2026 Notes, the 2026 Notes were separated into liability and equity components. The Company estimated the liability and equity components of the 2026 Notes to be $416.4 million and $83.6 million respectively, at the issuance date. The value of the liability component was estimated by using an interest rate for nonconvertible debt with similar terms to the 2026 Notes. An interest rate of 3.0% was used to compute the initial fair value of the liability component. The carrying amount of the equity component representing the conversion option was determined by deducting the fair value of the liability component from the par value of the 2026 Notes. This difference represents the debt discount that is amortized to interest expense over the contractual terms of the 2026 Notes using the effective interest rate method. The carrying amount of the equity component representing the conversion option was $83.5 million. The conversion option qualified for the equity scope exception from derivative accounting under ASC 815-10-15-74(a), and thus is equity classified. The equity component was recorded in additional paid-in capital and is not remeasured as long as it continues to meet the conditions for equity classification.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9" w:name="page90"/>
    <w:bookmarkEnd w:id="8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fair value is determined based on the quoted price for the 2026 Notes in an inactive market on the last trading day of the reporting period and is considered as level 2 in the fair value hierarchy. In estimating the risk adjusted yield, the Company utilized both an income and market approach. For the income approach, the Company used a convertible bond pricing model, which included several assumptions including volatility and the risk-free rate. For the market approach, the Company performed an evaluation of issuances of debt securities issued by other comparable companies and broader market indices.</w:t>
      </w:r>
    </w:p>
    <w:p>
      <w:pPr>
        <w:spacing w:after="0" w:line="21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accounting for the debt issuance costs of $13.3 million related to the 2026 Notes, the Company allocated the total amount incurred to the liability and equity components of the 2026 Notes in the same proportion as the allocation of the proceeds. Issuance costs attributable to the liability component were $11.1 million and will be amortized, along with the debt discount, to interest expense over the contractual term of the 2026 Notes at an effective interest rate of 4.21%. Issuance costs attributable to the equity component were $2.2 million and are netted against the equity component in additional paid-in capital.</w:t>
      </w:r>
    </w:p>
    <w:p>
      <w:pPr>
        <w:spacing w:after="0" w:line="21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As of April 3, 2021, the $500.0 million principal balance was netted down by the $93.5 million of remaining debt discount, resulting in a net convertible note payable of $406.5 million. Interest expense related to the 2026 Notes was $1.1 million, which is entirely attributable to the amortization of the debt discount.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connection with the issuance of the 2026 Notes, the Company entered into capped call transactions with certain counterparties (“Capped Calls”). The Capped Calls each have an initial strike price of approximately $175.34 per share, subject to certain adjustments, which corresponds to the initial conversion price of the 2026 Notes. The Capped Calls have initial cap prices of $250.48 per share, subject to certain adjustments. The Capped Calls are expected to partially offset the potential dilution to the Company’s common stock upon any conversion of the 2026 Notes, with such offset subject to a cap based on the cap price. The Capped Calls cover, subject to anti-dilution adjustments, approximately 2.85 million shares of the Company’s common stock. For accounting purposes, the Capped Calls are separate transactions, and not part of the 2026 Notes. As these transactions meet certain accounting criteria, the Capped Calls are recorded in stockholders' equity and are not accounted for as derivatives. The cost of $47.4 million incurred to purchase the Capped Calls was recorded as a reduction to additional paid-in capital and will not be remeasured.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June 15, 2018, the Company entered into a credit agreement with certain lenders which provided for a $350.0 million term loan (the “Term Loan”) and a $350.0 million revolving loan (the “Revolving Credit Facility” and together with the Term Loan, the “Credit Facilities”). The Credit Facilities expire on June 15, 2023. Interest on the Credit Facilities is established using LIBOR plus 1.13% - 1.75%, depending on the Company's leverage ratio. At April 3, 2021, $301.9 million was outstanding under the Term Loan with an effective interest rate of 1.4%. During the fourth quarter of fiscal 2021, the Company entered into an additional $150.0 million term loan under the existing Credit Facilities and borrowed $290.0 million under the Revolving Credit Facility in connection with the acquisition of Cardiva. Both of these borrowings were subsequently paid in full during the same period using the proceeds from the 2026 Notes. At April 3, 2021, no borrowings were outstanding on the Revolving Credit Facility. The Company also had $25.7 million of uncommitted operating lines of credit to fund its global operations under which there were no outstanding borrowings as of April 3, 2021.</w:t>
      </w:r>
    </w:p>
    <w:p>
      <w:pPr>
        <w:spacing w:after="0" w:line="192"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Under the Credit Facilities, the Company is required to maintain a consolidated leverage ratio not to exceed 3.5:1.0 and a consolidated interest coverage ratio not to be less than 4.0:1.0 during periods when the Credit Facilities are outstanding.</w:t>
      </w:r>
    </w:p>
    <w:p>
      <w:pPr>
        <w:spacing w:after="0" w:line="1" w:lineRule="exact"/>
        <w:rPr>
          <w:sz w:val="20"/>
          <w:szCs w:val="20"/>
          <w:color w:val="auto"/>
        </w:rPr>
      </w:pPr>
    </w:p>
    <w:p>
      <w:pPr>
        <w:jc w:val="both"/>
        <w:ind w:right="500"/>
        <w:spacing w:after="0" w:line="277" w:lineRule="auto"/>
        <w:rPr>
          <w:sz w:val="20"/>
          <w:szCs w:val="20"/>
          <w:color w:val="auto"/>
        </w:rPr>
      </w:pPr>
      <w:r>
        <w:rPr>
          <w:rFonts w:ascii="Arial" w:cs="Arial" w:eastAsia="Arial" w:hAnsi="Arial"/>
          <w:sz w:val="17"/>
          <w:szCs w:val="17"/>
          <w:color w:val="auto"/>
        </w:rPr>
        <w:t>In connection with the additional $150 million term loan borrowing, the Company and its lenders also agreed to increase the maximum consolidated leverage ratio the Company is required to maintain for the four consecutive quarters immediately following the closing of the Cardiva acquisition to 4.25:1.0, after which the maximum consolidated leverage ratio the Company is required to maintain will revert to 3.5:1.0.</w:t>
      </w:r>
    </w:p>
    <w:p>
      <w:pPr>
        <w:spacing w:after="0" w:line="20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addition, the Company is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leverage ratio is calculated as consolidated total debt divided by consolidated EBITDA. Consolidated EBITDA includes EBITDA adjusted by non-recurring and unusual transactions specifically as defined in the Credit Facilities.</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Credit Facilities also contain usual and customary non-financial affirmative and negative covenants that include certain restrictions with respect to subsequent indebtedness, liens, loans and investments (including acquisitions), financial reporting</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0" w:name="page91"/>
    <w:bookmarkEnd w:id="9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obligations, mergers, consolidations, dissolutions or liquidation, asset sales, affiliate transactions, change of its business, capital expenditures, share repurchase and other restricted payments. These covenants are subject to exceptions and qualifications set forth in the credit agreement.</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Any failure to comply with the financial and operating covenants of the Credit Facilities would prevent the Company from being able to borrow additional funds and would constitute a default, which could result in, among other things, the amounts outstanding including all accrued interest and unpaid fees, becoming immediately due and payable. In addition, the Credit Facilities include customary events of default, in certain cases subject to customary cure periods. As of April 3, 2021, the Company was in compliance with the covenants.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Fee</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Credit Facilities, the Company is required to pay, on the last day of each calendar quarter, a commitment fee on the unused portion of the Revolving Credit Facility. The commitment fee is subject to a pricing grid based on the Company's consolidated leverage ratio. The commitment fee ranges from 0.150% to 0.275%. The current commitment fee on the undrawn portion of the Revolving Credit Facility is 0.175%.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Interest</w:t>
      </w:r>
    </w:p>
    <w:p>
      <w:pPr>
        <w:spacing w:after="0" w:line="252"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Expenses associated with the issuance of the Term Loan were capitalized and are amortized to interest expense over the life of the term loan using the effective interest method. As of April 3, 2021, the $301.9 million term loan balance was netted down by the $0.9 million of remaining debt discount, resulting in a net note payable of $301.0 million.</w:t>
      </w:r>
    </w:p>
    <w:p>
      <w:pPr>
        <w:spacing w:after="0" w:line="211"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Interest expense was $9.4 million, $13.5 million and $12.6 million for fiscal 2021, 2020 and 2019, respectively. Accrued interest associated with the outstanding debt is included as a component of other current liabilities in the accompanying consolidated balance sheets. As of both April 3, 2021 and March 28, 2020, the Company had an insignificant amount of accrued interest associated with the outstanding debt.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debt maturing during the next five fiscal years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 xml:space="preserve">Fiscal year </w:t>
            </w:r>
            <w:r>
              <w:rPr>
                <w:rFonts w:ascii="Arial" w:cs="Arial" w:eastAsia="Arial" w:hAnsi="Arial"/>
                <w:sz w:val="14"/>
                <w:szCs w:val="14"/>
                <w:i w:val="1"/>
                <w:iCs w:val="1"/>
                <w:color w:val="auto"/>
              </w:rPr>
              <w:t>(In thousands)</w:t>
            </w:r>
          </w:p>
        </w:tc>
        <w:tc>
          <w:tcPr>
            <w:tcW w:w="45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2023</w:t>
            </w:r>
          </w:p>
        </w:tc>
        <w:tc>
          <w:tcPr>
            <w:tcW w:w="4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214,375</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2025</w:t>
            </w:r>
          </w:p>
        </w:tc>
        <w:tc>
          <w:tcPr>
            <w:tcW w:w="4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 AND FAIR VALUE MEASUREMENTS</w:t>
      </w:r>
    </w:p>
    <w:p>
      <w:pPr>
        <w:spacing w:after="0" w:line="256"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The Company manufactures, markets and sells its products globally. For the fiscal year ended April 3, 2021, 40.0% of the Company's sales were generated outside the U.S. in local currencies. The Company also incurs certain manufacturing, marketing and selling costs in international markets in local currency.</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1" w:name="page92"/>
    <w:bookmarkEnd w:id="9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Designated Foreign Currency Hedge Contracts</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All of the Company's designated foreign currency hedge contracts as of April 3, 2021 and March 28, 2020 were cash flow hedges under ASC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815”). The Company records the effective portion of any change in the fair value of designated foreign currency hedge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$56.0 million as of April 3, 2021 and $93.8 million as of March 28, 2020. At April 3, 2021, a gain of $1.9 million, net of tax, will be reclassified to earnings within the next twelve months. Substantially all currency cash flow hedges outstanding as of April 3, 2021 mature within twelve months.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Foreign Currency Contracts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$95.6 million as of April 3, 2021 and $98.0 million as of March 28,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15, 2018, the Company entered into Credit Facilities which provided for a $350 million Term Loan and a $350 million Revolving Credit Facility. Under the terms of the Credit Facilities, interest is established using LIBOR plus 1.13% - 1.75%. As a result, the Company's earnings and cash flows are exposed to interest rate risk from changes to LIBOR. 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21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August 2018, the Company entered into two interest rate swap agreements (the “Swaps”) to pay an average fixed rate of 2.80% on a total notional value of $241.9 million of debt. As a result of the interest rate swaps, 70% of the Term Loan exposed to interest rate risk from changes in LIBOR are fixed at a rate of 4.05%. The Swaps mature on June 15, 2023. The Company designated the Swaps as cash flow hedges of variable interest rate risk associated with $345.6 million of indebtedness. For fiscal 2021, the Company recorded a gain of $2.0 million, net of tax, in accumulated other comprehensive loss to recognize the effective portion of the fair value of the Swaps that qualify as cash flow hedges.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w:t>
      </w:r>
    </w:p>
    <w:p>
      <w:pPr>
        <w:spacing w:after="0" w:line="256"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Effective March 29, 2020, the Company adopted Update No.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which requires consideration of events or circumstances indicating historic collection rates may not be indicative of future collectability. For example, potential adverse changes to customer liquidity from new macroeconomic events such as the COVID-19 pandemic must be taken into consideration. To date, the Company has not experienced significant customer payment defaults, or identified other significant collectability concerns as a result of the pandemic.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rollforward of the allowance for credit losses: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Twelve Months Ended</w:t>
            </w: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r>
      <w:tr>
        <w:trPr>
          <w:trHeight w:val="188"/>
        </w:trPr>
        <w:tc>
          <w:tcPr>
            <w:tcW w:w="45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6"/>
                <w:szCs w:val="16"/>
                <w:color w:val="auto"/>
              </w:rPr>
            </w:pPr>
          </w:p>
        </w:tc>
        <w:tc>
          <w:tcPr>
            <w:tcW w:w="1860" w:type="dxa"/>
            <w:vAlign w:val="bottom"/>
            <w:gridSpan w:val="2"/>
          </w:tcPr>
          <w:p>
            <w:pPr>
              <w:ind w:left="280"/>
              <w:spacing w:after="0"/>
              <w:rPr>
                <w:sz w:val="20"/>
                <w:szCs w:val="20"/>
                <w:color w:val="auto"/>
              </w:rPr>
            </w:pPr>
            <w:r>
              <w:rPr>
                <w:rFonts w:ascii="Arial" w:cs="Arial" w:eastAsia="Arial" w:hAnsi="Arial"/>
                <w:sz w:val="14"/>
                <w:szCs w:val="14"/>
                <w:b w:val="1"/>
                <w:bCs w:val="1"/>
                <w:color w:val="auto"/>
              </w:rPr>
              <w:t>April 3, 2021</w:t>
            </w:r>
          </w:p>
        </w:tc>
        <w:tc>
          <w:tcPr>
            <w:tcW w:w="260" w:type="dxa"/>
            <w:vAlign w:val="bottom"/>
          </w:tcPr>
          <w:p>
            <w:pPr>
              <w:spacing w:after="0"/>
              <w:rPr>
                <w:sz w:val="16"/>
                <w:szCs w:val="16"/>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March 28, 2020</w:t>
            </w:r>
          </w:p>
        </w:tc>
        <w:tc>
          <w:tcPr>
            <w:tcW w:w="360" w:type="dxa"/>
            <w:vAlign w:val="bottom"/>
          </w:tcPr>
          <w:p>
            <w:pPr>
              <w:spacing w:after="0"/>
              <w:rPr>
                <w:sz w:val="16"/>
                <w:szCs w:val="16"/>
                <w:color w:val="auto"/>
              </w:rPr>
            </w:pPr>
          </w:p>
        </w:tc>
        <w:tc>
          <w:tcPr>
            <w:tcW w:w="1800" w:type="dxa"/>
            <w:vAlign w:val="bottom"/>
          </w:tcPr>
          <w:p>
            <w:pPr>
              <w:jc w:val="right"/>
              <w:ind w:right="514"/>
              <w:spacing w:after="0"/>
              <w:rPr>
                <w:sz w:val="20"/>
                <w:szCs w:val="20"/>
                <w:color w:val="auto"/>
              </w:rPr>
            </w:pPr>
            <w:r>
              <w:rPr>
                <w:rFonts w:ascii="Arial" w:cs="Arial" w:eastAsia="Arial" w:hAnsi="Arial"/>
                <w:sz w:val="14"/>
                <w:szCs w:val="14"/>
                <w:b w:val="1"/>
                <w:bCs w:val="1"/>
                <w:color w:val="auto"/>
              </w:rPr>
              <w:t>March 30, 2019</w:t>
            </w:r>
          </w:p>
        </w:tc>
      </w:tr>
      <w:tr>
        <w:trPr>
          <w:trHeight w:val="224"/>
        </w:trPr>
        <w:tc>
          <w:tcPr>
            <w:tcW w:w="4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2,111</w:t>
            </w:r>
          </w:p>
        </w:tc>
      </w:tr>
      <w:tr>
        <w:trPr>
          <w:trHeight w:val="229"/>
        </w:trPr>
        <w:tc>
          <w:tcPr>
            <w:tcW w:w="4560" w:type="dxa"/>
            <w:vAlign w:val="bottom"/>
            <w:gridSpan w:val="2"/>
          </w:tcPr>
          <w:p>
            <w:pPr>
              <w:ind w:left="200"/>
              <w:spacing w:after="0"/>
              <w:rPr>
                <w:sz w:val="20"/>
                <w:szCs w:val="20"/>
                <w:color w:val="auto"/>
              </w:rPr>
            </w:pPr>
            <w:r>
              <w:rPr>
                <w:rFonts w:ascii="Arial" w:cs="Arial" w:eastAsia="Arial" w:hAnsi="Arial"/>
                <w:sz w:val="18"/>
                <w:szCs w:val="18"/>
                <w:color w:val="auto"/>
              </w:rPr>
              <w:t>Credit (gain) loss</w:t>
            </w:r>
          </w:p>
        </w:tc>
        <w:tc>
          <w:tcPr>
            <w:tcW w:w="4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2,097</w:t>
            </w:r>
          </w:p>
        </w:tc>
      </w:tr>
      <w:tr>
        <w:trPr>
          <w:trHeight w:val="230"/>
        </w:trPr>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Write-offs</w:t>
            </w:r>
          </w:p>
        </w:tc>
        <w:tc>
          <w:tcPr>
            <w:tcW w:w="4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3"/>
        </w:trPr>
        <w:tc>
          <w:tcPr>
            <w:tcW w:w="4560" w:type="dxa"/>
            <w:vAlign w:val="bottom"/>
            <w:gridSpan w:val="2"/>
          </w:tcPr>
          <w:p>
            <w:pPr>
              <w:ind w:left="20"/>
              <w:spacing w:after="0"/>
              <w:rPr>
                <w:sz w:val="20"/>
                <w:szCs w:val="20"/>
                <w:color w:val="auto"/>
              </w:rPr>
            </w:pPr>
            <w:r>
              <w:rPr>
                <w:rFonts w:ascii="Arial" w:cs="Arial" w:eastAsia="Arial" w:hAnsi="Arial"/>
                <w:sz w:val="18"/>
                <w:szCs w:val="18"/>
                <w:b w:val="1"/>
                <w:bCs w:val="1"/>
                <w:color w:val="auto"/>
              </w:rPr>
              <w:t>Ending balance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3,937</w:t>
            </w:r>
          </w:p>
        </w:tc>
      </w:tr>
      <w:tr>
        <w:trPr>
          <w:trHeight w:val="21"/>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25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following table presents the effect of the Company's derivative instruments designated as cash flow hedges and those not designated as hedging instruments under ASC 815 in its consolidated statements of income and comprehensive income for the fiscal year ended April 3, 2021.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Amount of Gain</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Amount of (Loss)</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Amount of (Loss)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Reclassified from</w:t>
            </w:r>
          </w:p>
        </w:tc>
        <w:tc>
          <w:tcPr>
            <w:tcW w:w="1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Location in Consolidated</w:t>
            </w: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(Loss) Recognized in</w:t>
            </w:r>
          </w:p>
        </w:tc>
        <w:tc>
          <w:tcPr>
            <w:tcW w:w="14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Accumulated Other</w:t>
            </w:r>
          </w:p>
        </w:tc>
        <w:tc>
          <w:tcPr>
            <w:tcW w:w="1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Excluded from</w:t>
            </w:r>
          </w:p>
        </w:tc>
        <w:tc>
          <w:tcPr>
            <w:tcW w:w="138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2"/>
              </w:rPr>
              <w:t>Statements of Income</w:t>
            </w:r>
          </w:p>
        </w:tc>
        <w:tc>
          <w:tcPr>
            <w:tcW w:w="0" w:type="dxa"/>
            <w:vAlign w:val="bottom"/>
          </w:tcPr>
          <w:p>
            <w:pPr>
              <w:spacing w:after="0"/>
              <w:rPr>
                <w:sz w:val="1"/>
                <w:szCs w:val="1"/>
                <w:color w:val="auto"/>
              </w:rPr>
            </w:pPr>
          </w:p>
        </w:tc>
      </w:tr>
      <w:tr>
        <w:trPr>
          <w:trHeight w:val="135"/>
        </w:trPr>
        <w:tc>
          <w:tcPr>
            <w:tcW w:w="3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14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Accumulated Other</w:t>
            </w:r>
          </w:p>
        </w:tc>
        <w:tc>
          <w:tcPr>
            <w:tcW w:w="14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Comprehensive Loss</w:t>
            </w:r>
          </w:p>
        </w:tc>
        <w:tc>
          <w:tcPr>
            <w:tcW w:w="17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8"/>
              </w:rPr>
              <w:t>Statements of Income and</w:t>
            </w: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Effectiveness</w:t>
            </w: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and Comprehensive</w:t>
            </w:r>
          </w:p>
        </w:tc>
        <w:tc>
          <w:tcPr>
            <w:tcW w:w="0" w:type="dxa"/>
            <w:vAlign w:val="bottom"/>
          </w:tcPr>
          <w:p>
            <w:pPr>
              <w:spacing w:after="0"/>
              <w:rPr>
                <w:sz w:val="1"/>
                <w:szCs w:val="1"/>
                <w:color w:val="auto"/>
              </w:rPr>
            </w:pPr>
          </w:p>
        </w:tc>
      </w:tr>
      <w:tr>
        <w:trPr>
          <w:trHeight w:val="188"/>
        </w:trPr>
        <w:tc>
          <w:tcPr>
            <w:tcW w:w="3680" w:type="dxa"/>
            <w:vAlign w:val="bottom"/>
            <w:gridSpan w:val="2"/>
            <w:vMerge w:val="continue"/>
          </w:tcPr>
          <w:p>
            <w:pPr>
              <w:spacing w:after="0"/>
              <w:rPr>
                <w:sz w:val="16"/>
                <w:szCs w:val="16"/>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into Earnings</w:t>
            </w:r>
          </w:p>
        </w:tc>
        <w:tc>
          <w:tcPr>
            <w:tcW w:w="17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Comprehensive Income</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Testing</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81"/>
        </w:trPr>
        <w:tc>
          <w:tcPr>
            <w:tcW w:w="358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8"/>
                <w:szCs w:val="18"/>
                <w:color w:val="auto"/>
                <w:w w:val="92"/>
              </w:rPr>
              <w:t>Designated foreign currency hedge contracts, net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8"/>
                <w:szCs w:val="18"/>
                <w:color w:val="auto"/>
              </w:rPr>
              <w:t>Net revenues, COGS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w w:val="94"/>
              </w:rPr>
              <w:t>Interest and other</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 tax</w:t>
            </w: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SG&amp;A</w:t>
            </w:r>
          </w:p>
        </w:tc>
        <w:tc>
          <w:tcPr>
            <w:tcW w:w="1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5"/>
        </w:trPr>
        <w:tc>
          <w:tcPr>
            <w:tcW w:w="36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Non-designated foreign currency hedge</w:t>
            </w:r>
          </w:p>
        </w:tc>
        <w:tc>
          <w:tcPr>
            <w:tcW w:w="14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ind w:left="100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15"/>
                <w:szCs w:val="15"/>
                <w:color w:val="auto"/>
              </w:rPr>
            </w:pPr>
          </w:p>
        </w:tc>
        <w:tc>
          <w:tcPr>
            <w:tcW w:w="1380" w:type="dxa"/>
            <w:vAlign w:val="bottom"/>
          </w:tcPr>
          <w:p>
            <w:pPr>
              <w:ind w:left="20"/>
              <w:spacing w:after="0" w:line="176" w:lineRule="exact"/>
              <w:rPr>
                <w:sz w:val="20"/>
                <w:szCs w:val="20"/>
                <w:color w:val="auto"/>
              </w:rPr>
            </w:pPr>
            <w:r>
              <w:rPr>
                <w:rFonts w:ascii="Arial" w:cs="Arial" w:eastAsia="Arial" w:hAnsi="Arial"/>
                <w:sz w:val="18"/>
                <w:szCs w:val="18"/>
                <w:color w:val="auto"/>
                <w:w w:val="94"/>
              </w:rPr>
              <w:t>Interest and other</w:t>
            </w:r>
          </w:p>
        </w:tc>
        <w:tc>
          <w:tcPr>
            <w:tcW w:w="0" w:type="dxa"/>
            <w:vAlign w:val="bottom"/>
          </w:tcPr>
          <w:p>
            <w:pPr>
              <w:spacing w:after="0"/>
              <w:rPr>
                <w:sz w:val="1"/>
                <w:szCs w:val="1"/>
                <w:color w:val="auto"/>
              </w:rPr>
            </w:pPr>
          </w:p>
        </w:tc>
      </w:tr>
      <w:tr>
        <w:trPr>
          <w:trHeight w:val="230"/>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contracts</w:t>
            </w: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5"/>
        </w:trPr>
        <w:tc>
          <w:tcPr>
            <w:tcW w:w="36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Designated interest rate swaps, net of tax</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and other</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8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did not have fair value hedges or net investment hedges outstanding as of April 3, 2021 or March 28, 2020. As of April 3, 2021, no material deferred tax assets were recognized for designated foreign currency hedges.</w:t>
      </w:r>
    </w:p>
    <w:p>
      <w:pPr>
        <w:spacing w:after="0" w:line="19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April 3, 2021,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of the Company's derivative instruments as they appear in its consolidated balance sheets as of April 3,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28,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60" w:type="dxa"/>
            <w:vAlign w:val="bottom"/>
            <w:gridSpan w:val="2"/>
          </w:tcPr>
          <w:p>
            <w:pPr>
              <w:ind w:left="1040"/>
              <w:spacing w:after="0"/>
              <w:rPr>
                <w:sz w:val="20"/>
                <w:szCs w:val="20"/>
                <w:color w:val="auto"/>
              </w:rPr>
            </w:pPr>
            <w:r>
              <w:rPr>
                <w:rFonts w:ascii="Arial" w:cs="Arial" w:eastAsia="Arial" w:hAnsi="Arial"/>
                <w:sz w:val="14"/>
                <w:szCs w:val="14"/>
                <w:color w:val="auto"/>
              </w:rPr>
              <w:t>Location in</w:t>
            </w:r>
          </w:p>
        </w:tc>
        <w:tc>
          <w:tcPr>
            <w:tcW w:w="140" w:type="dxa"/>
            <w:vAlign w:val="bottom"/>
          </w:tcPr>
          <w:p>
            <w:pPr>
              <w:spacing w:after="0"/>
              <w:rPr>
                <w:sz w:val="14"/>
                <w:szCs w:val="14"/>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April 3, 2021</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As of March 28, 2020</w:t>
            </w:r>
          </w:p>
        </w:tc>
        <w:tc>
          <w:tcPr>
            <w:tcW w:w="0" w:type="dxa"/>
            <w:vAlign w:val="bottom"/>
          </w:tcPr>
          <w:p>
            <w:pPr>
              <w:spacing w:after="0"/>
              <w:rPr>
                <w:sz w:val="1"/>
                <w:szCs w:val="1"/>
                <w:color w:val="auto"/>
              </w:rPr>
            </w:pPr>
          </w:p>
        </w:tc>
      </w:tr>
      <w:tr>
        <w:trPr>
          <w:trHeight w:val="186"/>
        </w:trPr>
        <w:tc>
          <w:tcPr>
            <w:tcW w:w="5360" w:type="dxa"/>
            <w:vAlign w:val="bottom"/>
            <w:vMerge w:val="continue"/>
          </w:tcPr>
          <w:p>
            <w:pPr>
              <w:spacing w:after="0"/>
              <w:rPr>
                <w:sz w:val="16"/>
                <w:szCs w:val="16"/>
                <w:color w:val="auto"/>
              </w:rPr>
            </w:pPr>
          </w:p>
        </w:tc>
        <w:tc>
          <w:tcPr>
            <w:tcW w:w="2860" w:type="dxa"/>
            <w:vAlign w:val="bottom"/>
            <w:gridSpan w:val="2"/>
          </w:tcPr>
          <w:p>
            <w:pPr>
              <w:ind w:left="960"/>
              <w:spacing w:after="0"/>
              <w:rPr>
                <w:sz w:val="20"/>
                <w:szCs w:val="20"/>
                <w:color w:val="auto"/>
              </w:rPr>
            </w:pPr>
            <w:r>
              <w:rPr>
                <w:rFonts w:ascii="Arial" w:cs="Arial" w:eastAsia="Arial" w:hAnsi="Arial"/>
                <w:sz w:val="14"/>
                <w:szCs w:val="14"/>
                <w:color w:val="auto"/>
              </w:rPr>
              <w:t>Balance Sheet</w:t>
            </w: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9"/>
                <w:szCs w:val="19"/>
                <w:color w:val="auto"/>
              </w:rPr>
            </w:pPr>
          </w:p>
        </w:tc>
        <w:tc>
          <w:tcPr>
            <w:tcW w:w="500" w:type="dxa"/>
            <w:vAlign w:val="bottom"/>
          </w:tcPr>
          <w:p>
            <w:pPr>
              <w:jc w:val="right"/>
              <w:ind w:right="2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500" w:type="dxa"/>
            <w:vAlign w:val="bottom"/>
          </w:tcPr>
          <w:p>
            <w:pPr>
              <w:jc w:val="right"/>
              <w:ind w:right="2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Designated interest rate swaps</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18,345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Measurements</w:t>
      </w:r>
    </w:p>
    <w:p>
      <w:pPr>
        <w:spacing w:after="0" w:line="252"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5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right="360" w:firstLine="8"/>
        <w:spacing w:after="0" w:line="250"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right="40" w:firstLine="8"/>
        <w:spacing w:after="0" w:line="260"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1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Company's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4" w:name="page95"/>
    <w:bookmarkEnd w:id="9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on a Recurring Basis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financial liabilities measured at fair value on a recurring basis consist of the following as of April 3, 2021 and March 28,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As of April 3, 2021</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6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49,699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49,699</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30"/>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8"/>
        </w:trPr>
        <w:tc>
          <w:tcPr>
            <w:tcW w:w="6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51,864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9"/>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29"/>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28,733</w:t>
            </w:r>
          </w:p>
        </w:tc>
        <w:tc>
          <w:tcPr>
            <w:tcW w:w="0" w:type="dxa"/>
            <w:vAlign w:val="bottom"/>
          </w:tcPr>
          <w:p>
            <w:pPr>
              <w:spacing w:after="0"/>
              <w:rPr>
                <w:sz w:val="1"/>
                <w:szCs w:val="1"/>
                <w:color w:val="auto"/>
              </w:rPr>
            </w:pPr>
          </w:p>
        </w:tc>
      </w:tr>
      <w:tr>
        <w:trPr>
          <w:trHeight w:val="248"/>
        </w:trPr>
        <w:tc>
          <w:tcPr>
            <w:tcW w:w="6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39,387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As of March 28, 2020</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20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44,564</w:t>
            </w:r>
          </w:p>
        </w:tc>
        <w:tc>
          <w:tcPr>
            <w:tcW w:w="0" w:type="dxa"/>
            <w:vAlign w:val="bottom"/>
          </w:tcPr>
          <w:p>
            <w:pPr>
              <w:spacing w:after="0"/>
              <w:rPr>
                <w:sz w:val="1"/>
                <w:szCs w:val="1"/>
                <w:color w:val="auto"/>
              </w:rPr>
            </w:pPr>
          </w:p>
        </w:tc>
      </w:tr>
      <w:tr>
        <w:trPr>
          <w:trHeight w:val="230"/>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44,564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45,780</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30"/>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15,056</w:t>
            </w:r>
          </w:p>
        </w:tc>
        <w:tc>
          <w:tcPr>
            <w:tcW w:w="0" w:type="dxa"/>
            <w:vAlign w:val="bottom"/>
          </w:tcPr>
          <w:p>
            <w:pPr>
              <w:spacing w:after="0"/>
              <w:rPr>
                <w:sz w:val="1"/>
                <w:szCs w:val="1"/>
                <w:color w:val="auto"/>
              </w:rPr>
            </w:pPr>
          </w:p>
        </w:tc>
      </w:tr>
      <w:tr>
        <w:trPr>
          <w:trHeight w:val="248"/>
        </w:trPr>
        <w:tc>
          <w:tcPr>
            <w:tcW w:w="6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18,345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Foreign currency hedge contracts - </w:t>
      </w:r>
      <w:r>
        <w:rPr>
          <w:rFonts w:ascii="Arial" w:cs="Arial" w:eastAsia="Arial" w:hAnsi="Arial"/>
          <w:sz w:val="18"/>
          <w:szCs w:val="18"/>
          <w:color w:val="auto"/>
        </w:rPr>
        <w:t>The fair value of foreign currency hedge contracts was measured using significant other observable inputs and valued</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Interest rate swaps - </w:t>
      </w:r>
      <w:r>
        <w:rPr>
          <w:rFonts w:ascii="Arial" w:cs="Arial" w:eastAsia="Arial" w:hAnsi="Arial"/>
          <w:sz w:val="18"/>
          <w:szCs w:val="18"/>
          <w:color w:val="auto"/>
        </w:rPr>
        <w:t>The fair values of interest rate swaps are measured using the present value of expected future cash flows using market-based</w:t>
      </w:r>
      <w:r>
        <w:rPr>
          <w:rFonts w:ascii="Arial" w:cs="Arial" w:eastAsia="Arial" w:hAnsi="Arial"/>
          <w:sz w:val="18"/>
          <w:szCs w:val="18"/>
          <w:i w:val="1"/>
          <w:iCs w:val="1"/>
          <w:color w:val="auto"/>
        </w:rPr>
        <w:t xml:space="preserve"> </w:t>
      </w:r>
      <w:r>
        <w:rPr>
          <w:rFonts w:ascii="Arial" w:cs="Arial" w:eastAsia="Arial" w:hAnsi="Arial"/>
          <w:sz w:val="18"/>
          <w:szCs w:val="18"/>
          <w:color w:val="auto"/>
        </w:rPr>
        <w:t>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Contingent consideration </w:t>
      </w:r>
      <w:r>
        <w:rPr>
          <w:rFonts w:ascii="Arial" w:cs="Arial" w:eastAsia="Arial" w:hAnsi="Arial"/>
          <w:sz w:val="18"/>
          <w:szCs w:val="18"/>
          <w:color w:val="auto"/>
        </w:rPr>
        <w:t>- The fair value of contingent consideration liabilities is based on significant unobservable inputs, including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and assumptions, and is measured based on the probability-weighted present value of the payments expected to be made. Accordingly, the fair value of contingent consideration has been classified as level 3 within the fair value hierarchy. The recurring level 3 fair value measurements of contingent consideration liabilities include the following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95" w:name="page96"/>
    <w:bookmarkEnd w:id="9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Fair Value at</w:t>
            </w: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w:t>
            </w: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Unobservable</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 2021</w:t>
            </w: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Technique</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1960" w:type="dxa"/>
            <w:vAlign w:val="bottom"/>
          </w:tcPr>
          <w:p>
            <w:pPr>
              <w:ind w:left="78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56"/>
        </w:trPr>
        <w:tc>
          <w:tcPr>
            <w:tcW w:w="264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Revenue-based payments</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24,299</w:t>
            </w:r>
          </w:p>
        </w:tc>
        <w:tc>
          <w:tcPr>
            <w:tcW w:w="100" w:type="dxa"/>
            <w:vAlign w:val="bottom"/>
          </w:tcPr>
          <w:p>
            <w:pPr>
              <w:spacing w:after="0"/>
              <w:rPr>
                <w:sz w:val="22"/>
                <w:szCs w:val="22"/>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Monte Carlo Simulation</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0" w:type="dxa"/>
            <w:vAlign w:val="bottom"/>
          </w:tcPr>
          <w:p>
            <w:pPr>
              <w:spacing w:after="0"/>
              <w:rPr>
                <w:sz w:val="1"/>
                <w:szCs w:val="1"/>
                <w:color w:val="auto"/>
              </w:rPr>
            </w:pPr>
          </w:p>
        </w:tc>
      </w:tr>
      <w:tr>
        <w:trPr>
          <w:trHeight w:val="108"/>
        </w:trPr>
        <w:tc>
          <w:tcPr>
            <w:tcW w:w="264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gridSpan w:val="2"/>
            <w:vMerge w:val="restart"/>
          </w:tcPr>
          <w:p>
            <w:pPr>
              <w:jc w:val="center"/>
              <w:ind w:right="100"/>
              <w:spacing w:after="0" w:line="203" w:lineRule="exact"/>
              <w:rPr>
                <w:sz w:val="20"/>
                <w:szCs w:val="20"/>
                <w:color w:val="auto"/>
              </w:rPr>
            </w:pPr>
            <w:r>
              <w:rPr>
                <w:rFonts w:ascii="Arial" w:cs="Arial" w:eastAsia="Arial" w:hAnsi="Arial"/>
                <w:sz w:val="18"/>
                <w:szCs w:val="18"/>
                <w:color w:val="auto"/>
                <w:w w:val="93"/>
              </w:rPr>
              <w:t>Model</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0"/>
              </w:rPr>
              <w:t>Projected year of payment</w:t>
            </w:r>
          </w:p>
        </w:tc>
        <w:tc>
          <w:tcPr>
            <w:tcW w:w="120" w:type="dxa"/>
            <w:vAlign w:val="bottom"/>
            <w:vMerge w:val="restart"/>
          </w:tcPr>
          <w:p>
            <w:pPr>
              <w:spacing w:after="0"/>
              <w:rPr>
                <w:sz w:val="9"/>
                <w:szCs w:val="9"/>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89"/>
              </w:rPr>
              <w:t>2022 - 2023</w:t>
            </w: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64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Revenue-based payments</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1"/>
                <w:szCs w:val="21"/>
                <w:color w:val="auto"/>
              </w:rPr>
            </w:pP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Discounted cash flow</w:t>
            </w: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8.5%</w:t>
            </w:r>
          </w:p>
        </w:tc>
        <w:tc>
          <w:tcPr>
            <w:tcW w:w="0" w:type="dxa"/>
            <w:vAlign w:val="bottom"/>
          </w:tcPr>
          <w:p>
            <w:pPr>
              <w:spacing w:after="0"/>
              <w:rPr>
                <w:sz w:val="1"/>
                <w:szCs w:val="1"/>
                <w:color w:val="auto"/>
              </w:rPr>
            </w:pPr>
          </w:p>
        </w:tc>
      </w:tr>
      <w:tr>
        <w:trPr>
          <w:trHeight w:val="122"/>
        </w:trPr>
        <w:tc>
          <w:tcPr>
            <w:tcW w:w="264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0"/>
              </w:rPr>
              <w:t>Projected year of payment</w:t>
            </w:r>
          </w:p>
        </w:tc>
        <w:tc>
          <w:tcPr>
            <w:tcW w:w="120" w:type="dxa"/>
            <w:vAlign w:val="bottom"/>
            <w:vMerge w:val="restart"/>
          </w:tcPr>
          <w:p>
            <w:pPr>
              <w:spacing w:after="0"/>
              <w:rPr>
                <w:sz w:val="10"/>
                <w:szCs w:val="10"/>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89"/>
              </w:rPr>
              <w:t>2021 - 2023</w:t>
            </w:r>
          </w:p>
        </w:tc>
        <w:tc>
          <w:tcPr>
            <w:tcW w:w="0" w:type="dxa"/>
            <w:vAlign w:val="bottom"/>
          </w:tcPr>
          <w:p>
            <w:pPr>
              <w:spacing w:after="0"/>
              <w:rPr>
                <w:sz w:val="1"/>
                <w:szCs w:val="1"/>
                <w:color w:val="auto"/>
              </w:rPr>
            </w:pPr>
          </w:p>
        </w:tc>
      </w:tr>
      <w:tr>
        <w:trPr>
          <w:trHeight w:val="148"/>
        </w:trPr>
        <w:tc>
          <w:tcPr>
            <w:tcW w:w="2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w:t>
            </w:r>
          </w:p>
        </w:tc>
        <w:tc>
          <w:tcPr>
            <w:tcW w:w="0" w:type="dxa"/>
            <w:vAlign w:val="bottom"/>
          </w:tcPr>
          <w:p>
            <w:pPr>
              <w:spacing w:after="0"/>
              <w:rPr>
                <w:sz w:val="1"/>
                <w:szCs w:val="1"/>
                <w:color w:val="auto"/>
              </w:rPr>
            </w:pPr>
          </w:p>
        </w:tc>
      </w:tr>
      <w:tr>
        <w:trPr>
          <w:trHeight w:val="270"/>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Regulatory-based payment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23"/>
                <w:szCs w:val="23"/>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Discounted cash flow</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Probability of payment</w:t>
            </w: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0% - 100%</w:t>
            </w:r>
          </w:p>
        </w:tc>
        <w:tc>
          <w:tcPr>
            <w:tcW w:w="0" w:type="dxa"/>
            <w:vAlign w:val="bottom"/>
          </w:tcPr>
          <w:p>
            <w:pPr>
              <w:spacing w:after="0"/>
              <w:rPr>
                <w:sz w:val="1"/>
                <w:szCs w:val="1"/>
                <w:color w:val="auto"/>
              </w:rPr>
            </w:pPr>
          </w:p>
        </w:tc>
      </w:tr>
      <w:tr>
        <w:trPr>
          <w:trHeight w:val="270"/>
        </w:trPr>
        <w:tc>
          <w:tcPr>
            <w:tcW w:w="25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Projected year of payment</w:t>
            </w:r>
          </w:p>
        </w:tc>
        <w:tc>
          <w:tcPr>
            <w:tcW w:w="120" w:type="dxa"/>
            <w:vAlign w:val="bottom"/>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2021 - 2023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April 3, 2021, the maximum potential contingent consideration that the Company could be required to pay is $39.5 million. The fair value of contingent consideration associated with acquisitions was $28.7 million at April 3, 2021. As of April 3, 2021, $20.9 million was included in other liabilities and $7.8 million was included in other long-term liabilities on the 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the fair value of contingent consideration is included in the following table:</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28, 2020</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20" w:type="dxa"/>
            <w:vAlign w:val="bottom"/>
          </w:tcPr>
          <w:p>
            <w:pPr>
              <w:ind w:left="20"/>
              <w:spacing w:after="0"/>
              <w:rPr>
                <w:sz w:val="20"/>
                <w:szCs w:val="20"/>
                <w:color w:val="auto"/>
              </w:rPr>
            </w:pPr>
            <w:r>
              <w:rPr>
                <w:rFonts w:ascii="Arial" w:cs="Arial" w:eastAsia="Arial" w:hAnsi="Arial"/>
                <w:sz w:val="18"/>
                <w:szCs w:val="18"/>
                <w:color w:val="auto"/>
              </w:rPr>
              <w:t>Acquisition date fair value of contingent consideration</w:t>
            </w: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28,219</w:t>
            </w:r>
          </w:p>
        </w:tc>
      </w:tr>
      <w:tr>
        <w:trPr>
          <w:trHeight w:val="229"/>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translation</w:t>
            </w: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3, 2021</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28,733</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Term Loan (which is carried at amortized cost), accounts receivable and accounts payable approximate fair value. Details pertaining to the Term Loan can be found in Note 13, </w:t>
      </w:r>
      <w:r>
        <w:rPr>
          <w:rFonts w:ascii="Arial" w:cs="Arial" w:eastAsia="Arial" w:hAnsi="Arial"/>
          <w:sz w:val="18"/>
          <w:szCs w:val="18"/>
          <w:i w:val="1"/>
          <w:iCs w:val="1"/>
          <w:color w:val="auto"/>
        </w:rPr>
        <w:t>Notes Payable and Long-Term Debt</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RETIREMENT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52"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Company has a Savings Plus Plan (the “401k Plan”) that is a 401(k) plan that allows its U.S. employees to accumulate savings on a pre-tax basis. In addition, matching contributions are made to the 401k Plan based upon pre-established rates. The Company's matching contributions amounted to approximately $4.9 million, $4.7 million and $5.0 million in fiscal 2021, 2020 and 2019, respectively. Upon the Company's Board of Directors' approval, additional discretionary contributions can also be made. No discretionary contributions were made for the 401k Plan in fiscal 2021, 2020, or 2019.</w:t>
      </w:r>
    </w:p>
    <w:p>
      <w:pPr>
        <w:spacing w:after="0" w:line="18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Some of the Company's subsidiaries also have defined contribution plans, to which both the employee and the employer make contributions. The employer contributions to these plans totaled $0.7 million, $0.6 million and $0.6 million in fiscal 2021, 2020 and 2019,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ASC Topic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 retirement plan in the year in which the changes occur. Accordingly, the Company is required to report changes in its funded status in comprehensive loss on its consolidated statement of stockholders’ equity and consolidated statement of comprehensive income.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6" w:name="page97"/>
    <w:bookmarkEnd w:id="9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that are subject to change.</w:t>
      </w:r>
    </w:p>
    <w:p>
      <w:pPr>
        <w:spacing w:after="0" w:line="211"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color w:val="auto"/>
        </w:rPr>
        <w:t>Some of the Company's foreign subsidiaries have defined benefit pension plans covering substantially all full time employees at those subsidiaries. Net periodic benefit costs for the plans in the aggregate include the following components:</w:t>
      </w: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Interest cost on benefit obligation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Actuarial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unrecognized prior service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Plan settlements and curtailments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activity under those defined benefit plans are as follows: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4"/>
                <w:szCs w:val="14"/>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88"/>
        </w:trPr>
        <w:tc>
          <w:tcPr>
            <w:tcW w:w="67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Benefit Obligation: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Benefit Obligation, beginning of year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(28,370)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(30,637)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Actuarial gain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and plan participants contribution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Plan settlements and curtailments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changes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Benefit obligation, end of year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(28,370)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Plan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Fair value of plan assets, beginning of year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15,287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16,287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Company contributions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plan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Employee and plan participants contribution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settlements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changes</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plan assets, end of year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15,287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Funded Status</w:t>
            </w:r>
            <w:r>
              <w:rPr>
                <w:rFonts w:ascii="Arial" w:cs="Arial" w:eastAsia="Arial" w:hAnsi="Arial"/>
                <w:sz w:val="23"/>
                <w:szCs w:val="23"/>
                <w:color w:val="auto"/>
                <w:vertAlign w:val="superscript"/>
              </w:rPr>
              <w:t>*</w:t>
            </w: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(15,749)</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(13,083)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net actuarial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Unrecognized prior service cost</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amount recognized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(12,053)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 xml:space="preserve"> Substantially all of the unfunded status is non-current</w:t>
            </w: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One of the benefit plans is funded by benefit payments made by the Company through the purchase of reinsurance contracts that do not qualify as plan assets under ASC Topic 715. Accordingly, that plan has no assets included in the information presented above. The total asset value associated with the reinsurance contracts was $7.0 million and $6.3 million at April 3, 2021 and March 28, 2020, respectively. The total liability for this plan, which is included in the table above, was $11.1 million and $9.2 million as of April 3, 2021 and March 28, 2020, respectively.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7" w:name="page98"/>
    <w:bookmarkEnd w:id="9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accumulated benefit obligation for all plans was $30.6 million and $27.9 million for fiscal 2021 and 2020, respectively. There were no plans where the plan assets were greater than the accumulated benefit obligation as of April 3, 2021 and March 28, 2020.</w:t>
      </w:r>
    </w:p>
    <w:p>
      <w:pPr>
        <w:spacing w:after="0" w:line="197" w:lineRule="exact"/>
        <w:rPr>
          <w:sz w:val="20"/>
          <w:szCs w:val="20"/>
          <w:color w:val="auto"/>
        </w:rPr>
      </w:pPr>
    </w:p>
    <w:p>
      <w:pPr>
        <w:ind w:right="440"/>
        <w:spacing w:after="0" w:line="274" w:lineRule="auto"/>
        <w:rPr>
          <w:sz w:val="20"/>
          <w:szCs w:val="20"/>
          <w:color w:val="auto"/>
        </w:rPr>
      </w:pPr>
      <w:r>
        <w:rPr>
          <w:rFonts w:ascii="Arial" w:cs="Arial" w:eastAsia="Arial" w:hAnsi="Arial"/>
          <w:sz w:val="18"/>
          <w:szCs w:val="18"/>
          <w:color w:val="auto"/>
        </w:rPr>
        <w:t>The components of the change recorded in the Company's accumulated other comprehensive loss related to its defined benefit plans, net of tax,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2018</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Actuarial loss</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service cost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Plan settlements and curtailments</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30, 2019</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Actuarial gain</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service cost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Plan settlements and curtailments</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2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28, 2020</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Actuarial loss</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service cost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Plan settlements and curtailments</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April 3, 2021</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amortize $0.4 million from accumulated other comprehensive loss to net periodic benefit cost during fiscal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rates used to determine the net periodic benefit costs and projected benefit obligations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54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9"/>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9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0.58 %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0.82 %</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0.97 %</w:t>
            </w: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Rate of increased salary levels</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1.64 %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1.74 %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1.78 %</w:t>
            </w: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long-term rate of return on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0.42 %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r>
    </w:tbl>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Assumptions for expected long-term rate of return on plan assets are based upon actual historical returns, future expectations of returns for each asset class and the effect of periodic target asset allocation rebalancing. The results are adjusted for the payment of reasonable expenses of the plan from plan assets.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other material obligation for post-retirement or post-employment benefits.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investment policy for pension plans is to balance risk and return through a diversified portfolio to reduce interest rate and market risk.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Maturities are managed so that sufficient liquidity exists to meet immediate and future benefit payment requirements.</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provides guidance for reporting and measuring the plan assets of the Company's defined benefit pension plan at fair value as of April 3, 2021. Using the same three-level valuation hierarchy for disclosure of fair value measurements as described in Note 14, </w:t>
      </w:r>
      <w:r>
        <w:rPr>
          <w:rFonts w:ascii="Arial" w:cs="Arial" w:eastAsia="Arial" w:hAnsi="Arial"/>
          <w:sz w:val="18"/>
          <w:szCs w:val="18"/>
          <w:i w:val="1"/>
          <w:iCs w:val="1"/>
          <w:color w:val="auto"/>
        </w:rPr>
        <w:t>Financial Instruments and Fair Value Measurements</w:t>
      </w:r>
      <w:r>
        <w:rPr>
          <w:rFonts w:ascii="Arial" w:cs="Arial" w:eastAsia="Arial" w:hAnsi="Arial"/>
          <w:sz w:val="18"/>
          <w:szCs w:val="18"/>
          <w:color w:val="auto"/>
        </w:rPr>
        <w:t>, all of the assets of the Company’s plan are classified within Level 2 of the fair value hierarchy because the plan assets are primarily insurance contracts.</w:t>
      </w:r>
    </w:p>
    <w:p>
      <w:pPr>
        <w:spacing w:after="0" w:line="21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Expected benefit payments for both plans are estimated using the same assumptions used in determining the Company’s benefit obligation at April 3, 2021. Benefit payments will depend on future employment and compensation levels, average years employed and average life spans, among other factors, and changes in any of these factors could significantly affect these estimated future benefit payments.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8" w:name="page99"/>
    <w:bookmarkEnd w:id="98"/>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bl>
      <w:tblPr>
        <w:tblLayout w:type="fixed"/>
        <w:tblInd w:w="0" w:type="dxa"/>
        <w:tblCellMar>
          <w:top w:w="0" w:type="dxa"/>
          <w:left w:w="0" w:type="dxa"/>
          <w:bottom w:w="0" w:type="dxa"/>
          <w:right w:w="0" w:type="dxa"/>
        </w:tblCellMar>
      </w:tblPr>
      <w:tr>
        <w:trPr>
          <w:trHeight w:val="254"/>
        </w:trPr>
        <w:tc>
          <w:tcPr>
            <w:tcW w:w="1220" w:type="dxa"/>
            <w:vAlign w:val="bottom"/>
            <w:tcBorders>
              <w:top w:val="single" w:sz="8" w:color="0000FF"/>
            </w:tcBorders>
          </w:tcPr>
          <w:p>
            <w:pPr>
              <w:spacing w:after="0"/>
              <w:rPr>
                <w:sz w:val="22"/>
                <w:szCs w:val="22"/>
                <w:color w:val="auto"/>
              </w:rPr>
            </w:pPr>
          </w:p>
        </w:tc>
        <w:tc>
          <w:tcPr>
            <w:tcW w:w="8560" w:type="dxa"/>
            <w:vAlign w:val="bottom"/>
          </w:tcPr>
          <w:p>
            <w:pPr>
              <w:jc w:val="center"/>
              <w:ind w:left="150"/>
              <w:spacing w:after="0"/>
              <w:rPr>
                <w:sz w:val="20"/>
                <w:szCs w:val="20"/>
                <w:color w:val="auto"/>
              </w:rPr>
            </w:pPr>
            <w:r>
              <w:rPr>
                <w:rFonts w:ascii="Arial" w:cs="Arial" w:eastAsia="Arial" w:hAnsi="Arial"/>
                <w:sz w:val="18"/>
                <w:szCs w:val="18"/>
                <w:b w:val="1"/>
                <w:bCs w:val="1"/>
                <w:color w:val="auto"/>
              </w:rPr>
              <w:t>HAEMONETICS CORPORATION AND SUBSIDIARIES</w:t>
            </w: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306"/>
        </w:trPr>
        <w:tc>
          <w:tcPr>
            <w:tcW w:w="1220" w:type="dxa"/>
            <w:vAlign w:val="bottom"/>
          </w:tcPr>
          <w:p>
            <w:pPr>
              <w:spacing w:after="0"/>
              <w:rPr>
                <w:sz w:val="24"/>
                <w:szCs w:val="24"/>
                <w:color w:val="auto"/>
              </w:rPr>
            </w:pPr>
          </w:p>
        </w:tc>
        <w:tc>
          <w:tcPr>
            <w:tcW w:w="856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08"/>
        </w:trPr>
        <w:tc>
          <w:tcPr>
            <w:tcW w:w="9780" w:type="dxa"/>
            <w:vAlign w:val="bottom"/>
            <w:gridSpan w:val="2"/>
          </w:tcPr>
          <w:p>
            <w:pPr>
              <w:spacing w:after="0"/>
              <w:rPr>
                <w:sz w:val="20"/>
                <w:szCs w:val="20"/>
                <w:color w:val="auto"/>
              </w:rPr>
            </w:pPr>
            <w:r>
              <w:rPr>
                <w:rFonts w:ascii="Arial" w:cs="Arial" w:eastAsia="Arial" w:hAnsi="Arial"/>
                <w:sz w:val="18"/>
                <w:szCs w:val="18"/>
                <w:color w:val="auto"/>
              </w:rPr>
              <w:t>Estimated future benefit payments are as follows: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1"/>
        </w:trPr>
        <w:tc>
          <w:tcPr>
            <w:tcW w:w="97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5"/>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r>
      <w:tr>
        <w:trPr>
          <w:trHeight w:val="230"/>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Fiscal 2023</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1,376</w:t>
            </w:r>
          </w:p>
        </w:tc>
      </w:tr>
      <w:tr>
        <w:trPr>
          <w:trHeight w:val="22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r>
      <w:tr>
        <w:trPr>
          <w:trHeight w:val="229"/>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Fiscal 2025</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r>
      <w:tr>
        <w:trPr>
          <w:trHeight w:val="229"/>
        </w:trPr>
        <w:tc>
          <w:tcPr>
            <w:tcW w:w="9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Fiscal 2027-2031</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w:t>
            </w:r>
          </w:p>
        </w:tc>
      </w:tr>
      <w:tr>
        <w:trPr>
          <w:trHeight w:val="248"/>
        </w:trPr>
        <w:tc>
          <w:tcPr>
            <w:tcW w:w="122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14,326</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8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contributions for fiscal 2022 are expected to be consistent with the current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5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for all matters. Legal costs are expensed as incurred.</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third quarter of fiscal 2021, the Company received a subpoena from the U.S. Attorney’s Office for the District of Massachusetts. The subpoena requests certain documents regarding the Company’s apheresis and autotransfusion devices and disposables, including documents relating to product complaints and adverse event reporting, regulatory clearances and product design changes, among other matters. The Company is fully cooperating with this inquiry.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5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On July 25, 2019 (the “Effective Date”), the Haemonetics Corporation 2019 Long-Term Incentive Compensation Plan (the “2019 Equity Plan”) was approved and became effective. The 2019 Equity Plan permits the award of incentive stock options, non-qualified stock options, stock appreciation rights (“SARs”), restricted stock, restricted stock units (including performance-based restricted stock units) and other awards to the Company's key employees, non-employee directors and certain consultants and advisors of the Company and its subsidiaries. The 2019 Equity Plan is administered by the Compensation Committee of the Board of Directors (the “Committee”), which consists of three independent members of the Company's Board of Directors, and is the successor to the Haemonetics Corporation 2005 Long-Term Incentive Compensation Plan, as amended (the “2005 Equity Plan”).</w:t>
      </w:r>
    </w:p>
    <w:p>
      <w:pPr>
        <w:spacing w:after="0" w:line="19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Upon the Effective Date, no further awards were granted under the 2005 Equity Plan; however, each outstanding award under the 2005 Equity Plan will remain outstanding under that plan and continue to be governed under its terms and any applicable award agreement. The maximum number of shares available for award under 2019 Equity Plan is 5,759,433, which consists of 2,700,000 shares of common stock authorized for issuance under the 2019 Equity Plan plus 3,059,433 shares of common stock reserved for issuance under the 2005 Equity Plan that remained available for grant under the 2005 Plan as of the Effective Date. Under the 2019 Equity Plan, any shares that are subject to the award of stock options or SARs will be counted against the authorized share reserve as one share for every one share issued and any shares that are subject to awards other than stock options, SARs or cash awards will be counted against the authorized share reserve as 2.76 shares for every one share granted. Shares of common stock subject to outstanding grants under the 2005 Equity Plan as of the Effective Date that terminate, expire, or are otherwise canceled without having been exercised will be added to the share reserve at the applicable 2019 Equity Plan ratios. The total shares available for future grant as of April 3, 2021 were 5,031,509.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Compensation cost related to share-based transactions is recognized in the consolidated financial statements based on fair value. The total amount of share-based compensation expense, which is recorded on a straight line basis, is as follows: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$12,878</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2,972</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r>
      <w:tr>
        <w:trPr>
          <w:trHeight w:val="223"/>
        </w:trPr>
        <w:tc>
          <w:tcPr>
            <w:tcW w:w="66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$20,454</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$17,188</w:t>
            </w:r>
          </w:p>
        </w:tc>
      </w:tr>
      <w:tr>
        <w:trPr>
          <w:trHeight w:val="20"/>
        </w:trPr>
        <w:tc>
          <w:tcPr>
            <w:tcW w:w="6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Options are granted to purchase common stock at prices as determined by the Committee, but in no event shall such exercise price be less than the fair market value of the common stock at the time of the grant. Options generally vest in equal installments over a four year period for employees and one year from grant for non-employee directors. Options expire not more than 7 years from the date of the grant. The grant-date fair value of options, adjusted for estimated forfeitures, is recognized as expense on a straight line basis over the requisite service period, which is generally the vesting period. Forfeitures are estimated based on historical experience.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fiscal year ended April 3, 2021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18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4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80" w:type="dxa"/>
            <w:vAlign w:val="bottom"/>
          </w:tcPr>
          <w:p>
            <w:pPr>
              <w:jc w:val="center"/>
              <w:ind w:right="179"/>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Exercise Price</w:t>
            </w:r>
          </w:p>
        </w:tc>
        <w:tc>
          <w:tcPr>
            <w:tcW w:w="15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1"/>
                <w:szCs w:val="11"/>
                <w:color w:val="auto"/>
              </w:rPr>
            </w:pPr>
          </w:p>
        </w:tc>
        <w:tc>
          <w:tcPr>
            <w:tcW w:w="1180" w:type="dxa"/>
            <w:vAlign w:val="bottom"/>
          </w:tcPr>
          <w:p>
            <w:pPr>
              <w:jc w:val="center"/>
              <w:ind w:right="17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1440" w:type="dxa"/>
            <w:vAlign w:val="bottom"/>
          </w:tcPr>
          <w:p>
            <w:pPr>
              <w:jc w:val="right"/>
              <w:ind w:right="254"/>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per Share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(years)</w:t>
            </w:r>
          </w:p>
        </w:tc>
        <w:tc>
          <w:tcPr>
            <w:tcW w:w="260" w:type="dxa"/>
            <w:vAlign w:val="bottom"/>
          </w:tcPr>
          <w:p>
            <w:pPr>
              <w:spacing w:after="0"/>
              <w:rPr>
                <w:sz w:val="16"/>
                <w:szCs w:val="16"/>
                <w:color w:val="auto"/>
              </w:rPr>
            </w:pPr>
          </w:p>
        </w:tc>
        <w:tc>
          <w:tcPr>
            <w:tcW w:w="118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($000’s)</w:t>
            </w:r>
          </w:p>
        </w:tc>
        <w:tc>
          <w:tcPr>
            <w:tcW w:w="0" w:type="dxa"/>
            <w:vAlign w:val="bottom"/>
          </w:tcPr>
          <w:p>
            <w:pPr>
              <w:spacing w:after="0"/>
              <w:rPr>
                <w:sz w:val="1"/>
                <w:szCs w:val="1"/>
                <w:color w:val="auto"/>
              </w:rPr>
            </w:pPr>
          </w:p>
        </w:tc>
      </w:tr>
      <w:tr>
        <w:trPr>
          <w:trHeight w:val="224"/>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28,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918,988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37,471</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205,846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103.36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81.66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April 3,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960,687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70.29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40,179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April 3,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30,402</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or expected to vest at April 3,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$8.2 million, $18.1 million and $19.4 million during fiscal 2021, 2020 and 2019, respectively.</w:t>
      </w:r>
    </w:p>
    <w:p>
      <w:pPr>
        <w:spacing w:after="0" w:line="25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April 3, 2021, there was $9.1 million of total unrecognized compensation cost related to non-vested stock options. This cost is expected to be recognized over a weighted average period of 2.5 years.</w:t>
      </w:r>
    </w:p>
    <w:p>
      <w:pPr>
        <w:spacing w:after="0" w:line="19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fair value was estimated using the Black-Scholes option-pricing model based on the closing stock price at the grant date and the weighted average assumptions specific to the underlying options. Expected volatility assumptions are based on the historical volatility of the Company's common stock over the expected term of the option.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utilized for option grants during the periods presented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33.5 %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28.2 %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 per Option</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30.53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28.25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Restricted Stock Units (“RSUs”) generally vest in equal installments over a four year period for employees and one year from grant for non-employee directors. The grant-date fair value of RSUs, adjusted for estimated forfeitures, is recognized as expense on a straight-line basis over the requisite service period, which is generally the vesting period. The fair market value of RSUs is determined based on the market value of the Company’s shares on the date of grant.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for the fiscal year ended April 3, 2021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360" w:type="dxa"/>
            <w:vAlign w:val="bottom"/>
          </w:tcPr>
          <w:p>
            <w:pPr>
              <w:spacing w:after="0"/>
              <w:rPr>
                <w:sz w:val="11"/>
                <w:szCs w:val="11"/>
                <w:color w:val="auto"/>
              </w:rPr>
            </w:pPr>
          </w:p>
        </w:tc>
        <w:tc>
          <w:tcPr>
            <w:tcW w:w="11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8"/>
        </w:trPr>
        <w:tc>
          <w:tcPr>
            <w:tcW w:w="8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March 28, 2020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116,296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102.19</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April 3,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248,463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91.25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RSUs granted and total fair value of RSUs vested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 per RSU</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Fair value of RSUs vested</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66.87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54.58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40.04</w:t>
            </w:r>
          </w:p>
        </w:tc>
      </w:tr>
    </w:tbl>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3, 2021, there was $15.4 million of total unrecognized compensation cost related to non-vested restricted stock units. This cost is expected to be recognized over a weighted average period of 2.5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grant date fair value of Performance Share Units (“PSUs”), adjusted for estimated forfeitures, is recognized as expense on a straight line basis from the grant date through the end of the performance period. The value of these PSUs is generally based on relative total shareholder return which equals total shareholder return for the Company as compared with total shareholder return of the PSU comparison group, measured over a three year performance period. PSUs granted in fiscal 2021 and 2020 have a comparison group consisting of the Standard and Poor's (“S&amp;P”) Mid Cap 400 Index while PSUs granted in fiscal 2019 have a comparison group consisting of the S&amp;P Small Cap 600 and the S&amp;P Mid Cap 400 indices. Depending on the Company's relative performance during the performance period, a recipient of the award is entitled to receive a number of ordinary shares equal to a percentage, ranging from 0% to 200%, of the award granted. If the Company’s total shareholder return for the performance period is negative, then any share payout will be capped at 100% of the target award, regardless of the Company's performance relative to the its comparison group. As a result, the Company may issue up to 481,782 shares related to outstanding performance based awards.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PSU activity for the fiscal year ended April 3, 2021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360" w:type="dxa"/>
            <w:vAlign w:val="bottom"/>
          </w:tcPr>
          <w:p>
            <w:pPr>
              <w:spacing w:after="0"/>
              <w:rPr>
                <w:sz w:val="11"/>
                <w:szCs w:val="11"/>
                <w:color w:val="auto"/>
              </w:rPr>
            </w:pPr>
          </w:p>
        </w:tc>
        <w:tc>
          <w:tcPr>
            <w:tcW w:w="11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8"/>
        </w:trPr>
        <w:tc>
          <w:tcPr>
            <w:tcW w:w="8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March 28, 2020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100" w:type="dxa"/>
            <w:vAlign w:val="bottom"/>
          </w:tcPr>
          <w:p>
            <w:pPr>
              <w:jc w:val="right"/>
              <w:spacing w:after="0"/>
              <w:rPr>
                <w:sz w:val="20"/>
                <w:szCs w:val="20"/>
                <w:color w:val="auto"/>
              </w:rPr>
            </w:pPr>
            <w:r>
              <w:rPr>
                <w:rFonts w:ascii="Arial" w:cs="Arial" w:eastAsia="Arial" w:hAnsi="Arial"/>
                <w:sz w:val="18"/>
                <w:szCs w:val="18"/>
                <w:color w:val="auto"/>
              </w:rPr>
              <w:t>216,668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123.92</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Vested</w:t>
            </w:r>
            <w:r>
              <w:rPr>
                <w:rFonts w:ascii="Arial" w:cs="Arial" w:eastAsia="Arial" w:hAnsi="Arial"/>
                <w:sz w:val="23"/>
                <w:szCs w:val="23"/>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121.76</w:t>
            </w:r>
          </w:p>
        </w:tc>
        <w:tc>
          <w:tcPr>
            <w:tcW w:w="0" w:type="dxa"/>
            <w:vAlign w:val="bottom"/>
          </w:tcPr>
          <w:p>
            <w:pPr>
              <w:spacing w:after="0"/>
              <w:rPr>
                <w:sz w:val="1"/>
                <w:szCs w:val="1"/>
                <w:color w:val="auto"/>
              </w:rPr>
            </w:pPr>
          </w:p>
        </w:tc>
      </w:tr>
      <w:tr>
        <w:trPr>
          <w:trHeight w:val="248"/>
        </w:trPr>
        <w:tc>
          <w:tcPr>
            <w:tcW w:w="8360" w:type="dxa"/>
            <w:vAlign w:val="bottom"/>
          </w:tcPr>
          <w:p>
            <w:pPr>
              <w:ind w:left="20"/>
              <w:spacing w:after="0"/>
              <w:rPr>
                <w:sz w:val="20"/>
                <w:szCs w:val="20"/>
                <w:color w:val="auto"/>
              </w:rPr>
            </w:pPr>
            <w:r>
              <w:rPr>
                <w:rFonts w:ascii="Arial" w:cs="Arial" w:eastAsia="Arial" w:hAnsi="Arial"/>
                <w:sz w:val="18"/>
                <w:szCs w:val="18"/>
                <w:color w:val="auto"/>
              </w:rPr>
              <w:t>Unvested at April 3, 2021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240,891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129.24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1517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ind w:left="160" w:hanging="134"/>
        <w:spacing w:after="0" w:line="188" w:lineRule="auto"/>
        <w:tabs>
          <w:tab w:leader="none" w:pos="16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Includes 127,170 shares issued for awards vested during fiscal 2021 based on achievement of performance metrics.</w:t>
      </w:r>
    </w:p>
    <w:p>
      <w:pPr>
        <w:ind w:left="20" w:right="100" w:firstLine="6"/>
        <w:spacing w:after="0" w:line="212" w:lineRule="auto"/>
        <w:tabs>
          <w:tab w:leader="none" w:pos="165"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color w:val="auto"/>
        </w:rPr>
        <w:t>Includes the vesting of 254,340 shares that were earned for awards granted in fiscal 2018 for various performance periods ending during fiscal 2021, based on actual relative total shareholder return of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-274320</wp:posOffset>
            </wp:positionV>
            <wp:extent cx="7029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2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Company uses the Monte Carlo model to estimate the probability of satisfying the performance criteria and the resulting fair value of PSU awards with market conditions. The assumptions used in the Monte Carlo model for PSUs granted during each fiscal year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7"/>
              </w:rPr>
              <w:t>28.64 %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27.07 %</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Peer group stock price volatility</w:t>
            </w:r>
          </w:p>
        </w:tc>
        <w:tc>
          <w:tcPr>
            <w:tcW w:w="1520" w:type="dxa"/>
            <w:vAlign w:val="bottom"/>
          </w:tcPr>
          <w:p>
            <w:pPr>
              <w:jc w:val="right"/>
              <w:spacing w:after="0"/>
              <w:rPr>
                <w:sz w:val="20"/>
                <w:szCs w:val="20"/>
                <w:color w:val="auto"/>
              </w:rPr>
            </w:pPr>
            <w:r>
              <w:rPr>
                <w:rFonts w:ascii="Arial" w:cs="Arial" w:eastAsia="Arial" w:hAnsi="Arial"/>
                <w:sz w:val="18"/>
                <w:szCs w:val="18"/>
                <w:color w:val="auto"/>
              </w:rPr>
              <w:t>42.31 %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w w:val="87"/>
              </w:rPr>
              <w:t>29.77 %</w:t>
            </w:r>
          </w:p>
        </w:tc>
        <w:tc>
          <w:tcPr>
            <w:tcW w:w="1300" w:type="dxa"/>
            <w:vAlign w:val="bottom"/>
          </w:tcPr>
          <w:p>
            <w:pPr>
              <w:jc w:val="right"/>
              <w:spacing w:after="0"/>
              <w:rPr>
                <w:sz w:val="20"/>
                <w:szCs w:val="20"/>
                <w:color w:val="auto"/>
              </w:rPr>
            </w:pPr>
            <w:r>
              <w:rPr>
                <w:rFonts w:ascii="Arial" w:cs="Arial" w:eastAsia="Arial" w:hAnsi="Arial"/>
                <w:sz w:val="18"/>
                <w:szCs w:val="18"/>
                <w:color w:val="auto"/>
              </w:rPr>
              <w:t>34.98 %</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Correlation of returns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7"/>
              </w:rPr>
              <w:t>50.30 %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PSUs granted and total fair value of PSUs vested are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 per PSU</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115.64</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Fair value of PSUs vested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29.20</w:t>
            </w:r>
          </w:p>
        </w:tc>
      </w:tr>
    </w:tbl>
    <w:p>
      <w:pPr>
        <w:spacing w:after="0" w:line="22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April 3, 2021, there was $14.7 million of total unrecognized compensation cost related to non-vested performance share units. This cost is expected to be recognized over a weighted average period of 1.7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has an Employee Stock Purchase Plan (the “Purchase Plan”) under which a maximum of 3,200,000 shares (subject to adjustment for stock splits and similar changes) of common stock may be purchased by eligible employees. Substantially all of its full-time employees are eligible to participate in the Purchase Plan.</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Purchase Plan provides for two “purchase periods” within each of its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spacing w:after="0" w:line="205"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The fair values of shares purchased under the Employee Stock Purchase Plan are estimated using the Black-Scholes single option-pricing model with the following weighted average assumptions:</w:t>
      </w:r>
    </w:p>
    <w:tbl>
      <w:tblPr>
        <w:tblLayout w:type="fixed"/>
        <w:tblInd w:w="0" w:type="dxa"/>
        <w:tblCellMar>
          <w:top w:w="0" w:type="dxa"/>
          <w:left w:w="0" w:type="dxa"/>
          <w:bottom w:w="0" w:type="dxa"/>
          <w:right w:w="0" w:type="dxa"/>
        </w:tblCellMar>
      </w:tblPr>
      <w:tr>
        <w:trPr>
          <w:trHeight w:val="192"/>
        </w:trPr>
        <w:tc>
          <w:tcPr>
            <w:tcW w:w="7360" w:type="dxa"/>
            <w:vAlign w:val="bottom"/>
            <w:gridSpan w:val="2"/>
          </w:tcPr>
          <w:p>
            <w:pPr>
              <w:ind w:left="702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29"/>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9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49.8 %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30.0 %</w:t>
            </w: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Expected life (months)</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58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0.0 %</w:t>
            </w:r>
          </w:p>
        </w:tc>
      </w:tr>
    </w:tbl>
    <w:p>
      <w:pPr>
        <w:spacing w:after="0" w:line="22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weighted average grant date fair value of the six-month option inherent in the Purchase Plan was approximately $30.77, $27.11 and $21.51 during fiscal 2021, 2020 and 2019, respectively.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AND ENTERPRISE-WIDE INFORMATION</w:t>
      </w:r>
    </w:p>
    <w:p>
      <w:pPr>
        <w:spacing w:after="0" w:line="25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Historically, the Company's operating segments were based primarily on geography. Effective as of March 31, 2019, the Company completed the transition of its operating structure to three global business units and accordingly, reorganized its reporting structure to align with its three global business units and the information that will be regularly reviewed by the Company's chief operating decision maker.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Following the reorganization, 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Plasma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Blood Center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Hospital</w:t>
      </w:r>
    </w:p>
    <w:p>
      <w:pPr>
        <w:spacing w:after="0" w:line="23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gains and losses on dispositions and sale of assets, asset impairments, accelerated device depreciation and related costs, costs related to compliance with the European Union Medical Device Regulation, transaction and integration costs and certain tax settlements and unusual or infrequent and material litigation-related charges.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reportable segment is presented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Plasma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333,334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460,637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426,781</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Blood Center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335,557</w:t>
            </w: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Hospital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190,821</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business unit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953,159</w:t>
            </w:r>
          </w:p>
        </w:tc>
      </w:tr>
      <w:tr>
        <w:trPr>
          <w:trHeight w:val="230"/>
        </w:trPr>
        <w:tc>
          <w:tcPr>
            <w:tcW w:w="67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Service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19,906</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870,463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988,479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967,579</w:t>
            </w:r>
          </w:p>
        </w:tc>
      </w:tr>
    </w:tbl>
    <w:p>
      <w:pPr>
        <w:spacing w:after="0" w:line="17" w:lineRule="exact"/>
        <w:rPr>
          <w:sz w:val="20"/>
          <w:szCs w:val="20"/>
          <w:color w:val="auto"/>
        </w:rPr>
      </w:pPr>
    </w:p>
    <w:p>
      <w:pPr>
        <w:ind w:left="180" w:hanging="154"/>
        <w:spacing w:after="0"/>
        <w:tabs>
          <w:tab w:leader="none" w:pos="18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Reflects revenue for service, maintenance and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-124460</wp:posOffset>
            </wp:positionV>
            <wp:extent cx="28632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Plasma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172,463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225,351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180,300</w:t>
            </w: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Blood Center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163,628</w:t>
            </w:r>
          </w:p>
        </w:tc>
      </w:tr>
      <w:tr>
        <w:trPr>
          <w:trHeight w:val="230"/>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Hospital</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76,338</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420,266</w:t>
            </w:r>
          </w:p>
        </w:tc>
      </w:tr>
      <w:tr>
        <w:trPr>
          <w:trHeight w:val="230"/>
        </w:trPr>
        <w:tc>
          <w:tcPr>
            <w:tcW w:w="694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(256,751)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(255,727)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(263,603)</w:t>
            </w:r>
          </w:p>
        </w:tc>
      </w:tr>
      <w:tr>
        <w:trPr>
          <w:trHeight w:val="229"/>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exchange rates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Deal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(24,803)</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assets, PCS2 accelerated depreciation and other related charges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(40,296)</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turnaround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(13,660)</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European Medical Device Regulation costs and other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charges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Gains on divestitures and sale of assets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89,747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103,351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83,545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right="220" w:firstLine="6"/>
        <w:spacing w:after="0" w:line="218" w:lineRule="auto"/>
        <w:tabs>
          <w:tab w:leader="none" w:pos="165" w:val="left"/>
        </w:tabs>
        <w:numPr>
          <w:ilvl w:val="0"/>
          <w:numId w:val="29"/>
        </w:numPr>
        <w:rPr>
          <w:rFonts w:ascii="Arial" w:cs="Arial" w:eastAsia="Arial" w:hAnsi="Arial"/>
          <w:sz w:val="17"/>
          <w:szCs w:val="17"/>
          <w:color w:val="auto"/>
          <w:vertAlign w:val="superscript"/>
        </w:rPr>
      </w:pPr>
      <w:r>
        <w:rPr>
          <w:rFonts w:ascii="Arial" w:cs="Arial" w:eastAsia="Arial" w:hAnsi="Arial"/>
          <w:sz w:val="13"/>
          <w:szCs w:val="13"/>
          <w:color w:val="auto"/>
        </w:rPr>
        <w:t>Reflects shared service expenses including quality and regulatory, customer and field service, research and development, manufacturing and supply chain, as well as other corporate support functions.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Plasma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24,093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63,347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61,721</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Blood Center</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38,074</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Hospital</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depreciation and amortization (excluding impairment charges)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109,418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6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24"/>
                <w:szCs w:val="24"/>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66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color w:val="auto"/>
              </w:rPr>
              <w:t>Long-lived assets</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Plasma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105,599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141,903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192,628</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Blood Center</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127,272</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Hospital</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24,079</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long-lived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217,559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253,399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343,979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54"/>
        <w:spacing w:after="0"/>
        <w:tabs>
          <w:tab w:leader="none" w:pos="180" w:val="left"/>
        </w:tabs>
        <w:numPr>
          <w:ilvl w:val="0"/>
          <w:numId w:val="30"/>
        </w:numPr>
        <w:rPr>
          <w:rFonts w:ascii="Arial" w:cs="Arial" w:eastAsia="Arial" w:hAnsi="Arial"/>
          <w:sz w:val="9"/>
          <w:szCs w:val="9"/>
          <w:color w:val="auto"/>
        </w:rPr>
      </w:pPr>
      <w:r>
        <w:rPr>
          <w:rFonts w:ascii="Arial" w:cs="Arial" w:eastAsia="Arial" w:hAnsi="Arial"/>
          <w:sz w:val="14"/>
          <w:szCs w:val="14"/>
          <w:color w:val="auto"/>
        </w:rPr>
        <w:t>Long-lived assets are comprised of property, plant and equipment.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principle operating regions is presented below:</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4"/>
                <w:szCs w:val="14"/>
                <w:color w:val="auto"/>
              </w:rPr>
            </w:pPr>
          </w:p>
        </w:tc>
        <w:tc>
          <w:tcPr>
            <w:tcW w:w="1080" w:type="dxa"/>
            <w:vAlign w:val="bottom"/>
          </w:tcPr>
          <w:p>
            <w:pPr>
              <w:jc w:val="right"/>
              <w:ind w:right="255"/>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88"/>
        </w:trPr>
        <w:tc>
          <w:tcPr>
            <w:tcW w:w="69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96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color w:val="auto"/>
              </w:rPr>
              <w:t>Long-lived assets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159,749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186,488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269,849</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Japan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30"/>
        </w:trPr>
        <w:tc>
          <w:tcPr>
            <w:tcW w:w="6960" w:type="dxa"/>
            <w:vAlign w:val="bottom"/>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30,930</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30,274</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long-lived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217,559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343,979</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54"/>
        <w:spacing w:after="0"/>
        <w:tabs>
          <w:tab w:leader="none" w:pos="180" w:val="left"/>
        </w:tabs>
        <w:numPr>
          <w:ilvl w:val="0"/>
          <w:numId w:val="31"/>
        </w:numPr>
        <w:rPr>
          <w:rFonts w:ascii="Arial" w:cs="Arial" w:eastAsia="Arial" w:hAnsi="Arial"/>
          <w:sz w:val="9"/>
          <w:szCs w:val="9"/>
          <w:color w:val="auto"/>
        </w:rPr>
      </w:pPr>
      <w:r>
        <w:rPr>
          <w:rFonts w:ascii="Arial" w:cs="Arial" w:eastAsia="Arial" w:hAnsi="Arial"/>
          <w:sz w:val="14"/>
          <w:szCs w:val="14"/>
          <w:color w:val="auto"/>
        </w:rPr>
        <w:t>Long-lived assets are comprised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9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29"/>
        </w:trPr>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606,845</w:t>
            </w:r>
          </w:p>
        </w:tc>
      </w:tr>
      <w:tr>
        <w:trPr>
          <w:trHeight w:val="229"/>
        </w:trPr>
        <w:tc>
          <w:tcPr>
            <w:tcW w:w="6920" w:type="dxa"/>
            <w:vAlign w:val="bottom"/>
          </w:tcPr>
          <w:p>
            <w:pPr>
              <w:ind w:left="12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77,676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72,218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69,908</w:t>
            </w:r>
          </w:p>
        </w:tc>
      </w:tr>
      <w:tr>
        <w:trPr>
          <w:trHeight w:val="230"/>
        </w:trPr>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164,504</w:t>
            </w:r>
          </w:p>
        </w:tc>
      </w:tr>
      <w:tr>
        <w:trPr>
          <w:trHeight w:val="229"/>
        </w:trPr>
        <w:tc>
          <w:tcPr>
            <w:tcW w:w="6920" w:type="dxa"/>
            <w:vAlign w:val="bottom"/>
          </w:tcPr>
          <w:p>
            <w:pPr>
              <w:ind w:left="120"/>
              <w:spacing w:after="0"/>
              <w:rPr>
                <w:sz w:val="20"/>
                <w:szCs w:val="20"/>
                <w:color w:val="auto"/>
              </w:rPr>
            </w:pPr>
            <w:r>
              <w:rPr>
                <w:rFonts w:ascii="Arial" w:cs="Arial" w:eastAsia="Arial" w:hAnsi="Arial"/>
                <w:sz w:val="18"/>
                <w:szCs w:val="18"/>
                <w:color w:val="auto"/>
              </w:rPr>
              <w:t>Asia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105,820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109,295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118,700</w:t>
            </w:r>
          </w:p>
        </w:tc>
      </w:tr>
      <w:tr>
        <w:trPr>
          <w:trHeight w:val="229"/>
        </w:trPr>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7,622</w:t>
            </w:r>
          </w:p>
        </w:tc>
      </w:tr>
      <w:tr>
        <w:trPr>
          <w:trHeight w:val="223"/>
        </w:trPr>
        <w:tc>
          <w:tcPr>
            <w:tcW w:w="692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870,463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988,479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967,579</w:t>
            </w: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line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Plasma products and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501,837</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Blood Center products and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239,614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252,829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269,203</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 products and services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196,539</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870,463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988,479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967,579</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ACCUMULATED OTHER COMPREHENSIVE LOSS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is a roll-forward of the components of accumulated other comprehensive loss, net of tax, for the years ended April 3, 2021 and March 28,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3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1"/>
                <w:szCs w:val="11"/>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Foreign currency</w:t>
            </w: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Defined benefit plans</w:t>
            </w:r>
          </w:p>
        </w:tc>
        <w:tc>
          <w:tcPr>
            <w:tcW w:w="18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Gain/loss on</w:t>
            </w:r>
          </w:p>
        </w:tc>
        <w:tc>
          <w:tcPr>
            <w:tcW w:w="320" w:type="dxa"/>
            <w:vAlign w:val="bottom"/>
          </w:tcPr>
          <w:p>
            <w:pPr>
              <w:spacing w:after="0"/>
              <w:rPr>
                <w:sz w:val="11"/>
                <w:szCs w:val="11"/>
                <w:color w:val="auto"/>
              </w:rPr>
            </w:pPr>
          </w:p>
        </w:tc>
        <w:tc>
          <w:tcPr>
            <w:tcW w:w="10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Derivatives</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March 30, 2019</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(25,513)</w:t>
            </w: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(30,380)</w:t>
            </w:r>
          </w:p>
        </w:tc>
        <w:tc>
          <w:tcPr>
            <w:tcW w:w="0" w:type="dxa"/>
            <w:vAlign w:val="bottom"/>
          </w:tcPr>
          <w:p>
            <w:pPr>
              <w:spacing w:after="0"/>
              <w:rPr>
                <w:sz w:val="1"/>
                <w:szCs w:val="1"/>
                <w:color w:val="auto"/>
              </w:rPr>
            </w:pPr>
          </w:p>
        </w:tc>
      </w:tr>
      <w:tr>
        <w:trPr>
          <w:trHeight w:val="223"/>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reclassifications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(15,174)</w:t>
            </w:r>
          </w:p>
        </w:tc>
        <w:tc>
          <w:tcPr>
            <w:tcW w:w="0" w:type="dxa"/>
            <w:vAlign w:val="bottom"/>
          </w:tcPr>
          <w:p>
            <w:pPr>
              <w:spacing w:after="0"/>
              <w:rPr>
                <w:sz w:val="1"/>
                <w:szCs w:val="1"/>
                <w:color w:val="auto"/>
              </w:rPr>
            </w:pPr>
          </w:p>
        </w:tc>
      </w:tr>
      <w:tr>
        <w:trPr>
          <w:trHeight w:val="175"/>
        </w:trPr>
        <w:tc>
          <w:tcPr>
            <w:tcW w:w="53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Amounts reclassified from accumulated other comprehensive (loss)</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5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income</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(14,755)</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Balance, March 28,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(45,135)</w:t>
            </w:r>
          </w:p>
        </w:tc>
        <w:tc>
          <w:tcPr>
            <w:tcW w:w="0" w:type="dxa"/>
            <w:vAlign w:val="bottom"/>
          </w:tcPr>
          <w:p>
            <w:pPr>
              <w:spacing w:after="0"/>
              <w:rPr>
                <w:sz w:val="1"/>
                <w:szCs w:val="1"/>
                <w:color w:val="auto"/>
              </w:rPr>
            </w:pPr>
          </w:p>
        </w:tc>
      </w:tr>
      <w:tr>
        <w:trPr>
          <w:trHeight w:val="223"/>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30"/>
        </w:trPr>
        <w:tc>
          <w:tcPr>
            <w:tcW w:w="5360" w:type="dxa"/>
            <w:vAlign w:val="bottom"/>
            <w:gridSpan w:val="2"/>
          </w:tcPr>
          <w:p>
            <w:pPr>
              <w:ind w:left="20"/>
              <w:spacing w:after="0" w:line="230" w:lineRule="exact"/>
              <w:rPr>
                <w:sz w:val="20"/>
                <w:szCs w:val="20"/>
                <w:color w:val="auto"/>
              </w:rPr>
            </w:pPr>
            <w:r>
              <w:rPr>
                <w:rFonts w:ascii="Arial" w:cs="Arial" w:eastAsia="Arial" w:hAnsi="Arial"/>
                <w:sz w:val="18"/>
                <w:szCs w:val="18"/>
                <w:color w:val="auto"/>
                <w:w w:val="97"/>
              </w:rPr>
              <w:t>Amounts reclassified from accumulated other comprehensive gain</w:t>
            </w:r>
            <w:r>
              <w:rPr>
                <w:rFonts w:ascii="Arial" w:cs="Arial" w:eastAsia="Arial" w:hAnsi="Arial"/>
                <w:sz w:val="23"/>
                <w:szCs w:val="23"/>
                <w:color w:val="auto"/>
                <w:w w:val="97"/>
                <w:vertAlign w:val="superscript"/>
              </w:rPr>
              <w:t>(1)</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15,588</w:t>
            </w:r>
          </w:p>
        </w:tc>
        <w:tc>
          <w:tcPr>
            <w:tcW w:w="0" w:type="dxa"/>
            <w:vAlign w:val="bottom"/>
          </w:tcPr>
          <w:p>
            <w:pPr>
              <w:spacing w:after="0"/>
              <w:rPr>
                <w:sz w:val="1"/>
                <w:szCs w:val="1"/>
                <w:color w:val="auto"/>
              </w:rPr>
            </w:pPr>
          </w:p>
        </w:tc>
      </w:tr>
      <w:tr>
        <w:trPr>
          <w:trHeight w:val="248"/>
        </w:trPr>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April 3, 2021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(21,528)</w:t>
            </w:r>
          </w:p>
        </w:tc>
        <w:tc>
          <w:tcPr>
            <w:tcW w:w="1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(7,459)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(29,547)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-15240</wp:posOffset>
            </wp:positionV>
            <wp:extent cx="3703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ind w:left="160" w:hanging="134"/>
        <w:spacing w:after="0" w:line="233" w:lineRule="auto"/>
        <w:tabs>
          <w:tab w:leader="none" w:pos="160"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Presented net of income taxes, the amounts of which are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-102870</wp:posOffset>
            </wp:positionV>
            <wp:extent cx="3703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SUMMARY OF QUARTERLY DATA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 except per share data)</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2021</w:t>
            </w:r>
          </w:p>
        </w:tc>
        <w:tc>
          <w:tcPr>
            <w:tcW w:w="260" w:type="dxa"/>
            <w:vAlign w:val="bottom"/>
          </w:tcPr>
          <w:p>
            <w:pPr>
              <w:spacing w:after="0"/>
              <w:rPr>
                <w:sz w:val="11"/>
                <w:szCs w:val="11"/>
                <w:color w:val="auto"/>
              </w:rPr>
            </w:pPr>
          </w:p>
        </w:tc>
        <w:tc>
          <w:tcPr>
            <w:tcW w:w="11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9"/>
              </w:rPr>
              <w:t>June 27,</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December 26,</w:t>
            </w:r>
          </w:p>
        </w:tc>
        <w:tc>
          <w:tcPr>
            <w:tcW w:w="220" w:type="dxa"/>
            <w:vAlign w:val="bottom"/>
          </w:tcPr>
          <w:p>
            <w:pPr>
              <w:spacing w:after="0"/>
              <w:rPr>
                <w:sz w:val="11"/>
                <w:szCs w:val="11"/>
                <w:color w:val="auto"/>
              </w:rPr>
            </w:pPr>
          </w:p>
        </w:tc>
        <w:tc>
          <w:tcPr>
            <w:tcW w:w="110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57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5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revenues</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195,577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209,486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240,371</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225,029</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81,807</w:t>
            </w:r>
          </w:p>
        </w:tc>
        <w:tc>
          <w:tcPr>
            <w:tcW w:w="0" w:type="dxa"/>
            <w:vAlign w:val="bottom"/>
          </w:tcPr>
          <w:p>
            <w:pPr>
              <w:spacing w:after="0"/>
              <w:rPr>
                <w:sz w:val="1"/>
                <w:szCs w:val="1"/>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58,782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40,425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(21,175)</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w:t>
            </w:r>
          </w:p>
        </w:tc>
        <w:tc>
          <w:tcPr>
            <w:tcW w:w="0" w:type="dxa"/>
            <w:vAlign w:val="bottom"/>
          </w:tcPr>
          <w:p>
            <w:pPr>
              <w:spacing w:after="0"/>
              <w:rPr>
                <w:sz w:val="1"/>
                <w:szCs w:val="1"/>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453"/>
        </w:trPr>
        <w:tc>
          <w:tcPr>
            <w:tcW w:w="57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 except per share data)</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2020</w:t>
            </w:r>
          </w:p>
        </w:tc>
        <w:tc>
          <w:tcPr>
            <w:tcW w:w="260" w:type="dxa"/>
            <w:vAlign w:val="bottom"/>
          </w:tcPr>
          <w:p>
            <w:pPr>
              <w:spacing w:after="0"/>
              <w:rPr>
                <w:sz w:val="11"/>
                <w:szCs w:val="11"/>
                <w:color w:val="auto"/>
              </w:rPr>
            </w:pPr>
          </w:p>
        </w:tc>
        <w:tc>
          <w:tcPr>
            <w:tcW w:w="11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9"/>
              </w:rPr>
              <w:t>June 29,</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December 28,</w:t>
            </w:r>
          </w:p>
        </w:tc>
        <w:tc>
          <w:tcPr>
            <w:tcW w:w="220" w:type="dxa"/>
            <w:vAlign w:val="bottom"/>
          </w:tcPr>
          <w:p>
            <w:pPr>
              <w:spacing w:after="0"/>
              <w:rPr>
                <w:sz w:val="11"/>
                <w:szCs w:val="11"/>
                <w:color w:val="auto"/>
              </w:rPr>
            </w:pPr>
          </w:p>
        </w:tc>
        <w:tc>
          <w:tcPr>
            <w:tcW w:w="110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9"/>
              </w:rPr>
              <w:t>March 28,</w:t>
            </w:r>
          </w:p>
        </w:tc>
        <w:tc>
          <w:tcPr>
            <w:tcW w:w="0" w:type="dxa"/>
            <w:vAlign w:val="bottom"/>
          </w:tcPr>
          <w:p>
            <w:pPr>
              <w:spacing w:after="0"/>
              <w:rPr>
                <w:sz w:val="1"/>
                <w:szCs w:val="1"/>
                <w:color w:val="auto"/>
              </w:rPr>
            </w:pPr>
          </w:p>
        </w:tc>
      </w:tr>
      <w:tr>
        <w:trPr>
          <w:trHeight w:val="188"/>
        </w:trPr>
        <w:tc>
          <w:tcPr>
            <w:tcW w:w="57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258,970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238,492</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115,906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127,000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128,050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113,557</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26,007</w:t>
            </w:r>
          </w:p>
        </w:tc>
        <w:tc>
          <w:tcPr>
            <w:tcW w:w="0" w:type="dxa"/>
            <w:vAlign w:val="bottom"/>
          </w:tcPr>
          <w:p>
            <w:pPr>
              <w:spacing w:after="0"/>
              <w:rPr>
                <w:sz w:val="1"/>
                <w:szCs w:val="1"/>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37,486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29,895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17,624</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6" w:name="page107"/>
    <w:bookmarkEnd w:id="10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of the end of the period covered by this report, we conducted an evaluation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as of that date, our disclosure controls and procedures were effective.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on Internal Control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Management’s Annual Report on Internal Control over Financial Reporting</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as such term is defined in Exchange Act Rules 13a-15(f) and 15d-15(f). The Company’s internal control system was designed to provide reasonable assurance to the Company’s management and Board of Directors regarding the preparation and fair presentation of published financial statements.</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management assessed the effectiveness of its internal control over financial reporting as of April 3, 2021. In making this assessment, the management used the criteria set forth by the Committee of Sponsoring Organizations of the Treadway Commission (COSO) in Internal Control-Integrated Framework (2013 framework). Based on our assessment, the Company's management believes that its internal controls over financial reporting were effective as of April 3, 2021.</w:t>
      </w:r>
    </w:p>
    <w:p>
      <w:pPr>
        <w:spacing w:after="0" w:line="2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the effectiveness of our internal control over financial reporting. This report, in which they expressed an unqualified opinion, is included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Cardiva Medical, Inc. acquisition</w:t>
      </w:r>
    </w:p>
    <w:p>
      <w:pPr>
        <w:spacing w:after="0" w:line="2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March 1, 2021, we closed our acquisition of Cardiva. In accordance with the SEC Staff’s interpretative guidance for newly acquired businesses, we are permitted to omit an assessment of an acquired business’s internal control over financial reporting from our assessment of internal control for up to one year from the acquisition date. As such, we have excluded Cardiva from our annual assessment of internal control over financial reporting as of April 3, 2021, as the acquisition was completed on March 1, 2021. Cardiva represents less than 30% of total assets as of April 3, 2021 and less than 1% of revenues and losses of 10% as a percentage of net income, respectively, for the year then 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enicor GmbH acquisition</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April 1, 2020, we closed our acquisition of enicor GmbH (“enicor”). We have excluded enicor from our annual assessment of internal control over financial reporting as of April 3, 2021. The acquisition did not have a material impact on our internal control over financial reporting and is therefore out of scope. As of April 3, 2021, enicor represents less than 2% of total assets. For the year ended April 3, 2021, enicor represents less than 1% of revenues and represents net losses of less than 2% of net income.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April 3, 2021 that have materially affected, or are likely to materially affect, our internal control over financial reporting.</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07" w:name="page108"/>
    <w:bookmarkEnd w:id="10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Haemonetics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have audited Haemonetics Corporation and subsidiaries’ internal control over financial reporting as of April 3, 2021, based on criteria established in Internal Control—Integrated Framework issued by the Committee of Sponsoring Organizations of the Treadway Commission (2013 framework) (the COSO criteria). In our opinion, Haemonetics Corporation and subsidiaries (the Company) maintained, in all material respects, effective internal control over financial reporting as of April 3, 2021, based on the COSO criteria</w:t>
      </w:r>
      <w:r>
        <w:rPr>
          <w:rFonts w:ascii="Arial" w:cs="Arial" w:eastAsia="Arial" w:hAnsi="Arial"/>
          <w:sz w:val="18"/>
          <w:szCs w:val="18"/>
          <w:b w:val="1"/>
          <w:bCs w:val="1"/>
          <w:color w:val="auto"/>
        </w:rPr>
        <w:t>.</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Cardiva Medical, Inc. and Enicor GmbH, which are included in the 2021 consolidated financial statements of the Company and constituted 32% and 71% of total assets and net assets, respectively, as of April 3, 2021 and approximately 1% and (13)% of revenues and net income, respectively, for the year then ended. Our audit of internal control over financial reporting of the Company also did not include an evaluation of the internal control over financial reporting of Cardiva Medical Inc. and Enicor GmbH.</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2021 consolidated financial statements of the Company and our report dated May 26, 2021 expressed an unqualified opinion thereon.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8" w:name="page109"/>
    <w:bookmarkEnd w:id="10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26,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We have adopted a Code of Ethics that applies to our Chief Executive Officer, Chief Financial Officer and senior financial officers. The Code of Ethics is incorporated into the Company’s Code of Conduct located on the Company’s website </w:t>
      </w:r>
      <w:r>
        <w:rPr>
          <w:rFonts w:ascii="Arial" w:cs="Arial" w:eastAsia="Arial" w:hAnsi="Arial"/>
          <w:sz w:val="17"/>
          <w:szCs w:val="17"/>
          <w:i w:val="1"/>
          <w:iCs w:val="1"/>
          <w:color w:val="auto"/>
        </w:rPr>
        <w:t>www.haemonetics.com</w:t>
      </w:r>
      <w:r>
        <w:rPr>
          <w:rFonts w:ascii="Arial" w:cs="Arial" w:eastAsia="Arial" w:hAnsi="Arial"/>
          <w:sz w:val="17"/>
          <w:szCs w:val="17"/>
          <w:color w:val="auto"/>
        </w:rPr>
        <w:t>, under the “Investor Relations Home” caption and under the “Corporate Governance” sub-caption. A copy of the Code of Conduct will be provided free of charge by making a written request and mailing it to our corporate headquarters offices to the attention of our Investor Relations Department. Any amendments to, or waivers from, a provision of our Code of Ethics that applies to our Chief Executive Officer, Chief Financial Officer or senior financial officers will be disclosed on the Company’s website promptly following the date of such amendment or waiver.</w:t>
      </w: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additional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 Notwithstanding the foregoing, the Compensation Committee Report included within the Proxy Statement is only being “furnished” hereunder and shall not be deemed “filed” for purposes of Section 18 of the Securities Exchange Act of 1934.</w:t>
      </w:r>
    </w:p>
    <w:p>
      <w:pPr>
        <w:spacing w:after="0" w:line="210"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9" w:name="page110"/>
    <w:bookmarkEnd w:id="10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40" w:lineRule="exact"/>
        <w:rPr>
          <w:sz w:val="20"/>
          <w:szCs w:val="20"/>
          <w:color w:val="auto"/>
        </w:rPr>
      </w:pPr>
    </w:p>
    <w:p>
      <w:pPr>
        <w:ind w:left="20" w:right="6100" w:hanging="12"/>
        <w:spacing w:after="0" w:line="284" w:lineRule="auto"/>
        <w:tabs>
          <w:tab w:leader="none" w:pos="637"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are included in Part II of this report </w:t>
      </w:r>
      <w:r>
        <w:rPr>
          <w:rFonts w:ascii="Arial" w:cs="Arial" w:eastAsia="Arial" w:hAnsi="Arial"/>
          <w:sz w:val="18"/>
          <w:szCs w:val="18"/>
          <w:color w:val="auto"/>
        </w:rPr>
        <w:t>Financial Statements required by Item 8 of this Form</w:t>
      </w:r>
    </w:p>
    <w:tbl>
      <w:tblPr>
        <w:tblLayout w:type="fixed"/>
        <w:tblInd w:w="140" w:type="dxa"/>
        <w:tblCellMar>
          <w:top w:w="0" w:type="dxa"/>
          <w:left w:w="0" w:type="dxa"/>
          <w:bottom w:w="0" w:type="dxa"/>
          <w:right w:w="0" w:type="dxa"/>
        </w:tblCellMar>
      </w:tblPr>
      <w:tr>
        <w:trPr>
          <w:trHeight w:val="190"/>
        </w:trPr>
        <w:tc>
          <w:tcPr>
            <w:tcW w:w="10840" w:type="dxa"/>
            <w:vAlign w:val="bottom"/>
            <w:gridSpan w:val="8"/>
          </w:tcPr>
          <w:p>
            <w:pPr>
              <w:spacing w:after="0" w:line="190" w:lineRule="exact"/>
              <w:rPr>
                <w:rFonts w:ascii="Arial" w:cs="Arial" w:eastAsia="Arial" w:hAnsi="Arial"/>
                <w:sz w:val="18"/>
                <w:szCs w:val="18"/>
                <w:color w:val="0000FF"/>
              </w:rPr>
            </w:pPr>
            <w:hyperlink w:anchor="page52">
              <w:r>
                <w:rPr>
                  <w:rFonts w:ascii="Arial" w:cs="Arial" w:eastAsia="Arial" w:hAnsi="Arial"/>
                  <w:sz w:val="18"/>
                  <w:szCs w:val="18"/>
                  <w:color w:val="0000FF"/>
                </w:rPr>
                <w:t>Report of Independent Registered Public Accounting Firm</w:t>
              </w:r>
            </w:hyperlink>
          </w:p>
        </w:tc>
        <w:tc>
          <w:tcPr>
            <w:tcW w:w="180" w:type="dxa"/>
            <w:vAlign w:val="bottom"/>
          </w:tcPr>
          <w:p>
            <w:pPr>
              <w:jc w:val="right"/>
              <w:spacing w:after="0" w:line="190" w:lineRule="exact"/>
              <w:rPr>
                <w:rFonts w:ascii="Arial" w:cs="Arial" w:eastAsia="Arial" w:hAnsi="Arial"/>
                <w:sz w:val="18"/>
                <w:szCs w:val="18"/>
                <w:color w:val="0000FF"/>
                <w:w w:val="79"/>
              </w:rPr>
            </w:pPr>
            <w:hyperlink w:anchor="page52">
              <w:r>
                <w:rPr>
                  <w:rFonts w:ascii="Arial" w:cs="Arial" w:eastAsia="Arial" w:hAnsi="Arial"/>
                  <w:sz w:val="18"/>
                  <w:szCs w:val="18"/>
                  <w:color w:val="0000FF"/>
                  <w:w w:val="79"/>
                </w:rPr>
                <w:t>51</w:t>
              </w:r>
            </w:hyperlink>
          </w:p>
        </w:tc>
      </w:tr>
      <w:tr>
        <w:trPr>
          <w:trHeight w:val="210"/>
        </w:trPr>
        <w:tc>
          <w:tcPr>
            <w:tcW w:w="25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Consolidated Statements of Income</w:t>
              </w:r>
            </w:hyperlink>
          </w:p>
        </w:tc>
        <w:tc>
          <w:tcPr>
            <w:tcW w:w="1640" w:type="dxa"/>
            <w:vAlign w:val="bottom"/>
            <w:tcBorders>
              <w:top w:val="single" w:sz="8" w:color="0000FF"/>
            </w:tcBorders>
            <w:gridSpan w:val="5"/>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55</w:t>
              </w:r>
            </w:hyperlink>
          </w:p>
        </w:tc>
      </w:tr>
      <w:tr>
        <w:trPr>
          <w:trHeight w:val="209"/>
        </w:trPr>
        <w:tc>
          <w:tcPr>
            <w:tcW w:w="10840" w:type="dxa"/>
            <w:vAlign w:val="bottom"/>
            <w:gridSpan w:val="8"/>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Consolidated Statements of Comprehensive Income</w:t>
              </w:r>
            </w:hyperlink>
          </w:p>
        </w:tc>
        <w:tc>
          <w:tcPr>
            <w:tcW w:w="180" w:type="dxa"/>
            <w:vAlign w:val="bottom"/>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56</w:t>
              </w:r>
            </w:hyperlink>
          </w:p>
        </w:tc>
      </w:tr>
      <w:tr>
        <w:trPr>
          <w:trHeight w:val="209"/>
        </w:trPr>
        <w:tc>
          <w:tcPr>
            <w:tcW w:w="2100" w:type="dxa"/>
            <w:vAlign w:val="bottom"/>
            <w:tcBorders>
              <w:top w:val="single" w:sz="8" w:color="0000FF"/>
              <w:bottom w:val="single" w:sz="8" w:color="0000FF"/>
            </w:tcBorders>
          </w:tcPr>
          <w:p>
            <w:pPr>
              <w:spacing w:after="0"/>
              <w:rPr>
                <w:rFonts w:ascii="Arial" w:cs="Arial" w:eastAsia="Arial" w:hAnsi="Arial"/>
                <w:sz w:val="18"/>
                <w:szCs w:val="18"/>
                <w:color w:val="0000FF"/>
                <w:w w:val="88"/>
              </w:rPr>
            </w:pPr>
            <w:hyperlink w:anchor="page58">
              <w:r>
                <w:rPr>
                  <w:rFonts w:ascii="Arial" w:cs="Arial" w:eastAsia="Arial" w:hAnsi="Arial"/>
                  <w:sz w:val="18"/>
                  <w:szCs w:val="18"/>
                  <w:color w:val="0000FF"/>
                  <w:w w:val="88"/>
                </w:rPr>
                <w:t>Consolidated Balance Sheets</w:t>
              </w:r>
            </w:hyperlink>
          </w:p>
        </w:tc>
        <w:tc>
          <w:tcPr>
            <w:tcW w:w="1640" w:type="dxa"/>
            <w:vAlign w:val="bottom"/>
            <w:tcBorders>
              <w:top w:val="single" w:sz="8" w:color="0000FF"/>
            </w:tcBorders>
            <w:gridSpan w:val="5"/>
          </w:tcPr>
          <w:p>
            <w:pPr>
              <w:spacing w:after="0"/>
              <w:rPr>
                <w:sz w:val="18"/>
                <w:szCs w:val="18"/>
                <w:color w:val="auto"/>
              </w:rPr>
            </w:pPr>
          </w:p>
        </w:tc>
        <w:tc>
          <w:tcPr>
            <w:tcW w:w="710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57</w:t>
              </w:r>
            </w:hyperlink>
          </w:p>
        </w:tc>
      </w:tr>
      <w:tr>
        <w:trPr>
          <w:trHeight w:val="209"/>
        </w:trPr>
        <w:tc>
          <w:tcPr>
            <w:tcW w:w="35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 xml:space="preserve">Consolidated Statements of Stockholders’ </w:t>
              </w:r>
            </w:hyperlink>
            <w:r>
              <w:rPr>
                <w:rFonts w:ascii="Arial" w:cs="Arial" w:eastAsia="Arial" w:hAnsi="Arial"/>
                <w:sz w:val="18"/>
                <w:szCs w:val="18"/>
                <w:color w:val="0000FF"/>
                <w:w w:val="90"/>
              </w:rPr>
              <w:t>Equity</w:t>
            </w:r>
          </w:p>
        </w:tc>
        <w:tc>
          <w:tcPr>
            <w:tcW w:w="7280" w:type="dxa"/>
            <w:vAlign w:val="bottom"/>
            <w:gridSpan w:val="3"/>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58</w:t>
              </w:r>
            </w:hyperlink>
          </w:p>
        </w:tc>
      </w:tr>
      <w:tr>
        <w:trPr>
          <w:trHeight w:val="210"/>
        </w:trPr>
        <w:tc>
          <w:tcPr>
            <w:tcW w:w="288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60">
              <w:r>
                <w:rPr>
                  <w:rFonts w:ascii="Arial" w:cs="Arial" w:eastAsia="Arial" w:hAnsi="Arial"/>
                  <w:sz w:val="18"/>
                  <w:szCs w:val="18"/>
                  <w:color w:val="0000FF"/>
                  <w:w w:val="89"/>
                </w:rPr>
                <w:t>Consolidated Statements of Cash Flows</w:t>
              </w:r>
            </w:hyperlink>
          </w:p>
        </w:tc>
        <w:tc>
          <w:tcPr>
            <w:tcW w:w="7960" w:type="dxa"/>
            <w:vAlign w:val="bottom"/>
            <w:gridSpan w:val="5"/>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59</w:t>
              </w:r>
            </w:hyperlink>
          </w:p>
        </w:tc>
      </w:tr>
      <w:tr>
        <w:trPr>
          <w:trHeight w:val="210"/>
        </w:trPr>
        <w:tc>
          <w:tcPr>
            <w:tcW w:w="316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Notes to Consolidated Financial Statements</w:t>
              </w:r>
            </w:hyperlink>
          </w:p>
        </w:tc>
        <w:tc>
          <w:tcPr>
            <w:tcW w:w="7680" w:type="dxa"/>
            <w:vAlign w:val="bottom"/>
            <w:gridSpan w:val="4"/>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60</w:t>
              </w:r>
            </w:hyperlink>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All other schedules have been omitted because they are not applicable or not required.</w:t>
      </w:r>
    </w:p>
    <w:p>
      <w:pPr>
        <w:spacing w:after="0" w:line="248" w:lineRule="exact"/>
        <w:rPr>
          <w:sz w:val="20"/>
          <w:szCs w:val="20"/>
          <w:color w:val="auto"/>
        </w:rPr>
      </w:pPr>
    </w:p>
    <w:p>
      <w:pPr>
        <w:ind w:right="220" w:firstLine="8"/>
        <w:spacing w:after="0" w:line="282" w:lineRule="auto"/>
        <w:tabs>
          <w:tab w:leader="none" w:pos="639"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Exhibits required by Item 601 of Regulation S-K are listed in the Exhibit Index beginning at page 109, which is incorporated herein by reference.</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10" w:name="page111"/>
    <w:bookmarkEnd w:id="1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00" w:type="dxa"/>
            <w:vAlign w:val="bottom"/>
          </w:tcPr>
          <w:p>
            <w:pPr>
              <w:jc w:val="center"/>
              <w:ind w:right="630"/>
              <w:spacing w:after="0"/>
              <w:rPr>
                <w:sz w:val="20"/>
                <w:szCs w:val="20"/>
                <w:color w:val="auto"/>
              </w:rPr>
            </w:pPr>
            <w:r>
              <w:rPr>
                <w:rFonts w:ascii="Arial" w:cs="Arial" w:eastAsia="Arial" w:hAnsi="Arial"/>
                <w:sz w:val="18"/>
                <w:szCs w:val="18"/>
                <w:b w:val="1"/>
                <w:bCs w:val="1"/>
                <w:color w:val="auto"/>
              </w:rPr>
              <w:t>EXHIBITS FILED WITH SECURITIES AND EXCHANGE COMMISSION</w:t>
            </w:r>
          </w:p>
        </w:tc>
      </w:tr>
      <w:tr>
        <w:trPr>
          <w:trHeight w:val="35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0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Number and Description of Exhibit</w:t>
            </w:r>
          </w:p>
        </w:tc>
      </w:tr>
      <w:tr>
        <w:trPr>
          <w:trHeight w:val="337"/>
        </w:trPr>
        <w:tc>
          <w:tcPr>
            <w:tcW w:w="20" w:type="dxa"/>
            <w:vAlign w:val="bottom"/>
          </w:tcPr>
          <w:p>
            <w:pPr>
              <w:spacing w:after="0"/>
              <w:rPr>
                <w:sz w:val="24"/>
                <w:szCs w:val="24"/>
                <w:color w:val="auto"/>
              </w:rPr>
            </w:pPr>
          </w:p>
        </w:tc>
        <w:tc>
          <w:tcPr>
            <w:tcW w:w="11220" w:type="dxa"/>
            <w:vAlign w:val="bottom"/>
            <w:gridSpan w:val="6"/>
          </w:tcPr>
          <w:p>
            <w:pPr>
              <w:spacing w:after="0"/>
              <w:rPr>
                <w:sz w:val="20"/>
                <w:szCs w:val="20"/>
                <w:color w:val="auto"/>
              </w:rPr>
            </w:pPr>
            <w:r>
              <w:rPr>
                <w:rFonts w:ascii="Arial" w:cs="Arial" w:eastAsia="Arial" w:hAnsi="Arial"/>
                <w:sz w:val="18"/>
                <w:szCs w:val="18"/>
                <w:b w:val="1"/>
                <w:bCs w:val="1"/>
                <w:color w:val="auto"/>
              </w:rPr>
              <w:t>1. Articles of Organization</w:t>
            </w:r>
          </w:p>
        </w:tc>
      </w:tr>
      <w:tr>
        <w:trPr>
          <w:trHeight w:val="190"/>
        </w:trPr>
        <w:tc>
          <w:tcPr>
            <w:tcW w:w="20" w:type="dxa"/>
            <w:vAlign w:val="bottom"/>
          </w:tcPr>
          <w:p>
            <w:pPr>
              <w:spacing w:after="0"/>
              <w:rPr>
                <w:sz w:val="16"/>
                <w:szCs w:val="16"/>
                <w:color w:val="auto"/>
              </w:rPr>
            </w:pPr>
          </w:p>
        </w:tc>
        <w:tc>
          <w:tcPr>
            <w:tcW w:w="720" w:type="dxa"/>
            <w:vAlign w:val="bottom"/>
            <w:gridSpan w:val="5"/>
          </w:tcPr>
          <w:p>
            <w:pPr>
              <w:spacing w:after="0" w:line="190" w:lineRule="exact"/>
              <w:rPr>
                <w:rFonts w:ascii="Arial" w:cs="Arial" w:eastAsia="Arial" w:hAnsi="Arial"/>
                <w:sz w:val="18"/>
                <w:szCs w:val="18"/>
                <w:color w:val="0000FF"/>
              </w:rPr>
            </w:pPr>
            <w:hyperlink r:id="rId133">
              <w:r>
                <w:rPr>
                  <w:rFonts w:ascii="Arial" w:cs="Arial" w:eastAsia="Arial" w:hAnsi="Arial"/>
                  <w:sz w:val="18"/>
                  <w:szCs w:val="18"/>
                  <w:color w:val="0000FF"/>
                </w:rPr>
                <w:t>3A</w:t>
              </w:r>
            </w:hyperlink>
          </w:p>
        </w:tc>
        <w:tc>
          <w:tcPr>
            <w:tcW w:w="10500" w:type="dxa"/>
            <w:vAlign w:val="bottom"/>
          </w:tcPr>
          <w:p>
            <w:pPr>
              <w:ind w:left="300"/>
              <w:spacing w:after="0" w:line="190" w:lineRule="exact"/>
              <w:rPr>
                <w:sz w:val="20"/>
                <w:szCs w:val="20"/>
                <w:color w:val="auto"/>
              </w:rPr>
            </w:pPr>
            <w:r>
              <w:rPr>
                <w:rFonts w:ascii="Arial" w:cs="Arial" w:eastAsia="Arial" w:hAnsi="Arial"/>
                <w:sz w:val="18"/>
                <w:szCs w:val="18"/>
                <w:color w:val="auto"/>
                <w:w w:val="93"/>
              </w:rPr>
              <w:t>Restated Articles of Organization of Haemonetics Corporation, reflecting Articles of Amendment dated August 23, 1993, August 21, 2006,</w:t>
            </w:r>
          </w:p>
        </w:tc>
      </w:tr>
      <w:tr>
        <w:trPr>
          <w:trHeight w:val="195"/>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500" w:type="dxa"/>
            <w:vAlign w:val="bottom"/>
          </w:tcPr>
          <w:p>
            <w:pPr>
              <w:ind w:left="300"/>
              <w:spacing w:after="0" w:line="195" w:lineRule="exact"/>
              <w:rPr>
                <w:sz w:val="20"/>
                <w:szCs w:val="20"/>
                <w:color w:val="auto"/>
              </w:rPr>
            </w:pPr>
            <w:r>
              <w:rPr>
                <w:rFonts w:ascii="Arial" w:cs="Arial" w:eastAsia="Arial" w:hAnsi="Arial"/>
                <w:sz w:val="18"/>
                <w:szCs w:val="18"/>
                <w:color w:val="auto"/>
                <w:w w:val="91"/>
              </w:rPr>
              <w:t>July 26, 2018 and July 25, 2019 (filed as Exhibit 3.1 to the Company's Form 8-K dated July 29, 2019 and incorporated herein by reference).</w:t>
            </w:r>
          </w:p>
        </w:tc>
      </w:tr>
      <w:tr>
        <w:trPr>
          <w:trHeight w:val="190"/>
        </w:trPr>
        <w:tc>
          <w:tcPr>
            <w:tcW w:w="20" w:type="dxa"/>
            <w:vAlign w:val="bottom"/>
          </w:tcPr>
          <w:p>
            <w:pPr>
              <w:spacing w:after="0"/>
              <w:rPr>
                <w:sz w:val="16"/>
                <w:szCs w:val="16"/>
                <w:color w:val="auto"/>
              </w:rPr>
            </w:pPr>
          </w:p>
        </w:tc>
        <w:tc>
          <w:tcPr>
            <w:tcW w:w="720" w:type="dxa"/>
            <w:vAlign w:val="bottom"/>
            <w:gridSpan w:val="5"/>
          </w:tcPr>
          <w:p>
            <w:pPr>
              <w:spacing w:after="0" w:line="190" w:lineRule="exact"/>
              <w:rPr>
                <w:rFonts w:ascii="Arial" w:cs="Arial" w:eastAsia="Arial" w:hAnsi="Arial"/>
                <w:sz w:val="18"/>
                <w:szCs w:val="18"/>
                <w:color w:val="0000FF"/>
              </w:rPr>
            </w:pPr>
            <w:hyperlink r:id="rId134">
              <w:r>
                <w:rPr>
                  <w:rFonts w:ascii="Arial" w:cs="Arial" w:eastAsia="Arial" w:hAnsi="Arial"/>
                  <w:sz w:val="18"/>
                  <w:szCs w:val="18"/>
                  <w:color w:val="0000FF"/>
                </w:rPr>
                <w:t>3B</w:t>
              </w:r>
            </w:hyperlink>
          </w:p>
        </w:tc>
        <w:tc>
          <w:tcPr>
            <w:tcW w:w="10500" w:type="dxa"/>
            <w:vAlign w:val="bottom"/>
          </w:tcPr>
          <w:p>
            <w:pPr>
              <w:ind w:left="300"/>
              <w:spacing w:after="0" w:line="190" w:lineRule="exact"/>
              <w:rPr>
                <w:sz w:val="20"/>
                <w:szCs w:val="20"/>
                <w:color w:val="auto"/>
              </w:rPr>
            </w:pPr>
            <w:r>
              <w:rPr>
                <w:rFonts w:ascii="Arial" w:cs="Arial" w:eastAsia="Arial" w:hAnsi="Arial"/>
                <w:sz w:val="18"/>
                <w:szCs w:val="18"/>
                <w:color w:val="auto"/>
                <w:w w:val="94"/>
              </w:rPr>
              <w:t>By-Laws of the Company, as amended through June 29, 2020 (filed as Exhibit 3.1 to the Company's Form 8-K dated June 30, 2020 and</w:t>
            </w:r>
          </w:p>
        </w:tc>
      </w:tr>
      <w:tr>
        <w:trPr>
          <w:trHeight w:val="210"/>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incorporated herein by reference).</w:t>
            </w:r>
          </w:p>
        </w:tc>
      </w:tr>
      <w:tr>
        <w:trPr>
          <w:trHeight w:val="471"/>
        </w:trPr>
        <w:tc>
          <w:tcPr>
            <w:tcW w:w="20" w:type="dxa"/>
            <w:vAlign w:val="bottom"/>
          </w:tcPr>
          <w:p>
            <w:pPr>
              <w:spacing w:after="0"/>
              <w:rPr>
                <w:sz w:val="24"/>
                <w:szCs w:val="24"/>
                <w:color w:val="auto"/>
              </w:rPr>
            </w:pPr>
          </w:p>
        </w:tc>
        <w:tc>
          <w:tcPr>
            <w:tcW w:w="11220" w:type="dxa"/>
            <w:vAlign w:val="bottom"/>
            <w:gridSpan w:val="6"/>
          </w:tcPr>
          <w:p>
            <w:pPr>
              <w:spacing w:after="0"/>
              <w:rPr>
                <w:sz w:val="20"/>
                <w:szCs w:val="20"/>
                <w:color w:val="auto"/>
              </w:rPr>
            </w:pPr>
            <w:r>
              <w:rPr>
                <w:rFonts w:ascii="Arial" w:cs="Arial" w:eastAsia="Arial" w:hAnsi="Arial"/>
                <w:sz w:val="18"/>
                <w:szCs w:val="18"/>
                <w:b w:val="1"/>
                <w:bCs w:val="1"/>
                <w:color w:val="auto"/>
              </w:rPr>
              <w:t>2. Instruments Defining the Rights of Security Holders</w:t>
            </w:r>
          </w:p>
        </w:tc>
      </w:tr>
      <w:tr>
        <w:trPr>
          <w:trHeight w:val="176"/>
        </w:trPr>
        <w:tc>
          <w:tcPr>
            <w:tcW w:w="20" w:type="dxa"/>
            <w:vAlign w:val="bottom"/>
          </w:tcPr>
          <w:p>
            <w:pPr>
              <w:spacing w:after="0"/>
              <w:rPr>
                <w:sz w:val="15"/>
                <w:szCs w:val="15"/>
                <w:color w:val="auto"/>
              </w:rPr>
            </w:pPr>
          </w:p>
        </w:tc>
        <w:tc>
          <w:tcPr>
            <w:tcW w:w="720" w:type="dxa"/>
            <w:vAlign w:val="bottom"/>
            <w:gridSpan w:val="5"/>
          </w:tcPr>
          <w:p>
            <w:pPr>
              <w:spacing w:after="0" w:line="176" w:lineRule="exact"/>
              <w:rPr>
                <w:sz w:val="20"/>
                <w:szCs w:val="20"/>
                <w:color w:val="auto"/>
              </w:rPr>
            </w:pPr>
            <w:r>
              <w:rPr>
                <w:rFonts w:ascii="Arial" w:cs="Arial" w:eastAsia="Arial" w:hAnsi="Arial"/>
                <w:sz w:val="18"/>
                <w:szCs w:val="18"/>
                <w:color w:val="auto"/>
              </w:rPr>
              <w:t>4A</w:t>
            </w:r>
          </w:p>
        </w:tc>
        <w:tc>
          <w:tcPr>
            <w:tcW w:w="10500" w:type="dxa"/>
            <w:vAlign w:val="bottom"/>
          </w:tcPr>
          <w:p>
            <w:pPr>
              <w:ind w:left="300"/>
              <w:spacing w:after="0" w:line="176" w:lineRule="exact"/>
              <w:rPr>
                <w:sz w:val="20"/>
                <w:szCs w:val="20"/>
                <w:color w:val="auto"/>
              </w:rPr>
            </w:pPr>
            <w:r>
              <w:rPr>
                <w:rFonts w:ascii="Arial" w:cs="Arial" w:eastAsia="Arial" w:hAnsi="Arial"/>
                <w:sz w:val="18"/>
                <w:szCs w:val="18"/>
                <w:color w:val="auto"/>
                <w:w w:val="93"/>
              </w:rPr>
              <w:t>Specimen certificate for shares of common stock (filed as Exhibit 4B to the Company's Amendment No. 1 to Form S-1 No. 33-39490 and</w:t>
            </w: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incorporated herein by reference).</w:t>
            </w:r>
          </w:p>
        </w:tc>
      </w:tr>
      <w:tr>
        <w:trPr>
          <w:trHeight w:val="190"/>
        </w:trPr>
        <w:tc>
          <w:tcPr>
            <w:tcW w:w="20" w:type="dxa"/>
            <w:vAlign w:val="bottom"/>
          </w:tcPr>
          <w:p>
            <w:pPr>
              <w:spacing w:after="0"/>
              <w:rPr>
                <w:sz w:val="16"/>
                <w:szCs w:val="16"/>
                <w:color w:val="auto"/>
              </w:rPr>
            </w:pPr>
          </w:p>
        </w:tc>
        <w:tc>
          <w:tcPr>
            <w:tcW w:w="720" w:type="dxa"/>
            <w:vAlign w:val="bottom"/>
            <w:gridSpan w:val="5"/>
          </w:tcPr>
          <w:p>
            <w:pPr>
              <w:spacing w:after="0" w:line="190" w:lineRule="exact"/>
              <w:rPr>
                <w:rFonts w:ascii="Arial" w:cs="Arial" w:eastAsia="Arial" w:hAnsi="Arial"/>
                <w:sz w:val="18"/>
                <w:szCs w:val="18"/>
                <w:color w:val="0000FF"/>
              </w:rPr>
            </w:pPr>
            <w:hyperlink r:id="rId135">
              <w:r>
                <w:rPr>
                  <w:rFonts w:ascii="Arial" w:cs="Arial" w:eastAsia="Arial" w:hAnsi="Arial"/>
                  <w:sz w:val="18"/>
                  <w:szCs w:val="18"/>
                  <w:color w:val="0000FF"/>
                </w:rPr>
                <w:t>4B</w:t>
              </w:r>
            </w:hyperlink>
          </w:p>
        </w:tc>
        <w:tc>
          <w:tcPr>
            <w:tcW w:w="10500" w:type="dxa"/>
            <w:vAlign w:val="bottom"/>
          </w:tcPr>
          <w:p>
            <w:pPr>
              <w:ind w:left="300"/>
              <w:spacing w:after="0" w:line="190" w:lineRule="exact"/>
              <w:rPr>
                <w:sz w:val="20"/>
                <w:szCs w:val="20"/>
                <w:color w:val="auto"/>
              </w:rPr>
            </w:pPr>
            <w:r>
              <w:rPr>
                <w:rFonts w:ascii="Arial" w:cs="Arial" w:eastAsia="Arial" w:hAnsi="Arial"/>
                <w:sz w:val="18"/>
                <w:szCs w:val="18"/>
                <w:color w:val="auto"/>
                <w:w w:val="93"/>
              </w:rPr>
              <w:t>Description of Common Stock (filed as Exhibit 4B to the Company's Form 10-K for the fiscal year ended March 28, 2020 and incorporated</w:t>
            </w:r>
          </w:p>
        </w:tc>
      </w:tr>
      <w:tr>
        <w:trPr>
          <w:trHeight w:val="195"/>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500" w:type="dxa"/>
            <w:vAlign w:val="bottom"/>
          </w:tcPr>
          <w:p>
            <w:pPr>
              <w:ind w:left="300"/>
              <w:spacing w:after="0" w:line="195" w:lineRule="exact"/>
              <w:rPr>
                <w:sz w:val="20"/>
                <w:szCs w:val="20"/>
                <w:color w:val="auto"/>
              </w:rPr>
            </w:pPr>
            <w:r>
              <w:rPr>
                <w:rFonts w:ascii="Arial" w:cs="Arial" w:eastAsia="Arial" w:hAnsi="Arial"/>
                <w:sz w:val="18"/>
                <w:szCs w:val="18"/>
                <w:color w:val="auto"/>
              </w:rPr>
              <w:t>herein by reference).</w:t>
            </w:r>
          </w:p>
        </w:tc>
      </w:tr>
      <w:tr>
        <w:trPr>
          <w:trHeight w:val="190"/>
        </w:trPr>
        <w:tc>
          <w:tcPr>
            <w:tcW w:w="20" w:type="dxa"/>
            <w:vAlign w:val="bottom"/>
          </w:tcPr>
          <w:p>
            <w:pPr>
              <w:spacing w:after="0"/>
              <w:rPr>
                <w:sz w:val="16"/>
                <w:szCs w:val="16"/>
                <w:color w:val="auto"/>
              </w:rPr>
            </w:pPr>
          </w:p>
        </w:tc>
        <w:tc>
          <w:tcPr>
            <w:tcW w:w="720" w:type="dxa"/>
            <w:vAlign w:val="bottom"/>
            <w:gridSpan w:val="5"/>
          </w:tcPr>
          <w:p>
            <w:pPr>
              <w:spacing w:after="0" w:line="190" w:lineRule="exact"/>
              <w:rPr>
                <w:rFonts w:ascii="Arial" w:cs="Arial" w:eastAsia="Arial" w:hAnsi="Arial"/>
                <w:sz w:val="18"/>
                <w:szCs w:val="18"/>
                <w:color w:val="0000FF"/>
              </w:rPr>
            </w:pPr>
            <w:hyperlink r:id="rId136">
              <w:r>
                <w:rPr>
                  <w:rFonts w:ascii="Arial" w:cs="Arial" w:eastAsia="Arial" w:hAnsi="Arial"/>
                  <w:sz w:val="18"/>
                  <w:szCs w:val="18"/>
                  <w:color w:val="0000FF"/>
                </w:rPr>
                <w:t>4C</w:t>
              </w:r>
            </w:hyperlink>
          </w:p>
        </w:tc>
        <w:tc>
          <w:tcPr>
            <w:tcW w:w="10500" w:type="dxa"/>
            <w:vAlign w:val="bottom"/>
          </w:tcPr>
          <w:p>
            <w:pPr>
              <w:ind w:left="300"/>
              <w:spacing w:after="0" w:line="190" w:lineRule="exact"/>
              <w:rPr>
                <w:sz w:val="20"/>
                <w:szCs w:val="20"/>
                <w:color w:val="auto"/>
              </w:rPr>
            </w:pPr>
            <w:r>
              <w:rPr>
                <w:rFonts w:ascii="Arial" w:cs="Arial" w:eastAsia="Arial" w:hAnsi="Arial"/>
                <w:sz w:val="18"/>
                <w:szCs w:val="18"/>
                <w:color w:val="auto"/>
                <w:w w:val="91"/>
              </w:rPr>
              <w:t>Indenture, dated as of March 5, 2021, between Haemonetics Corporation and U.S. Bank National Association, as trustee (filed as Exhibit 4.1</w:t>
            </w:r>
          </w:p>
        </w:tc>
      </w:tr>
      <w:tr>
        <w:trPr>
          <w:trHeight w:val="195"/>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500" w:type="dxa"/>
            <w:vAlign w:val="bottom"/>
          </w:tcPr>
          <w:p>
            <w:pPr>
              <w:ind w:left="300"/>
              <w:spacing w:after="0" w:line="195" w:lineRule="exact"/>
              <w:rPr>
                <w:sz w:val="20"/>
                <w:szCs w:val="20"/>
                <w:color w:val="auto"/>
              </w:rPr>
            </w:pPr>
            <w:r>
              <w:rPr>
                <w:rFonts w:ascii="Arial" w:cs="Arial" w:eastAsia="Arial" w:hAnsi="Arial"/>
                <w:sz w:val="18"/>
                <w:szCs w:val="18"/>
                <w:color w:val="auto"/>
              </w:rPr>
              <w:t>to the Company's Form 8-K dated March 5, 2021 and incorporated herein by reference).</w:t>
            </w:r>
          </w:p>
        </w:tc>
      </w:tr>
      <w:tr>
        <w:trPr>
          <w:trHeight w:val="190"/>
        </w:trPr>
        <w:tc>
          <w:tcPr>
            <w:tcW w:w="20" w:type="dxa"/>
            <w:vAlign w:val="bottom"/>
          </w:tcPr>
          <w:p>
            <w:pPr>
              <w:spacing w:after="0"/>
              <w:rPr>
                <w:sz w:val="16"/>
                <w:szCs w:val="16"/>
                <w:color w:val="auto"/>
              </w:rPr>
            </w:pPr>
          </w:p>
        </w:tc>
        <w:tc>
          <w:tcPr>
            <w:tcW w:w="720" w:type="dxa"/>
            <w:vAlign w:val="bottom"/>
            <w:gridSpan w:val="5"/>
          </w:tcPr>
          <w:p>
            <w:pPr>
              <w:spacing w:after="0" w:line="190" w:lineRule="exact"/>
              <w:rPr>
                <w:rFonts w:ascii="Arial" w:cs="Arial" w:eastAsia="Arial" w:hAnsi="Arial"/>
                <w:sz w:val="18"/>
                <w:szCs w:val="18"/>
                <w:color w:val="0000FF"/>
              </w:rPr>
            </w:pPr>
            <w:hyperlink r:id="rId136">
              <w:r>
                <w:rPr>
                  <w:rFonts w:ascii="Arial" w:cs="Arial" w:eastAsia="Arial" w:hAnsi="Arial"/>
                  <w:sz w:val="18"/>
                  <w:szCs w:val="18"/>
                  <w:color w:val="0000FF"/>
                </w:rPr>
                <w:t>4D</w:t>
              </w:r>
            </w:hyperlink>
          </w:p>
        </w:tc>
        <w:tc>
          <w:tcPr>
            <w:tcW w:w="10500" w:type="dxa"/>
            <w:vAlign w:val="bottom"/>
          </w:tcPr>
          <w:p>
            <w:pPr>
              <w:ind w:left="300"/>
              <w:spacing w:after="0" w:line="190" w:lineRule="exact"/>
              <w:rPr>
                <w:sz w:val="20"/>
                <w:szCs w:val="20"/>
                <w:color w:val="auto"/>
              </w:rPr>
            </w:pPr>
            <w:r>
              <w:rPr>
                <w:rFonts w:ascii="Arial" w:cs="Arial" w:eastAsia="Arial" w:hAnsi="Arial"/>
                <w:sz w:val="18"/>
                <w:szCs w:val="18"/>
                <w:color w:val="auto"/>
                <w:w w:val="93"/>
              </w:rPr>
              <w:t>Form of certificate representing the 0.00% Convertible Senior Notes due 2026 (included as Exhibit A to Exhibit 4D) (filed as Exhibit 4.2 to</w:t>
            </w:r>
          </w:p>
        </w:tc>
      </w:tr>
      <w:tr>
        <w:trPr>
          <w:trHeight w:val="210"/>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the Company's Form 8-K dated March 5, 2021 and incorporated herein by reference).</w:t>
            </w:r>
          </w:p>
        </w:tc>
      </w:tr>
      <w:tr>
        <w:trPr>
          <w:trHeight w:val="430"/>
        </w:trPr>
        <w:tc>
          <w:tcPr>
            <w:tcW w:w="20" w:type="dxa"/>
            <w:vAlign w:val="bottom"/>
          </w:tcPr>
          <w:p>
            <w:pPr>
              <w:spacing w:after="0"/>
              <w:rPr>
                <w:sz w:val="24"/>
                <w:szCs w:val="24"/>
                <w:color w:val="auto"/>
              </w:rPr>
            </w:pPr>
          </w:p>
        </w:tc>
        <w:tc>
          <w:tcPr>
            <w:tcW w:w="11220" w:type="dxa"/>
            <w:vAlign w:val="bottom"/>
            <w:gridSpan w:val="6"/>
          </w:tcPr>
          <w:p>
            <w:pPr>
              <w:spacing w:after="0"/>
              <w:rPr>
                <w:sz w:val="20"/>
                <w:szCs w:val="20"/>
                <w:color w:val="auto"/>
              </w:rPr>
            </w:pPr>
            <w:r>
              <w:rPr>
                <w:rFonts w:ascii="Arial" w:cs="Arial" w:eastAsia="Arial" w:hAnsi="Arial"/>
                <w:sz w:val="18"/>
                <w:szCs w:val="18"/>
                <w:b w:val="1"/>
                <w:bCs w:val="1"/>
                <w:color w:val="auto"/>
              </w:rPr>
              <w:t>3. Material Contracts</w:t>
            </w:r>
          </w:p>
        </w:tc>
      </w:tr>
      <w:tr>
        <w:trPr>
          <w:trHeight w:val="190"/>
        </w:trPr>
        <w:tc>
          <w:tcPr>
            <w:tcW w:w="20" w:type="dxa"/>
            <w:vAlign w:val="bottom"/>
          </w:tcPr>
          <w:p>
            <w:pPr>
              <w:spacing w:after="0"/>
              <w:rPr>
                <w:sz w:val="16"/>
                <w:szCs w:val="16"/>
                <w:color w:val="auto"/>
              </w:rPr>
            </w:pPr>
          </w:p>
        </w:tc>
        <w:tc>
          <w:tcPr>
            <w:tcW w:w="720" w:type="dxa"/>
            <w:vAlign w:val="bottom"/>
            <w:gridSpan w:val="5"/>
          </w:tcPr>
          <w:p>
            <w:pPr>
              <w:spacing w:after="0" w:line="190" w:lineRule="exact"/>
              <w:rPr>
                <w:rFonts w:ascii="Arial" w:cs="Arial" w:eastAsia="Arial" w:hAnsi="Arial"/>
                <w:sz w:val="18"/>
                <w:szCs w:val="18"/>
                <w:color w:val="0000FF"/>
              </w:rPr>
            </w:pPr>
            <w:hyperlink r:id="rId137">
              <w:r>
                <w:rPr>
                  <w:rFonts w:ascii="Arial" w:cs="Arial" w:eastAsia="Arial" w:hAnsi="Arial"/>
                  <w:sz w:val="18"/>
                  <w:szCs w:val="18"/>
                  <w:color w:val="0000FF"/>
                </w:rPr>
                <w:t>10A†</w:t>
              </w:r>
            </w:hyperlink>
          </w:p>
        </w:tc>
        <w:tc>
          <w:tcPr>
            <w:tcW w:w="10500" w:type="dxa"/>
            <w:vAlign w:val="bottom"/>
          </w:tcPr>
          <w:p>
            <w:pPr>
              <w:ind w:left="300"/>
              <w:spacing w:after="0" w:line="190" w:lineRule="exact"/>
              <w:rPr>
                <w:sz w:val="20"/>
                <w:szCs w:val="20"/>
                <w:color w:val="auto"/>
              </w:rPr>
            </w:pPr>
            <w:r>
              <w:rPr>
                <w:rFonts w:ascii="Arial" w:cs="Arial" w:eastAsia="Arial" w:hAnsi="Arial"/>
                <w:sz w:val="18"/>
                <w:szCs w:val="18"/>
                <w:color w:val="auto"/>
                <w:w w:val="93"/>
              </w:rPr>
              <w:t>Haemonetics Corporation 2005 Long-Term Incentive Compensation Plan, reflecting amendments dated July 31, 2008, July 29, 2009, July</w:t>
            </w:r>
          </w:p>
        </w:tc>
      </w:tr>
      <w:tr>
        <w:trPr>
          <w:trHeight w:val="142"/>
        </w:trPr>
        <w:tc>
          <w:tcPr>
            <w:tcW w:w="2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10500" w:type="dxa"/>
            <w:vAlign w:val="bottom"/>
          </w:tcPr>
          <w:p>
            <w:pPr>
              <w:ind w:left="300"/>
              <w:spacing w:after="0" w:line="142" w:lineRule="exact"/>
              <w:rPr>
                <w:sz w:val="20"/>
                <w:szCs w:val="20"/>
                <w:color w:val="auto"/>
              </w:rPr>
            </w:pPr>
            <w:r>
              <w:rPr>
                <w:rFonts w:ascii="Arial" w:cs="Arial" w:eastAsia="Arial" w:hAnsi="Arial"/>
                <w:sz w:val="16"/>
                <w:szCs w:val="16"/>
                <w:color w:val="auto"/>
              </w:rPr>
              <w:t>21, 2011, November 30, 2012, July 24, 2013, January 21, 2014, and July 23, 2014 (filed as Exhibit 10.1 to the Company's Form 8-K dated</w:t>
            </w: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July 25, 2014 and incorporated herein by reference).</w:t>
            </w:r>
          </w:p>
        </w:tc>
      </w:tr>
      <w:tr>
        <w:trPr>
          <w:trHeight w:val="190"/>
        </w:trPr>
        <w:tc>
          <w:tcPr>
            <w:tcW w:w="20" w:type="dxa"/>
            <w:vAlign w:val="bottom"/>
          </w:tcPr>
          <w:p>
            <w:pPr>
              <w:spacing w:after="0"/>
              <w:rPr>
                <w:sz w:val="16"/>
                <w:szCs w:val="16"/>
                <w:color w:val="auto"/>
              </w:rPr>
            </w:pPr>
          </w:p>
        </w:tc>
        <w:tc>
          <w:tcPr>
            <w:tcW w:w="720" w:type="dxa"/>
            <w:vAlign w:val="bottom"/>
            <w:gridSpan w:val="5"/>
          </w:tcPr>
          <w:p>
            <w:pPr>
              <w:spacing w:after="0" w:line="190" w:lineRule="exact"/>
              <w:rPr>
                <w:rFonts w:ascii="Arial" w:cs="Arial" w:eastAsia="Arial" w:hAnsi="Arial"/>
                <w:sz w:val="18"/>
                <w:szCs w:val="18"/>
                <w:color w:val="0000FF"/>
              </w:rPr>
            </w:pPr>
            <w:hyperlink r:id="rId138">
              <w:r>
                <w:rPr>
                  <w:rFonts w:ascii="Arial" w:cs="Arial" w:eastAsia="Arial" w:hAnsi="Arial"/>
                  <w:sz w:val="18"/>
                  <w:szCs w:val="18"/>
                  <w:color w:val="0000FF"/>
                </w:rPr>
                <w:t>10B†</w:t>
              </w:r>
            </w:hyperlink>
          </w:p>
        </w:tc>
        <w:tc>
          <w:tcPr>
            <w:tcW w:w="10500" w:type="dxa"/>
            <w:vAlign w:val="bottom"/>
          </w:tcPr>
          <w:p>
            <w:pPr>
              <w:ind w:left="300"/>
              <w:spacing w:after="0" w:line="190" w:lineRule="exact"/>
              <w:rPr>
                <w:sz w:val="20"/>
                <w:szCs w:val="20"/>
                <w:color w:val="auto"/>
              </w:rPr>
            </w:pPr>
            <w:r>
              <w:rPr>
                <w:rFonts w:ascii="Arial" w:cs="Arial" w:eastAsia="Arial" w:hAnsi="Arial"/>
                <w:sz w:val="18"/>
                <w:szCs w:val="18"/>
                <w:color w:val="auto"/>
                <w:w w:val="93"/>
              </w:rPr>
              <w:t>Haemonetics Corporation 2019 Long-Term Incentive Compensation Plan (filed as Exhibit 10.1 to the Company's Form 8-K dated July 29,</w:t>
            </w:r>
          </w:p>
        </w:tc>
      </w:tr>
      <w:tr>
        <w:trPr>
          <w:trHeight w:val="195"/>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10500" w:type="dxa"/>
            <w:vAlign w:val="bottom"/>
          </w:tcPr>
          <w:p>
            <w:pPr>
              <w:ind w:left="300"/>
              <w:spacing w:after="0" w:line="195" w:lineRule="exact"/>
              <w:rPr>
                <w:sz w:val="20"/>
                <w:szCs w:val="20"/>
                <w:color w:val="auto"/>
              </w:rPr>
            </w:pPr>
            <w:r>
              <w:rPr>
                <w:rFonts w:ascii="Arial" w:cs="Arial" w:eastAsia="Arial" w:hAnsi="Arial"/>
                <w:sz w:val="18"/>
                <w:szCs w:val="18"/>
                <w:color w:val="auto"/>
              </w:rPr>
              <w:t>2019 and incorporated herein by reference).</w:t>
            </w:r>
          </w:p>
        </w:tc>
      </w:tr>
      <w:tr>
        <w:trPr>
          <w:trHeight w:val="190"/>
        </w:trPr>
        <w:tc>
          <w:tcPr>
            <w:tcW w:w="20" w:type="dxa"/>
            <w:vAlign w:val="bottom"/>
          </w:tcPr>
          <w:p>
            <w:pPr>
              <w:spacing w:after="0"/>
              <w:rPr>
                <w:sz w:val="16"/>
                <w:szCs w:val="16"/>
                <w:color w:val="auto"/>
              </w:rPr>
            </w:pPr>
          </w:p>
        </w:tc>
        <w:tc>
          <w:tcPr>
            <w:tcW w:w="720" w:type="dxa"/>
            <w:vAlign w:val="bottom"/>
            <w:gridSpan w:val="5"/>
          </w:tcPr>
          <w:p>
            <w:pPr>
              <w:spacing w:after="0" w:line="190" w:lineRule="exact"/>
              <w:rPr>
                <w:rFonts w:ascii="Arial" w:cs="Arial" w:eastAsia="Arial" w:hAnsi="Arial"/>
                <w:sz w:val="18"/>
                <w:szCs w:val="18"/>
                <w:color w:val="0000FF"/>
              </w:rPr>
            </w:pPr>
            <w:hyperlink r:id="rId139">
              <w:r>
                <w:rPr>
                  <w:rFonts w:ascii="Arial" w:cs="Arial" w:eastAsia="Arial" w:hAnsi="Arial"/>
                  <w:sz w:val="18"/>
                  <w:szCs w:val="18"/>
                  <w:color w:val="0000FF"/>
                </w:rPr>
                <w:t>10C†</w:t>
              </w:r>
            </w:hyperlink>
          </w:p>
        </w:tc>
        <w:tc>
          <w:tcPr>
            <w:tcW w:w="10500" w:type="dxa"/>
            <w:vAlign w:val="bottom"/>
          </w:tcPr>
          <w:p>
            <w:pPr>
              <w:ind w:left="300"/>
              <w:spacing w:after="0" w:line="190" w:lineRule="exact"/>
              <w:rPr>
                <w:sz w:val="20"/>
                <w:szCs w:val="20"/>
                <w:color w:val="auto"/>
              </w:rPr>
            </w:pPr>
            <w:r>
              <w:rPr>
                <w:rFonts w:ascii="Arial" w:cs="Arial" w:eastAsia="Arial" w:hAnsi="Arial"/>
                <w:sz w:val="18"/>
                <w:szCs w:val="18"/>
                <w:color w:val="auto"/>
                <w:w w:val="93"/>
              </w:rPr>
              <w:t>Form of Non-Qualified Stock Option Award Agreement under 2005 Long Term-Incentive Compensation Plan for Non-employee Directors</w:t>
            </w:r>
          </w:p>
        </w:tc>
      </w:tr>
      <w:tr>
        <w:trPr>
          <w:trHeight w:val="195"/>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10500" w:type="dxa"/>
            <w:vAlign w:val="bottom"/>
          </w:tcPr>
          <w:p>
            <w:pPr>
              <w:ind w:left="300"/>
              <w:spacing w:after="0" w:line="195" w:lineRule="exact"/>
              <w:rPr>
                <w:sz w:val="20"/>
                <w:szCs w:val="20"/>
                <w:color w:val="auto"/>
              </w:rPr>
            </w:pPr>
            <w:r>
              <w:rPr>
                <w:rFonts w:ascii="Arial" w:cs="Arial" w:eastAsia="Arial" w:hAnsi="Arial"/>
                <w:sz w:val="18"/>
                <w:szCs w:val="18"/>
                <w:color w:val="auto"/>
              </w:rPr>
              <w:t>(filed as Exhibit 10.1 to the Company's Form 10-Q for the quarter ended October 1, 2005 and incorporated herein by reference).</w:t>
            </w:r>
          </w:p>
        </w:tc>
      </w:tr>
      <w:tr>
        <w:trPr>
          <w:trHeight w:val="190"/>
        </w:trPr>
        <w:tc>
          <w:tcPr>
            <w:tcW w:w="20" w:type="dxa"/>
            <w:vAlign w:val="bottom"/>
          </w:tcPr>
          <w:p>
            <w:pPr>
              <w:spacing w:after="0"/>
              <w:rPr>
                <w:sz w:val="16"/>
                <w:szCs w:val="16"/>
                <w:color w:val="auto"/>
              </w:rPr>
            </w:pPr>
          </w:p>
        </w:tc>
        <w:tc>
          <w:tcPr>
            <w:tcW w:w="720" w:type="dxa"/>
            <w:vAlign w:val="bottom"/>
            <w:gridSpan w:val="5"/>
          </w:tcPr>
          <w:p>
            <w:pPr>
              <w:spacing w:after="0" w:line="190" w:lineRule="exact"/>
              <w:rPr>
                <w:rFonts w:ascii="Arial" w:cs="Arial" w:eastAsia="Arial" w:hAnsi="Arial"/>
                <w:sz w:val="18"/>
                <w:szCs w:val="18"/>
                <w:color w:val="0000FF"/>
              </w:rPr>
            </w:pPr>
            <w:hyperlink r:id="rId140">
              <w:r>
                <w:rPr>
                  <w:rFonts w:ascii="Arial" w:cs="Arial" w:eastAsia="Arial" w:hAnsi="Arial"/>
                  <w:sz w:val="18"/>
                  <w:szCs w:val="18"/>
                  <w:color w:val="0000FF"/>
                </w:rPr>
                <w:t>10D†</w:t>
              </w:r>
            </w:hyperlink>
          </w:p>
        </w:tc>
        <w:tc>
          <w:tcPr>
            <w:tcW w:w="10500" w:type="dxa"/>
            <w:vAlign w:val="bottom"/>
          </w:tcPr>
          <w:p>
            <w:pPr>
              <w:ind w:left="300"/>
              <w:spacing w:after="0" w:line="190" w:lineRule="exact"/>
              <w:rPr>
                <w:sz w:val="20"/>
                <w:szCs w:val="20"/>
                <w:color w:val="auto"/>
              </w:rPr>
            </w:pPr>
            <w:r>
              <w:rPr>
                <w:rFonts w:ascii="Arial" w:cs="Arial" w:eastAsia="Arial" w:hAnsi="Arial"/>
                <w:sz w:val="18"/>
                <w:szCs w:val="18"/>
                <w:color w:val="auto"/>
                <w:w w:val="96"/>
              </w:rPr>
              <w:t>Form of Non-Qualified Stock Option Award Agreement under 2005 Long-Term Incentive Compensation Plan for Employees (filed as</w:t>
            </w:r>
          </w:p>
        </w:tc>
      </w:tr>
      <w:tr>
        <w:trPr>
          <w:trHeight w:val="195"/>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10500" w:type="dxa"/>
            <w:vAlign w:val="bottom"/>
          </w:tcPr>
          <w:p>
            <w:pPr>
              <w:ind w:left="300"/>
              <w:spacing w:after="0" w:line="195" w:lineRule="exact"/>
              <w:rPr>
                <w:sz w:val="20"/>
                <w:szCs w:val="20"/>
                <w:color w:val="auto"/>
              </w:rPr>
            </w:pPr>
            <w:r>
              <w:rPr>
                <w:rFonts w:ascii="Arial" w:cs="Arial" w:eastAsia="Arial" w:hAnsi="Arial"/>
                <w:sz w:val="18"/>
                <w:szCs w:val="18"/>
                <w:color w:val="auto"/>
              </w:rPr>
              <w:t>Exhibit 10S to the Company's Form 10-K for the fiscal year ended March 30, 2010 and incorporated herein by reference).</w:t>
            </w:r>
          </w:p>
        </w:tc>
      </w:tr>
      <w:tr>
        <w:trPr>
          <w:trHeight w:val="190"/>
        </w:trPr>
        <w:tc>
          <w:tcPr>
            <w:tcW w:w="20" w:type="dxa"/>
            <w:vAlign w:val="bottom"/>
          </w:tcPr>
          <w:p>
            <w:pPr>
              <w:spacing w:after="0"/>
              <w:rPr>
                <w:sz w:val="16"/>
                <w:szCs w:val="16"/>
                <w:color w:val="auto"/>
              </w:rPr>
            </w:pPr>
          </w:p>
        </w:tc>
        <w:tc>
          <w:tcPr>
            <w:tcW w:w="720" w:type="dxa"/>
            <w:vAlign w:val="bottom"/>
            <w:gridSpan w:val="5"/>
          </w:tcPr>
          <w:p>
            <w:pPr>
              <w:spacing w:after="0" w:line="190" w:lineRule="exact"/>
              <w:rPr>
                <w:rFonts w:ascii="Arial" w:cs="Arial" w:eastAsia="Arial" w:hAnsi="Arial"/>
                <w:sz w:val="18"/>
                <w:szCs w:val="18"/>
                <w:color w:val="0000FF"/>
              </w:rPr>
            </w:pPr>
            <w:hyperlink r:id="rId141">
              <w:r>
                <w:rPr>
                  <w:rFonts w:ascii="Arial" w:cs="Arial" w:eastAsia="Arial" w:hAnsi="Arial"/>
                  <w:sz w:val="18"/>
                  <w:szCs w:val="18"/>
                  <w:color w:val="0000FF"/>
                </w:rPr>
                <w:t>10E†</w:t>
              </w:r>
            </w:hyperlink>
          </w:p>
        </w:tc>
        <w:tc>
          <w:tcPr>
            <w:tcW w:w="10500" w:type="dxa"/>
            <w:vAlign w:val="bottom"/>
          </w:tcPr>
          <w:p>
            <w:pPr>
              <w:ind w:left="300"/>
              <w:spacing w:after="0" w:line="190" w:lineRule="exact"/>
              <w:rPr>
                <w:sz w:val="20"/>
                <w:szCs w:val="20"/>
                <w:color w:val="auto"/>
              </w:rPr>
            </w:pPr>
            <w:r>
              <w:rPr>
                <w:rFonts w:ascii="Arial" w:cs="Arial" w:eastAsia="Arial" w:hAnsi="Arial"/>
                <w:sz w:val="18"/>
                <w:szCs w:val="18"/>
                <w:color w:val="auto"/>
                <w:w w:val="92"/>
              </w:rPr>
              <w:t>Form of Non-Qualified Stock Option Award Agreement under 2005 Long-Term Incentive Compensation Plan for Employees (adopted fiscal</w:t>
            </w:r>
          </w:p>
        </w:tc>
      </w:tr>
      <w:tr>
        <w:trPr>
          <w:trHeight w:val="195"/>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500" w:type="dxa"/>
            <w:vAlign w:val="bottom"/>
          </w:tcPr>
          <w:p>
            <w:pPr>
              <w:ind w:left="300"/>
              <w:spacing w:after="0" w:line="195" w:lineRule="exact"/>
              <w:rPr>
                <w:sz w:val="20"/>
                <w:szCs w:val="20"/>
                <w:color w:val="auto"/>
              </w:rPr>
            </w:pPr>
            <w:r>
              <w:rPr>
                <w:rFonts w:ascii="Arial" w:cs="Arial" w:eastAsia="Arial" w:hAnsi="Arial"/>
                <w:sz w:val="18"/>
                <w:szCs w:val="18"/>
                <w:color w:val="auto"/>
                <w:w w:val="96"/>
              </w:rPr>
              <w:t>2019) (filed as Exhibit 10.2 to the Company's Form 10-Q for the quarter ended June 30, 2018 and incorporated herein by reference).</w:t>
            </w:r>
          </w:p>
        </w:tc>
      </w:tr>
      <w:tr>
        <w:trPr>
          <w:trHeight w:val="190"/>
        </w:trPr>
        <w:tc>
          <w:tcPr>
            <w:tcW w:w="20" w:type="dxa"/>
            <w:vAlign w:val="bottom"/>
          </w:tcPr>
          <w:p>
            <w:pPr>
              <w:spacing w:after="0"/>
              <w:rPr>
                <w:sz w:val="16"/>
                <w:szCs w:val="16"/>
                <w:color w:val="auto"/>
              </w:rPr>
            </w:pPr>
          </w:p>
        </w:tc>
        <w:tc>
          <w:tcPr>
            <w:tcW w:w="720" w:type="dxa"/>
            <w:vAlign w:val="bottom"/>
            <w:gridSpan w:val="5"/>
          </w:tcPr>
          <w:p>
            <w:pPr>
              <w:spacing w:after="0" w:line="190" w:lineRule="exact"/>
              <w:rPr>
                <w:rFonts w:ascii="Arial" w:cs="Arial" w:eastAsia="Arial" w:hAnsi="Arial"/>
                <w:sz w:val="18"/>
                <w:szCs w:val="18"/>
                <w:color w:val="0000FF"/>
              </w:rPr>
            </w:pPr>
            <w:hyperlink r:id="rId142">
              <w:r>
                <w:rPr>
                  <w:rFonts w:ascii="Arial" w:cs="Arial" w:eastAsia="Arial" w:hAnsi="Arial"/>
                  <w:sz w:val="18"/>
                  <w:szCs w:val="18"/>
                  <w:color w:val="0000FF"/>
                </w:rPr>
                <w:t>10F†</w:t>
              </w:r>
            </w:hyperlink>
          </w:p>
        </w:tc>
        <w:tc>
          <w:tcPr>
            <w:tcW w:w="10500" w:type="dxa"/>
            <w:vAlign w:val="bottom"/>
          </w:tcPr>
          <w:p>
            <w:pPr>
              <w:ind w:left="300"/>
              <w:spacing w:after="0" w:line="190" w:lineRule="exact"/>
              <w:rPr>
                <w:sz w:val="20"/>
                <w:szCs w:val="20"/>
                <w:color w:val="auto"/>
              </w:rPr>
            </w:pPr>
            <w:r>
              <w:rPr>
                <w:rFonts w:ascii="Arial" w:cs="Arial" w:eastAsia="Arial" w:hAnsi="Arial"/>
                <w:sz w:val="18"/>
                <w:szCs w:val="18"/>
                <w:color w:val="auto"/>
                <w:w w:val="92"/>
              </w:rPr>
              <w:t>Form of Non-Qualified Stock Option Award Agreement under 2019 Long-Term Incentive Compensation Plan (adopted fiscal 2020) (filed as</w:t>
            </w:r>
          </w:p>
        </w:tc>
      </w:tr>
      <w:tr>
        <w:trPr>
          <w:trHeight w:val="195"/>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500" w:type="dxa"/>
            <w:vAlign w:val="bottom"/>
          </w:tcPr>
          <w:p>
            <w:pPr>
              <w:ind w:left="300"/>
              <w:spacing w:after="0" w:line="195" w:lineRule="exact"/>
              <w:rPr>
                <w:sz w:val="20"/>
                <w:szCs w:val="20"/>
                <w:color w:val="auto"/>
              </w:rPr>
            </w:pPr>
            <w:r>
              <w:rPr>
                <w:rFonts w:ascii="Arial" w:cs="Arial" w:eastAsia="Arial" w:hAnsi="Arial"/>
                <w:sz w:val="18"/>
                <w:szCs w:val="18"/>
                <w:color w:val="auto"/>
              </w:rPr>
              <w:t>Exhibit 10.4 to the Company's Form 10-Q for the quarter ended September 28, 2019 and incorporated herein by reference).</w:t>
            </w:r>
          </w:p>
        </w:tc>
      </w:tr>
      <w:tr>
        <w:trPr>
          <w:trHeight w:val="190"/>
        </w:trPr>
        <w:tc>
          <w:tcPr>
            <w:tcW w:w="20" w:type="dxa"/>
            <w:vAlign w:val="bottom"/>
          </w:tcPr>
          <w:p>
            <w:pPr>
              <w:spacing w:after="0"/>
              <w:rPr>
                <w:sz w:val="16"/>
                <w:szCs w:val="16"/>
                <w:color w:val="auto"/>
              </w:rPr>
            </w:pPr>
          </w:p>
        </w:tc>
        <w:tc>
          <w:tcPr>
            <w:tcW w:w="720" w:type="dxa"/>
            <w:vAlign w:val="bottom"/>
            <w:gridSpan w:val="5"/>
          </w:tcPr>
          <w:p>
            <w:pPr>
              <w:spacing w:after="0" w:line="190" w:lineRule="exact"/>
              <w:rPr>
                <w:sz w:val="20"/>
                <w:szCs w:val="20"/>
                <w:color w:val="auto"/>
              </w:rPr>
            </w:pPr>
            <w:r>
              <w:rPr>
                <w:rFonts w:ascii="Arial" w:cs="Arial" w:eastAsia="Arial" w:hAnsi="Arial"/>
                <w:sz w:val="18"/>
                <w:szCs w:val="18"/>
                <w:color w:val="0000FF"/>
              </w:rPr>
              <w:t>10G†</w:t>
            </w:r>
          </w:p>
        </w:tc>
        <w:tc>
          <w:tcPr>
            <w:tcW w:w="10500" w:type="dxa"/>
            <w:vAlign w:val="bottom"/>
          </w:tcPr>
          <w:p>
            <w:pPr>
              <w:ind w:left="300"/>
              <w:spacing w:after="0" w:line="190" w:lineRule="exact"/>
              <w:rPr>
                <w:sz w:val="20"/>
                <w:szCs w:val="20"/>
                <w:color w:val="auto"/>
              </w:rPr>
            </w:pPr>
            <w:r>
              <w:rPr>
                <w:rFonts w:ascii="Arial" w:cs="Arial" w:eastAsia="Arial" w:hAnsi="Arial"/>
                <w:sz w:val="18"/>
                <w:szCs w:val="18"/>
                <w:color w:val="auto"/>
                <w:w w:val="92"/>
              </w:rPr>
              <w:t>Form of Restricted Stock Unit Award Agreement with Non-Employee Directors under 2019 Long-Term Incentive Compensation Plan (fiscal</w:t>
            </w:r>
          </w:p>
        </w:tc>
      </w:tr>
      <w:tr>
        <w:trPr>
          <w:trHeight w:val="210"/>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w w:val="92"/>
              </w:rPr>
              <w:t>2020) (filed as Exhibit 10.2 to the Company's Form 10-Q for the quarter ended September 28, 2019 and incorporated herein by reference).</w:t>
            </w:r>
          </w:p>
        </w:tc>
      </w:tr>
      <w:tr>
        <w:trPr>
          <w:trHeight w:val="242"/>
        </w:trPr>
        <w:tc>
          <w:tcPr>
            <w:tcW w:w="20" w:type="dxa"/>
            <w:vAlign w:val="bottom"/>
          </w:tcPr>
          <w:p>
            <w:pPr>
              <w:spacing w:after="0"/>
              <w:rPr>
                <w:sz w:val="21"/>
                <w:szCs w:val="21"/>
                <w:color w:val="auto"/>
              </w:rPr>
            </w:pPr>
          </w:p>
        </w:tc>
        <w:tc>
          <w:tcPr>
            <w:tcW w:w="720" w:type="dxa"/>
            <w:vAlign w:val="bottom"/>
            <w:gridSpan w:val="5"/>
          </w:tcPr>
          <w:p>
            <w:pPr>
              <w:spacing w:after="0"/>
              <w:rPr>
                <w:sz w:val="20"/>
                <w:szCs w:val="20"/>
                <w:color w:val="auto"/>
              </w:rPr>
            </w:pPr>
            <w:r>
              <w:rPr>
                <w:rFonts w:ascii="Arial" w:cs="Arial" w:eastAsia="Arial" w:hAnsi="Arial"/>
                <w:sz w:val="18"/>
                <w:szCs w:val="18"/>
                <w:color w:val="0000FF"/>
              </w:rPr>
              <w:t>10H†</w:t>
            </w:r>
          </w:p>
        </w:tc>
        <w:tc>
          <w:tcPr>
            <w:tcW w:w="10500" w:type="dxa"/>
            <w:vAlign w:val="bottom"/>
          </w:tcPr>
          <w:p>
            <w:pPr>
              <w:ind w:left="300"/>
              <w:spacing w:after="0"/>
              <w:rPr>
                <w:sz w:val="20"/>
                <w:szCs w:val="20"/>
                <w:color w:val="auto"/>
              </w:rPr>
            </w:pPr>
            <w:r>
              <w:rPr>
                <w:rFonts w:ascii="Arial" w:cs="Arial" w:eastAsia="Arial" w:hAnsi="Arial"/>
                <w:sz w:val="18"/>
                <w:szCs w:val="18"/>
                <w:color w:val="auto"/>
              </w:rPr>
              <w:t>Form of Restricted Stock Unit Award Agreement with Employees under 2005 Long-Term Incentive Compensation Plan (filed as</w:t>
            </w:r>
          </w:p>
        </w:tc>
      </w:tr>
      <w:tr>
        <w:trPr>
          <w:trHeight w:val="195"/>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10500" w:type="dxa"/>
            <w:vAlign w:val="bottom"/>
          </w:tcPr>
          <w:p>
            <w:pPr>
              <w:ind w:left="300"/>
              <w:spacing w:after="0" w:line="195" w:lineRule="exact"/>
              <w:rPr>
                <w:sz w:val="20"/>
                <w:szCs w:val="20"/>
                <w:color w:val="auto"/>
              </w:rPr>
            </w:pPr>
            <w:r>
              <w:rPr>
                <w:rFonts w:ascii="Arial" w:cs="Arial" w:eastAsia="Arial" w:hAnsi="Arial"/>
                <w:sz w:val="18"/>
                <w:szCs w:val="18"/>
                <w:color w:val="auto"/>
              </w:rPr>
              <w:t>Exhibit 10U to the Company's Form 10-K for the year ended April 3, 2010 and incorporated herein by reference).</w:t>
            </w:r>
          </w:p>
        </w:tc>
      </w:tr>
      <w:tr>
        <w:trPr>
          <w:trHeight w:val="190"/>
        </w:trPr>
        <w:tc>
          <w:tcPr>
            <w:tcW w:w="20" w:type="dxa"/>
            <w:vAlign w:val="bottom"/>
          </w:tcPr>
          <w:p>
            <w:pPr>
              <w:spacing w:after="0"/>
              <w:rPr>
                <w:sz w:val="16"/>
                <w:szCs w:val="16"/>
                <w:color w:val="auto"/>
              </w:rPr>
            </w:pPr>
          </w:p>
        </w:tc>
        <w:tc>
          <w:tcPr>
            <w:tcW w:w="720" w:type="dxa"/>
            <w:vAlign w:val="bottom"/>
            <w:gridSpan w:val="5"/>
          </w:tcPr>
          <w:p>
            <w:pPr>
              <w:spacing w:after="0" w:line="190" w:lineRule="exact"/>
              <w:rPr>
                <w:sz w:val="20"/>
                <w:szCs w:val="20"/>
                <w:color w:val="auto"/>
              </w:rPr>
            </w:pPr>
            <w:r>
              <w:rPr>
                <w:rFonts w:ascii="Arial" w:cs="Arial" w:eastAsia="Arial" w:hAnsi="Arial"/>
                <w:sz w:val="18"/>
                <w:szCs w:val="18"/>
                <w:color w:val="0000FF"/>
              </w:rPr>
              <w:t>10I†</w:t>
            </w:r>
          </w:p>
        </w:tc>
        <w:tc>
          <w:tcPr>
            <w:tcW w:w="10500" w:type="dxa"/>
            <w:vAlign w:val="bottom"/>
          </w:tcPr>
          <w:p>
            <w:pPr>
              <w:ind w:left="300"/>
              <w:spacing w:after="0" w:line="190" w:lineRule="exact"/>
              <w:rPr>
                <w:sz w:val="20"/>
                <w:szCs w:val="20"/>
                <w:color w:val="auto"/>
              </w:rPr>
            </w:pPr>
            <w:r>
              <w:rPr>
                <w:rFonts w:ascii="Arial" w:cs="Arial" w:eastAsia="Arial" w:hAnsi="Arial"/>
                <w:sz w:val="18"/>
                <w:szCs w:val="18"/>
                <w:color w:val="auto"/>
                <w:w w:val="95"/>
              </w:rPr>
              <w:t>Form of Restricted Stock Unit Award Agreement with Employees under 2005 Long-Term Incentive Compensation Plan (adopted fiscal</w:t>
            </w:r>
          </w:p>
        </w:tc>
      </w:tr>
      <w:tr>
        <w:trPr>
          <w:trHeight w:val="195"/>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500" w:type="dxa"/>
            <w:vAlign w:val="bottom"/>
          </w:tcPr>
          <w:p>
            <w:pPr>
              <w:ind w:left="300"/>
              <w:spacing w:after="0" w:line="195" w:lineRule="exact"/>
              <w:rPr>
                <w:sz w:val="20"/>
                <w:szCs w:val="20"/>
                <w:color w:val="auto"/>
              </w:rPr>
            </w:pPr>
            <w:r>
              <w:rPr>
                <w:rFonts w:ascii="Arial" w:cs="Arial" w:eastAsia="Arial" w:hAnsi="Arial"/>
                <w:sz w:val="18"/>
                <w:szCs w:val="18"/>
                <w:color w:val="auto"/>
                <w:w w:val="96"/>
              </w:rPr>
              <w:t>2019) (filed as Exhibit 10.4 to the Company's Form 10-Q for the quarter ended June 30, 2018 and incorporated herein by reference).</w:t>
            </w:r>
          </w:p>
        </w:tc>
      </w:tr>
      <w:tr>
        <w:trPr>
          <w:trHeight w:val="190"/>
        </w:trPr>
        <w:tc>
          <w:tcPr>
            <w:tcW w:w="20" w:type="dxa"/>
            <w:vAlign w:val="bottom"/>
          </w:tcPr>
          <w:p>
            <w:pPr>
              <w:spacing w:after="0"/>
              <w:rPr>
                <w:sz w:val="16"/>
                <w:szCs w:val="16"/>
                <w:color w:val="auto"/>
              </w:rPr>
            </w:pPr>
          </w:p>
        </w:tc>
        <w:tc>
          <w:tcPr>
            <w:tcW w:w="720" w:type="dxa"/>
            <w:vAlign w:val="bottom"/>
            <w:gridSpan w:val="5"/>
          </w:tcPr>
          <w:p>
            <w:pPr>
              <w:spacing w:after="0" w:line="190" w:lineRule="exact"/>
              <w:rPr>
                <w:sz w:val="20"/>
                <w:szCs w:val="20"/>
                <w:color w:val="auto"/>
              </w:rPr>
            </w:pPr>
            <w:r>
              <w:rPr>
                <w:rFonts w:ascii="Arial" w:cs="Arial" w:eastAsia="Arial" w:hAnsi="Arial"/>
                <w:sz w:val="18"/>
                <w:szCs w:val="18"/>
                <w:color w:val="0000FF"/>
              </w:rPr>
              <w:t>10J†</w:t>
            </w:r>
          </w:p>
        </w:tc>
        <w:tc>
          <w:tcPr>
            <w:tcW w:w="10500" w:type="dxa"/>
            <w:vAlign w:val="bottom"/>
          </w:tcPr>
          <w:p>
            <w:pPr>
              <w:ind w:left="300"/>
              <w:spacing w:after="0" w:line="190" w:lineRule="exact"/>
              <w:rPr>
                <w:sz w:val="20"/>
                <w:szCs w:val="20"/>
                <w:color w:val="auto"/>
              </w:rPr>
            </w:pPr>
            <w:r>
              <w:rPr>
                <w:rFonts w:ascii="Arial" w:cs="Arial" w:eastAsia="Arial" w:hAnsi="Arial"/>
                <w:sz w:val="18"/>
                <w:szCs w:val="18"/>
                <w:color w:val="auto"/>
                <w:w w:val="95"/>
              </w:rPr>
              <w:t>Form of Restricted Stock Unit Award Agreement with Employees under 2019 Long-Term Incentive Compensation Plan (adopted fiscal</w:t>
            </w:r>
          </w:p>
        </w:tc>
      </w:tr>
      <w:tr>
        <w:trPr>
          <w:trHeight w:val="195"/>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500" w:type="dxa"/>
            <w:vAlign w:val="bottom"/>
          </w:tcPr>
          <w:p>
            <w:pPr>
              <w:ind w:left="300"/>
              <w:spacing w:after="0" w:line="195" w:lineRule="exact"/>
              <w:rPr>
                <w:sz w:val="20"/>
                <w:szCs w:val="20"/>
                <w:color w:val="auto"/>
              </w:rPr>
            </w:pPr>
            <w:r>
              <w:rPr>
                <w:rFonts w:ascii="Arial" w:cs="Arial" w:eastAsia="Arial" w:hAnsi="Arial"/>
                <w:sz w:val="18"/>
                <w:szCs w:val="18"/>
                <w:color w:val="auto"/>
                <w:w w:val="92"/>
              </w:rPr>
              <w:t>2020) (filed as Exhibit 10.3 to the Company's Form 10-Q for the quarter ended September 28, 2019 and incorporated herein by reference).</w:t>
            </w:r>
          </w:p>
        </w:tc>
      </w:tr>
      <w:tr>
        <w:trPr>
          <w:trHeight w:val="190"/>
        </w:trPr>
        <w:tc>
          <w:tcPr>
            <w:tcW w:w="20" w:type="dxa"/>
            <w:vAlign w:val="bottom"/>
          </w:tcPr>
          <w:p>
            <w:pPr>
              <w:spacing w:after="0"/>
              <w:rPr>
                <w:sz w:val="16"/>
                <w:szCs w:val="16"/>
                <w:color w:val="auto"/>
              </w:rPr>
            </w:pPr>
          </w:p>
        </w:tc>
        <w:tc>
          <w:tcPr>
            <w:tcW w:w="720" w:type="dxa"/>
            <w:vAlign w:val="bottom"/>
            <w:gridSpan w:val="5"/>
          </w:tcPr>
          <w:p>
            <w:pPr>
              <w:spacing w:after="0" w:line="190" w:lineRule="exact"/>
              <w:rPr>
                <w:sz w:val="20"/>
                <w:szCs w:val="20"/>
                <w:color w:val="auto"/>
              </w:rPr>
            </w:pPr>
            <w:r>
              <w:rPr>
                <w:rFonts w:ascii="Arial" w:cs="Arial" w:eastAsia="Arial" w:hAnsi="Arial"/>
                <w:sz w:val="18"/>
                <w:szCs w:val="18"/>
                <w:color w:val="0000FF"/>
              </w:rPr>
              <w:t>10K†</w:t>
            </w:r>
          </w:p>
        </w:tc>
        <w:tc>
          <w:tcPr>
            <w:tcW w:w="10500" w:type="dxa"/>
            <w:vAlign w:val="bottom"/>
          </w:tcPr>
          <w:p>
            <w:pPr>
              <w:ind w:left="300"/>
              <w:spacing w:after="0" w:line="190" w:lineRule="exact"/>
              <w:rPr>
                <w:sz w:val="20"/>
                <w:szCs w:val="20"/>
                <w:color w:val="auto"/>
              </w:rPr>
            </w:pPr>
            <w:r>
              <w:rPr>
                <w:rFonts w:ascii="Arial" w:cs="Arial" w:eastAsia="Arial" w:hAnsi="Arial"/>
                <w:sz w:val="18"/>
                <w:szCs w:val="18"/>
                <w:color w:val="auto"/>
                <w:w w:val="94"/>
              </w:rPr>
              <w:t>Form of Performance Share Unit Award Agreement Under 2005 Long-Term Incentive Compensation Plan (rTSR Metrics, adopted fiscal</w:t>
            </w:r>
          </w:p>
        </w:tc>
      </w:tr>
      <w:tr>
        <w:trPr>
          <w:trHeight w:val="195"/>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10500" w:type="dxa"/>
            <w:vAlign w:val="bottom"/>
          </w:tcPr>
          <w:p>
            <w:pPr>
              <w:ind w:left="300"/>
              <w:spacing w:after="0" w:line="195" w:lineRule="exact"/>
              <w:rPr>
                <w:sz w:val="20"/>
                <w:szCs w:val="20"/>
                <w:color w:val="auto"/>
              </w:rPr>
            </w:pPr>
            <w:r>
              <w:rPr>
                <w:rFonts w:ascii="Arial" w:cs="Arial" w:eastAsia="Arial" w:hAnsi="Arial"/>
                <w:sz w:val="18"/>
                <w:szCs w:val="18"/>
                <w:color w:val="auto"/>
                <w:w w:val="96"/>
              </w:rPr>
              <w:t>2018) (filed as Exhibit 10AO to the Company's Form 10-K for the year ended March 31, 2018 and incorporated herein by reference).</w:t>
            </w:r>
          </w:p>
        </w:tc>
      </w:tr>
      <w:tr>
        <w:trPr>
          <w:trHeight w:val="190"/>
        </w:trPr>
        <w:tc>
          <w:tcPr>
            <w:tcW w:w="20" w:type="dxa"/>
            <w:vAlign w:val="bottom"/>
          </w:tcPr>
          <w:p>
            <w:pPr>
              <w:spacing w:after="0"/>
              <w:rPr>
                <w:sz w:val="16"/>
                <w:szCs w:val="16"/>
                <w:color w:val="auto"/>
              </w:rPr>
            </w:pPr>
          </w:p>
        </w:tc>
        <w:tc>
          <w:tcPr>
            <w:tcW w:w="720" w:type="dxa"/>
            <w:vAlign w:val="bottom"/>
            <w:gridSpan w:val="5"/>
          </w:tcPr>
          <w:p>
            <w:pPr>
              <w:spacing w:after="0" w:line="190" w:lineRule="exact"/>
              <w:rPr>
                <w:sz w:val="20"/>
                <w:szCs w:val="20"/>
                <w:color w:val="auto"/>
              </w:rPr>
            </w:pPr>
            <w:r>
              <w:rPr>
                <w:rFonts w:ascii="Arial" w:cs="Arial" w:eastAsia="Arial" w:hAnsi="Arial"/>
                <w:sz w:val="18"/>
                <w:szCs w:val="18"/>
                <w:color w:val="0000FF"/>
              </w:rPr>
              <w:t>10L†</w:t>
            </w:r>
          </w:p>
        </w:tc>
        <w:tc>
          <w:tcPr>
            <w:tcW w:w="10500" w:type="dxa"/>
            <w:vAlign w:val="bottom"/>
          </w:tcPr>
          <w:p>
            <w:pPr>
              <w:ind w:left="300"/>
              <w:spacing w:after="0" w:line="190" w:lineRule="exact"/>
              <w:rPr>
                <w:sz w:val="20"/>
                <w:szCs w:val="20"/>
                <w:color w:val="auto"/>
              </w:rPr>
            </w:pPr>
            <w:r>
              <w:rPr>
                <w:rFonts w:ascii="Arial" w:cs="Arial" w:eastAsia="Arial" w:hAnsi="Arial"/>
                <w:sz w:val="18"/>
                <w:szCs w:val="18"/>
                <w:color w:val="auto"/>
                <w:w w:val="94"/>
              </w:rPr>
              <w:t>Form of Performance Share Unit Award Agreement Under 2005 Long-Term Incentive Compensation Plan (rTSR Metrics, adopted fiscal</w:t>
            </w:r>
          </w:p>
        </w:tc>
      </w:tr>
      <w:tr>
        <w:trPr>
          <w:trHeight w:val="210"/>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w w:val="96"/>
              </w:rPr>
              <w:t>2019) (filed as Exhibit 10.3 to the Company's Form 10-Q for the quarter ended June 30, 2018 and incorporated herein by reference).</w:t>
            </w:r>
          </w:p>
        </w:tc>
      </w:tr>
      <w:tr>
        <w:trPr>
          <w:trHeight w:val="89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00" w:type="dxa"/>
            <w:vAlign w:val="bottom"/>
          </w:tcPr>
          <w:p>
            <w:pPr>
              <w:jc w:val="center"/>
              <w:ind w:right="650"/>
              <w:spacing w:after="0"/>
              <w:rPr>
                <w:sz w:val="20"/>
                <w:szCs w:val="20"/>
                <w:color w:val="auto"/>
              </w:rPr>
            </w:pPr>
            <w:r>
              <w:rPr>
                <w:rFonts w:ascii="Arial" w:cs="Arial" w:eastAsia="Arial" w:hAnsi="Arial"/>
                <w:sz w:val="18"/>
                <w:szCs w:val="18"/>
                <w:color w:val="auto"/>
                <w:w w:val="93"/>
              </w:rPr>
              <w:t>109</w:t>
            </w:r>
          </w:p>
        </w:tc>
      </w:tr>
      <w:tr>
        <w:trPr>
          <w:trHeight w:val="115"/>
        </w:trPr>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1" w:name="page112"/>
    <w:bookmarkEnd w:id="1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gridSpan w:val="7"/>
          </w:tcPr>
          <w:p>
            <w:pPr>
              <w:spacing w:after="0"/>
              <w:rPr>
                <w:sz w:val="20"/>
                <w:szCs w:val="20"/>
                <w:color w:val="auto"/>
              </w:rPr>
            </w:pPr>
            <w:r>
              <w:rPr>
                <w:rFonts w:ascii="Arial" w:cs="Arial" w:eastAsia="Arial" w:hAnsi="Arial"/>
                <w:sz w:val="18"/>
                <w:szCs w:val="18"/>
                <w:color w:val="0000FF"/>
              </w:rPr>
              <w:t>10M†</w:t>
            </w:r>
          </w:p>
        </w:tc>
        <w:tc>
          <w:tcPr>
            <w:tcW w:w="10480" w:type="dxa"/>
            <w:vAlign w:val="bottom"/>
          </w:tcPr>
          <w:p>
            <w:pPr>
              <w:ind w:left="280"/>
              <w:spacing w:after="0"/>
              <w:rPr>
                <w:sz w:val="20"/>
                <w:szCs w:val="20"/>
                <w:color w:val="auto"/>
              </w:rPr>
            </w:pPr>
            <w:r>
              <w:rPr>
                <w:rFonts w:ascii="Arial" w:cs="Arial" w:eastAsia="Arial" w:hAnsi="Arial"/>
                <w:sz w:val="18"/>
                <w:szCs w:val="18"/>
                <w:color w:val="auto"/>
                <w:w w:val="94"/>
              </w:rPr>
              <w:t>Form of Performance Share Unit Award Agreement Under 2005 Long-Term Incentive Compensation Plan (rTSR Metrics, adopted fiscal</w:t>
            </w:r>
          </w:p>
        </w:tc>
      </w:tr>
      <w:tr>
        <w:trPr>
          <w:trHeight w:val="142"/>
        </w:trPr>
        <w:tc>
          <w:tcPr>
            <w:tcW w:w="2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10480" w:type="dxa"/>
            <w:vAlign w:val="bottom"/>
          </w:tcPr>
          <w:p>
            <w:pPr>
              <w:ind w:left="280"/>
              <w:spacing w:after="0" w:line="142" w:lineRule="exact"/>
              <w:rPr>
                <w:sz w:val="20"/>
                <w:szCs w:val="20"/>
                <w:color w:val="auto"/>
              </w:rPr>
            </w:pPr>
            <w:r>
              <w:rPr>
                <w:rFonts w:ascii="Arial" w:cs="Arial" w:eastAsia="Arial" w:hAnsi="Arial"/>
                <w:sz w:val="16"/>
                <w:szCs w:val="16"/>
                <w:color w:val="auto"/>
              </w:rPr>
              <w:t>2020) (filed herewith as Exhibit 10AV to the Company's Form 10-K for the year ended March 30, 2019 and incorporated herein by</w:t>
            </w: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sz w:val="20"/>
                <w:szCs w:val="20"/>
                <w:color w:val="auto"/>
              </w:rPr>
            </w:pPr>
            <w:r>
              <w:rPr>
                <w:rFonts w:ascii="Arial" w:cs="Arial" w:eastAsia="Arial" w:hAnsi="Arial"/>
                <w:sz w:val="18"/>
                <w:szCs w:val="18"/>
                <w:color w:val="0000FF"/>
              </w:rPr>
              <w:t>10N†</w:t>
            </w:r>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4"/>
              </w:rPr>
              <w:t>Form of Performance Share Unit Award Agreement Under 2019 Long-Term Incentive Compensation Plan (rTSR Metrics, adopted fiscal</w:t>
            </w:r>
          </w:p>
        </w:tc>
      </w:tr>
      <w:tr>
        <w:trPr>
          <w:trHeight w:val="142"/>
        </w:trPr>
        <w:tc>
          <w:tcPr>
            <w:tcW w:w="2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80" w:type="dxa"/>
            <w:vAlign w:val="bottom"/>
          </w:tcPr>
          <w:p>
            <w:pPr>
              <w:ind w:left="280"/>
              <w:spacing w:after="0" w:line="142" w:lineRule="exact"/>
              <w:rPr>
                <w:sz w:val="20"/>
                <w:szCs w:val="20"/>
                <w:color w:val="auto"/>
              </w:rPr>
            </w:pPr>
            <w:r>
              <w:rPr>
                <w:rFonts w:ascii="Arial" w:cs="Arial" w:eastAsia="Arial" w:hAnsi="Arial"/>
                <w:sz w:val="16"/>
                <w:szCs w:val="16"/>
                <w:color w:val="auto"/>
              </w:rPr>
              <w:t>2020) (filed herewith as Exhibit 10.5 to the Company's Form 10-Q for the quarter ended September 28, 2019 and incorporated herein by</w:t>
            </w: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sz w:val="20"/>
                <w:szCs w:val="20"/>
                <w:color w:val="auto"/>
              </w:rPr>
            </w:pPr>
            <w:r>
              <w:rPr>
                <w:rFonts w:ascii="Arial" w:cs="Arial" w:eastAsia="Arial" w:hAnsi="Arial"/>
                <w:sz w:val="18"/>
                <w:szCs w:val="18"/>
                <w:color w:val="0000FF"/>
              </w:rPr>
              <w:t>10O†</w:t>
            </w:r>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0"/>
              </w:rPr>
              <w:t>Amended and Restated 2007 Employee Stock Purchase Plan (as amended and restated on July 21, 2016 incorporated as Exhibit 10.2 to the</w:t>
            </w:r>
          </w:p>
        </w:tc>
      </w:tr>
      <w:tr>
        <w:trPr>
          <w:trHeight w:val="195"/>
        </w:trPr>
        <w:tc>
          <w:tcPr>
            <w:tcW w:w="2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80" w:type="dxa"/>
            <w:vAlign w:val="bottom"/>
          </w:tcPr>
          <w:p>
            <w:pPr>
              <w:ind w:left="280"/>
              <w:spacing w:after="0" w:line="195" w:lineRule="exact"/>
              <w:rPr>
                <w:sz w:val="20"/>
                <w:szCs w:val="20"/>
                <w:color w:val="auto"/>
              </w:rPr>
            </w:pPr>
            <w:r>
              <w:rPr>
                <w:rFonts w:ascii="Arial" w:cs="Arial" w:eastAsia="Arial" w:hAnsi="Arial"/>
                <w:sz w:val="18"/>
                <w:szCs w:val="18"/>
                <w:color w:val="auto"/>
              </w:rPr>
              <w:t>Company’s Form 10-Q, for the quarter ended July 2, 2016 and incorporated herein by 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sz w:val="20"/>
                <w:szCs w:val="20"/>
                <w:color w:val="auto"/>
              </w:rPr>
            </w:pPr>
            <w:r>
              <w:rPr>
                <w:rFonts w:ascii="Arial" w:cs="Arial" w:eastAsia="Arial" w:hAnsi="Arial"/>
                <w:sz w:val="18"/>
                <w:szCs w:val="18"/>
                <w:color w:val="0000FF"/>
              </w:rPr>
              <w:t>10P†</w:t>
            </w:r>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1"/>
              </w:rPr>
              <w:t>Employment Agreement effective as of May 16, 2016 between the Company and Christopher Simon (filed as Exhibit 10.1 to the Company’s</w:t>
            </w:r>
          </w:p>
        </w:tc>
      </w:tr>
      <w:tr>
        <w:trPr>
          <w:trHeight w:val="195"/>
        </w:trPr>
        <w:tc>
          <w:tcPr>
            <w:tcW w:w="2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80" w:type="dxa"/>
            <w:vAlign w:val="bottom"/>
          </w:tcPr>
          <w:p>
            <w:pPr>
              <w:ind w:left="280"/>
              <w:spacing w:after="0" w:line="195" w:lineRule="exact"/>
              <w:rPr>
                <w:sz w:val="20"/>
                <w:szCs w:val="20"/>
                <w:color w:val="auto"/>
              </w:rPr>
            </w:pPr>
            <w:r>
              <w:rPr>
                <w:rFonts w:ascii="Arial" w:cs="Arial" w:eastAsia="Arial" w:hAnsi="Arial"/>
                <w:sz w:val="18"/>
                <w:szCs w:val="18"/>
                <w:color w:val="auto"/>
              </w:rPr>
              <w:t>Form 8-K dated May 10, 2016 and incorporated herein by 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sz w:val="20"/>
                <w:szCs w:val="20"/>
                <w:color w:val="auto"/>
              </w:rPr>
            </w:pPr>
            <w:r>
              <w:rPr>
                <w:rFonts w:ascii="Arial" w:cs="Arial" w:eastAsia="Arial" w:hAnsi="Arial"/>
                <w:sz w:val="18"/>
                <w:szCs w:val="18"/>
                <w:color w:val="0000FF"/>
              </w:rPr>
              <w:t>10Q†</w:t>
            </w:r>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0"/>
              </w:rPr>
              <w:t>Executive Severance Agreement between the Company and Christopher A. Simon dated as of November 7, 2017 (filed as Exhibit 10.4 to the</w:t>
            </w:r>
          </w:p>
        </w:tc>
      </w:tr>
      <w:tr>
        <w:trPr>
          <w:trHeight w:val="195"/>
        </w:trPr>
        <w:tc>
          <w:tcPr>
            <w:tcW w:w="2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80" w:type="dxa"/>
            <w:vAlign w:val="bottom"/>
          </w:tcPr>
          <w:p>
            <w:pPr>
              <w:ind w:left="280"/>
              <w:spacing w:after="0" w:line="195" w:lineRule="exact"/>
              <w:rPr>
                <w:sz w:val="20"/>
                <w:szCs w:val="20"/>
                <w:color w:val="auto"/>
              </w:rPr>
            </w:pPr>
            <w:r>
              <w:rPr>
                <w:rFonts w:ascii="Arial" w:cs="Arial" w:eastAsia="Arial" w:hAnsi="Arial"/>
                <w:sz w:val="18"/>
                <w:szCs w:val="18"/>
                <w:color w:val="auto"/>
              </w:rPr>
              <w:t>Company’s Form 10-Q dated for the quarter ended September 30, 2017 and incorporated herein by 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sz w:val="20"/>
                <w:szCs w:val="20"/>
                <w:color w:val="auto"/>
              </w:rPr>
            </w:pPr>
            <w:r>
              <w:rPr>
                <w:rFonts w:ascii="Arial" w:cs="Arial" w:eastAsia="Arial" w:hAnsi="Arial"/>
                <w:sz w:val="18"/>
                <w:szCs w:val="18"/>
                <w:color w:val="0000FF"/>
              </w:rPr>
              <w:t>10R†</w:t>
            </w:r>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2"/>
              </w:rPr>
              <w:t>Change in Control Agreement between the Company and Christopher A. Simon dated as of November 7, 2017 (filed as Exhibit 10.5 to the</w:t>
            </w:r>
          </w:p>
        </w:tc>
      </w:tr>
      <w:tr>
        <w:trPr>
          <w:trHeight w:val="195"/>
        </w:trPr>
        <w:tc>
          <w:tcPr>
            <w:tcW w:w="2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80" w:type="dxa"/>
            <w:vAlign w:val="bottom"/>
          </w:tcPr>
          <w:p>
            <w:pPr>
              <w:ind w:left="280"/>
              <w:spacing w:after="0" w:line="195" w:lineRule="exact"/>
              <w:rPr>
                <w:sz w:val="20"/>
                <w:szCs w:val="20"/>
                <w:color w:val="auto"/>
              </w:rPr>
            </w:pPr>
            <w:r>
              <w:rPr>
                <w:rFonts w:ascii="Arial" w:cs="Arial" w:eastAsia="Arial" w:hAnsi="Arial"/>
                <w:sz w:val="18"/>
                <w:szCs w:val="18"/>
                <w:color w:val="auto"/>
              </w:rPr>
              <w:t>Company’s Form 10-Q dated for the quarter ended September 30, 2017 and incorporated herein by 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sz w:val="20"/>
                <w:szCs w:val="20"/>
                <w:color w:val="auto"/>
              </w:rPr>
            </w:pPr>
            <w:r>
              <w:rPr>
                <w:rFonts w:ascii="Arial" w:cs="Arial" w:eastAsia="Arial" w:hAnsi="Arial"/>
                <w:sz w:val="18"/>
                <w:szCs w:val="18"/>
                <w:color w:val="0000FF"/>
              </w:rPr>
              <w:t>10S†</w:t>
            </w:r>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4"/>
              </w:rPr>
              <w:t>Form of Executive Severance Agreement between the Company and executive officers other than Christopher A. Simon (filed as Exhibit</w:t>
            </w:r>
          </w:p>
        </w:tc>
      </w:tr>
      <w:tr>
        <w:trPr>
          <w:trHeight w:val="195"/>
        </w:trPr>
        <w:tc>
          <w:tcPr>
            <w:tcW w:w="2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80" w:type="dxa"/>
            <w:vAlign w:val="bottom"/>
          </w:tcPr>
          <w:p>
            <w:pPr>
              <w:ind w:left="280"/>
              <w:spacing w:after="0" w:line="195" w:lineRule="exact"/>
              <w:rPr>
                <w:sz w:val="20"/>
                <w:szCs w:val="20"/>
                <w:color w:val="auto"/>
              </w:rPr>
            </w:pPr>
            <w:r>
              <w:rPr>
                <w:rFonts w:ascii="Arial" w:cs="Arial" w:eastAsia="Arial" w:hAnsi="Arial"/>
                <w:sz w:val="18"/>
                <w:szCs w:val="18"/>
                <w:color w:val="auto"/>
              </w:rPr>
              <w:t>10.2 to the Company’s Form 10-Q for the quarter ended September 30, 2017 and incorporated herein by 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sz w:val="20"/>
                <w:szCs w:val="20"/>
                <w:color w:val="auto"/>
              </w:rPr>
            </w:pPr>
            <w:r>
              <w:rPr>
                <w:rFonts w:ascii="Arial" w:cs="Arial" w:eastAsia="Arial" w:hAnsi="Arial"/>
                <w:sz w:val="18"/>
                <w:szCs w:val="18"/>
                <w:color w:val="0000FF"/>
              </w:rPr>
              <w:t>10T†</w:t>
            </w:r>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2"/>
              </w:rPr>
              <w:t>Form of Change in Control Agreement between the Company and executive officers other than Christopher A. Simon (filed as Exhibit 10.3</w:t>
            </w:r>
          </w:p>
        </w:tc>
      </w:tr>
      <w:tr>
        <w:trPr>
          <w:trHeight w:val="195"/>
        </w:trPr>
        <w:tc>
          <w:tcPr>
            <w:tcW w:w="2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80" w:type="dxa"/>
            <w:vAlign w:val="bottom"/>
          </w:tcPr>
          <w:p>
            <w:pPr>
              <w:ind w:left="280"/>
              <w:spacing w:after="0" w:line="195" w:lineRule="exact"/>
              <w:rPr>
                <w:sz w:val="20"/>
                <w:szCs w:val="20"/>
                <w:color w:val="auto"/>
              </w:rPr>
            </w:pPr>
            <w:r>
              <w:rPr>
                <w:rFonts w:ascii="Arial" w:cs="Arial" w:eastAsia="Arial" w:hAnsi="Arial"/>
                <w:sz w:val="18"/>
                <w:szCs w:val="18"/>
                <w:color w:val="auto"/>
              </w:rPr>
              <w:t>to the Company’s Form 10-Q for the quarter ended September 30, 2017 and incorporated herein by 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sz w:val="20"/>
                <w:szCs w:val="20"/>
                <w:color w:val="auto"/>
              </w:rPr>
            </w:pPr>
            <w:r>
              <w:rPr>
                <w:rFonts w:ascii="Arial" w:cs="Arial" w:eastAsia="Arial" w:hAnsi="Arial"/>
                <w:sz w:val="18"/>
                <w:szCs w:val="18"/>
                <w:color w:val="0000FF"/>
              </w:rPr>
              <w:t>10U†</w:t>
            </w:r>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2"/>
              </w:rPr>
              <w:t>Haemonetics Corporation Worldwide Employee Bonus Plan (as amended and restated effective April 23, 2019) (filed as Exhibit 10.1 to the</w:t>
            </w:r>
          </w:p>
        </w:tc>
      </w:tr>
      <w:tr>
        <w:trPr>
          <w:trHeight w:val="195"/>
        </w:trPr>
        <w:tc>
          <w:tcPr>
            <w:tcW w:w="2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80" w:type="dxa"/>
            <w:vAlign w:val="bottom"/>
          </w:tcPr>
          <w:p>
            <w:pPr>
              <w:ind w:left="280"/>
              <w:spacing w:after="0" w:line="195" w:lineRule="exact"/>
              <w:rPr>
                <w:sz w:val="20"/>
                <w:szCs w:val="20"/>
                <w:color w:val="auto"/>
              </w:rPr>
            </w:pPr>
            <w:r>
              <w:rPr>
                <w:rFonts w:ascii="Arial" w:cs="Arial" w:eastAsia="Arial" w:hAnsi="Arial"/>
                <w:sz w:val="18"/>
                <w:szCs w:val="18"/>
                <w:color w:val="auto"/>
              </w:rPr>
              <w:t>Company's Form 8-K dated April 29, 2019 and incorporated herein by 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sz w:val="20"/>
                <w:szCs w:val="20"/>
                <w:color w:val="auto"/>
              </w:rPr>
            </w:pPr>
            <w:r>
              <w:rPr>
                <w:rFonts w:ascii="Arial" w:cs="Arial" w:eastAsia="Arial" w:hAnsi="Arial"/>
                <w:sz w:val="18"/>
                <w:szCs w:val="18"/>
                <w:color w:val="0000FF"/>
              </w:rPr>
              <w:t>10V</w:t>
            </w:r>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5"/>
              </w:rPr>
              <w:t>Form of Indemnification Agreement (as executed with each director and executive officer of the Company) (filed as Exhibit 10.1 to the</w:t>
            </w:r>
          </w:p>
        </w:tc>
      </w:tr>
      <w:tr>
        <w:trPr>
          <w:trHeight w:val="195"/>
        </w:trPr>
        <w:tc>
          <w:tcPr>
            <w:tcW w:w="2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80" w:type="dxa"/>
            <w:vAlign w:val="bottom"/>
          </w:tcPr>
          <w:p>
            <w:pPr>
              <w:ind w:left="280"/>
              <w:spacing w:after="0" w:line="195" w:lineRule="exact"/>
              <w:rPr>
                <w:sz w:val="20"/>
                <w:szCs w:val="20"/>
                <w:color w:val="auto"/>
              </w:rPr>
            </w:pPr>
            <w:r>
              <w:rPr>
                <w:rFonts w:ascii="Arial" w:cs="Arial" w:eastAsia="Arial" w:hAnsi="Arial"/>
                <w:sz w:val="18"/>
                <w:szCs w:val="18"/>
                <w:color w:val="auto"/>
              </w:rPr>
              <w:t>Company's Form 10-Q for the quarter ended September 29, 2018 and incorporated herein by 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sz w:val="20"/>
                <w:szCs w:val="20"/>
                <w:color w:val="auto"/>
              </w:rPr>
            </w:pPr>
            <w:r>
              <w:rPr>
                <w:rFonts w:ascii="Arial" w:cs="Arial" w:eastAsia="Arial" w:hAnsi="Arial"/>
                <w:sz w:val="18"/>
                <w:szCs w:val="18"/>
                <w:color w:val="0000FF"/>
              </w:rPr>
              <w:t>10W‡</w:t>
            </w:r>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2"/>
              </w:rPr>
              <w:t>Office Lease Agreement, dated as of December 18, 2018, by and between OPG 125 Summer Owner (DE) LLC and the Company (filed as</w:t>
            </w:r>
          </w:p>
        </w:tc>
      </w:tr>
      <w:tr>
        <w:trPr>
          <w:trHeight w:val="195"/>
        </w:trPr>
        <w:tc>
          <w:tcPr>
            <w:tcW w:w="2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00" w:type="dxa"/>
            <w:vAlign w:val="bottom"/>
          </w:tcPr>
          <w:p>
            <w:pPr>
              <w:spacing w:after="0"/>
              <w:rPr>
                <w:sz w:val="16"/>
                <w:szCs w:val="16"/>
                <w:color w:val="auto"/>
              </w:rPr>
            </w:pPr>
          </w:p>
        </w:tc>
        <w:tc>
          <w:tcPr>
            <w:tcW w:w="10480" w:type="dxa"/>
            <w:vAlign w:val="bottom"/>
          </w:tcPr>
          <w:p>
            <w:pPr>
              <w:ind w:left="280"/>
              <w:spacing w:after="0" w:line="195" w:lineRule="exact"/>
              <w:rPr>
                <w:sz w:val="20"/>
                <w:szCs w:val="20"/>
                <w:color w:val="auto"/>
              </w:rPr>
            </w:pPr>
            <w:r>
              <w:rPr>
                <w:rFonts w:ascii="Arial" w:cs="Arial" w:eastAsia="Arial" w:hAnsi="Arial"/>
                <w:sz w:val="18"/>
                <w:szCs w:val="18"/>
                <w:color w:val="auto"/>
              </w:rPr>
              <w:t>Exhibit 10.1 to the Company's Form 10-Q for the quarter ended December 29, 2018 and incorporated herein by reference).</w:t>
            </w:r>
          </w:p>
        </w:tc>
      </w:tr>
      <w:tr>
        <w:trPr>
          <w:trHeight w:val="176"/>
        </w:trPr>
        <w:tc>
          <w:tcPr>
            <w:tcW w:w="20" w:type="dxa"/>
            <w:vAlign w:val="bottom"/>
          </w:tcPr>
          <w:p>
            <w:pPr>
              <w:spacing w:after="0"/>
              <w:rPr>
                <w:sz w:val="15"/>
                <w:szCs w:val="15"/>
                <w:color w:val="auto"/>
              </w:rPr>
            </w:pPr>
          </w:p>
        </w:tc>
        <w:tc>
          <w:tcPr>
            <w:tcW w:w="740" w:type="dxa"/>
            <w:vAlign w:val="bottom"/>
            <w:gridSpan w:val="7"/>
          </w:tcPr>
          <w:p>
            <w:pPr>
              <w:spacing w:after="0" w:line="176" w:lineRule="exact"/>
              <w:rPr>
                <w:sz w:val="20"/>
                <w:szCs w:val="20"/>
                <w:color w:val="auto"/>
              </w:rPr>
            </w:pPr>
            <w:r>
              <w:rPr>
                <w:rFonts w:ascii="Arial" w:cs="Arial" w:eastAsia="Arial" w:hAnsi="Arial"/>
                <w:sz w:val="18"/>
                <w:szCs w:val="18"/>
                <w:color w:val="auto"/>
              </w:rPr>
              <w:t>10X</w:t>
            </w:r>
          </w:p>
        </w:tc>
        <w:tc>
          <w:tcPr>
            <w:tcW w:w="10480" w:type="dxa"/>
            <w:vAlign w:val="bottom"/>
          </w:tcPr>
          <w:p>
            <w:pPr>
              <w:ind w:left="280"/>
              <w:spacing w:after="0" w:line="176" w:lineRule="exact"/>
              <w:rPr>
                <w:sz w:val="20"/>
                <w:szCs w:val="20"/>
                <w:color w:val="auto"/>
              </w:rPr>
            </w:pPr>
            <w:r>
              <w:rPr>
                <w:rFonts w:ascii="Arial" w:cs="Arial" w:eastAsia="Arial" w:hAnsi="Arial"/>
                <w:sz w:val="18"/>
                <w:szCs w:val="18"/>
                <w:color w:val="auto"/>
                <w:w w:val="91"/>
              </w:rPr>
              <w:t>Lease dated July 17, 1990 between the Buncher Company and the Company of property in Pittsburgh, Pennsylvania (filed as Exhibit 10-K to</w:t>
            </w: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the Company's Form S-1 No. 33-39490 and incorporated herein by reference).</w:t>
            </w:r>
          </w:p>
        </w:tc>
      </w:tr>
      <w:tr>
        <w:trPr>
          <w:trHeight w:val="176"/>
        </w:trPr>
        <w:tc>
          <w:tcPr>
            <w:tcW w:w="20" w:type="dxa"/>
            <w:vAlign w:val="bottom"/>
          </w:tcPr>
          <w:p>
            <w:pPr>
              <w:spacing w:after="0"/>
              <w:rPr>
                <w:sz w:val="15"/>
                <w:szCs w:val="15"/>
                <w:color w:val="auto"/>
              </w:rPr>
            </w:pPr>
          </w:p>
        </w:tc>
        <w:tc>
          <w:tcPr>
            <w:tcW w:w="740" w:type="dxa"/>
            <w:vAlign w:val="bottom"/>
            <w:gridSpan w:val="7"/>
          </w:tcPr>
          <w:p>
            <w:pPr>
              <w:spacing w:after="0" w:line="176" w:lineRule="exact"/>
              <w:rPr>
                <w:sz w:val="20"/>
                <w:szCs w:val="20"/>
                <w:color w:val="auto"/>
              </w:rPr>
            </w:pPr>
            <w:r>
              <w:rPr>
                <w:rFonts w:ascii="Arial" w:cs="Arial" w:eastAsia="Arial" w:hAnsi="Arial"/>
                <w:sz w:val="18"/>
                <w:szCs w:val="18"/>
                <w:color w:val="auto"/>
              </w:rPr>
              <w:t>10Y</w:t>
            </w:r>
          </w:p>
        </w:tc>
        <w:tc>
          <w:tcPr>
            <w:tcW w:w="10480" w:type="dxa"/>
            <w:vAlign w:val="bottom"/>
          </w:tcPr>
          <w:p>
            <w:pPr>
              <w:ind w:left="280"/>
              <w:spacing w:after="0" w:line="176" w:lineRule="exact"/>
              <w:rPr>
                <w:sz w:val="20"/>
                <w:szCs w:val="20"/>
                <w:color w:val="auto"/>
              </w:rPr>
            </w:pPr>
            <w:r>
              <w:rPr>
                <w:rFonts w:ascii="Arial" w:cs="Arial" w:eastAsia="Arial" w:hAnsi="Arial"/>
                <w:sz w:val="18"/>
                <w:szCs w:val="18"/>
                <w:color w:val="auto"/>
                <w:w w:val="95"/>
              </w:rPr>
              <w:t>First Amendment to lease dated July 17, 1990, made as of April 30, 1991 between Buncher Company and the Company of property in</w:t>
            </w:r>
          </w:p>
        </w:tc>
      </w:tr>
      <w:tr>
        <w:trPr>
          <w:trHeight w:val="175"/>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80" w:type="dxa"/>
            <w:vAlign w:val="bottom"/>
          </w:tcPr>
          <w:p>
            <w:pPr>
              <w:ind w:left="280"/>
              <w:spacing w:after="0" w:line="176" w:lineRule="exact"/>
              <w:rPr>
                <w:sz w:val="20"/>
                <w:szCs w:val="20"/>
                <w:color w:val="auto"/>
              </w:rPr>
            </w:pPr>
            <w:r>
              <w:rPr>
                <w:rFonts w:ascii="Arial" w:cs="Arial" w:eastAsia="Arial" w:hAnsi="Arial"/>
                <w:sz w:val="18"/>
                <w:szCs w:val="18"/>
                <w:color w:val="auto"/>
                <w:w w:val="94"/>
              </w:rPr>
              <w:t>Pittsburgh, Pennsylvania (filed as Exhibit 10AI to the Company's Form 10-Q for the quarter ended December 28, 1996 and incorporated</w:t>
            </w: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herein by 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sz w:val="20"/>
                <w:szCs w:val="20"/>
                <w:color w:val="auto"/>
              </w:rPr>
            </w:pPr>
            <w:r>
              <w:rPr>
                <w:rFonts w:ascii="Arial" w:cs="Arial" w:eastAsia="Arial" w:hAnsi="Arial"/>
                <w:sz w:val="18"/>
                <w:szCs w:val="18"/>
                <w:color w:val="0000FF"/>
              </w:rPr>
              <w:t>10Z</w:t>
            </w:r>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5"/>
              </w:rPr>
              <w:t>Second Amendment to lease dated July 17, 1990, made as of October 18, 2000 between Buncher Company and the Company for the</w:t>
            </w:r>
          </w:p>
        </w:tc>
      </w:tr>
      <w:tr>
        <w:trPr>
          <w:trHeight w:val="142"/>
        </w:trPr>
        <w:tc>
          <w:tcPr>
            <w:tcW w:w="2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80" w:type="dxa"/>
            <w:vAlign w:val="bottom"/>
          </w:tcPr>
          <w:p>
            <w:pPr>
              <w:ind w:left="280"/>
              <w:spacing w:after="0" w:line="142" w:lineRule="exact"/>
              <w:rPr>
                <w:sz w:val="20"/>
                <w:szCs w:val="20"/>
                <w:color w:val="auto"/>
              </w:rPr>
            </w:pPr>
            <w:r>
              <w:rPr>
                <w:rFonts w:ascii="Arial" w:cs="Arial" w:eastAsia="Arial" w:hAnsi="Arial"/>
                <w:sz w:val="16"/>
                <w:szCs w:val="16"/>
                <w:color w:val="auto"/>
              </w:rPr>
              <w:t>property in Leetsdale, Pennsylvania (filed as Exhibit 10AG to the Company's Form 10-K for the year ended March 29, 2003 and</w:t>
            </w: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incorporated herein by 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rFonts w:ascii="Arial" w:cs="Arial" w:eastAsia="Arial" w:hAnsi="Arial"/>
                <w:sz w:val="18"/>
                <w:szCs w:val="18"/>
                <w:color w:val="0000FF"/>
              </w:rPr>
            </w:pPr>
            <w:hyperlink r:id="rId145">
              <w:r>
                <w:rPr>
                  <w:rFonts w:ascii="Arial" w:cs="Arial" w:eastAsia="Arial" w:hAnsi="Arial"/>
                  <w:sz w:val="18"/>
                  <w:szCs w:val="18"/>
                  <w:color w:val="0000FF"/>
                </w:rPr>
                <w:t>10AA</w:t>
              </w:r>
            </w:hyperlink>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0"/>
              </w:rPr>
              <w:t>Third Amendment to lease dated July 17, 1990, made as of March 23, 2004 between Buncher Company and the Company for the property in</w:t>
            </w:r>
          </w:p>
        </w:tc>
      </w:tr>
      <w:tr>
        <w:trPr>
          <w:trHeight w:val="142"/>
        </w:trPr>
        <w:tc>
          <w:tcPr>
            <w:tcW w:w="2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10480" w:type="dxa"/>
            <w:vAlign w:val="bottom"/>
          </w:tcPr>
          <w:p>
            <w:pPr>
              <w:ind w:left="280"/>
              <w:spacing w:after="0" w:line="142" w:lineRule="exact"/>
              <w:rPr>
                <w:sz w:val="20"/>
                <w:szCs w:val="20"/>
                <w:color w:val="auto"/>
              </w:rPr>
            </w:pPr>
            <w:r>
              <w:rPr>
                <w:rFonts w:ascii="Arial" w:cs="Arial" w:eastAsia="Arial" w:hAnsi="Arial"/>
                <w:sz w:val="16"/>
                <w:szCs w:val="16"/>
                <w:color w:val="auto"/>
              </w:rPr>
              <w:t>Leetsdale, Pennsylvania (filed as Exhibit 10D to the Company's Form 10-K for the year ended March 30, 2013 and incorporated herein by</w:t>
            </w: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rFonts w:ascii="Arial" w:cs="Arial" w:eastAsia="Arial" w:hAnsi="Arial"/>
                <w:sz w:val="18"/>
                <w:szCs w:val="18"/>
                <w:color w:val="0000FF"/>
              </w:rPr>
            </w:pPr>
            <w:hyperlink r:id="rId146">
              <w:r>
                <w:rPr>
                  <w:rFonts w:ascii="Arial" w:cs="Arial" w:eastAsia="Arial" w:hAnsi="Arial"/>
                  <w:sz w:val="18"/>
                  <w:szCs w:val="18"/>
                  <w:color w:val="0000FF"/>
                </w:rPr>
                <w:t>10AB</w:t>
              </w:r>
            </w:hyperlink>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1"/>
              </w:rPr>
              <w:t>Fourth Amendment to lease dated July 17, 1990, made as of March 12, 2008 between Buncher Company and the Company for the property</w:t>
            </w:r>
          </w:p>
        </w:tc>
      </w:tr>
      <w:tr>
        <w:trPr>
          <w:trHeight w:val="142"/>
        </w:trPr>
        <w:tc>
          <w:tcPr>
            <w:tcW w:w="2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10480" w:type="dxa"/>
            <w:vAlign w:val="bottom"/>
          </w:tcPr>
          <w:p>
            <w:pPr>
              <w:ind w:left="280"/>
              <w:spacing w:after="0" w:line="142" w:lineRule="exact"/>
              <w:rPr>
                <w:sz w:val="20"/>
                <w:szCs w:val="20"/>
                <w:color w:val="auto"/>
              </w:rPr>
            </w:pPr>
            <w:r>
              <w:rPr>
                <w:rFonts w:ascii="Arial" w:cs="Arial" w:eastAsia="Arial" w:hAnsi="Arial"/>
                <w:sz w:val="16"/>
                <w:szCs w:val="16"/>
                <w:color w:val="auto"/>
              </w:rPr>
              <w:t>in Leetsdale, Pennsylvania (filed as Exhibit 10E to the Company's Form 10-K for the year ended March 30, 2013 and incorporated herein by</w:t>
            </w: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rFonts w:ascii="Arial" w:cs="Arial" w:eastAsia="Arial" w:hAnsi="Arial"/>
                <w:sz w:val="18"/>
                <w:szCs w:val="18"/>
                <w:color w:val="0000FF"/>
              </w:rPr>
            </w:pPr>
            <w:hyperlink r:id="rId147">
              <w:r>
                <w:rPr>
                  <w:rFonts w:ascii="Arial" w:cs="Arial" w:eastAsia="Arial" w:hAnsi="Arial"/>
                  <w:sz w:val="18"/>
                  <w:szCs w:val="18"/>
                  <w:color w:val="0000FF"/>
                </w:rPr>
                <w:t>10AC</w:t>
              </w:r>
            </w:hyperlink>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0"/>
              </w:rPr>
              <w:t>Fifth Amendment to lease dated July 17, 1990, made as of October 1, 2008 between Buncher Company and the Company for the property in</w:t>
            </w:r>
          </w:p>
        </w:tc>
      </w:tr>
      <w:tr>
        <w:trPr>
          <w:trHeight w:val="142"/>
        </w:trPr>
        <w:tc>
          <w:tcPr>
            <w:tcW w:w="2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10480" w:type="dxa"/>
            <w:vAlign w:val="bottom"/>
          </w:tcPr>
          <w:p>
            <w:pPr>
              <w:ind w:left="280"/>
              <w:spacing w:after="0" w:line="142" w:lineRule="exact"/>
              <w:rPr>
                <w:sz w:val="20"/>
                <w:szCs w:val="20"/>
                <w:color w:val="auto"/>
              </w:rPr>
            </w:pPr>
            <w:r>
              <w:rPr>
                <w:rFonts w:ascii="Arial" w:cs="Arial" w:eastAsia="Arial" w:hAnsi="Arial"/>
                <w:sz w:val="16"/>
                <w:szCs w:val="16"/>
                <w:color w:val="auto"/>
              </w:rPr>
              <w:t>Leetsdale, Pennsylvania (filed as Exhibit 10F to the Company's Form 10-K for the year ended March 30, 2013 and incorporated herein by</w:t>
            </w: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rFonts w:ascii="Arial" w:cs="Arial" w:eastAsia="Arial" w:hAnsi="Arial"/>
                <w:sz w:val="18"/>
                <w:szCs w:val="18"/>
                <w:color w:val="0000FF"/>
              </w:rPr>
            </w:pPr>
            <w:hyperlink r:id="rId148">
              <w:r>
                <w:rPr>
                  <w:rFonts w:ascii="Arial" w:cs="Arial" w:eastAsia="Arial" w:hAnsi="Arial"/>
                  <w:sz w:val="18"/>
                  <w:szCs w:val="18"/>
                  <w:color w:val="0000FF"/>
                </w:rPr>
                <w:t>10AD</w:t>
              </w:r>
            </w:hyperlink>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0"/>
              </w:rPr>
              <w:t>Sixth Amendment to lease dated July 17, 1990 made as of January 8, 2010 between Buncher Company and the Company for the property in</w:t>
            </w:r>
          </w:p>
        </w:tc>
      </w:tr>
      <w:tr>
        <w:trPr>
          <w:trHeight w:val="142"/>
        </w:trPr>
        <w:tc>
          <w:tcPr>
            <w:tcW w:w="2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10480" w:type="dxa"/>
            <w:vAlign w:val="bottom"/>
          </w:tcPr>
          <w:p>
            <w:pPr>
              <w:ind w:left="280"/>
              <w:spacing w:after="0" w:line="142" w:lineRule="exact"/>
              <w:rPr>
                <w:sz w:val="20"/>
                <w:szCs w:val="20"/>
                <w:color w:val="auto"/>
              </w:rPr>
            </w:pPr>
            <w:r>
              <w:rPr>
                <w:rFonts w:ascii="Arial" w:cs="Arial" w:eastAsia="Arial" w:hAnsi="Arial"/>
                <w:sz w:val="16"/>
                <w:szCs w:val="16"/>
                <w:color w:val="auto"/>
              </w:rPr>
              <w:t>Leetsdale, Pennsylvania (filed as Exhibit 10G to the Company's Form 10-K for the year ended March 30, 2013 and incorporated herein by</w:t>
            </w: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rFonts w:ascii="Arial" w:cs="Arial" w:eastAsia="Arial" w:hAnsi="Arial"/>
                <w:sz w:val="18"/>
                <w:szCs w:val="18"/>
                <w:color w:val="0000FF"/>
              </w:rPr>
            </w:pPr>
            <w:hyperlink r:id="rId149">
              <w:r>
                <w:rPr>
                  <w:rFonts w:ascii="Arial" w:cs="Arial" w:eastAsia="Arial" w:hAnsi="Arial"/>
                  <w:sz w:val="18"/>
                  <w:szCs w:val="18"/>
                  <w:color w:val="0000FF"/>
                </w:rPr>
                <w:t>10AE</w:t>
              </w:r>
            </w:hyperlink>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0"/>
              </w:rPr>
              <w:t>Seventh Amendment to lease dated July 17, 1990, made as of March 31, 2011 between Buncher Company and the Company for the property</w:t>
            </w:r>
          </w:p>
        </w:tc>
      </w:tr>
      <w:tr>
        <w:trPr>
          <w:trHeight w:val="142"/>
        </w:trPr>
        <w:tc>
          <w:tcPr>
            <w:tcW w:w="2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80" w:type="dxa"/>
            <w:vAlign w:val="bottom"/>
          </w:tcPr>
          <w:p>
            <w:pPr>
              <w:ind w:left="280"/>
              <w:spacing w:after="0" w:line="142" w:lineRule="exact"/>
              <w:rPr>
                <w:sz w:val="20"/>
                <w:szCs w:val="20"/>
                <w:color w:val="auto"/>
              </w:rPr>
            </w:pPr>
            <w:r>
              <w:rPr>
                <w:rFonts w:ascii="Arial" w:cs="Arial" w:eastAsia="Arial" w:hAnsi="Arial"/>
                <w:sz w:val="16"/>
                <w:szCs w:val="16"/>
                <w:color w:val="auto"/>
              </w:rPr>
              <w:t>in Leetsdale, Pennsylvania (filed as Exhibit 10H to the Company's Form 10-K for the year ended March 30, 2013 and incorporated herein by</w:t>
            </w: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190"/>
        </w:trPr>
        <w:tc>
          <w:tcPr>
            <w:tcW w:w="20" w:type="dxa"/>
            <w:vAlign w:val="bottom"/>
          </w:tcPr>
          <w:p>
            <w:pPr>
              <w:spacing w:after="0"/>
              <w:rPr>
                <w:sz w:val="16"/>
                <w:szCs w:val="16"/>
                <w:color w:val="auto"/>
              </w:rPr>
            </w:pPr>
          </w:p>
        </w:tc>
        <w:tc>
          <w:tcPr>
            <w:tcW w:w="740" w:type="dxa"/>
            <w:vAlign w:val="bottom"/>
            <w:gridSpan w:val="7"/>
          </w:tcPr>
          <w:p>
            <w:pPr>
              <w:spacing w:after="0" w:line="190" w:lineRule="exact"/>
              <w:rPr>
                <w:rFonts w:ascii="Arial" w:cs="Arial" w:eastAsia="Arial" w:hAnsi="Arial"/>
                <w:sz w:val="18"/>
                <w:szCs w:val="18"/>
                <w:color w:val="0000FF"/>
              </w:rPr>
            </w:pPr>
            <w:hyperlink r:id="rId150">
              <w:r>
                <w:rPr>
                  <w:rFonts w:ascii="Arial" w:cs="Arial" w:eastAsia="Arial" w:hAnsi="Arial"/>
                  <w:sz w:val="18"/>
                  <w:szCs w:val="18"/>
                  <w:color w:val="0000FF"/>
                </w:rPr>
                <w:t>10AF</w:t>
              </w:r>
            </w:hyperlink>
          </w:p>
        </w:tc>
        <w:tc>
          <w:tcPr>
            <w:tcW w:w="10480" w:type="dxa"/>
            <w:vAlign w:val="bottom"/>
          </w:tcPr>
          <w:p>
            <w:pPr>
              <w:ind w:left="280"/>
              <w:spacing w:after="0" w:line="190" w:lineRule="exact"/>
              <w:rPr>
                <w:sz w:val="20"/>
                <w:szCs w:val="20"/>
                <w:color w:val="auto"/>
              </w:rPr>
            </w:pPr>
            <w:r>
              <w:rPr>
                <w:rFonts w:ascii="Arial" w:cs="Arial" w:eastAsia="Arial" w:hAnsi="Arial"/>
                <w:sz w:val="18"/>
                <w:szCs w:val="18"/>
                <w:color w:val="auto"/>
                <w:w w:val="95"/>
              </w:rPr>
              <w:t>Eighth Amendment to lease dated July 17, 1990, made as of February 26, 2013 between Buncher Company and the Company for the</w:t>
            </w:r>
          </w:p>
        </w:tc>
      </w:tr>
      <w:tr>
        <w:trPr>
          <w:trHeight w:val="142"/>
        </w:trPr>
        <w:tc>
          <w:tcPr>
            <w:tcW w:w="2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80" w:type="dxa"/>
            <w:vAlign w:val="bottom"/>
          </w:tcPr>
          <w:p>
            <w:pPr>
              <w:ind w:left="280"/>
              <w:spacing w:after="0" w:line="142" w:lineRule="exact"/>
              <w:rPr>
                <w:sz w:val="20"/>
                <w:szCs w:val="20"/>
                <w:color w:val="auto"/>
              </w:rPr>
            </w:pPr>
            <w:r>
              <w:rPr>
                <w:rFonts w:ascii="Arial" w:cs="Arial" w:eastAsia="Arial" w:hAnsi="Arial"/>
                <w:sz w:val="16"/>
                <w:szCs w:val="16"/>
                <w:color w:val="auto"/>
              </w:rPr>
              <w:t>property in Leetsdale, Pennsylvania (filed as Exhibit 10I to the Company's Form 10-K for the year ended March 30, 2013 and incorporated</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herein by reference).</w:t>
            </w:r>
          </w:p>
        </w:tc>
      </w:tr>
      <w:tr>
        <w:trPr>
          <w:trHeight w:val="89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80" w:type="dxa"/>
            <w:vAlign w:val="bottom"/>
          </w:tcPr>
          <w:p>
            <w:pPr>
              <w:ind w:left="4740"/>
              <w:spacing w:after="0"/>
              <w:rPr>
                <w:sz w:val="20"/>
                <w:szCs w:val="20"/>
                <w:color w:val="auto"/>
              </w:rPr>
            </w:pPr>
            <w:r>
              <w:rPr>
                <w:rFonts w:ascii="Arial" w:cs="Arial" w:eastAsia="Arial" w:hAnsi="Arial"/>
                <w:sz w:val="18"/>
                <w:szCs w:val="18"/>
                <w:color w:val="auto"/>
              </w:rPr>
              <w:t>110</w:t>
            </w:r>
          </w:p>
        </w:tc>
      </w:tr>
      <w:tr>
        <w:trPr>
          <w:trHeight w:val="115"/>
        </w:trPr>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2" w:name="page113"/>
    <w:bookmarkEnd w:id="1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40" w:type="dxa"/>
            <w:vAlign w:val="bottom"/>
            <w:tcBorders>
              <w:bottom w:val="single" w:sz="8" w:color="0000FF"/>
            </w:tcBorders>
          </w:tcPr>
          <w:p>
            <w:pPr>
              <w:spacing w:after="0"/>
              <w:rPr>
                <w:rFonts w:ascii="Arial" w:cs="Arial" w:eastAsia="Arial" w:hAnsi="Arial"/>
                <w:sz w:val="18"/>
                <w:szCs w:val="18"/>
                <w:color w:val="0000FF"/>
                <w:w w:val="91"/>
              </w:rPr>
            </w:pPr>
            <w:hyperlink r:id="rId153">
              <w:r>
                <w:rPr>
                  <w:rFonts w:ascii="Arial" w:cs="Arial" w:eastAsia="Arial" w:hAnsi="Arial"/>
                  <w:sz w:val="18"/>
                  <w:szCs w:val="18"/>
                  <w:color w:val="0000FF"/>
                  <w:w w:val="91"/>
                </w:rPr>
                <w:t>10AG</w:t>
              </w:r>
            </w:hyperlink>
          </w:p>
        </w:tc>
        <w:tc>
          <w:tcPr>
            <w:tcW w:w="10740" w:type="dxa"/>
            <w:vAlign w:val="bottom"/>
          </w:tcPr>
          <w:p>
            <w:pPr>
              <w:ind w:left="580"/>
              <w:spacing w:after="0"/>
              <w:rPr>
                <w:sz w:val="20"/>
                <w:szCs w:val="20"/>
                <w:color w:val="auto"/>
              </w:rPr>
            </w:pPr>
            <w:r>
              <w:rPr>
                <w:rFonts w:ascii="Arial" w:cs="Arial" w:eastAsia="Arial" w:hAnsi="Arial"/>
                <w:sz w:val="18"/>
                <w:szCs w:val="18"/>
                <w:color w:val="auto"/>
                <w:w w:val="90"/>
              </w:rPr>
              <w:t>Ninth Amendment to lease dated July 17, 1990, made as of March 12, 2014 between Buncher Company and the Company for the property in</w:t>
            </w:r>
          </w:p>
        </w:tc>
      </w:tr>
      <w:tr>
        <w:trPr>
          <w:trHeight w:val="169"/>
        </w:trPr>
        <w:tc>
          <w:tcPr>
            <w:tcW w:w="440" w:type="dxa"/>
            <w:vAlign w:val="bottom"/>
          </w:tcPr>
          <w:p>
            <w:pPr>
              <w:spacing w:after="0"/>
              <w:rPr>
                <w:sz w:val="14"/>
                <w:szCs w:val="14"/>
                <w:color w:val="auto"/>
              </w:rPr>
            </w:pPr>
          </w:p>
        </w:tc>
        <w:tc>
          <w:tcPr>
            <w:tcW w:w="10740" w:type="dxa"/>
            <w:vAlign w:val="bottom"/>
          </w:tcPr>
          <w:p>
            <w:pPr>
              <w:ind w:left="580"/>
              <w:spacing w:after="0" w:line="169" w:lineRule="exact"/>
              <w:rPr>
                <w:sz w:val="20"/>
                <w:szCs w:val="20"/>
                <w:color w:val="auto"/>
              </w:rPr>
            </w:pPr>
            <w:r>
              <w:rPr>
                <w:rFonts w:ascii="Arial" w:cs="Arial" w:eastAsia="Arial" w:hAnsi="Arial"/>
                <w:sz w:val="18"/>
                <w:szCs w:val="18"/>
                <w:color w:val="auto"/>
                <w:w w:val="92"/>
              </w:rPr>
              <w:t>Leetsdale, Pennsylvania (filed as Exhibit 10J to the Company's Form 10-K for the year ended March 31, 2018 and incorporated herein by</w:t>
            </w:r>
          </w:p>
        </w:tc>
      </w:tr>
      <w:tr>
        <w:trPr>
          <w:trHeight w:val="230"/>
        </w:trPr>
        <w:tc>
          <w:tcPr>
            <w:tcW w:w="440" w:type="dxa"/>
            <w:vAlign w:val="bottom"/>
          </w:tcPr>
          <w:p>
            <w:pPr>
              <w:spacing w:after="0"/>
              <w:rPr>
                <w:sz w:val="20"/>
                <w:szCs w:val="20"/>
                <w:color w:val="auto"/>
              </w:rPr>
            </w:pPr>
          </w:p>
        </w:tc>
        <w:tc>
          <w:tcPr>
            <w:tcW w:w="10740" w:type="dxa"/>
            <w:vAlign w:val="bottom"/>
          </w:tcPr>
          <w:p>
            <w:pPr>
              <w:ind w:left="580"/>
              <w:spacing w:after="0"/>
              <w:rPr>
                <w:sz w:val="20"/>
                <w:szCs w:val="20"/>
                <w:color w:val="auto"/>
              </w:rPr>
            </w:pPr>
            <w:r>
              <w:rPr>
                <w:rFonts w:ascii="Arial" w:cs="Arial" w:eastAsia="Arial" w:hAnsi="Arial"/>
                <w:sz w:val="18"/>
                <w:szCs w:val="18"/>
                <w:color w:val="auto"/>
              </w:rPr>
              <w:t>reference).</w:t>
            </w:r>
          </w:p>
        </w:tc>
      </w:tr>
    </w:tbl>
    <w:p>
      <w:pPr>
        <w:spacing w:after="0" w:line="39" w:lineRule="exact"/>
        <w:rPr>
          <w:sz w:val="20"/>
          <w:szCs w:val="20"/>
          <w:color w:val="auto"/>
        </w:rPr>
      </w:pPr>
    </w:p>
    <w:p>
      <w:pPr>
        <w:sectPr>
          <w:pgSz w:w="11900" w:h="16838" w:orient="portrait"/>
          <w:cols w:equalWidth="0" w:num="1">
            <w:col w:w="11240"/>
          </w:cols>
          <w:pgMar w:left="320" w:top="130" w:right="339" w:bottom="1440" w:gutter="0" w:footer="0" w:header="0"/>
        </w:sectPr>
      </w:pPr>
    </w:p>
    <w:p>
      <w:pPr>
        <w:ind w:left="20"/>
        <w:spacing w:after="0"/>
        <w:rPr>
          <w:rFonts w:ascii="Arial" w:cs="Arial" w:eastAsia="Arial" w:hAnsi="Arial"/>
          <w:sz w:val="17"/>
          <w:szCs w:val="17"/>
          <w:u w:val="single" w:color="auto"/>
          <w:color w:val="0000FF"/>
        </w:rPr>
      </w:pPr>
      <w:hyperlink r:id="rId154">
        <w:r>
          <w:rPr>
            <w:rFonts w:ascii="Arial" w:cs="Arial" w:eastAsia="Arial" w:hAnsi="Arial"/>
            <w:sz w:val="17"/>
            <w:szCs w:val="17"/>
            <w:u w:val="single" w:color="auto"/>
            <w:color w:val="0000FF"/>
          </w:rPr>
          <w:t>10AH</w:t>
        </w:r>
      </w:hyperlink>
    </w:p>
    <w:p>
      <w:pPr>
        <w:spacing w:after="0" w:line="385" w:lineRule="exact"/>
        <w:rPr>
          <w:sz w:val="20"/>
          <w:szCs w:val="20"/>
          <w:color w:val="auto"/>
        </w:rPr>
      </w:pPr>
    </w:p>
    <w:p>
      <w:pPr>
        <w:ind w:left="20"/>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10AI</w:t>
        </w:r>
      </w:hyperlink>
    </w:p>
    <w:p>
      <w:pPr>
        <w:spacing w:after="0" w:line="20" w:lineRule="exact"/>
        <w:rPr>
          <w:sz w:val="20"/>
          <w:szCs w:val="20"/>
          <w:color w:val="auto"/>
        </w:rPr>
      </w:pPr>
      <w:r>
        <w:rPr>
          <w:sz w:val="20"/>
          <w:szCs w:val="20"/>
          <w:color w:val="auto"/>
        </w:rPr>
        <w:br w:type="column"/>
      </w:r>
    </w:p>
    <w:p>
      <w:pPr>
        <w:jc w:val="both"/>
        <w:ind w:right="180"/>
        <w:spacing w:after="0" w:line="224" w:lineRule="auto"/>
        <w:rPr>
          <w:sz w:val="20"/>
          <w:szCs w:val="20"/>
          <w:color w:val="auto"/>
        </w:rPr>
      </w:pPr>
      <w:r>
        <w:rPr>
          <w:rFonts w:ascii="Arial" w:cs="Arial" w:eastAsia="Arial" w:hAnsi="Arial"/>
          <w:sz w:val="18"/>
          <w:szCs w:val="18"/>
          <w:color w:val="auto"/>
        </w:rPr>
        <w:t>Tenth Amendment to lease dated July 17, 1990, made as of May 31, 2017 between Buncher Company and the Company for the property in Leetsdale, Pennsylvania (filed as Exhibit 10K to the Company's Form 10-K for the year ended March 31, 2018 and incorporated herein by reference).</w:t>
      </w:r>
    </w:p>
    <w:p>
      <w:pPr>
        <w:spacing w:after="0" w:line="28" w:lineRule="exact"/>
        <w:rPr>
          <w:sz w:val="20"/>
          <w:szCs w:val="20"/>
          <w:color w:val="auto"/>
        </w:rPr>
      </w:pPr>
    </w:p>
    <w:p>
      <w:pPr>
        <w:jc w:val="both"/>
        <w:ind w:right="80"/>
        <w:spacing w:after="0" w:line="224" w:lineRule="auto"/>
        <w:rPr>
          <w:sz w:val="20"/>
          <w:szCs w:val="20"/>
          <w:color w:val="auto"/>
        </w:rPr>
      </w:pPr>
      <w:r>
        <w:rPr>
          <w:rFonts w:ascii="Arial" w:cs="Arial" w:eastAsia="Arial" w:hAnsi="Arial"/>
          <w:sz w:val="18"/>
          <w:szCs w:val="18"/>
          <w:color w:val="auto"/>
        </w:rPr>
        <w:t>Eleventh Amendment to lease dated July 17, 1990, made as of March 2, 2018 between Buncher Company and the Company for the property in Leetsdale, Pennsylvania (filed as Exhibit 10L to the Company's Form 10-K for the year ended March 31, 2018 and incorporated herein by reference).</w:t>
      </w:r>
    </w:p>
    <w:p>
      <w:pPr>
        <w:spacing w:after="0" w:line="4" w:lineRule="exact"/>
        <w:rPr>
          <w:sz w:val="20"/>
          <w:szCs w:val="20"/>
          <w:color w:val="auto"/>
        </w:rPr>
      </w:pPr>
    </w:p>
    <w:p>
      <w:pPr>
        <w:sectPr>
          <w:pgSz w:w="11900" w:h="16838" w:orient="portrait"/>
          <w:cols w:equalWidth="0" w:num="2">
            <w:col w:w="460" w:space="580"/>
            <w:col w:w="1020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8"/>
              </w:rPr>
              <w:t>10AJ**</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0" w:type="dxa"/>
            <w:vAlign w:val="bottom"/>
          </w:tcPr>
          <w:p>
            <w:pPr>
              <w:ind w:left="400"/>
              <w:spacing w:after="0"/>
              <w:rPr>
                <w:sz w:val="20"/>
                <w:szCs w:val="20"/>
                <w:color w:val="auto"/>
              </w:rPr>
            </w:pPr>
            <w:r>
              <w:rPr>
                <w:rFonts w:ascii="Arial" w:cs="Arial" w:eastAsia="Arial" w:hAnsi="Arial"/>
                <w:sz w:val="18"/>
                <w:szCs w:val="18"/>
                <w:color w:val="auto"/>
                <w:w w:val="90"/>
              </w:rPr>
              <w:t>Twelfth Amendment to lease dated July 17, 1990, made as of May 22, 2020 between Buncher Company and the Company for the property in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0" w:type="dxa"/>
            <w:vAlign w:val="bottom"/>
          </w:tcPr>
          <w:p>
            <w:pPr>
              <w:ind w:left="400"/>
              <w:spacing w:after="0" w:line="169" w:lineRule="exact"/>
              <w:rPr>
                <w:sz w:val="20"/>
                <w:szCs w:val="20"/>
                <w:color w:val="auto"/>
              </w:rPr>
            </w:pPr>
            <w:r>
              <w:rPr>
                <w:rFonts w:ascii="Arial" w:cs="Arial" w:eastAsia="Arial" w:hAnsi="Arial"/>
                <w:sz w:val="18"/>
                <w:szCs w:val="18"/>
                <w:color w:val="auto"/>
                <w:w w:val="94"/>
              </w:rPr>
              <w:t>Leetsdale, Pennsylvania (filed as Exhibit 10.2 to the Company's Form 10-Q for the quarter ended December 26, 2020 and incorporated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0" w:type="dxa"/>
            <w:vAlign w:val="bottom"/>
          </w:tcPr>
          <w:p>
            <w:pPr>
              <w:ind w:left="40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rPr>
              <w:t>10AK**</w:t>
            </w:r>
          </w:p>
        </w:tc>
        <w:tc>
          <w:tcPr>
            <w:tcW w:w="10600" w:type="dxa"/>
            <w:vAlign w:val="bottom"/>
          </w:tcPr>
          <w:p>
            <w:pPr>
              <w:ind w:left="400"/>
              <w:spacing w:after="0"/>
              <w:rPr>
                <w:sz w:val="20"/>
                <w:szCs w:val="20"/>
                <w:color w:val="auto"/>
              </w:rPr>
            </w:pPr>
            <w:r>
              <w:rPr>
                <w:rFonts w:ascii="Arial" w:cs="Arial" w:eastAsia="Arial" w:hAnsi="Arial"/>
                <w:sz w:val="18"/>
                <w:szCs w:val="18"/>
                <w:color w:val="auto"/>
                <w:w w:val="92"/>
              </w:rPr>
              <w:t>Thirteenth Amendment to lease dated July 17, 1990, made as of December 21, 2020 between Buncher Company and the Company for the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0" w:type="dxa"/>
            <w:vAlign w:val="bottom"/>
          </w:tcPr>
          <w:p>
            <w:pPr>
              <w:ind w:left="400"/>
              <w:spacing w:after="0" w:line="169" w:lineRule="exact"/>
              <w:rPr>
                <w:sz w:val="20"/>
                <w:szCs w:val="20"/>
                <w:color w:val="auto"/>
              </w:rPr>
            </w:pPr>
            <w:r>
              <w:rPr>
                <w:rFonts w:ascii="Arial" w:cs="Arial" w:eastAsia="Arial" w:hAnsi="Arial"/>
                <w:sz w:val="18"/>
                <w:szCs w:val="18"/>
                <w:color w:val="auto"/>
                <w:w w:val="96"/>
              </w:rPr>
              <w:t>property in Leetsdale, Pennsylvania (filed as Exhibit 10.3 to the Company's Form 10-Q for the quarter ended December 26, 2020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0" w:type="dxa"/>
            <w:vAlign w:val="bottom"/>
          </w:tcPr>
          <w:p>
            <w:pPr>
              <w:ind w:left="40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 w:type="dxa"/>
            <w:vAlign w:val="bottom"/>
            <w:gridSpan w:val="6"/>
          </w:tcPr>
          <w:p>
            <w:pPr>
              <w:spacing w:after="0"/>
              <w:rPr>
                <w:sz w:val="20"/>
                <w:szCs w:val="20"/>
                <w:color w:val="auto"/>
              </w:rPr>
            </w:pPr>
            <w:r>
              <w:rPr>
                <w:rFonts w:ascii="Arial" w:cs="Arial" w:eastAsia="Arial" w:hAnsi="Arial"/>
                <w:sz w:val="18"/>
                <w:szCs w:val="18"/>
                <w:color w:val="0000FF"/>
              </w:rPr>
              <w:t>10AL**</w:t>
            </w:r>
          </w:p>
        </w:tc>
        <w:tc>
          <w:tcPr>
            <w:tcW w:w="10600" w:type="dxa"/>
            <w:vAlign w:val="bottom"/>
          </w:tcPr>
          <w:p>
            <w:pPr>
              <w:ind w:left="400"/>
              <w:spacing w:after="0"/>
              <w:rPr>
                <w:sz w:val="20"/>
                <w:szCs w:val="20"/>
                <w:color w:val="auto"/>
              </w:rPr>
            </w:pPr>
            <w:r>
              <w:rPr>
                <w:rFonts w:ascii="Arial" w:cs="Arial" w:eastAsia="Arial" w:hAnsi="Arial"/>
                <w:sz w:val="18"/>
                <w:szCs w:val="18"/>
                <w:color w:val="auto"/>
                <w:w w:val="92"/>
              </w:rPr>
              <w:t>Industrial Lease Agreement, dated as of May 22, 2020, by and between Clinton Commerce III, LLC and the Company (filed as Exhibit 10.1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10600" w:type="dxa"/>
            <w:vAlign w:val="bottom"/>
          </w:tcPr>
          <w:p>
            <w:pPr>
              <w:ind w:left="400"/>
              <w:spacing w:after="0" w:line="195" w:lineRule="exact"/>
              <w:rPr>
                <w:sz w:val="20"/>
                <w:szCs w:val="20"/>
                <w:color w:val="auto"/>
              </w:rPr>
            </w:pPr>
            <w:r>
              <w:rPr>
                <w:rFonts w:ascii="Arial" w:cs="Arial" w:eastAsia="Arial" w:hAnsi="Arial"/>
                <w:sz w:val="18"/>
                <w:szCs w:val="18"/>
                <w:color w:val="auto"/>
              </w:rPr>
              <w:t>to the Company's Form 10-Q for the quarter ended June 27, 2020 and incorporated herein by reference).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 w:type="dxa"/>
            <w:vAlign w:val="bottom"/>
            <w:gridSpan w:val="6"/>
          </w:tcPr>
          <w:p>
            <w:pPr>
              <w:spacing w:after="0" w:line="190" w:lineRule="exact"/>
              <w:rPr>
                <w:rFonts w:ascii="Arial" w:cs="Arial" w:eastAsia="Arial" w:hAnsi="Arial"/>
                <w:sz w:val="18"/>
                <w:szCs w:val="18"/>
                <w:color w:val="0000FF"/>
              </w:rPr>
            </w:pPr>
            <w:hyperlink r:id="rId156">
              <w:r>
                <w:rPr>
                  <w:rFonts w:ascii="Arial" w:cs="Arial" w:eastAsia="Arial" w:hAnsi="Arial"/>
                  <w:sz w:val="18"/>
                  <w:szCs w:val="18"/>
                  <w:color w:val="0000FF"/>
                </w:rPr>
                <w:t>10AM</w:t>
              </w:r>
            </w:hyperlink>
          </w:p>
        </w:tc>
        <w:tc>
          <w:tcPr>
            <w:tcW w:w="10600" w:type="dxa"/>
            <w:vAlign w:val="bottom"/>
          </w:tcPr>
          <w:p>
            <w:pPr>
              <w:ind w:left="400"/>
              <w:spacing w:after="0" w:line="190" w:lineRule="exact"/>
              <w:rPr>
                <w:sz w:val="20"/>
                <w:szCs w:val="20"/>
                <w:color w:val="auto"/>
              </w:rPr>
            </w:pPr>
            <w:r>
              <w:rPr>
                <w:rFonts w:ascii="Arial" w:cs="Arial" w:eastAsia="Arial" w:hAnsi="Arial"/>
                <w:sz w:val="18"/>
                <w:szCs w:val="18"/>
                <w:color w:val="auto"/>
                <w:w w:val="91"/>
              </w:rPr>
              <w:t>First Amendment to Industrial Lease Agreement, dated as of October 1, 2020, by and between Clinton Commerce III, LLC and the Company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0" w:type="dxa"/>
            <w:vAlign w:val="bottom"/>
          </w:tcPr>
          <w:p>
            <w:pPr>
              <w:ind w:left="400"/>
              <w:spacing w:after="0" w:line="195" w:lineRule="exact"/>
              <w:rPr>
                <w:sz w:val="20"/>
                <w:szCs w:val="20"/>
                <w:color w:val="auto"/>
              </w:rPr>
            </w:pPr>
            <w:r>
              <w:rPr>
                <w:rFonts w:ascii="Arial" w:cs="Arial" w:eastAsia="Arial" w:hAnsi="Arial"/>
                <w:sz w:val="18"/>
                <w:szCs w:val="18"/>
                <w:color w:val="auto"/>
                <w:w w:val="97"/>
              </w:rPr>
              <w:t>(filed as Exhibit 10.1 to the Company's Form 10-Q for the quarter ended December 26, 2020 and incorporated herein by reference).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 w:type="dxa"/>
            <w:vAlign w:val="bottom"/>
            <w:gridSpan w:val="6"/>
          </w:tcPr>
          <w:p>
            <w:pPr>
              <w:spacing w:after="0" w:line="190" w:lineRule="exact"/>
              <w:rPr>
                <w:sz w:val="20"/>
                <w:szCs w:val="20"/>
                <w:color w:val="auto"/>
              </w:rPr>
            </w:pPr>
            <w:r>
              <w:rPr>
                <w:rFonts w:ascii="Arial" w:cs="Arial" w:eastAsia="Arial" w:hAnsi="Arial"/>
                <w:sz w:val="18"/>
                <w:szCs w:val="18"/>
                <w:color w:val="0000FF"/>
              </w:rPr>
              <w:t>10AN</w:t>
            </w:r>
          </w:p>
        </w:tc>
        <w:tc>
          <w:tcPr>
            <w:tcW w:w="10600" w:type="dxa"/>
            <w:vAlign w:val="bottom"/>
          </w:tcPr>
          <w:p>
            <w:pPr>
              <w:ind w:left="400"/>
              <w:spacing w:after="0" w:line="190" w:lineRule="exact"/>
              <w:rPr>
                <w:sz w:val="20"/>
                <w:szCs w:val="20"/>
                <w:color w:val="auto"/>
              </w:rPr>
            </w:pPr>
            <w:r>
              <w:rPr>
                <w:rFonts w:ascii="Arial" w:cs="Arial" w:eastAsia="Arial" w:hAnsi="Arial"/>
                <w:sz w:val="18"/>
                <w:szCs w:val="18"/>
                <w:color w:val="auto"/>
                <w:w w:val="99"/>
              </w:rPr>
              <w:t>Lease dated February 21, 2000 between BBVA Bancomer Servicios, S.A., as Trustee of the “Submetropoli de Tijuana” Trust and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0" w:type="dxa"/>
            <w:vAlign w:val="bottom"/>
          </w:tcPr>
          <w:p>
            <w:pPr>
              <w:ind w:left="400"/>
              <w:spacing w:after="0" w:line="142" w:lineRule="exact"/>
              <w:rPr>
                <w:sz w:val="20"/>
                <w:szCs w:val="20"/>
                <w:color w:val="auto"/>
              </w:rPr>
            </w:pPr>
            <w:r>
              <w:rPr>
                <w:rFonts w:ascii="Arial" w:cs="Arial" w:eastAsia="Arial" w:hAnsi="Arial"/>
                <w:sz w:val="16"/>
                <w:szCs w:val="16"/>
                <w:color w:val="auto"/>
              </w:rPr>
              <w:t>Haemonetics Mexico Manufacturing, S. de R.L. de C.V., as successor in interest to Ensatec, S.A. de C.V. with authorization of El Florido</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0" w:type="dxa"/>
            <w:vAlign w:val="bottom"/>
          </w:tcPr>
          <w:p>
            <w:pPr>
              <w:ind w:left="400"/>
              <w:spacing w:after="0" w:line="176" w:lineRule="exact"/>
              <w:rPr>
                <w:sz w:val="20"/>
                <w:szCs w:val="20"/>
                <w:color w:val="auto"/>
              </w:rPr>
            </w:pPr>
            <w:r>
              <w:rPr>
                <w:rFonts w:ascii="Arial" w:cs="Arial" w:eastAsia="Arial" w:hAnsi="Arial"/>
                <w:sz w:val="18"/>
                <w:szCs w:val="18"/>
                <w:color w:val="auto"/>
                <w:w w:val="92"/>
              </w:rPr>
              <w:t>California, S.A. de C.V., for property located in Tijuana, Mexico (filed as Exhibit 10J to the Company's Form 10-K for the year ended March</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0" w:type="dxa"/>
            <w:vAlign w:val="bottom"/>
          </w:tcPr>
          <w:p>
            <w:pPr>
              <w:ind w:left="400"/>
              <w:spacing w:after="0"/>
              <w:rPr>
                <w:sz w:val="20"/>
                <w:szCs w:val="20"/>
                <w:color w:val="auto"/>
              </w:rPr>
            </w:pPr>
            <w:r>
              <w:rPr>
                <w:rFonts w:ascii="Arial" w:cs="Arial" w:eastAsia="Arial" w:hAnsi="Arial"/>
                <w:sz w:val="18"/>
                <w:szCs w:val="18"/>
                <w:color w:val="auto"/>
              </w:rPr>
              <w:t>30, 2013 and incorporated herein by reference).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 w:type="dxa"/>
            <w:vAlign w:val="bottom"/>
            <w:gridSpan w:val="6"/>
          </w:tcPr>
          <w:p>
            <w:pPr>
              <w:spacing w:after="0" w:line="190" w:lineRule="exact"/>
              <w:rPr>
                <w:sz w:val="20"/>
                <w:szCs w:val="20"/>
                <w:color w:val="auto"/>
              </w:rPr>
            </w:pPr>
            <w:r>
              <w:rPr>
                <w:rFonts w:ascii="Arial" w:cs="Arial" w:eastAsia="Arial" w:hAnsi="Arial"/>
                <w:sz w:val="18"/>
                <w:szCs w:val="18"/>
                <w:color w:val="0000FF"/>
              </w:rPr>
              <w:t>10AO</w:t>
            </w:r>
          </w:p>
        </w:tc>
        <w:tc>
          <w:tcPr>
            <w:tcW w:w="10600" w:type="dxa"/>
            <w:vAlign w:val="bottom"/>
          </w:tcPr>
          <w:p>
            <w:pPr>
              <w:ind w:left="400"/>
              <w:spacing w:after="0" w:line="190" w:lineRule="exact"/>
              <w:rPr>
                <w:sz w:val="20"/>
                <w:szCs w:val="20"/>
                <w:color w:val="auto"/>
              </w:rPr>
            </w:pPr>
            <w:r>
              <w:rPr>
                <w:rFonts w:ascii="Arial" w:cs="Arial" w:eastAsia="Arial" w:hAnsi="Arial"/>
                <w:sz w:val="18"/>
                <w:szCs w:val="18"/>
                <w:color w:val="auto"/>
                <w:w w:val="96"/>
              </w:rPr>
              <w:t>Amendment to Lease dated February 21, 2000 made as of July 25, 2008 between BBVA Bancomer Servicios, S.A., as Trustee of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0" w:type="dxa"/>
            <w:vAlign w:val="bottom"/>
          </w:tcPr>
          <w:p>
            <w:pPr>
              <w:ind w:left="400"/>
              <w:spacing w:after="0" w:line="142" w:lineRule="exact"/>
              <w:rPr>
                <w:sz w:val="20"/>
                <w:szCs w:val="20"/>
                <w:color w:val="auto"/>
              </w:rPr>
            </w:pPr>
            <w:r>
              <w:rPr>
                <w:rFonts w:ascii="Arial" w:cs="Arial" w:eastAsia="Arial" w:hAnsi="Arial"/>
                <w:sz w:val="16"/>
                <w:szCs w:val="16"/>
                <w:color w:val="auto"/>
              </w:rPr>
              <w:t>“Submetropoli de Tijuana” Trust Haemonetics Mexico Manufacturing, S. de R.L. de C.V., as successor in interest to Ensatec, S.A. de C.V.,</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0" w:type="dxa"/>
            <w:vAlign w:val="bottom"/>
          </w:tcPr>
          <w:p>
            <w:pPr>
              <w:ind w:left="400"/>
              <w:spacing w:after="0" w:line="176" w:lineRule="exact"/>
              <w:rPr>
                <w:sz w:val="20"/>
                <w:szCs w:val="20"/>
                <w:color w:val="auto"/>
              </w:rPr>
            </w:pPr>
            <w:r>
              <w:rPr>
                <w:rFonts w:ascii="Arial" w:cs="Arial" w:eastAsia="Arial" w:hAnsi="Arial"/>
                <w:sz w:val="18"/>
                <w:szCs w:val="18"/>
                <w:color w:val="auto"/>
                <w:w w:val="99"/>
              </w:rPr>
              <w:t>for property located in Tijuana, Mexico (filed as Exhibit 10K to the Company's Form 10-K for the year ended March 30, 2013 and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0" w:type="dxa"/>
            <w:vAlign w:val="bottom"/>
          </w:tcPr>
          <w:p>
            <w:pPr>
              <w:ind w:left="40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 w:type="dxa"/>
            <w:vAlign w:val="bottom"/>
            <w:gridSpan w:val="6"/>
          </w:tcPr>
          <w:p>
            <w:pPr>
              <w:spacing w:after="0" w:line="190" w:lineRule="exact"/>
              <w:rPr>
                <w:rFonts w:ascii="Arial" w:cs="Arial" w:eastAsia="Arial" w:hAnsi="Arial"/>
                <w:sz w:val="18"/>
                <w:szCs w:val="18"/>
                <w:color w:val="0000FF"/>
              </w:rPr>
            </w:pPr>
            <w:hyperlink r:id="rId157">
              <w:r>
                <w:rPr>
                  <w:rFonts w:ascii="Arial" w:cs="Arial" w:eastAsia="Arial" w:hAnsi="Arial"/>
                  <w:sz w:val="18"/>
                  <w:szCs w:val="18"/>
                  <w:color w:val="0000FF"/>
                </w:rPr>
                <w:t>10AP</w:t>
              </w:r>
            </w:hyperlink>
          </w:p>
        </w:tc>
        <w:tc>
          <w:tcPr>
            <w:tcW w:w="10600" w:type="dxa"/>
            <w:vAlign w:val="bottom"/>
          </w:tcPr>
          <w:p>
            <w:pPr>
              <w:ind w:left="400"/>
              <w:spacing w:after="0" w:line="190" w:lineRule="exact"/>
              <w:rPr>
                <w:sz w:val="20"/>
                <w:szCs w:val="20"/>
                <w:color w:val="auto"/>
              </w:rPr>
            </w:pPr>
            <w:r>
              <w:rPr>
                <w:rFonts w:ascii="Arial" w:cs="Arial" w:eastAsia="Arial" w:hAnsi="Arial"/>
                <w:sz w:val="18"/>
                <w:szCs w:val="18"/>
                <w:color w:val="auto"/>
                <w:w w:val="90"/>
              </w:rPr>
              <w:t>Extension to Lease dated February 21, 2000, made as of August 14, 2011 between PROCADEF 1, S.A.P.I. de C.V. and Haemonetics Mexico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0" w:type="dxa"/>
            <w:vAlign w:val="bottom"/>
          </w:tcPr>
          <w:p>
            <w:pPr>
              <w:ind w:left="400"/>
              <w:spacing w:after="0" w:line="142" w:lineRule="exact"/>
              <w:rPr>
                <w:sz w:val="20"/>
                <w:szCs w:val="20"/>
                <w:color w:val="auto"/>
              </w:rPr>
            </w:pPr>
            <w:r>
              <w:rPr>
                <w:rFonts w:ascii="Arial" w:cs="Arial" w:eastAsia="Arial" w:hAnsi="Arial"/>
                <w:sz w:val="16"/>
                <w:szCs w:val="16"/>
                <w:color w:val="auto"/>
              </w:rPr>
              <w:t>Manufacturing, S. de R.L. de C.V., as successor in interest to Ensatec, S.A. de C.V., for property located in Tijuana, Mexico (Spanish to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0" w:type="dxa"/>
            <w:vAlign w:val="bottom"/>
          </w:tcPr>
          <w:p>
            <w:pPr>
              <w:ind w:left="400"/>
              <w:spacing w:after="0" w:line="176" w:lineRule="exact"/>
              <w:rPr>
                <w:sz w:val="20"/>
                <w:szCs w:val="20"/>
                <w:color w:val="auto"/>
              </w:rPr>
            </w:pPr>
            <w:r>
              <w:rPr>
                <w:rFonts w:ascii="Arial" w:cs="Arial" w:eastAsia="Arial" w:hAnsi="Arial"/>
                <w:sz w:val="18"/>
                <w:szCs w:val="18"/>
                <w:color w:val="auto"/>
                <w:w w:val="98"/>
              </w:rPr>
              <w:t>English translation filed as Exhibit 10L to the Company's Form 10-K for the year ended March 30, 2013 and incorporated herein by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0" w:type="dxa"/>
            <w:vAlign w:val="bottom"/>
          </w:tcPr>
          <w:p>
            <w:pPr>
              <w:ind w:left="40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 w:type="dxa"/>
            <w:vAlign w:val="bottom"/>
            <w:gridSpan w:val="6"/>
          </w:tcPr>
          <w:p>
            <w:pPr>
              <w:spacing w:after="0" w:line="190" w:lineRule="exact"/>
              <w:rPr>
                <w:rFonts w:ascii="Arial" w:cs="Arial" w:eastAsia="Arial" w:hAnsi="Arial"/>
                <w:sz w:val="18"/>
                <w:szCs w:val="18"/>
                <w:color w:val="0000FF"/>
              </w:rPr>
            </w:pPr>
            <w:hyperlink r:id="rId158">
              <w:r>
                <w:rPr>
                  <w:rFonts w:ascii="Arial" w:cs="Arial" w:eastAsia="Arial" w:hAnsi="Arial"/>
                  <w:sz w:val="18"/>
                  <w:szCs w:val="18"/>
                  <w:color w:val="0000FF"/>
                </w:rPr>
                <w:t>10AQ</w:t>
              </w:r>
            </w:hyperlink>
          </w:p>
        </w:tc>
        <w:tc>
          <w:tcPr>
            <w:tcW w:w="10600" w:type="dxa"/>
            <w:vAlign w:val="bottom"/>
          </w:tcPr>
          <w:p>
            <w:pPr>
              <w:ind w:left="400"/>
              <w:spacing w:after="0" w:line="190" w:lineRule="exact"/>
              <w:rPr>
                <w:sz w:val="20"/>
                <w:szCs w:val="20"/>
                <w:color w:val="auto"/>
              </w:rPr>
            </w:pPr>
            <w:r>
              <w:rPr>
                <w:rFonts w:ascii="Arial" w:cs="Arial" w:eastAsia="Arial" w:hAnsi="Arial"/>
                <w:sz w:val="18"/>
                <w:szCs w:val="18"/>
                <w:color w:val="auto"/>
                <w:w w:val="91"/>
              </w:rPr>
              <w:t>Amendment Letter to Lease dated February 21, 2000, made as of August 14, 2011 between BBVA Bancomer Servicios, S.A., as Trustee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0" w:type="dxa"/>
            <w:vAlign w:val="bottom"/>
          </w:tcPr>
          <w:p>
            <w:pPr>
              <w:ind w:left="400"/>
              <w:spacing w:after="0" w:line="142" w:lineRule="exact"/>
              <w:rPr>
                <w:sz w:val="20"/>
                <w:szCs w:val="20"/>
                <w:color w:val="auto"/>
              </w:rPr>
            </w:pPr>
            <w:r>
              <w:rPr>
                <w:rFonts w:ascii="Arial" w:cs="Arial" w:eastAsia="Arial" w:hAnsi="Arial"/>
                <w:sz w:val="16"/>
                <w:szCs w:val="16"/>
                <w:color w:val="auto"/>
              </w:rPr>
              <w:t>the “Submetropoli de Tijuana” Trust and Haemonetics Mexico Manufacturing, S. de R.L. de C.V., as successor in interest to Ensatec, S.A. de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0" w:type="dxa"/>
            <w:vAlign w:val="bottom"/>
          </w:tcPr>
          <w:p>
            <w:pPr>
              <w:ind w:left="400"/>
              <w:spacing w:after="0" w:line="176" w:lineRule="exact"/>
              <w:rPr>
                <w:sz w:val="20"/>
                <w:szCs w:val="20"/>
                <w:color w:val="auto"/>
              </w:rPr>
            </w:pPr>
            <w:r>
              <w:rPr>
                <w:rFonts w:ascii="Arial" w:cs="Arial" w:eastAsia="Arial" w:hAnsi="Arial"/>
                <w:sz w:val="18"/>
                <w:szCs w:val="18"/>
                <w:color w:val="auto"/>
                <w:w w:val="95"/>
              </w:rPr>
              <w:t>C.V., for property located in Tijuana, Mexico (filed as Exhibit 10M to the Company's Form 10-K for the year ended March 30, 2013 and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0" w:type="dxa"/>
            <w:vAlign w:val="bottom"/>
          </w:tcPr>
          <w:p>
            <w:pPr>
              <w:ind w:left="40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 w:type="dxa"/>
            <w:vAlign w:val="bottom"/>
            <w:gridSpan w:val="6"/>
          </w:tcPr>
          <w:p>
            <w:pPr>
              <w:spacing w:after="0" w:line="190" w:lineRule="exact"/>
              <w:rPr>
                <w:sz w:val="20"/>
                <w:szCs w:val="20"/>
                <w:color w:val="auto"/>
              </w:rPr>
            </w:pPr>
            <w:r>
              <w:rPr>
                <w:rFonts w:ascii="Arial" w:cs="Arial" w:eastAsia="Arial" w:hAnsi="Arial"/>
                <w:sz w:val="18"/>
                <w:szCs w:val="18"/>
                <w:color w:val="0000FF"/>
              </w:rPr>
              <w:t>10AR</w:t>
            </w:r>
          </w:p>
        </w:tc>
        <w:tc>
          <w:tcPr>
            <w:tcW w:w="10600" w:type="dxa"/>
            <w:vAlign w:val="bottom"/>
          </w:tcPr>
          <w:p>
            <w:pPr>
              <w:ind w:left="400"/>
              <w:spacing w:after="0" w:line="190" w:lineRule="exact"/>
              <w:rPr>
                <w:sz w:val="20"/>
                <w:szCs w:val="20"/>
                <w:color w:val="auto"/>
              </w:rPr>
            </w:pPr>
            <w:r>
              <w:rPr>
                <w:rFonts w:ascii="Arial" w:cs="Arial" w:eastAsia="Arial" w:hAnsi="Arial"/>
                <w:sz w:val="18"/>
                <w:szCs w:val="18"/>
                <w:color w:val="auto"/>
                <w:w w:val="90"/>
              </w:rPr>
              <w:t>Notice of Assignment to Lease dated February 21, 2000, made as of February 23, 2012 between BBVA Bancomer Servicios, S.A., as Trustee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0" w:type="dxa"/>
            <w:vAlign w:val="bottom"/>
          </w:tcPr>
          <w:p>
            <w:pPr>
              <w:ind w:left="400"/>
              <w:spacing w:after="0" w:line="142" w:lineRule="exact"/>
              <w:rPr>
                <w:sz w:val="20"/>
                <w:szCs w:val="20"/>
                <w:color w:val="auto"/>
              </w:rPr>
            </w:pPr>
            <w:r>
              <w:rPr>
                <w:rFonts w:ascii="Arial" w:cs="Arial" w:eastAsia="Arial" w:hAnsi="Arial"/>
                <w:sz w:val="16"/>
                <w:szCs w:val="16"/>
                <w:color w:val="auto"/>
              </w:rPr>
              <w:t>of the “Submetropoli de Tijuana” Trust and Haemonetics Mexico Manufacturing, S. de R.L. de C.V., as successor in interest to Ensatec, S.A.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0" w:type="dxa"/>
            <w:vAlign w:val="bottom"/>
          </w:tcPr>
          <w:p>
            <w:pPr>
              <w:ind w:left="400"/>
              <w:spacing w:after="0" w:line="176" w:lineRule="exact"/>
              <w:rPr>
                <w:sz w:val="20"/>
                <w:szCs w:val="20"/>
                <w:color w:val="auto"/>
              </w:rPr>
            </w:pPr>
            <w:r>
              <w:rPr>
                <w:rFonts w:ascii="Arial" w:cs="Arial" w:eastAsia="Arial" w:hAnsi="Arial"/>
                <w:sz w:val="18"/>
                <w:szCs w:val="18"/>
                <w:color w:val="auto"/>
                <w:w w:val="95"/>
              </w:rPr>
              <w:t>de C.V. for property located in Tijuana, Mexico (Spanish to English translation filed as Exhibit 10N to the Company's Form 10-K 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vMerge w:val="restart"/>
          </w:tcPr>
          <w:p>
            <w:pPr>
              <w:spacing w:after="0"/>
              <w:rPr>
                <w:sz w:val="20"/>
                <w:szCs w:val="20"/>
                <w:color w:val="auto"/>
              </w:rPr>
            </w:pPr>
            <w:r>
              <w:rPr>
                <w:rFonts w:ascii="Arial" w:cs="Arial" w:eastAsia="Arial" w:hAnsi="Arial"/>
                <w:sz w:val="18"/>
                <w:szCs w:val="18"/>
                <w:color w:val="0000FF"/>
                <w:w w:val="90"/>
              </w:rPr>
              <w:t>10AS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0" w:type="dxa"/>
            <w:vAlign w:val="bottom"/>
          </w:tcPr>
          <w:p>
            <w:pPr>
              <w:ind w:left="400"/>
              <w:spacing w:after="0"/>
              <w:rPr>
                <w:sz w:val="20"/>
                <w:szCs w:val="20"/>
                <w:color w:val="auto"/>
              </w:rPr>
            </w:pPr>
            <w:r>
              <w:rPr>
                <w:rFonts w:ascii="Arial" w:cs="Arial" w:eastAsia="Arial" w:hAnsi="Arial"/>
                <w:sz w:val="18"/>
                <w:szCs w:val="18"/>
                <w:color w:val="auto"/>
              </w:rPr>
              <w:t>year ended March 30, 2013 and incorporated herein by reference).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0" w:type="dxa"/>
            <w:vAlign w:val="bottom"/>
            <w:tcBorders>
              <w:bottom w:val="single" w:sz="8" w:color="0000FF"/>
            </w:tcBorders>
            <w:vMerge w:val="continue"/>
          </w:tcPr>
          <w:p>
            <w:pPr>
              <w:spacing w:after="0"/>
              <w:rPr>
                <w:sz w:val="16"/>
                <w:szCs w:val="16"/>
                <w:color w:val="auto"/>
              </w:rPr>
            </w:pPr>
          </w:p>
        </w:tc>
        <w:tc>
          <w:tcPr>
            <w:tcW w:w="200" w:type="dxa"/>
            <w:vAlign w:val="bottom"/>
            <w:gridSpan w:val="5"/>
          </w:tcPr>
          <w:p>
            <w:pPr>
              <w:spacing w:after="0"/>
              <w:rPr>
                <w:sz w:val="16"/>
                <w:szCs w:val="16"/>
                <w:color w:val="auto"/>
              </w:rPr>
            </w:pPr>
          </w:p>
        </w:tc>
        <w:tc>
          <w:tcPr>
            <w:tcW w:w="10600" w:type="dxa"/>
            <w:vAlign w:val="bottom"/>
          </w:tcPr>
          <w:p>
            <w:pPr>
              <w:ind w:left="400"/>
              <w:spacing w:after="0" w:line="182" w:lineRule="exact"/>
              <w:rPr>
                <w:sz w:val="20"/>
                <w:szCs w:val="20"/>
                <w:color w:val="auto"/>
              </w:rPr>
            </w:pPr>
            <w:r>
              <w:rPr>
                <w:rFonts w:ascii="Arial" w:cs="Arial" w:eastAsia="Arial" w:hAnsi="Arial"/>
                <w:sz w:val="18"/>
                <w:szCs w:val="18"/>
                <w:color w:val="auto"/>
                <w:w w:val="91"/>
              </w:rPr>
              <w:t>Amendment to Lease dated February 21, 2000 made as of January 1, 2018 between MEGA2013, S.A.P.I. de CV (as successor in interest to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0" w:type="dxa"/>
            <w:vAlign w:val="bottom"/>
          </w:tcPr>
          <w:p>
            <w:pPr>
              <w:ind w:left="400"/>
              <w:spacing w:after="0" w:line="169" w:lineRule="exact"/>
              <w:rPr>
                <w:sz w:val="20"/>
                <w:szCs w:val="20"/>
                <w:color w:val="auto"/>
              </w:rPr>
            </w:pPr>
            <w:r>
              <w:rPr>
                <w:rFonts w:ascii="Arial" w:cs="Arial" w:eastAsia="Arial" w:hAnsi="Arial"/>
                <w:sz w:val="18"/>
                <w:szCs w:val="18"/>
                <w:color w:val="auto"/>
                <w:w w:val="93"/>
              </w:rPr>
              <w:t>ABBVA Bancomer Servicios, S.A., as Trustee of the “Submetropoli de Tijuana” Trust) and Haemonetics Mexico Manufacturing, S. de R.L.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0" w:type="dxa"/>
            <w:vAlign w:val="bottom"/>
          </w:tcPr>
          <w:p>
            <w:pPr>
              <w:ind w:left="400"/>
              <w:spacing w:after="0" w:line="176" w:lineRule="exact"/>
              <w:rPr>
                <w:sz w:val="20"/>
                <w:szCs w:val="20"/>
                <w:color w:val="auto"/>
              </w:rPr>
            </w:pPr>
            <w:r>
              <w:rPr>
                <w:rFonts w:ascii="Arial" w:cs="Arial" w:eastAsia="Arial" w:hAnsi="Arial"/>
                <w:sz w:val="18"/>
                <w:szCs w:val="18"/>
                <w:color w:val="auto"/>
                <w:w w:val="94"/>
              </w:rPr>
              <w:t>de C.V., as successor in interest to Ensatec, S.A. de C.V., for property located in Tijuana, Mexico (filed as Exhibit 10R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0" w:type="dxa"/>
            <w:vAlign w:val="bottom"/>
          </w:tcPr>
          <w:p>
            <w:pPr>
              <w:ind w:left="400"/>
              <w:spacing w:after="0"/>
              <w:rPr>
                <w:sz w:val="20"/>
                <w:szCs w:val="20"/>
                <w:color w:val="auto"/>
              </w:rPr>
            </w:pPr>
            <w:r>
              <w:rPr>
                <w:rFonts w:ascii="Arial" w:cs="Arial" w:eastAsia="Arial" w:hAnsi="Arial"/>
                <w:sz w:val="18"/>
                <w:szCs w:val="18"/>
                <w:color w:val="auto"/>
              </w:rPr>
              <w:t>Form 10-K for the year ended March 31, 2018 and incorporated herein by reference).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 w:type="dxa"/>
            <w:vAlign w:val="bottom"/>
            <w:gridSpan w:val="6"/>
          </w:tcPr>
          <w:p>
            <w:pPr>
              <w:spacing w:after="0"/>
              <w:rPr>
                <w:sz w:val="20"/>
                <w:szCs w:val="20"/>
                <w:color w:val="auto"/>
              </w:rPr>
            </w:pPr>
            <w:r>
              <w:rPr>
                <w:rFonts w:ascii="Arial" w:cs="Arial" w:eastAsia="Arial" w:hAnsi="Arial"/>
                <w:sz w:val="18"/>
                <w:szCs w:val="18"/>
                <w:color w:val="0000FF"/>
              </w:rPr>
              <w:t>10AT</w:t>
            </w:r>
          </w:p>
        </w:tc>
        <w:tc>
          <w:tcPr>
            <w:tcW w:w="10600" w:type="dxa"/>
            <w:vAlign w:val="bottom"/>
          </w:tcPr>
          <w:p>
            <w:pPr>
              <w:ind w:left="400"/>
              <w:spacing w:after="0"/>
              <w:rPr>
                <w:sz w:val="20"/>
                <w:szCs w:val="20"/>
                <w:color w:val="auto"/>
              </w:rPr>
            </w:pPr>
            <w:r>
              <w:rPr>
                <w:rFonts w:ascii="Arial" w:cs="Arial" w:eastAsia="Arial" w:hAnsi="Arial"/>
                <w:sz w:val="18"/>
                <w:szCs w:val="18"/>
                <w:color w:val="auto"/>
                <w:w w:val="94"/>
              </w:rPr>
              <w:t>Lease Agreement effective December 3, 2007 between Mrs. Blanca Estela Colunga Santelices, by her own right, and Pall Life Sciences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0" w:type="dxa"/>
            <w:vAlign w:val="bottom"/>
          </w:tcPr>
          <w:p>
            <w:pPr>
              <w:ind w:left="400"/>
              <w:spacing w:after="0" w:line="142" w:lineRule="exact"/>
              <w:rPr>
                <w:sz w:val="20"/>
                <w:szCs w:val="20"/>
                <w:color w:val="auto"/>
              </w:rPr>
            </w:pPr>
            <w:r>
              <w:rPr>
                <w:rFonts w:ascii="Arial" w:cs="Arial" w:eastAsia="Arial" w:hAnsi="Arial"/>
                <w:sz w:val="16"/>
                <w:szCs w:val="16"/>
                <w:color w:val="auto"/>
              </w:rPr>
              <w:t>Mexico, S.de R.L. de C.V. for the property located in Tijuana, Mexico (Spanish to English translation filed as Exhibit 10W to the Company's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0" w:type="dxa"/>
            <w:vAlign w:val="bottom"/>
          </w:tcPr>
          <w:p>
            <w:pPr>
              <w:ind w:left="400"/>
              <w:spacing w:after="0"/>
              <w:rPr>
                <w:sz w:val="20"/>
                <w:szCs w:val="20"/>
                <w:color w:val="auto"/>
              </w:rPr>
            </w:pPr>
            <w:r>
              <w:rPr>
                <w:rFonts w:ascii="Arial" w:cs="Arial" w:eastAsia="Arial" w:hAnsi="Arial"/>
                <w:sz w:val="18"/>
                <w:szCs w:val="18"/>
                <w:color w:val="auto"/>
              </w:rPr>
              <w:t>Form 10-K for the year ended March 30, 2013 and incorporated herein by reference).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 w:type="dxa"/>
            <w:vAlign w:val="bottom"/>
            <w:gridSpan w:val="6"/>
          </w:tcPr>
          <w:p>
            <w:pPr>
              <w:spacing w:after="0" w:line="190" w:lineRule="exact"/>
              <w:rPr>
                <w:sz w:val="20"/>
                <w:szCs w:val="20"/>
                <w:color w:val="auto"/>
              </w:rPr>
            </w:pPr>
            <w:r>
              <w:rPr>
                <w:rFonts w:ascii="Arial" w:cs="Arial" w:eastAsia="Arial" w:hAnsi="Arial"/>
                <w:sz w:val="18"/>
                <w:szCs w:val="18"/>
                <w:color w:val="0000FF"/>
              </w:rPr>
              <w:t>10AU</w:t>
            </w:r>
          </w:p>
        </w:tc>
        <w:tc>
          <w:tcPr>
            <w:tcW w:w="10600" w:type="dxa"/>
            <w:vAlign w:val="bottom"/>
          </w:tcPr>
          <w:p>
            <w:pPr>
              <w:ind w:left="400"/>
              <w:spacing w:after="0" w:line="190" w:lineRule="exact"/>
              <w:rPr>
                <w:sz w:val="20"/>
                <w:szCs w:val="20"/>
                <w:color w:val="auto"/>
              </w:rPr>
            </w:pPr>
            <w:r>
              <w:rPr>
                <w:rFonts w:ascii="Arial" w:cs="Arial" w:eastAsia="Arial" w:hAnsi="Arial"/>
                <w:sz w:val="18"/>
                <w:szCs w:val="18"/>
                <w:color w:val="auto"/>
                <w:w w:val="89"/>
              </w:rPr>
              <w:t>Assignment to Lease Agreement effective December 3, 2007, made as of December 2, 2011 between Mrs. Blanca Estela Colunga Santelices,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0" w:type="dxa"/>
            <w:vAlign w:val="bottom"/>
          </w:tcPr>
          <w:p>
            <w:pPr>
              <w:ind w:left="400"/>
              <w:spacing w:after="0" w:line="142" w:lineRule="exact"/>
              <w:rPr>
                <w:sz w:val="20"/>
                <w:szCs w:val="20"/>
                <w:color w:val="auto"/>
              </w:rPr>
            </w:pPr>
            <w:r>
              <w:rPr>
                <w:rFonts w:ascii="Arial" w:cs="Arial" w:eastAsia="Arial" w:hAnsi="Arial"/>
                <w:sz w:val="16"/>
                <w:szCs w:val="16"/>
                <w:color w:val="auto"/>
              </w:rPr>
              <w:t>by her own right, Pall Life Sciences Mexico, S.de R.L. de C.V., (“Assignor”) and Haemonetics Mexico Manufacturing, S. de R.L. de C.V.as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0" w:type="dxa"/>
            <w:vAlign w:val="bottom"/>
          </w:tcPr>
          <w:p>
            <w:pPr>
              <w:ind w:left="400"/>
              <w:spacing w:after="0" w:line="176" w:lineRule="exact"/>
              <w:rPr>
                <w:sz w:val="20"/>
                <w:szCs w:val="20"/>
                <w:color w:val="auto"/>
              </w:rPr>
            </w:pPr>
            <w:r>
              <w:rPr>
                <w:rFonts w:ascii="Arial" w:cs="Arial" w:eastAsia="Arial" w:hAnsi="Arial"/>
                <w:sz w:val="18"/>
                <w:szCs w:val="18"/>
                <w:color w:val="auto"/>
                <w:w w:val="95"/>
              </w:rPr>
              <w:t>successor in interest to Pall Mexico Manufacturing S. de R.L. de C.V., (“Assignee”) assigned in favor of the property located in Tijuana,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0" w:type="dxa"/>
            <w:vAlign w:val="bottom"/>
          </w:tcPr>
          <w:p>
            <w:pPr>
              <w:ind w:left="400"/>
              <w:spacing w:after="0"/>
              <w:rPr>
                <w:sz w:val="20"/>
                <w:szCs w:val="20"/>
                <w:color w:val="auto"/>
              </w:rPr>
            </w:pPr>
            <w:r>
              <w:rPr>
                <w:rFonts w:ascii="Arial" w:cs="Arial" w:eastAsia="Arial" w:hAnsi="Arial"/>
                <w:sz w:val="18"/>
                <w:szCs w:val="18"/>
                <w:color w:val="auto"/>
                <w:w w:val="97"/>
              </w:rPr>
              <w:t>Mexico (filed as Exhibit 10X to the Company's Form 10-K for the year ended March 30, 2013 and incorporated herein by reference).</w:t>
            </w:r>
          </w:p>
        </w:tc>
        <w:tc>
          <w:tcPr>
            <w:tcW w:w="0" w:type="dxa"/>
            <w:vAlign w:val="bottom"/>
          </w:tcPr>
          <w:p>
            <w:pPr>
              <w:spacing w:after="0"/>
              <w:rPr>
                <w:sz w:val="1"/>
                <w:szCs w:val="1"/>
                <w:color w:val="auto"/>
              </w:rPr>
            </w:pPr>
          </w:p>
        </w:tc>
      </w:tr>
      <w:tr>
        <w:trPr>
          <w:trHeight w:val="89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0" w:type="dxa"/>
            <w:vAlign w:val="bottom"/>
          </w:tcPr>
          <w:p>
            <w:pPr>
              <w:ind w:left="48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3" w:name="page114"/>
    <w:bookmarkEnd w:id="1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5"/>
              </w:rPr>
              <w:t>10AV</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2"/>
              </w:rPr>
              <w:t>Amendment to Lease Agreement effective December 3, 2007, made in 2017 between Mrs. Blanca Estela Colunga Santelices, by her own</w:t>
            </w: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0" w:type="dxa"/>
            <w:vAlign w:val="bottom"/>
          </w:tcPr>
          <w:p>
            <w:pPr>
              <w:ind w:left="420"/>
              <w:spacing w:after="0" w:line="169" w:lineRule="exact"/>
              <w:rPr>
                <w:sz w:val="20"/>
                <w:szCs w:val="20"/>
                <w:color w:val="auto"/>
              </w:rPr>
            </w:pPr>
            <w:r>
              <w:rPr>
                <w:rFonts w:ascii="Arial" w:cs="Arial" w:eastAsia="Arial" w:hAnsi="Arial"/>
                <w:sz w:val="18"/>
                <w:szCs w:val="18"/>
                <w:color w:val="auto"/>
                <w:w w:val="91"/>
              </w:rPr>
              <w:t>right, Pall Life Sciences Mexico, S.de R.L. de C.V. (“Assignor”) and Haemonetics Mexico Manufacturing, S. de R.L. de C.V. as successor in</w:t>
            </w:r>
          </w:p>
        </w:tc>
      </w:tr>
      <w:tr>
        <w:trPr>
          <w:trHeight w:val="176"/>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0" w:type="dxa"/>
            <w:vAlign w:val="bottom"/>
          </w:tcPr>
          <w:p>
            <w:pPr>
              <w:ind w:left="420"/>
              <w:spacing w:after="0" w:line="176" w:lineRule="exact"/>
              <w:rPr>
                <w:sz w:val="20"/>
                <w:szCs w:val="20"/>
                <w:color w:val="auto"/>
              </w:rPr>
            </w:pPr>
            <w:r>
              <w:rPr>
                <w:rFonts w:ascii="Arial" w:cs="Arial" w:eastAsia="Arial" w:hAnsi="Arial"/>
                <w:sz w:val="18"/>
                <w:szCs w:val="18"/>
                <w:color w:val="auto"/>
                <w:w w:val="92"/>
              </w:rPr>
              <w:t>interest to Pall Mexico Manufacturing S. de R.L. de C.V., (“Assignee”) assigned in favor of the property located in Tijuana, Mexico (filed as</w:t>
            </w:r>
          </w:p>
        </w:tc>
      </w:tr>
      <w:tr>
        <w:trPr>
          <w:trHeight w:val="230"/>
        </w:trPr>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Exhibit 10U to the Company's Form 10-K for the year ended March 31, 2018 and incorporated herein by reference).</w:t>
            </w:r>
          </w:p>
        </w:tc>
      </w:tr>
      <w:tr>
        <w:trPr>
          <w:trHeight w:val="229"/>
        </w:trPr>
        <w:tc>
          <w:tcPr>
            <w:tcW w:w="600" w:type="dxa"/>
            <w:vAlign w:val="bottom"/>
            <w:gridSpan w:val="4"/>
          </w:tcPr>
          <w:p>
            <w:pPr>
              <w:spacing w:after="0"/>
              <w:rPr>
                <w:sz w:val="20"/>
                <w:szCs w:val="20"/>
                <w:color w:val="auto"/>
              </w:rPr>
            </w:pPr>
            <w:r>
              <w:rPr>
                <w:rFonts w:ascii="Arial" w:cs="Arial" w:eastAsia="Arial" w:hAnsi="Arial"/>
                <w:sz w:val="18"/>
                <w:szCs w:val="18"/>
                <w:color w:val="0000FF"/>
              </w:rPr>
              <w:t>10AW</w:t>
            </w:r>
          </w:p>
        </w:tc>
        <w:tc>
          <w:tcPr>
            <w:tcW w:w="10600" w:type="dxa"/>
            <w:vAlign w:val="bottom"/>
          </w:tcPr>
          <w:p>
            <w:pPr>
              <w:ind w:left="420"/>
              <w:spacing w:after="0"/>
              <w:rPr>
                <w:sz w:val="20"/>
                <w:szCs w:val="20"/>
                <w:color w:val="auto"/>
              </w:rPr>
            </w:pPr>
            <w:r>
              <w:rPr>
                <w:rFonts w:ascii="Arial" w:cs="Arial" w:eastAsia="Arial" w:hAnsi="Arial"/>
                <w:sz w:val="18"/>
                <w:szCs w:val="18"/>
                <w:color w:val="auto"/>
                <w:w w:val="97"/>
              </w:rPr>
              <w:t>Sublease Contract to Lease Agreement effective December 3, 2007, made as of December 3, 2011 between Haemonetics Mexico</w:t>
            </w:r>
          </w:p>
        </w:tc>
      </w:tr>
      <w:tr>
        <w:trPr>
          <w:trHeight w:val="142"/>
        </w:trPr>
        <w:tc>
          <w:tcPr>
            <w:tcW w:w="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10600" w:type="dxa"/>
            <w:vAlign w:val="bottom"/>
          </w:tcPr>
          <w:p>
            <w:pPr>
              <w:ind w:left="420"/>
              <w:spacing w:after="0" w:line="142" w:lineRule="exact"/>
              <w:rPr>
                <w:sz w:val="20"/>
                <w:szCs w:val="20"/>
                <w:color w:val="auto"/>
              </w:rPr>
            </w:pPr>
            <w:r>
              <w:rPr>
                <w:rFonts w:ascii="Arial" w:cs="Arial" w:eastAsia="Arial" w:hAnsi="Arial"/>
                <w:sz w:val="16"/>
                <w:szCs w:val="16"/>
                <w:color w:val="auto"/>
              </w:rPr>
              <w:t>Manufacturing, S. de R.L. de C.V. as successor in interest to Pall Mexico Manufacturing, S.de R.L. de C.V., and Pall Life Sciences Mexico,</w:t>
            </w:r>
          </w:p>
        </w:tc>
      </w:tr>
      <w:tr>
        <w:trPr>
          <w:trHeight w:val="175"/>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0" w:type="dxa"/>
            <w:vAlign w:val="bottom"/>
          </w:tcPr>
          <w:p>
            <w:pPr>
              <w:ind w:left="420"/>
              <w:spacing w:after="0" w:line="176" w:lineRule="exact"/>
              <w:rPr>
                <w:sz w:val="20"/>
                <w:szCs w:val="20"/>
                <w:color w:val="auto"/>
              </w:rPr>
            </w:pPr>
            <w:r>
              <w:rPr>
                <w:rFonts w:ascii="Arial" w:cs="Arial" w:eastAsia="Arial" w:hAnsi="Arial"/>
                <w:sz w:val="18"/>
                <w:szCs w:val="18"/>
                <w:color w:val="auto"/>
                <w:w w:val="97"/>
              </w:rPr>
              <w:t>S. de R.L. de C.V., for the property located in Tijuana, Mexico (filed as Exhibit 10Y to the Company's Form 10-K for the year ended</w:t>
            </w:r>
          </w:p>
        </w:tc>
      </w:tr>
      <w:tr>
        <w:trPr>
          <w:trHeight w:val="229"/>
        </w:trPr>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March 30, 2013 and incorporated herein by reference).</w:t>
            </w:r>
          </w:p>
        </w:tc>
      </w:tr>
      <w:tr>
        <w:trPr>
          <w:trHeight w:val="190"/>
        </w:trPr>
        <w:tc>
          <w:tcPr>
            <w:tcW w:w="600" w:type="dxa"/>
            <w:vAlign w:val="bottom"/>
            <w:gridSpan w:val="4"/>
          </w:tcPr>
          <w:p>
            <w:pPr>
              <w:spacing w:after="0" w:line="190" w:lineRule="exact"/>
              <w:rPr>
                <w:sz w:val="20"/>
                <w:szCs w:val="20"/>
                <w:color w:val="auto"/>
              </w:rPr>
            </w:pPr>
            <w:r>
              <w:rPr>
                <w:rFonts w:ascii="Arial" w:cs="Arial" w:eastAsia="Arial" w:hAnsi="Arial"/>
                <w:sz w:val="18"/>
                <w:szCs w:val="18"/>
                <w:color w:val="0000FF"/>
              </w:rPr>
              <w:t>10AX</w:t>
            </w:r>
          </w:p>
        </w:tc>
        <w:tc>
          <w:tcPr>
            <w:tcW w:w="10600" w:type="dxa"/>
            <w:vAlign w:val="bottom"/>
          </w:tcPr>
          <w:p>
            <w:pPr>
              <w:ind w:left="420"/>
              <w:spacing w:after="0" w:line="190" w:lineRule="exact"/>
              <w:rPr>
                <w:sz w:val="20"/>
                <w:szCs w:val="20"/>
                <w:color w:val="auto"/>
              </w:rPr>
            </w:pPr>
            <w:r>
              <w:rPr>
                <w:rFonts w:ascii="Arial" w:cs="Arial" w:eastAsia="Arial" w:hAnsi="Arial"/>
                <w:sz w:val="18"/>
                <w:szCs w:val="18"/>
                <w:color w:val="auto"/>
                <w:w w:val="98"/>
              </w:rPr>
              <w:t>Sublease Contract to Lease Agreement effective December 3, 2007, made as of February 23, 2012 between Haemonetics Mexico</w:t>
            </w:r>
          </w:p>
        </w:tc>
      </w:tr>
      <w:tr>
        <w:trPr>
          <w:trHeight w:val="142"/>
        </w:trPr>
        <w:tc>
          <w:tcPr>
            <w:tcW w:w="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0" w:type="dxa"/>
            <w:vAlign w:val="bottom"/>
          </w:tcPr>
          <w:p>
            <w:pPr>
              <w:ind w:left="420"/>
              <w:spacing w:after="0" w:line="142" w:lineRule="exact"/>
              <w:rPr>
                <w:sz w:val="20"/>
                <w:szCs w:val="20"/>
                <w:color w:val="auto"/>
              </w:rPr>
            </w:pPr>
            <w:r>
              <w:rPr>
                <w:rFonts w:ascii="Arial" w:cs="Arial" w:eastAsia="Arial" w:hAnsi="Arial"/>
                <w:sz w:val="16"/>
                <w:szCs w:val="16"/>
                <w:color w:val="auto"/>
              </w:rPr>
              <w:t>Manufacturing, S. de R.L. de C.V. as successor in interest to Pall Mexico Manufacturing S. de R.L. de C.V. and Ensatec, S.A. de C.V., for the</w:t>
            </w:r>
          </w:p>
        </w:tc>
      </w:tr>
      <w:tr>
        <w:trPr>
          <w:trHeight w:val="176"/>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0" w:type="dxa"/>
            <w:vAlign w:val="bottom"/>
          </w:tcPr>
          <w:p>
            <w:pPr>
              <w:ind w:left="420"/>
              <w:spacing w:after="0" w:line="176" w:lineRule="exact"/>
              <w:rPr>
                <w:sz w:val="20"/>
                <w:szCs w:val="20"/>
                <w:color w:val="auto"/>
              </w:rPr>
            </w:pPr>
            <w:r>
              <w:rPr>
                <w:rFonts w:ascii="Arial" w:cs="Arial" w:eastAsia="Arial" w:hAnsi="Arial"/>
                <w:sz w:val="18"/>
                <w:szCs w:val="18"/>
                <w:color w:val="auto"/>
                <w:w w:val="92"/>
              </w:rPr>
              <w:t>property located in Tijuana, Mexico (filed as Exhibit 10Z to the Company's Form 10-K for the year ended March 30, 2013 and incorporated</w:t>
            </w:r>
          </w:p>
        </w:tc>
      </w:tr>
      <w:tr>
        <w:trPr>
          <w:trHeight w:val="229"/>
        </w:trPr>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herein by reference).</w:t>
            </w:r>
          </w:p>
        </w:tc>
      </w:tr>
      <w:tr>
        <w:trPr>
          <w:trHeight w:val="190"/>
        </w:trPr>
        <w:tc>
          <w:tcPr>
            <w:tcW w:w="600" w:type="dxa"/>
            <w:vAlign w:val="bottom"/>
            <w:gridSpan w:val="4"/>
          </w:tcPr>
          <w:p>
            <w:pPr>
              <w:spacing w:after="0" w:line="190" w:lineRule="exact"/>
              <w:rPr>
                <w:rFonts w:ascii="Arial" w:cs="Arial" w:eastAsia="Arial" w:hAnsi="Arial"/>
                <w:sz w:val="18"/>
                <w:szCs w:val="18"/>
                <w:color w:val="0000FF"/>
              </w:rPr>
            </w:pPr>
            <w:hyperlink r:id="rId161">
              <w:r>
                <w:rPr>
                  <w:rFonts w:ascii="Arial" w:cs="Arial" w:eastAsia="Arial" w:hAnsi="Arial"/>
                  <w:sz w:val="18"/>
                  <w:szCs w:val="18"/>
                  <w:color w:val="0000FF"/>
                </w:rPr>
                <w:t>10AY</w:t>
              </w:r>
            </w:hyperlink>
          </w:p>
        </w:tc>
        <w:tc>
          <w:tcPr>
            <w:tcW w:w="10600" w:type="dxa"/>
            <w:vAlign w:val="bottom"/>
          </w:tcPr>
          <w:p>
            <w:pPr>
              <w:ind w:left="420"/>
              <w:spacing w:after="0" w:line="190" w:lineRule="exact"/>
              <w:rPr>
                <w:sz w:val="20"/>
                <w:szCs w:val="20"/>
                <w:color w:val="auto"/>
              </w:rPr>
            </w:pPr>
            <w:r>
              <w:rPr>
                <w:rFonts w:ascii="Arial" w:cs="Arial" w:eastAsia="Arial" w:hAnsi="Arial"/>
                <w:sz w:val="18"/>
                <w:szCs w:val="18"/>
                <w:color w:val="auto"/>
                <w:w w:val="90"/>
              </w:rPr>
              <w:t>Lease dated September 19, 2013 between the Penang Development Corporation and Haemonetics Malaysia Sdn Bhd of the property located</w:t>
            </w:r>
          </w:p>
        </w:tc>
      </w:tr>
      <w:tr>
        <w:trPr>
          <w:trHeight w:val="195"/>
        </w:trPr>
        <w:tc>
          <w:tcPr>
            <w:tcW w:w="4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0" w:type="dxa"/>
            <w:vAlign w:val="bottom"/>
          </w:tcPr>
          <w:p>
            <w:pPr>
              <w:ind w:left="420"/>
              <w:spacing w:after="0" w:line="195" w:lineRule="exact"/>
              <w:rPr>
                <w:sz w:val="20"/>
                <w:szCs w:val="20"/>
                <w:color w:val="auto"/>
              </w:rPr>
            </w:pPr>
            <w:r>
              <w:rPr>
                <w:rFonts w:ascii="Arial" w:cs="Arial" w:eastAsia="Arial" w:hAnsi="Arial"/>
                <w:sz w:val="18"/>
                <w:szCs w:val="18"/>
                <w:color w:val="auto"/>
                <w:w w:val="90"/>
              </w:rPr>
              <w:t>in Penang, Malaysia (filed as Exhibit 10D to the Company's 10-Q for the quarter ended June 28, 2014 and incorporated herein by reference).</w:t>
            </w:r>
          </w:p>
        </w:tc>
      </w:tr>
      <w:tr>
        <w:trPr>
          <w:trHeight w:val="190"/>
        </w:trPr>
        <w:tc>
          <w:tcPr>
            <w:tcW w:w="600" w:type="dxa"/>
            <w:vAlign w:val="bottom"/>
            <w:tcBorders>
              <w:bottom w:val="single" w:sz="8" w:color="0000FF"/>
            </w:tcBorders>
            <w:gridSpan w:val="4"/>
          </w:tcPr>
          <w:p>
            <w:pPr>
              <w:spacing w:after="0" w:line="190" w:lineRule="exact"/>
              <w:rPr>
                <w:rFonts w:ascii="Arial" w:cs="Arial" w:eastAsia="Arial" w:hAnsi="Arial"/>
                <w:sz w:val="18"/>
                <w:szCs w:val="18"/>
                <w:color w:val="0000FF"/>
              </w:rPr>
            </w:pPr>
            <w:hyperlink r:id="rId162">
              <w:r>
                <w:rPr>
                  <w:rFonts w:ascii="Arial" w:cs="Arial" w:eastAsia="Arial" w:hAnsi="Arial"/>
                  <w:sz w:val="18"/>
                  <w:szCs w:val="18"/>
                  <w:color w:val="0000FF"/>
                </w:rPr>
                <w:t>10AZ**</w:t>
              </w:r>
            </w:hyperlink>
          </w:p>
        </w:tc>
        <w:tc>
          <w:tcPr>
            <w:tcW w:w="10600" w:type="dxa"/>
            <w:vAlign w:val="bottom"/>
          </w:tcPr>
          <w:p>
            <w:pPr>
              <w:ind w:left="420"/>
              <w:spacing w:after="0" w:line="190" w:lineRule="exact"/>
              <w:rPr>
                <w:sz w:val="20"/>
                <w:szCs w:val="20"/>
                <w:color w:val="auto"/>
              </w:rPr>
            </w:pPr>
            <w:r>
              <w:rPr>
                <w:rFonts w:ascii="Arial" w:cs="Arial" w:eastAsia="Arial" w:hAnsi="Arial"/>
                <w:sz w:val="18"/>
                <w:szCs w:val="18"/>
                <w:color w:val="auto"/>
                <w:w w:val="92"/>
              </w:rPr>
              <w:t>Shelter Plan Service Agreement, dated June 10, 2014, by and between Cardiva Medical, Inc. and Offshore International, Incorporated, as</w:t>
            </w:r>
          </w:p>
        </w:tc>
      </w:tr>
      <w:tr>
        <w:trPr>
          <w:trHeight w:val="142"/>
        </w:trPr>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0" w:type="dxa"/>
            <w:vAlign w:val="bottom"/>
          </w:tcPr>
          <w:p>
            <w:pPr>
              <w:ind w:left="420"/>
              <w:spacing w:after="0" w:line="142" w:lineRule="exact"/>
              <w:rPr>
                <w:sz w:val="20"/>
                <w:szCs w:val="20"/>
                <w:color w:val="auto"/>
              </w:rPr>
            </w:pPr>
            <w:r>
              <w:rPr>
                <w:rFonts w:ascii="Arial" w:cs="Arial" w:eastAsia="Arial" w:hAnsi="Arial"/>
                <w:sz w:val="16"/>
                <w:szCs w:val="16"/>
                <w:color w:val="auto"/>
              </w:rPr>
              <w:t>amended on October 30, 2019 (filed as Exhibit 10.23 to Cardiva Medical, Inc.’s Form S-1 (File No. 333-251885) dated January 4, 2021 and</w:t>
            </w:r>
          </w:p>
        </w:tc>
      </w:tr>
      <w:tr>
        <w:trPr>
          <w:trHeight w:val="229"/>
        </w:trPr>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incorporated herein by reference).</w:t>
            </w:r>
          </w:p>
        </w:tc>
      </w:tr>
      <w:tr>
        <w:trPr>
          <w:trHeight w:val="190"/>
        </w:trPr>
        <w:tc>
          <w:tcPr>
            <w:tcW w:w="600" w:type="dxa"/>
            <w:vAlign w:val="bottom"/>
            <w:gridSpan w:val="4"/>
          </w:tcPr>
          <w:p>
            <w:pPr>
              <w:spacing w:after="0" w:line="190" w:lineRule="exact"/>
              <w:rPr>
                <w:sz w:val="20"/>
                <w:szCs w:val="20"/>
                <w:color w:val="auto"/>
              </w:rPr>
            </w:pPr>
            <w:r>
              <w:rPr>
                <w:rFonts w:ascii="Arial" w:cs="Arial" w:eastAsia="Arial" w:hAnsi="Arial"/>
                <w:sz w:val="18"/>
                <w:szCs w:val="18"/>
                <w:color w:val="0000FF"/>
              </w:rPr>
              <w:t>10BA</w:t>
            </w:r>
          </w:p>
        </w:tc>
        <w:tc>
          <w:tcPr>
            <w:tcW w:w="10600" w:type="dxa"/>
            <w:vAlign w:val="bottom"/>
          </w:tcPr>
          <w:p>
            <w:pPr>
              <w:ind w:left="420"/>
              <w:spacing w:after="0" w:line="190" w:lineRule="exact"/>
              <w:rPr>
                <w:sz w:val="20"/>
                <w:szCs w:val="20"/>
                <w:color w:val="auto"/>
              </w:rPr>
            </w:pPr>
            <w:r>
              <w:rPr>
                <w:rFonts w:ascii="Arial" w:cs="Arial" w:eastAsia="Arial" w:hAnsi="Arial"/>
                <w:sz w:val="18"/>
                <w:szCs w:val="18"/>
                <w:color w:val="auto"/>
                <w:w w:val="94"/>
              </w:rPr>
              <w:t>Credit Agreement, dated as of June 15, 2018, by and among Haemonetics Corporation, the Lenders from time to time party thereto and</w:t>
            </w:r>
          </w:p>
        </w:tc>
      </w:tr>
      <w:tr>
        <w:trPr>
          <w:trHeight w:val="142"/>
        </w:trPr>
        <w:tc>
          <w:tcPr>
            <w:tcW w:w="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0" w:type="dxa"/>
            <w:vAlign w:val="bottom"/>
          </w:tcPr>
          <w:p>
            <w:pPr>
              <w:ind w:left="420"/>
              <w:spacing w:after="0" w:line="142" w:lineRule="exact"/>
              <w:rPr>
                <w:sz w:val="20"/>
                <w:szCs w:val="20"/>
                <w:color w:val="auto"/>
              </w:rPr>
            </w:pPr>
            <w:r>
              <w:rPr>
                <w:rFonts w:ascii="Arial" w:cs="Arial" w:eastAsia="Arial" w:hAnsi="Arial"/>
                <w:sz w:val="16"/>
                <w:szCs w:val="16"/>
                <w:color w:val="auto"/>
              </w:rPr>
              <w:t>JPMorgan Chase Bank, N.A., as Administrative Agent (filed as Exhibit 10.1 to the Company’s Form 8-K dated June 18, 2018 and</w:t>
            </w:r>
          </w:p>
        </w:tc>
      </w:tr>
      <w:tr>
        <w:trPr>
          <w:trHeight w:val="229"/>
        </w:trPr>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incorporated herein by reference).</w:t>
            </w:r>
          </w:p>
        </w:tc>
      </w:tr>
      <w:tr>
        <w:trPr>
          <w:trHeight w:val="190"/>
        </w:trPr>
        <w:tc>
          <w:tcPr>
            <w:tcW w:w="600" w:type="dxa"/>
            <w:vAlign w:val="bottom"/>
            <w:gridSpan w:val="4"/>
          </w:tcPr>
          <w:p>
            <w:pPr>
              <w:spacing w:after="0" w:line="190" w:lineRule="exact"/>
              <w:rPr>
                <w:rFonts w:ascii="Arial" w:cs="Arial" w:eastAsia="Arial" w:hAnsi="Arial"/>
                <w:sz w:val="18"/>
                <w:szCs w:val="18"/>
                <w:color w:val="0000FF"/>
              </w:rPr>
            </w:pPr>
            <w:hyperlink r:id="rId163">
              <w:r>
                <w:rPr>
                  <w:rFonts w:ascii="Arial" w:cs="Arial" w:eastAsia="Arial" w:hAnsi="Arial"/>
                  <w:sz w:val="18"/>
                  <w:szCs w:val="18"/>
                  <w:color w:val="0000FF"/>
                </w:rPr>
                <w:t>10BB</w:t>
              </w:r>
            </w:hyperlink>
          </w:p>
        </w:tc>
        <w:tc>
          <w:tcPr>
            <w:tcW w:w="10600" w:type="dxa"/>
            <w:vAlign w:val="bottom"/>
          </w:tcPr>
          <w:p>
            <w:pPr>
              <w:ind w:left="420"/>
              <w:spacing w:after="0" w:line="190" w:lineRule="exact"/>
              <w:rPr>
                <w:sz w:val="20"/>
                <w:szCs w:val="20"/>
                <w:color w:val="auto"/>
              </w:rPr>
            </w:pPr>
            <w:r>
              <w:rPr>
                <w:rFonts w:ascii="Arial" w:cs="Arial" w:eastAsia="Arial" w:hAnsi="Arial"/>
                <w:sz w:val="18"/>
                <w:szCs w:val="18"/>
                <w:color w:val="auto"/>
                <w:w w:val="90"/>
              </w:rPr>
              <w:t>Amendment No. 1, dated as of March 1, 2021, to Credit Agreement dated as of June 15, 2018, by and among Haemonetics Corporation, the</w:t>
            </w:r>
          </w:p>
        </w:tc>
      </w:tr>
      <w:tr>
        <w:trPr>
          <w:trHeight w:val="142"/>
        </w:trPr>
        <w:tc>
          <w:tcPr>
            <w:tcW w:w="4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0" w:type="dxa"/>
            <w:vAlign w:val="bottom"/>
          </w:tcPr>
          <w:p>
            <w:pPr>
              <w:ind w:left="420"/>
              <w:spacing w:after="0" w:line="142" w:lineRule="exact"/>
              <w:rPr>
                <w:sz w:val="20"/>
                <w:szCs w:val="20"/>
                <w:color w:val="auto"/>
              </w:rPr>
            </w:pPr>
            <w:r>
              <w:rPr>
                <w:rFonts w:ascii="Arial" w:cs="Arial" w:eastAsia="Arial" w:hAnsi="Arial"/>
                <w:sz w:val="16"/>
                <w:szCs w:val="16"/>
                <w:color w:val="auto"/>
              </w:rPr>
              <w:t>lenders from time to time party thereto and JPMorgan Chase Bank, N.A., as Administrative Agent (filed as Exhibit 10.1 to the Company's</w:t>
            </w:r>
          </w:p>
        </w:tc>
      </w:tr>
      <w:tr>
        <w:trPr>
          <w:trHeight w:val="229"/>
        </w:trPr>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Form 8-K dated March 1 2021 and incorporated herein by reference).</w:t>
            </w:r>
          </w:p>
        </w:tc>
      </w:tr>
      <w:tr>
        <w:trPr>
          <w:trHeight w:val="190"/>
        </w:trPr>
        <w:tc>
          <w:tcPr>
            <w:tcW w:w="600" w:type="dxa"/>
            <w:vAlign w:val="bottom"/>
            <w:gridSpan w:val="4"/>
          </w:tcPr>
          <w:p>
            <w:pPr>
              <w:spacing w:after="0" w:line="190" w:lineRule="exact"/>
              <w:rPr>
                <w:rFonts w:ascii="Arial" w:cs="Arial" w:eastAsia="Arial" w:hAnsi="Arial"/>
                <w:sz w:val="18"/>
                <w:szCs w:val="18"/>
                <w:color w:val="0000FF"/>
              </w:rPr>
            </w:pPr>
            <w:hyperlink r:id="rId164">
              <w:r>
                <w:rPr>
                  <w:rFonts w:ascii="Arial" w:cs="Arial" w:eastAsia="Arial" w:hAnsi="Arial"/>
                  <w:sz w:val="18"/>
                  <w:szCs w:val="18"/>
                  <w:color w:val="0000FF"/>
                </w:rPr>
                <w:t>10BC</w:t>
              </w:r>
            </w:hyperlink>
          </w:p>
        </w:tc>
        <w:tc>
          <w:tcPr>
            <w:tcW w:w="10600" w:type="dxa"/>
            <w:vAlign w:val="bottom"/>
          </w:tcPr>
          <w:p>
            <w:pPr>
              <w:ind w:left="420"/>
              <w:spacing w:after="0" w:line="190" w:lineRule="exact"/>
              <w:rPr>
                <w:sz w:val="20"/>
                <w:szCs w:val="20"/>
                <w:color w:val="auto"/>
              </w:rPr>
            </w:pPr>
            <w:r>
              <w:rPr>
                <w:rFonts w:ascii="Arial" w:cs="Arial" w:eastAsia="Arial" w:hAnsi="Arial"/>
                <w:sz w:val="18"/>
                <w:szCs w:val="18"/>
                <w:color w:val="auto"/>
                <w:w w:val="99"/>
              </w:rPr>
              <w:t>Form of Confirmation of Call Option Transaction (filed as Exhibit 10.1 to the Company's Form 8-K dated as of March 5, 2021 and</w:t>
            </w:r>
          </w:p>
        </w:tc>
      </w:tr>
      <w:tr>
        <w:trPr>
          <w:trHeight w:val="195"/>
        </w:trPr>
        <w:tc>
          <w:tcPr>
            <w:tcW w:w="4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0" w:type="dxa"/>
            <w:vAlign w:val="bottom"/>
          </w:tcPr>
          <w:p>
            <w:pPr>
              <w:ind w:left="420"/>
              <w:spacing w:after="0" w:line="195" w:lineRule="exact"/>
              <w:rPr>
                <w:sz w:val="20"/>
                <w:szCs w:val="20"/>
                <w:color w:val="auto"/>
              </w:rPr>
            </w:pPr>
            <w:r>
              <w:rPr>
                <w:rFonts w:ascii="Arial" w:cs="Arial" w:eastAsia="Arial" w:hAnsi="Arial"/>
                <w:sz w:val="18"/>
                <w:szCs w:val="18"/>
                <w:color w:val="auto"/>
              </w:rPr>
              <w:t>incorporated herein by reference).</w:t>
            </w:r>
          </w:p>
        </w:tc>
      </w:tr>
      <w:tr>
        <w:trPr>
          <w:trHeight w:val="190"/>
        </w:trPr>
        <w:tc>
          <w:tcPr>
            <w:tcW w:w="600" w:type="dxa"/>
            <w:vAlign w:val="bottom"/>
            <w:gridSpan w:val="4"/>
          </w:tcPr>
          <w:p>
            <w:pPr>
              <w:spacing w:after="0" w:line="190" w:lineRule="exact"/>
              <w:rPr>
                <w:rFonts w:ascii="Arial" w:cs="Arial" w:eastAsia="Arial" w:hAnsi="Arial"/>
                <w:sz w:val="18"/>
                <w:szCs w:val="18"/>
                <w:color w:val="0000FF"/>
              </w:rPr>
            </w:pPr>
            <w:hyperlink r:id="rId165">
              <w:r>
                <w:rPr>
                  <w:rFonts w:ascii="Arial" w:cs="Arial" w:eastAsia="Arial" w:hAnsi="Arial"/>
                  <w:sz w:val="18"/>
                  <w:szCs w:val="18"/>
                  <w:color w:val="0000FF"/>
                </w:rPr>
                <w:t>10BD</w:t>
              </w:r>
            </w:hyperlink>
          </w:p>
        </w:tc>
        <w:tc>
          <w:tcPr>
            <w:tcW w:w="10600" w:type="dxa"/>
            <w:vAlign w:val="bottom"/>
          </w:tcPr>
          <w:p>
            <w:pPr>
              <w:ind w:left="420"/>
              <w:spacing w:after="0" w:line="190" w:lineRule="exact"/>
              <w:rPr>
                <w:sz w:val="20"/>
                <w:szCs w:val="20"/>
                <w:color w:val="auto"/>
              </w:rPr>
            </w:pPr>
            <w:r>
              <w:rPr>
                <w:rFonts w:ascii="Arial" w:cs="Arial" w:eastAsia="Arial" w:hAnsi="Arial"/>
                <w:sz w:val="18"/>
                <w:szCs w:val="18"/>
                <w:color w:val="auto"/>
                <w:w w:val="93"/>
              </w:rPr>
              <w:t>Form of Confirmation of Additional Call Option Transaction (filed as Exhibit 10.1 to the Company's Form 8-K dated as of March 16, 2021</w:t>
            </w:r>
          </w:p>
        </w:tc>
      </w:tr>
      <w:tr>
        <w:trPr>
          <w:trHeight w:val="195"/>
        </w:trPr>
        <w:tc>
          <w:tcPr>
            <w:tcW w:w="4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0" w:type="dxa"/>
            <w:vAlign w:val="bottom"/>
          </w:tcPr>
          <w:p>
            <w:pPr>
              <w:ind w:left="420"/>
              <w:spacing w:after="0" w:line="195" w:lineRule="exact"/>
              <w:rPr>
                <w:sz w:val="20"/>
                <w:szCs w:val="20"/>
                <w:color w:val="auto"/>
              </w:rPr>
            </w:pPr>
            <w:r>
              <w:rPr>
                <w:rFonts w:ascii="Arial" w:cs="Arial" w:eastAsia="Arial" w:hAnsi="Arial"/>
                <w:sz w:val="18"/>
                <w:szCs w:val="18"/>
                <w:color w:val="auto"/>
              </w:rPr>
              <w:t>and incorporated herein by reference).</w:t>
            </w:r>
          </w:p>
        </w:tc>
      </w:tr>
      <w:tr>
        <w:trPr>
          <w:trHeight w:val="190"/>
        </w:trPr>
        <w:tc>
          <w:tcPr>
            <w:tcW w:w="600" w:type="dxa"/>
            <w:vAlign w:val="bottom"/>
            <w:tcBorders>
              <w:bottom w:val="single" w:sz="8" w:color="0000FF"/>
            </w:tcBorders>
            <w:gridSpan w:val="4"/>
          </w:tcPr>
          <w:p>
            <w:pPr>
              <w:spacing w:after="0" w:line="190" w:lineRule="exact"/>
              <w:rPr>
                <w:sz w:val="20"/>
                <w:szCs w:val="20"/>
                <w:color w:val="auto"/>
              </w:rPr>
            </w:pPr>
            <w:r>
              <w:rPr>
                <w:rFonts w:ascii="Arial" w:cs="Arial" w:eastAsia="Arial" w:hAnsi="Arial"/>
                <w:sz w:val="18"/>
                <w:szCs w:val="18"/>
                <w:color w:val="0000FF"/>
                <w:w w:val="99"/>
              </w:rPr>
              <w:t>10BE**</w:t>
            </w:r>
          </w:p>
        </w:tc>
        <w:tc>
          <w:tcPr>
            <w:tcW w:w="10600" w:type="dxa"/>
            <w:vAlign w:val="bottom"/>
          </w:tcPr>
          <w:p>
            <w:pPr>
              <w:ind w:left="420"/>
              <w:spacing w:after="0" w:line="190" w:lineRule="exact"/>
              <w:rPr>
                <w:sz w:val="20"/>
                <w:szCs w:val="20"/>
                <w:color w:val="auto"/>
              </w:rPr>
            </w:pPr>
            <w:r>
              <w:rPr>
                <w:rFonts w:ascii="Arial" w:cs="Arial" w:eastAsia="Arial" w:hAnsi="Arial"/>
                <w:sz w:val="18"/>
                <w:szCs w:val="18"/>
                <w:color w:val="auto"/>
                <w:w w:val="92"/>
              </w:rPr>
              <w:t>Agreement and Plan of Merger, dated as of January 17, 2021, by and among the Company, Concordia Merger Sub, Inc., Cardiva Medical,</w:t>
            </w:r>
          </w:p>
        </w:tc>
      </w:tr>
      <w:tr>
        <w:trPr>
          <w:trHeight w:val="142"/>
        </w:trPr>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0" w:type="dxa"/>
            <w:vAlign w:val="bottom"/>
          </w:tcPr>
          <w:p>
            <w:pPr>
              <w:ind w:left="420"/>
              <w:spacing w:after="0" w:line="142" w:lineRule="exact"/>
              <w:rPr>
                <w:sz w:val="20"/>
                <w:szCs w:val="20"/>
                <w:color w:val="auto"/>
              </w:rPr>
            </w:pPr>
            <w:r>
              <w:rPr>
                <w:rFonts w:ascii="Arial" w:cs="Arial" w:eastAsia="Arial" w:hAnsi="Arial"/>
                <w:sz w:val="16"/>
                <w:szCs w:val="16"/>
                <w:color w:val="auto"/>
              </w:rPr>
              <w:t>Inc. and Fortis Advisors LLC, as the Seller Representative (filed as Exhibit 10.4 to the Company’s 10-Q for the quarter ended December 26,</w:t>
            </w:r>
          </w:p>
        </w:tc>
      </w:tr>
      <w:tr>
        <w:trPr>
          <w:trHeight w:val="230"/>
        </w:trPr>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2020 and incorporated herein by reference).</w:t>
            </w:r>
          </w:p>
        </w:tc>
      </w:tr>
    </w:tbl>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4. Subsidiaries Certifications and Consents</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0" w:type="dxa"/>
            <w:vAlign w:val="bottom"/>
            <w:tcBorders>
              <w:bottom w:val="single" w:sz="8" w:color="0000FF"/>
            </w:tcBorders>
          </w:tcPr>
          <w:p>
            <w:pPr>
              <w:spacing w:after="0"/>
              <w:rPr>
                <w:rFonts w:ascii="Arial" w:cs="Arial" w:eastAsia="Arial" w:hAnsi="Arial"/>
                <w:sz w:val="18"/>
                <w:szCs w:val="18"/>
                <w:color w:val="0000FF"/>
                <w:w w:val="95"/>
              </w:rPr>
            </w:pPr>
            <w:hyperlink w:anchor="page117">
              <w:r>
                <w:rPr>
                  <w:rFonts w:ascii="Arial" w:cs="Arial" w:eastAsia="Arial" w:hAnsi="Arial"/>
                  <w:sz w:val="18"/>
                  <w:szCs w:val="18"/>
                  <w:color w:val="0000FF"/>
                  <w:w w:val="95"/>
                </w:rPr>
                <w:t>21.</w:t>
              </w:r>
              <w:r>
                <w:rPr>
                  <w:rFonts w:ascii="Arial" w:cs="Arial" w:eastAsia="Arial" w:hAnsi="Arial"/>
                  <w:sz w:val="18"/>
                  <w:szCs w:val="18"/>
                  <w:u w:val="single" w:color="auto"/>
                  <w:color w:val="0000FF"/>
                  <w:w w:val="95"/>
                </w:rPr>
                <w:t>1*</w:t>
              </w:r>
            </w:hyperlink>
          </w:p>
        </w:tc>
        <w:tc>
          <w:tcPr>
            <w:tcW w:w="360" w:type="dxa"/>
            <w:vAlign w:val="bottom"/>
          </w:tcPr>
          <w:p>
            <w:pPr>
              <w:spacing w:after="0"/>
              <w:rPr>
                <w:sz w:val="18"/>
                <w:szCs w:val="18"/>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Subsidiaries of the Company.</w:t>
            </w:r>
          </w:p>
        </w:tc>
      </w:tr>
      <w:tr>
        <w:trPr>
          <w:trHeight w:val="210"/>
        </w:trPr>
        <w:tc>
          <w:tcPr>
            <w:tcW w:w="420" w:type="dxa"/>
            <w:vAlign w:val="bottom"/>
            <w:tcBorders>
              <w:bottom w:val="single" w:sz="8" w:color="0000FF"/>
            </w:tcBorders>
          </w:tcPr>
          <w:p>
            <w:pPr>
              <w:spacing w:after="0"/>
              <w:rPr>
                <w:rFonts w:ascii="Arial" w:cs="Arial" w:eastAsia="Arial" w:hAnsi="Arial"/>
                <w:sz w:val="18"/>
                <w:szCs w:val="18"/>
                <w:color w:val="0000FF"/>
                <w:w w:val="95"/>
              </w:rPr>
            </w:pPr>
            <w:hyperlink w:anchor="page118">
              <w:r>
                <w:rPr>
                  <w:rFonts w:ascii="Arial" w:cs="Arial" w:eastAsia="Arial" w:hAnsi="Arial"/>
                  <w:sz w:val="18"/>
                  <w:szCs w:val="18"/>
                  <w:color w:val="0000FF"/>
                  <w:w w:val="95"/>
                </w:rPr>
                <w:t>23.</w:t>
              </w:r>
              <w:r>
                <w:rPr>
                  <w:rFonts w:ascii="Arial" w:cs="Arial" w:eastAsia="Arial" w:hAnsi="Arial"/>
                  <w:sz w:val="18"/>
                  <w:szCs w:val="18"/>
                  <w:u w:val="single" w:color="auto"/>
                  <w:color w:val="0000FF"/>
                  <w:w w:val="95"/>
                </w:rPr>
                <w:t>1*</w:t>
              </w:r>
            </w:hyperlink>
          </w:p>
        </w:tc>
        <w:tc>
          <w:tcPr>
            <w:tcW w:w="360" w:type="dxa"/>
            <w:vAlign w:val="bottom"/>
          </w:tcPr>
          <w:p>
            <w:pPr>
              <w:spacing w:after="0"/>
              <w:rPr>
                <w:sz w:val="18"/>
                <w:szCs w:val="18"/>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Consent of the Independent Registered Public Accounting Firm.</w:t>
            </w:r>
          </w:p>
        </w:tc>
      </w:tr>
      <w:tr>
        <w:trPr>
          <w:trHeight w:val="210"/>
        </w:trPr>
        <w:tc>
          <w:tcPr>
            <w:tcW w:w="420" w:type="dxa"/>
            <w:vAlign w:val="bottom"/>
            <w:tcBorders>
              <w:bottom w:val="single" w:sz="8" w:color="0000FF"/>
            </w:tcBorders>
          </w:tcPr>
          <w:p>
            <w:pPr>
              <w:spacing w:after="0"/>
              <w:rPr>
                <w:rFonts w:ascii="Arial" w:cs="Arial" w:eastAsia="Arial" w:hAnsi="Arial"/>
                <w:sz w:val="18"/>
                <w:szCs w:val="18"/>
                <w:color w:val="0000FF"/>
                <w:w w:val="95"/>
              </w:rPr>
            </w:pPr>
            <w:hyperlink w:anchor="page119">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hyperlink>
          </w:p>
        </w:tc>
        <w:tc>
          <w:tcPr>
            <w:tcW w:w="360" w:type="dxa"/>
            <w:vAlign w:val="bottom"/>
          </w:tcPr>
          <w:p>
            <w:pPr>
              <w:spacing w:after="0"/>
              <w:rPr>
                <w:sz w:val="18"/>
                <w:szCs w:val="18"/>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w w:val="91"/>
              </w:rPr>
              <w:t>Certification pursuant to Section 302 of Sarbanes-Oxley Act of 2002, of Christopher A. Simon, President and Chief Executive Officer of the</w:t>
            </w:r>
          </w:p>
        </w:tc>
      </w:tr>
      <w:tr>
        <w:trPr>
          <w:trHeight w:val="195"/>
        </w:trPr>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360" w:type="dxa"/>
            <w:vAlign w:val="bottom"/>
          </w:tcPr>
          <w:p>
            <w:pPr>
              <w:ind w:left="240"/>
              <w:spacing w:after="0" w:line="195" w:lineRule="exact"/>
              <w:rPr>
                <w:sz w:val="20"/>
                <w:szCs w:val="20"/>
                <w:color w:val="auto"/>
              </w:rPr>
            </w:pPr>
            <w:r>
              <w:rPr>
                <w:rFonts w:ascii="Arial" w:cs="Arial" w:eastAsia="Arial" w:hAnsi="Arial"/>
                <w:sz w:val="18"/>
                <w:szCs w:val="18"/>
                <w:color w:val="auto"/>
              </w:rPr>
              <w:t>Company.</w:t>
            </w:r>
          </w:p>
        </w:tc>
      </w:tr>
      <w:tr>
        <w:trPr>
          <w:trHeight w:val="190"/>
        </w:trPr>
        <w:tc>
          <w:tcPr>
            <w:tcW w:w="420" w:type="dxa"/>
            <w:vAlign w:val="bottom"/>
            <w:tcBorders>
              <w:bottom w:val="single" w:sz="8" w:color="0000FF"/>
            </w:tcBorders>
          </w:tcPr>
          <w:p>
            <w:pPr>
              <w:spacing w:after="0" w:line="190" w:lineRule="exact"/>
              <w:rPr>
                <w:rFonts w:ascii="Arial" w:cs="Arial" w:eastAsia="Arial" w:hAnsi="Arial"/>
                <w:sz w:val="18"/>
                <w:szCs w:val="18"/>
                <w:color w:val="0000FF"/>
                <w:w w:val="95"/>
              </w:rPr>
            </w:pPr>
            <w:hyperlink w:anchor="page120">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p>
        </w:tc>
        <w:tc>
          <w:tcPr>
            <w:tcW w:w="360" w:type="dxa"/>
            <w:vAlign w:val="bottom"/>
          </w:tcPr>
          <w:p>
            <w:pPr>
              <w:spacing w:after="0"/>
              <w:rPr>
                <w:sz w:val="16"/>
                <w:szCs w:val="16"/>
                <w:color w:val="auto"/>
              </w:rPr>
            </w:pPr>
          </w:p>
        </w:tc>
        <w:tc>
          <w:tcPr>
            <w:tcW w:w="10360" w:type="dxa"/>
            <w:vAlign w:val="bottom"/>
          </w:tcPr>
          <w:p>
            <w:pPr>
              <w:ind w:left="240"/>
              <w:spacing w:after="0" w:line="190" w:lineRule="exact"/>
              <w:rPr>
                <w:sz w:val="20"/>
                <w:szCs w:val="20"/>
                <w:color w:val="auto"/>
              </w:rPr>
            </w:pPr>
            <w:r>
              <w:rPr>
                <w:rFonts w:ascii="Arial" w:cs="Arial" w:eastAsia="Arial" w:hAnsi="Arial"/>
                <w:sz w:val="18"/>
                <w:szCs w:val="18"/>
                <w:color w:val="auto"/>
                <w:w w:val="92"/>
              </w:rPr>
              <w:t>Certification pursuant to Section 302 of Sarbanes-Oxley of 2002 of William Burke, Executive Vice President, Chief Financial Officer of the</w:t>
            </w:r>
          </w:p>
        </w:tc>
      </w:tr>
      <w:tr>
        <w:trPr>
          <w:trHeight w:val="195"/>
        </w:trPr>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360" w:type="dxa"/>
            <w:vAlign w:val="bottom"/>
          </w:tcPr>
          <w:p>
            <w:pPr>
              <w:ind w:left="240"/>
              <w:spacing w:after="0" w:line="195" w:lineRule="exact"/>
              <w:rPr>
                <w:sz w:val="20"/>
                <w:szCs w:val="20"/>
                <w:color w:val="auto"/>
              </w:rPr>
            </w:pPr>
            <w:r>
              <w:rPr>
                <w:rFonts w:ascii="Arial" w:cs="Arial" w:eastAsia="Arial" w:hAnsi="Arial"/>
                <w:sz w:val="18"/>
                <w:szCs w:val="18"/>
                <w:color w:val="auto"/>
              </w:rPr>
              <w:t>Company.</w:t>
            </w:r>
          </w:p>
        </w:tc>
      </w:tr>
      <w:tr>
        <w:trPr>
          <w:trHeight w:val="190"/>
        </w:trPr>
        <w:tc>
          <w:tcPr>
            <w:tcW w:w="420" w:type="dxa"/>
            <w:vAlign w:val="bottom"/>
            <w:tcBorders>
              <w:bottom w:val="single" w:sz="8" w:color="0000FF"/>
            </w:tcBorders>
          </w:tcPr>
          <w:p>
            <w:pPr>
              <w:spacing w:after="0" w:line="190" w:lineRule="exact"/>
              <w:rPr>
                <w:rFonts w:ascii="Arial" w:cs="Arial" w:eastAsia="Arial" w:hAnsi="Arial"/>
                <w:sz w:val="18"/>
                <w:szCs w:val="18"/>
                <w:color w:val="0000FF"/>
                <w:w w:val="95"/>
              </w:rPr>
            </w:pPr>
            <w:hyperlink w:anchor="page121">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hyperlink>
          </w:p>
        </w:tc>
        <w:tc>
          <w:tcPr>
            <w:tcW w:w="360" w:type="dxa"/>
            <w:vAlign w:val="bottom"/>
          </w:tcPr>
          <w:p>
            <w:pPr>
              <w:spacing w:after="0"/>
              <w:rPr>
                <w:sz w:val="16"/>
                <w:szCs w:val="16"/>
                <w:color w:val="auto"/>
              </w:rPr>
            </w:pPr>
          </w:p>
        </w:tc>
        <w:tc>
          <w:tcPr>
            <w:tcW w:w="10360" w:type="dxa"/>
            <w:vAlign w:val="bottom"/>
          </w:tcPr>
          <w:p>
            <w:pPr>
              <w:ind w:left="240"/>
              <w:spacing w:after="0" w:line="190" w:lineRule="exact"/>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195"/>
        </w:trPr>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360" w:type="dxa"/>
            <w:vAlign w:val="bottom"/>
          </w:tcPr>
          <w:p>
            <w:pPr>
              <w:ind w:left="240"/>
              <w:spacing w:after="0" w:line="195" w:lineRule="exact"/>
              <w:rPr>
                <w:sz w:val="20"/>
                <w:szCs w:val="20"/>
                <w:color w:val="auto"/>
              </w:rPr>
            </w:pPr>
            <w:r>
              <w:rPr>
                <w:rFonts w:ascii="Arial" w:cs="Arial" w:eastAsia="Arial" w:hAnsi="Arial"/>
                <w:sz w:val="18"/>
                <w:szCs w:val="18"/>
                <w:color w:val="auto"/>
              </w:rPr>
              <w:t>Christopher A. Simon, President and Chief Executive Officer of the Company.</w:t>
            </w:r>
          </w:p>
        </w:tc>
      </w:tr>
      <w:tr>
        <w:trPr>
          <w:trHeight w:val="190"/>
        </w:trPr>
        <w:tc>
          <w:tcPr>
            <w:tcW w:w="420" w:type="dxa"/>
            <w:vAlign w:val="bottom"/>
            <w:tcBorders>
              <w:bottom w:val="single" w:sz="8" w:color="0000FF"/>
            </w:tcBorders>
          </w:tcPr>
          <w:p>
            <w:pPr>
              <w:spacing w:after="0" w:line="190" w:lineRule="exact"/>
              <w:rPr>
                <w:rFonts w:ascii="Arial" w:cs="Arial" w:eastAsia="Arial" w:hAnsi="Arial"/>
                <w:sz w:val="18"/>
                <w:szCs w:val="18"/>
                <w:color w:val="0000FF"/>
                <w:w w:val="95"/>
              </w:rPr>
            </w:pPr>
            <w:hyperlink w:anchor="page122">
              <w:r>
                <w:rPr>
                  <w:rFonts w:ascii="Arial" w:cs="Arial" w:eastAsia="Arial" w:hAnsi="Arial"/>
                  <w:sz w:val="18"/>
                  <w:szCs w:val="18"/>
                  <w:color w:val="0000FF"/>
                  <w:w w:val="95"/>
                </w:rPr>
                <w:t>32.</w:t>
              </w:r>
            </w:hyperlink>
            <w:r>
              <w:rPr>
                <w:rFonts w:ascii="Arial" w:cs="Arial" w:eastAsia="Arial" w:hAnsi="Arial"/>
                <w:sz w:val="18"/>
                <w:szCs w:val="18"/>
                <w:u w:val="single" w:color="auto"/>
                <w:color w:val="0000FF"/>
                <w:w w:val="95"/>
              </w:rPr>
              <w:t>2*</w:t>
            </w:r>
          </w:p>
        </w:tc>
        <w:tc>
          <w:tcPr>
            <w:tcW w:w="360" w:type="dxa"/>
            <w:vAlign w:val="bottom"/>
          </w:tcPr>
          <w:p>
            <w:pPr>
              <w:spacing w:after="0"/>
              <w:rPr>
                <w:sz w:val="16"/>
                <w:szCs w:val="16"/>
                <w:color w:val="auto"/>
              </w:rPr>
            </w:pPr>
          </w:p>
        </w:tc>
        <w:tc>
          <w:tcPr>
            <w:tcW w:w="10360" w:type="dxa"/>
            <w:vAlign w:val="bottom"/>
          </w:tcPr>
          <w:p>
            <w:pPr>
              <w:ind w:left="240"/>
              <w:spacing w:after="0" w:line="190" w:lineRule="exact"/>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195"/>
        </w:trPr>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360" w:type="dxa"/>
            <w:vAlign w:val="bottom"/>
          </w:tcPr>
          <w:p>
            <w:pPr>
              <w:ind w:left="240"/>
              <w:spacing w:after="0" w:line="195" w:lineRule="exact"/>
              <w:rPr>
                <w:sz w:val="20"/>
                <w:szCs w:val="20"/>
                <w:color w:val="auto"/>
              </w:rPr>
            </w:pPr>
            <w:r>
              <w:rPr>
                <w:rFonts w:ascii="Arial" w:cs="Arial" w:eastAsia="Arial" w:hAnsi="Arial"/>
                <w:sz w:val="18"/>
                <w:szCs w:val="18"/>
                <w:color w:val="auto"/>
              </w:rPr>
              <w:t>William Burke, Executive Vice President, Chief Financial Officer of the Company.</w:t>
            </w:r>
          </w:p>
        </w:tc>
      </w:tr>
      <w:tr>
        <w:trPr>
          <w:trHeight w:val="176"/>
        </w:trPr>
        <w:tc>
          <w:tcPr>
            <w:tcW w:w="780" w:type="dxa"/>
            <w:vAlign w:val="bottom"/>
            <w:gridSpan w:val="2"/>
          </w:tcPr>
          <w:p>
            <w:pPr>
              <w:spacing w:after="0" w:line="176" w:lineRule="exact"/>
              <w:rPr>
                <w:sz w:val="20"/>
                <w:szCs w:val="20"/>
                <w:color w:val="auto"/>
              </w:rPr>
            </w:pPr>
            <w:r>
              <w:rPr>
                <w:rFonts w:ascii="Arial" w:cs="Arial" w:eastAsia="Arial" w:hAnsi="Arial"/>
                <w:sz w:val="18"/>
                <w:szCs w:val="18"/>
                <w:color w:val="auto"/>
              </w:rPr>
              <w:t>101***</w:t>
            </w:r>
          </w:p>
        </w:tc>
        <w:tc>
          <w:tcPr>
            <w:tcW w:w="10360" w:type="dxa"/>
            <w:vAlign w:val="bottom"/>
          </w:tcPr>
          <w:p>
            <w:pPr>
              <w:ind w:left="240"/>
              <w:spacing w:after="0" w:line="176" w:lineRule="exact"/>
              <w:rPr>
                <w:sz w:val="20"/>
                <w:szCs w:val="20"/>
                <w:color w:val="auto"/>
              </w:rPr>
            </w:pPr>
            <w:r>
              <w:rPr>
                <w:rFonts w:ascii="Arial" w:cs="Arial" w:eastAsia="Arial" w:hAnsi="Arial"/>
                <w:sz w:val="18"/>
                <w:szCs w:val="18"/>
                <w:color w:val="auto"/>
                <w:w w:val="96"/>
              </w:rPr>
              <w:t>The following materials from Haemonetics Corporation on Form 10-K for the year ended April 3, 2021, formatted in inline Extensible</w:t>
            </w:r>
          </w:p>
        </w:tc>
      </w:tr>
      <w:tr>
        <w:trPr>
          <w:trHeight w:val="175"/>
        </w:trPr>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360" w:type="dxa"/>
            <w:vAlign w:val="bottom"/>
          </w:tcPr>
          <w:p>
            <w:pPr>
              <w:ind w:left="240"/>
              <w:spacing w:after="0" w:line="176" w:lineRule="exact"/>
              <w:rPr>
                <w:sz w:val="20"/>
                <w:szCs w:val="20"/>
                <w:color w:val="auto"/>
              </w:rPr>
            </w:pPr>
            <w:r>
              <w:rPr>
                <w:rFonts w:ascii="Arial" w:cs="Arial" w:eastAsia="Arial" w:hAnsi="Arial"/>
                <w:sz w:val="18"/>
                <w:szCs w:val="18"/>
                <w:color w:val="auto"/>
                <w:w w:val="93"/>
              </w:rPr>
              <w:t>Business Reporting Language (XBRL) includes: (i) Consolidated Statements of Income, (ii) Consolidated Statements of Comprehensive</w:t>
            </w:r>
          </w:p>
        </w:tc>
      </w:tr>
      <w:tr>
        <w:trPr>
          <w:trHeight w:val="175"/>
        </w:trPr>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360" w:type="dxa"/>
            <w:vAlign w:val="bottom"/>
          </w:tcPr>
          <w:p>
            <w:pPr>
              <w:ind w:left="240"/>
              <w:spacing w:after="0" w:line="176" w:lineRule="exact"/>
              <w:rPr>
                <w:sz w:val="20"/>
                <w:szCs w:val="20"/>
                <w:color w:val="auto"/>
              </w:rPr>
            </w:pPr>
            <w:r>
              <w:rPr>
                <w:rFonts w:ascii="Arial" w:cs="Arial" w:eastAsia="Arial" w:hAnsi="Arial"/>
                <w:sz w:val="18"/>
                <w:szCs w:val="18"/>
                <w:color w:val="auto"/>
                <w:w w:val="90"/>
              </w:rPr>
              <w:t>Income, (iii) Consolidated Balance Sheets, (iv) Consolidated Statement of Stockholders' Equity, (v) Consolidated Statements of Cash Flows,</w:t>
            </w:r>
          </w:p>
        </w:tc>
      </w:tr>
      <w:tr>
        <w:trPr>
          <w:trHeight w:val="230"/>
        </w:trPr>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and (vi) Notes to Consolidated Financial Statements.</w:t>
            </w:r>
          </w:p>
        </w:tc>
      </w:tr>
    </w:tbl>
    <w:p>
      <w:pPr>
        <w:ind w:left="1040" w:hanging="101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2"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4" w:name="page115"/>
    <w:bookmarkEnd w:id="1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80" w:hanging="454"/>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Document filed or furnished with this report.</w:t>
      </w:r>
    </w:p>
    <w:p>
      <w:pPr>
        <w:spacing w:after="0" w:line="23" w:lineRule="exact"/>
        <w:rPr>
          <w:sz w:val="20"/>
          <w:szCs w:val="20"/>
          <w:color w:val="auto"/>
        </w:rPr>
      </w:pPr>
    </w:p>
    <w:p>
      <w:pPr>
        <w:ind w:left="480" w:hanging="454"/>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Agreement, plan, or arrangement related to the compensation of officers or directors.</w:t>
      </w:r>
    </w:p>
    <w:p>
      <w:pPr>
        <w:spacing w:after="0" w:line="23" w:lineRule="exact"/>
        <w:rPr>
          <w:sz w:val="20"/>
          <w:szCs w:val="20"/>
          <w:color w:val="auto"/>
        </w:rPr>
      </w:pPr>
    </w:p>
    <w:p>
      <w:pPr>
        <w:ind w:left="480" w:right="100" w:hanging="454"/>
        <w:spacing w:after="0" w:line="234"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Confidential treatment has been requested as to portions of the exhibit. Confidential materials omitted and filed separately with the Securities and Exchange Commission.</w:t>
      </w:r>
    </w:p>
    <w:p>
      <w:pPr>
        <w:spacing w:after="0" w:line="1" w:lineRule="exact"/>
        <w:rPr>
          <w:sz w:val="20"/>
          <w:szCs w:val="20"/>
          <w:color w:val="auto"/>
        </w:rPr>
      </w:pPr>
    </w:p>
    <w:p>
      <w:pPr>
        <w:ind w:left="480" w:hanging="454"/>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portions of this exhibit are considered confidential and have been omitted as permitted under SEC rules and regulations.</w:t>
      </w:r>
    </w:p>
    <w:p>
      <w:pPr>
        <w:spacing w:after="0" w:line="22" w:lineRule="exact"/>
        <w:rPr>
          <w:rFonts w:ascii="Arial" w:cs="Arial" w:eastAsia="Arial" w:hAnsi="Arial"/>
          <w:sz w:val="18"/>
          <w:szCs w:val="18"/>
          <w:color w:val="auto"/>
        </w:rPr>
      </w:pPr>
    </w:p>
    <w:p>
      <w:pPr>
        <w:ind w:left="480" w:hanging="454"/>
        <w:spacing w:after="0" w:line="224"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10-K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 w:right="519" w:bottom="1440" w:gutter="0" w:footer="0" w:header="0"/>
        </w:sectPr>
      </w:pPr>
    </w:p>
    <w:bookmarkStart w:id="115" w:name="page116"/>
    <w:bookmarkEnd w:id="1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HAEMONETICS CORPORATION</w:t>
      </w:r>
    </w:p>
    <w:p>
      <w:pPr>
        <w:spacing w:after="0" w:line="279" w:lineRule="exact"/>
        <w:rPr>
          <w:sz w:val="20"/>
          <w:szCs w:val="20"/>
          <w:color w:val="auto"/>
        </w:rPr>
      </w:pPr>
    </w:p>
    <w:p>
      <w:pPr>
        <w:ind w:left="5540"/>
        <w:spacing w:after="0"/>
        <w:tabs>
          <w:tab w:leader="none" w:pos="5980" w:val="left"/>
        </w:tabs>
        <w:rPr>
          <w:sz w:val="20"/>
          <w:szCs w:val="20"/>
          <w:color w:val="auto"/>
        </w:rPr>
      </w:pPr>
      <w:r>
        <w:rPr>
          <w:rFonts w:ascii="Arial" w:cs="Arial" w:eastAsia="Arial" w:hAnsi="Arial"/>
          <w:sz w:val="18"/>
          <w:szCs w:val="18"/>
          <w:color w:val="auto"/>
        </w:rPr>
        <w:t>By:</w:t>
        <w:tab/>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089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Christopher A. Simon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Chief Executive Officer and a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2021</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30" w:right="339" w:bottom="1440" w:gutter="0" w:footer="0" w:header="0"/>
        </w:sectPr>
      </w:pPr>
    </w:p>
    <w:p>
      <w:pPr>
        <w:spacing w:after="0" w:line="148"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Signature</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7570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Christopher A. Simon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William Burke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Dan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Dan Goldstein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Robert Abernathy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Robert Abernathy</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Catherine Burzik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Catherine Burzik</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Michael J.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Michael J. Coyle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 Charles Dockendorff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7570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Charles Dockendorff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Mark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Mark Kroll</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Richard Meelia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Richard Meelia</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Claire Pomeroy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Claire Pomeroy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Ellen Zane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Ellen Zane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jc w:val="center"/>
              <w:ind w:right="351"/>
              <w:spacing w:after="0"/>
              <w:rPr>
                <w:sz w:val="20"/>
                <w:szCs w:val="20"/>
                <w:color w:val="auto"/>
              </w:rPr>
            </w:pPr>
            <w:r>
              <w:rPr>
                <w:rFonts w:ascii="Arial" w:cs="Arial" w:eastAsia="Arial" w:hAnsi="Arial"/>
                <w:sz w:val="14"/>
                <w:szCs w:val="14"/>
                <w:b w:val="1"/>
                <w:bCs w:val="1"/>
                <w:color w:val="auto"/>
                <w:w w:val="97"/>
              </w:rPr>
              <w:t>Title</w:t>
            </w:r>
          </w:p>
        </w:tc>
        <w:tc>
          <w:tcPr>
            <w:tcW w:w="1460" w:type="dxa"/>
            <w:vAlign w:val="bottom"/>
          </w:tcPr>
          <w:p>
            <w:pPr>
              <w:jc w:val="center"/>
              <w:ind w:left="392"/>
              <w:spacing w:after="0"/>
              <w:rPr>
                <w:sz w:val="20"/>
                <w:szCs w:val="20"/>
                <w:color w:val="auto"/>
              </w:rPr>
            </w:pPr>
            <w:r>
              <w:rPr>
                <w:rFonts w:ascii="Arial" w:cs="Arial" w:eastAsia="Arial" w:hAnsi="Arial"/>
                <w:sz w:val="14"/>
                <w:szCs w:val="14"/>
                <w:b w:val="1"/>
                <w:bCs w:val="1"/>
                <w:color w:val="auto"/>
                <w:w w:val="98"/>
              </w:rPr>
              <w:t>Date</w:t>
            </w:r>
          </w:p>
        </w:tc>
      </w:tr>
      <w:tr>
        <w:trPr>
          <w:trHeight w:val="403"/>
        </w:trPr>
        <w:tc>
          <w:tcPr>
            <w:tcW w:w="4040" w:type="dxa"/>
            <w:vAlign w:val="bottom"/>
          </w:tcPr>
          <w:p>
            <w:pPr>
              <w:jc w:val="center"/>
              <w:ind w:right="351"/>
              <w:spacing w:after="0"/>
              <w:rPr>
                <w:sz w:val="20"/>
                <w:szCs w:val="20"/>
                <w:color w:val="auto"/>
              </w:rPr>
            </w:pPr>
            <w:r>
              <w:rPr>
                <w:rFonts w:ascii="Arial" w:cs="Arial" w:eastAsia="Arial" w:hAnsi="Arial"/>
                <w:sz w:val="18"/>
                <w:szCs w:val="18"/>
                <w:color w:val="auto"/>
                <w:w w:val="91"/>
              </w:rPr>
              <w:t>President, Chief Executive Officer and a Director</w:t>
            </w:r>
          </w:p>
        </w:tc>
        <w:tc>
          <w:tcPr>
            <w:tcW w:w="1460" w:type="dxa"/>
            <w:vAlign w:val="bottom"/>
          </w:tcPr>
          <w:p>
            <w:pPr>
              <w:jc w:val="center"/>
              <w:ind w:left="372"/>
              <w:spacing w:after="0"/>
              <w:rPr>
                <w:sz w:val="20"/>
                <w:szCs w:val="20"/>
                <w:color w:val="auto"/>
              </w:rPr>
            </w:pPr>
            <w:r>
              <w:rPr>
                <w:rFonts w:ascii="Arial" w:cs="Arial" w:eastAsia="Arial" w:hAnsi="Arial"/>
                <w:sz w:val="18"/>
                <w:szCs w:val="18"/>
                <w:color w:val="auto"/>
                <w:w w:val="91"/>
              </w:rPr>
              <w:t>May 26, 2021</w:t>
            </w:r>
          </w:p>
        </w:tc>
      </w:tr>
      <w:tr>
        <w:trPr>
          <w:trHeight w:val="270"/>
        </w:trPr>
        <w:tc>
          <w:tcPr>
            <w:tcW w:w="4040" w:type="dxa"/>
            <w:vAlign w:val="bottom"/>
          </w:tcPr>
          <w:p>
            <w:pPr>
              <w:jc w:val="center"/>
              <w:ind w:right="371"/>
              <w:spacing w:after="0"/>
              <w:rPr>
                <w:sz w:val="20"/>
                <w:szCs w:val="20"/>
                <w:color w:val="auto"/>
              </w:rPr>
            </w:pPr>
            <w:r>
              <w:rPr>
                <w:rFonts w:ascii="Arial" w:cs="Arial" w:eastAsia="Arial" w:hAnsi="Arial"/>
                <w:sz w:val="18"/>
                <w:szCs w:val="18"/>
                <w:color w:val="auto"/>
                <w:w w:val="94"/>
              </w:rPr>
              <w:t>(Principal Executive Officer)</w:t>
            </w:r>
          </w:p>
        </w:tc>
        <w:tc>
          <w:tcPr>
            <w:tcW w:w="1460" w:type="dxa"/>
            <w:vAlign w:val="bottom"/>
          </w:tcPr>
          <w:p>
            <w:pPr>
              <w:spacing w:after="0"/>
              <w:rPr>
                <w:sz w:val="23"/>
                <w:szCs w:val="23"/>
                <w:color w:val="auto"/>
              </w:rPr>
            </w:pPr>
          </w:p>
        </w:tc>
      </w:tr>
      <w:tr>
        <w:trPr>
          <w:trHeight w:val="473"/>
        </w:trPr>
        <w:tc>
          <w:tcPr>
            <w:tcW w:w="4040" w:type="dxa"/>
            <w:vAlign w:val="bottom"/>
          </w:tcPr>
          <w:p>
            <w:pPr>
              <w:jc w:val="center"/>
              <w:ind w:right="371"/>
              <w:spacing w:after="0"/>
              <w:rPr>
                <w:sz w:val="20"/>
                <w:szCs w:val="20"/>
                <w:color w:val="auto"/>
              </w:rPr>
            </w:pPr>
            <w:r>
              <w:rPr>
                <w:rFonts w:ascii="Arial" w:cs="Arial" w:eastAsia="Arial" w:hAnsi="Arial"/>
                <w:sz w:val="18"/>
                <w:szCs w:val="18"/>
                <w:color w:val="auto"/>
                <w:w w:val="92"/>
              </w:rPr>
              <w:t>Executive Vice President, Chief Financial Officer</w:t>
            </w:r>
          </w:p>
        </w:tc>
        <w:tc>
          <w:tcPr>
            <w:tcW w:w="1460" w:type="dxa"/>
            <w:vAlign w:val="bottom"/>
          </w:tcPr>
          <w:p>
            <w:pPr>
              <w:jc w:val="center"/>
              <w:ind w:left="372"/>
              <w:spacing w:after="0"/>
              <w:rPr>
                <w:sz w:val="20"/>
                <w:szCs w:val="20"/>
                <w:color w:val="auto"/>
              </w:rPr>
            </w:pPr>
            <w:r>
              <w:rPr>
                <w:rFonts w:ascii="Arial" w:cs="Arial" w:eastAsia="Arial" w:hAnsi="Arial"/>
                <w:sz w:val="18"/>
                <w:szCs w:val="18"/>
                <w:color w:val="auto"/>
                <w:w w:val="91"/>
              </w:rPr>
              <w:t>May 26, 2021</w:t>
            </w:r>
          </w:p>
        </w:tc>
      </w:tr>
      <w:tr>
        <w:trPr>
          <w:trHeight w:val="270"/>
        </w:trPr>
        <w:tc>
          <w:tcPr>
            <w:tcW w:w="4040" w:type="dxa"/>
            <w:vAlign w:val="bottom"/>
          </w:tcPr>
          <w:p>
            <w:pPr>
              <w:jc w:val="center"/>
              <w:ind w:right="351"/>
              <w:spacing w:after="0"/>
              <w:rPr>
                <w:sz w:val="20"/>
                <w:szCs w:val="20"/>
                <w:color w:val="auto"/>
              </w:rPr>
            </w:pPr>
            <w:r>
              <w:rPr>
                <w:rFonts w:ascii="Arial" w:cs="Arial" w:eastAsia="Arial" w:hAnsi="Arial"/>
                <w:sz w:val="18"/>
                <w:szCs w:val="18"/>
                <w:color w:val="auto"/>
                <w:w w:val="94"/>
              </w:rPr>
              <w:t>(Principal Financial Officer)</w:t>
            </w:r>
          </w:p>
        </w:tc>
        <w:tc>
          <w:tcPr>
            <w:tcW w:w="1460" w:type="dxa"/>
            <w:vAlign w:val="bottom"/>
          </w:tcPr>
          <w:p>
            <w:pPr>
              <w:spacing w:after="0"/>
              <w:rPr>
                <w:sz w:val="23"/>
                <w:szCs w:val="23"/>
                <w:color w:val="auto"/>
              </w:rPr>
            </w:pPr>
          </w:p>
        </w:tc>
      </w:tr>
      <w:tr>
        <w:trPr>
          <w:trHeight w:val="432"/>
        </w:trPr>
        <w:tc>
          <w:tcPr>
            <w:tcW w:w="4040" w:type="dxa"/>
            <w:vAlign w:val="bottom"/>
          </w:tcPr>
          <w:p>
            <w:pPr>
              <w:jc w:val="center"/>
              <w:ind w:right="351"/>
              <w:spacing w:after="0"/>
              <w:rPr>
                <w:sz w:val="20"/>
                <w:szCs w:val="20"/>
                <w:color w:val="auto"/>
              </w:rPr>
            </w:pPr>
            <w:r>
              <w:rPr>
                <w:rFonts w:ascii="Arial" w:cs="Arial" w:eastAsia="Arial" w:hAnsi="Arial"/>
                <w:sz w:val="18"/>
                <w:szCs w:val="18"/>
                <w:color w:val="auto"/>
                <w:w w:val="91"/>
              </w:rPr>
              <w:t>Vice President, Corporate Controller</w:t>
            </w:r>
          </w:p>
        </w:tc>
        <w:tc>
          <w:tcPr>
            <w:tcW w:w="1460" w:type="dxa"/>
            <w:vAlign w:val="bottom"/>
          </w:tcPr>
          <w:p>
            <w:pPr>
              <w:jc w:val="center"/>
              <w:ind w:left="372"/>
              <w:spacing w:after="0"/>
              <w:rPr>
                <w:sz w:val="20"/>
                <w:szCs w:val="20"/>
                <w:color w:val="auto"/>
              </w:rPr>
            </w:pPr>
            <w:r>
              <w:rPr>
                <w:rFonts w:ascii="Arial" w:cs="Arial" w:eastAsia="Arial" w:hAnsi="Arial"/>
                <w:sz w:val="18"/>
                <w:szCs w:val="18"/>
                <w:color w:val="auto"/>
                <w:w w:val="91"/>
              </w:rPr>
              <w:t>May 26, 2021</w:t>
            </w:r>
          </w:p>
        </w:tc>
      </w:tr>
      <w:tr>
        <w:trPr>
          <w:trHeight w:val="270"/>
        </w:trPr>
        <w:tc>
          <w:tcPr>
            <w:tcW w:w="4040" w:type="dxa"/>
            <w:vAlign w:val="bottom"/>
          </w:tcPr>
          <w:p>
            <w:pPr>
              <w:jc w:val="center"/>
              <w:ind w:right="371"/>
              <w:spacing w:after="0"/>
              <w:rPr>
                <w:sz w:val="20"/>
                <w:szCs w:val="20"/>
                <w:color w:val="auto"/>
              </w:rPr>
            </w:pPr>
            <w:r>
              <w:rPr>
                <w:rFonts w:ascii="Arial" w:cs="Arial" w:eastAsia="Arial" w:hAnsi="Arial"/>
                <w:sz w:val="18"/>
                <w:szCs w:val="18"/>
                <w:color w:val="auto"/>
                <w:w w:val="95"/>
              </w:rPr>
              <w:t>(Principal Accounting Officer)</w:t>
            </w:r>
          </w:p>
        </w:tc>
        <w:tc>
          <w:tcPr>
            <w:tcW w:w="1460" w:type="dxa"/>
            <w:vAlign w:val="bottom"/>
          </w:tcPr>
          <w:p>
            <w:pPr>
              <w:spacing w:after="0"/>
              <w:rPr>
                <w:sz w:val="23"/>
                <w:szCs w:val="23"/>
                <w:color w:val="auto"/>
              </w:rPr>
            </w:pPr>
          </w:p>
        </w:tc>
      </w:tr>
      <w:tr>
        <w:trPr>
          <w:trHeight w:val="391"/>
        </w:trPr>
        <w:tc>
          <w:tcPr>
            <w:tcW w:w="4040" w:type="dxa"/>
            <w:vAlign w:val="bottom"/>
          </w:tcPr>
          <w:p>
            <w:pPr>
              <w:jc w:val="center"/>
              <w:ind w:right="3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2"/>
              <w:spacing w:after="0"/>
              <w:rPr>
                <w:sz w:val="20"/>
                <w:szCs w:val="20"/>
                <w:color w:val="auto"/>
              </w:rPr>
            </w:pPr>
            <w:r>
              <w:rPr>
                <w:rFonts w:ascii="Arial" w:cs="Arial" w:eastAsia="Arial" w:hAnsi="Arial"/>
                <w:sz w:val="18"/>
                <w:szCs w:val="18"/>
                <w:color w:val="auto"/>
                <w:w w:val="91"/>
              </w:rPr>
              <w:t>May 26, 2021</w:t>
            </w:r>
          </w:p>
        </w:tc>
      </w:tr>
      <w:tr>
        <w:trPr>
          <w:trHeight w:val="648"/>
        </w:trPr>
        <w:tc>
          <w:tcPr>
            <w:tcW w:w="4040" w:type="dxa"/>
            <w:vAlign w:val="bottom"/>
          </w:tcPr>
          <w:p>
            <w:pPr>
              <w:jc w:val="center"/>
              <w:ind w:right="3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2"/>
              <w:spacing w:after="0"/>
              <w:rPr>
                <w:sz w:val="20"/>
                <w:szCs w:val="20"/>
                <w:color w:val="auto"/>
              </w:rPr>
            </w:pPr>
            <w:r>
              <w:rPr>
                <w:rFonts w:ascii="Arial" w:cs="Arial" w:eastAsia="Arial" w:hAnsi="Arial"/>
                <w:sz w:val="18"/>
                <w:szCs w:val="18"/>
                <w:color w:val="auto"/>
                <w:w w:val="91"/>
              </w:rPr>
              <w:t>May 26, 2021</w:t>
            </w:r>
          </w:p>
        </w:tc>
      </w:tr>
      <w:tr>
        <w:trPr>
          <w:trHeight w:val="702"/>
        </w:trPr>
        <w:tc>
          <w:tcPr>
            <w:tcW w:w="4040" w:type="dxa"/>
            <w:vAlign w:val="bottom"/>
          </w:tcPr>
          <w:p>
            <w:pPr>
              <w:jc w:val="center"/>
              <w:ind w:right="3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2"/>
              <w:spacing w:after="0"/>
              <w:rPr>
                <w:sz w:val="20"/>
                <w:szCs w:val="20"/>
                <w:color w:val="auto"/>
              </w:rPr>
            </w:pPr>
            <w:r>
              <w:rPr>
                <w:rFonts w:ascii="Arial" w:cs="Arial" w:eastAsia="Arial" w:hAnsi="Arial"/>
                <w:sz w:val="18"/>
                <w:szCs w:val="18"/>
                <w:color w:val="auto"/>
                <w:w w:val="91"/>
              </w:rPr>
              <w:t>May 26, 2021</w:t>
            </w:r>
          </w:p>
        </w:tc>
      </w:tr>
      <w:tr>
        <w:trPr>
          <w:trHeight w:val="702"/>
        </w:trPr>
        <w:tc>
          <w:tcPr>
            <w:tcW w:w="4040" w:type="dxa"/>
            <w:vAlign w:val="bottom"/>
          </w:tcPr>
          <w:p>
            <w:pPr>
              <w:jc w:val="center"/>
              <w:ind w:right="3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2"/>
              <w:spacing w:after="0"/>
              <w:rPr>
                <w:sz w:val="20"/>
                <w:szCs w:val="20"/>
                <w:color w:val="auto"/>
              </w:rPr>
            </w:pPr>
            <w:r>
              <w:rPr>
                <w:rFonts w:ascii="Arial" w:cs="Arial" w:eastAsia="Arial" w:hAnsi="Arial"/>
                <w:sz w:val="18"/>
                <w:szCs w:val="18"/>
                <w:color w:val="auto"/>
                <w:w w:val="91"/>
              </w:rPr>
              <w:t>May 26, 2021</w:t>
            </w:r>
          </w:p>
        </w:tc>
      </w:tr>
      <w:tr>
        <w:trPr>
          <w:trHeight w:val="702"/>
        </w:trPr>
        <w:tc>
          <w:tcPr>
            <w:tcW w:w="4040" w:type="dxa"/>
            <w:vAlign w:val="bottom"/>
          </w:tcPr>
          <w:p>
            <w:pPr>
              <w:jc w:val="center"/>
              <w:ind w:right="3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2"/>
              <w:spacing w:after="0"/>
              <w:rPr>
                <w:sz w:val="20"/>
                <w:szCs w:val="20"/>
                <w:color w:val="auto"/>
              </w:rPr>
            </w:pPr>
            <w:r>
              <w:rPr>
                <w:rFonts w:ascii="Arial" w:cs="Arial" w:eastAsia="Arial" w:hAnsi="Arial"/>
                <w:sz w:val="18"/>
                <w:szCs w:val="18"/>
                <w:color w:val="auto"/>
                <w:w w:val="91"/>
              </w:rPr>
              <w:t>May 26, 2021</w:t>
            </w:r>
          </w:p>
        </w:tc>
      </w:tr>
      <w:tr>
        <w:trPr>
          <w:trHeight w:val="702"/>
        </w:trPr>
        <w:tc>
          <w:tcPr>
            <w:tcW w:w="4040" w:type="dxa"/>
            <w:vAlign w:val="bottom"/>
          </w:tcPr>
          <w:p>
            <w:pPr>
              <w:jc w:val="center"/>
              <w:ind w:right="3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2"/>
              <w:spacing w:after="0"/>
              <w:rPr>
                <w:sz w:val="20"/>
                <w:szCs w:val="20"/>
                <w:color w:val="auto"/>
              </w:rPr>
            </w:pPr>
            <w:r>
              <w:rPr>
                <w:rFonts w:ascii="Arial" w:cs="Arial" w:eastAsia="Arial" w:hAnsi="Arial"/>
                <w:sz w:val="18"/>
                <w:szCs w:val="18"/>
                <w:color w:val="auto"/>
                <w:w w:val="91"/>
              </w:rPr>
              <w:t>May 26, 2021</w:t>
            </w:r>
          </w:p>
        </w:tc>
      </w:tr>
      <w:tr>
        <w:trPr>
          <w:trHeight w:val="648"/>
        </w:trPr>
        <w:tc>
          <w:tcPr>
            <w:tcW w:w="4040" w:type="dxa"/>
            <w:vAlign w:val="bottom"/>
          </w:tcPr>
          <w:p>
            <w:pPr>
              <w:jc w:val="center"/>
              <w:ind w:right="3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2"/>
              <w:spacing w:after="0"/>
              <w:rPr>
                <w:sz w:val="20"/>
                <w:szCs w:val="20"/>
                <w:color w:val="auto"/>
              </w:rPr>
            </w:pPr>
            <w:r>
              <w:rPr>
                <w:rFonts w:ascii="Arial" w:cs="Arial" w:eastAsia="Arial" w:hAnsi="Arial"/>
                <w:sz w:val="18"/>
                <w:szCs w:val="18"/>
                <w:color w:val="auto"/>
                <w:w w:val="91"/>
              </w:rPr>
              <w:t>May 26, 2021</w:t>
            </w:r>
          </w:p>
        </w:tc>
      </w:tr>
      <w:tr>
        <w:trPr>
          <w:trHeight w:val="702"/>
        </w:trPr>
        <w:tc>
          <w:tcPr>
            <w:tcW w:w="4040" w:type="dxa"/>
            <w:vAlign w:val="bottom"/>
          </w:tcPr>
          <w:p>
            <w:pPr>
              <w:jc w:val="center"/>
              <w:ind w:right="3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2"/>
              <w:spacing w:after="0"/>
              <w:rPr>
                <w:sz w:val="20"/>
                <w:szCs w:val="20"/>
                <w:color w:val="auto"/>
              </w:rPr>
            </w:pPr>
            <w:r>
              <w:rPr>
                <w:rFonts w:ascii="Arial" w:cs="Arial" w:eastAsia="Arial" w:hAnsi="Arial"/>
                <w:sz w:val="18"/>
                <w:szCs w:val="18"/>
                <w:color w:val="auto"/>
                <w:w w:val="91"/>
              </w:rPr>
              <w:t>May 26, 2021</w:t>
            </w:r>
          </w:p>
        </w:tc>
      </w:tr>
    </w:tbl>
    <w:p>
      <w:pPr>
        <w:spacing w:after="0" w:line="487" w:lineRule="exact"/>
        <w:rPr>
          <w:sz w:val="20"/>
          <w:szCs w:val="20"/>
          <w:color w:val="auto"/>
        </w:rPr>
      </w:pPr>
    </w:p>
    <w:p>
      <w:pPr>
        <w:sectPr>
          <w:pgSz w:w="11900" w:h="16838" w:orient="portrait"/>
          <w:cols w:equalWidth="0" w:num="2">
            <w:col w:w="2820" w:space="720"/>
            <w:col w:w="7700"/>
          </w:cols>
          <w:pgMar w:left="320" w:top="130"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240"/>
          </w:cols>
          <w:pgMar w:left="320" w:top="130" w:right="33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50"/>
        </w:trPr>
        <w:tc>
          <w:tcPr>
            <w:tcW w:w="6120" w:type="dxa"/>
            <w:vAlign w:val="bottom"/>
            <w:gridSpan w:val="2"/>
          </w:tcPr>
          <w:p>
            <w:pPr>
              <w:spacing w:after="0"/>
              <w:rPr>
                <w:sz w:val="20"/>
                <w:szCs w:val="20"/>
                <w:color w:val="auto"/>
              </w:rPr>
            </w:pPr>
            <w:r>
              <w:rPr>
                <w:rFonts w:ascii="Arial" w:cs="Arial" w:eastAsia="Arial" w:hAnsi="Arial"/>
                <w:sz w:val="20"/>
                <w:szCs w:val="20"/>
                <w:color w:val="auto"/>
              </w:rPr>
              <w:t>Exhibit 21.1 - Subsidiaries of the Company</w:t>
            </w:r>
          </w:p>
        </w:tc>
        <w:tc>
          <w:tcPr>
            <w:tcW w:w="4880" w:type="dxa"/>
            <w:vAlign w:val="bottom"/>
          </w:tcPr>
          <w:p>
            <w:pPr>
              <w:spacing w:after="0"/>
              <w:rPr>
                <w:sz w:val="21"/>
                <w:szCs w:val="21"/>
                <w:color w:val="auto"/>
              </w:rPr>
            </w:pPr>
          </w:p>
        </w:tc>
      </w:tr>
      <w:tr>
        <w:trPr>
          <w:trHeight w:val="387"/>
        </w:trPr>
        <w:tc>
          <w:tcPr>
            <w:tcW w:w="6120" w:type="dxa"/>
            <w:vAlign w:val="bottom"/>
            <w:gridSpan w:val="2"/>
          </w:tcPr>
          <w:p>
            <w:pPr>
              <w:ind w:left="20"/>
              <w:spacing w:after="0"/>
              <w:rPr>
                <w:sz w:val="20"/>
                <w:szCs w:val="20"/>
                <w:color w:val="auto"/>
              </w:rPr>
            </w:pPr>
            <w:r>
              <w:rPr>
                <w:rFonts w:ascii="Arial" w:cs="Arial" w:eastAsia="Arial" w:hAnsi="Arial"/>
                <w:sz w:val="20"/>
                <w:szCs w:val="20"/>
                <w:b w:val="1"/>
                <w:bCs w:val="1"/>
                <w:color w:val="auto"/>
              </w:rPr>
              <w:t>Subsidiary of Haemonetics Corporation</w:t>
            </w:r>
          </w:p>
        </w:tc>
        <w:tc>
          <w:tcPr>
            <w:tcW w:w="4880" w:type="dxa"/>
            <w:vAlign w:val="bottom"/>
          </w:tcPr>
          <w:p>
            <w:pPr>
              <w:ind w:left="20"/>
              <w:spacing w:after="0"/>
              <w:rPr>
                <w:sz w:val="20"/>
                <w:szCs w:val="20"/>
                <w:color w:val="auto"/>
              </w:rPr>
            </w:pPr>
            <w:r>
              <w:rPr>
                <w:rFonts w:ascii="Arial" w:cs="Arial" w:eastAsia="Arial" w:hAnsi="Arial"/>
                <w:sz w:val="20"/>
                <w:szCs w:val="20"/>
                <w:b w:val="1"/>
                <w:bCs w:val="1"/>
                <w:color w:val="auto"/>
              </w:rPr>
              <w:t>Jurisdiction of Incorporation or Organization</w:t>
            </w:r>
          </w:p>
        </w:tc>
      </w:tr>
      <w:tr>
        <w:trPr>
          <w:trHeight w:val="233"/>
        </w:trPr>
        <w:tc>
          <w:tcPr>
            <w:tcW w:w="59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5D Information Management, Inc.</w:t>
            </w:r>
          </w:p>
        </w:tc>
        <w:tc>
          <w:tcPr>
            <w:tcW w:w="220" w:type="dxa"/>
            <w:vAlign w:val="bottom"/>
          </w:tcPr>
          <w:p>
            <w:pPr>
              <w:spacing w:after="0"/>
              <w:rPr>
                <w:sz w:val="20"/>
                <w:szCs w:val="20"/>
                <w:color w:val="auto"/>
              </w:rPr>
            </w:pPr>
          </w:p>
        </w:tc>
        <w:tc>
          <w:tcPr>
            <w:tcW w:w="48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Arryx, Inc.</w:t>
            </w:r>
          </w:p>
        </w:tc>
        <w:tc>
          <w:tcPr>
            <w:tcW w:w="4880" w:type="dxa"/>
            <w:vAlign w:val="bottom"/>
          </w:tcPr>
          <w:p>
            <w:pPr>
              <w:ind w:left="20"/>
              <w:spacing w:after="0"/>
              <w:rPr>
                <w:sz w:val="20"/>
                <w:szCs w:val="20"/>
                <w:color w:val="auto"/>
              </w:rPr>
            </w:pPr>
            <w:r>
              <w:rPr>
                <w:rFonts w:ascii="Arial" w:cs="Arial" w:eastAsia="Arial" w:hAnsi="Arial"/>
                <w:sz w:val="20"/>
                <w:szCs w:val="20"/>
                <w:color w:val="auto"/>
              </w:rPr>
              <w:t>Nevada</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Cardiva Medical, Inc.</w:t>
            </w:r>
          </w:p>
        </w:tc>
        <w:tc>
          <w:tcPr>
            <w:tcW w:w="4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Enicor GmbH</w:t>
            </w:r>
          </w:p>
        </w:tc>
        <w:tc>
          <w:tcPr>
            <w:tcW w:w="4880" w:type="dxa"/>
            <w:vAlign w:val="bottom"/>
          </w:tcPr>
          <w:p>
            <w:pPr>
              <w:ind w:left="20"/>
              <w:spacing w:after="0"/>
              <w:rPr>
                <w:sz w:val="20"/>
                <w:szCs w:val="20"/>
                <w:color w:val="auto"/>
              </w:rPr>
            </w:pPr>
            <w:r>
              <w:rPr>
                <w:rFonts w:ascii="Arial" w:cs="Arial" w:eastAsia="Arial" w:hAnsi="Arial"/>
                <w:sz w:val="20"/>
                <w:szCs w:val="20"/>
                <w:color w:val="auto"/>
              </w:rPr>
              <w:t>Germany</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Global Med Technologies, Inc.</w:t>
            </w:r>
          </w:p>
        </w:tc>
        <w:tc>
          <w:tcPr>
            <w:tcW w:w="4880" w:type="dxa"/>
            <w:vAlign w:val="bottom"/>
          </w:tcPr>
          <w:p>
            <w:pPr>
              <w:ind w:left="20"/>
              <w:spacing w:after="0"/>
              <w:rPr>
                <w:sz w:val="20"/>
                <w:szCs w:val="20"/>
                <w:color w:val="auto"/>
              </w:rPr>
            </w:pPr>
            <w:r>
              <w:rPr>
                <w:rFonts w:ascii="Arial" w:cs="Arial" w:eastAsia="Arial" w:hAnsi="Arial"/>
                <w:sz w:val="20"/>
                <w:szCs w:val="20"/>
                <w:color w:val="auto"/>
              </w:rPr>
              <w:t>Colorado</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(Hong Kong) Limited</w:t>
            </w:r>
          </w:p>
        </w:tc>
        <w:tc>
          <w:tcPr>
            <w:tcW w:w="4880" w:type="dxa"/>
            <w:vAlign w:val="bottom"/>
          </w:tcPr>
          <w:p>
            <w:pPr>
              <w:ind w:left="20"/>
              <w:spacing w:after="0"/>
              <w:rPr>
                <w:sz w:val="20"/>
                <w:szCs w:val="20"/>
                <w:color w:val="auto"/>
              </w:rPr>
            </w:pPr>
            <w:r>
              <w:rPr>
                <w:rFonts w:ascii="Arial" w:cs="Arial" w:eastAsia="Arial" w:hAnsi="Arial"/>
                <w:sz w:val="20"/>
                <w:szCs w:val="20"/>
                <w:color w:val="auto"/>
              </w:rPr>
              <w:t>Hong Kong</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(UK) Limited</w:t>
            </w:r>
          </w:p>
        </w:tc>
        <w:tc>
          <w:tcPr>
            <w:tcW w:w="4880" w:type="dxa"/>
            <w:vAlign w:val="bottom"/>
          </w:tcPr>
          <w:p>
            <w:pPr>
              <w:ind w:left="20"/>
              <w:spacing w:after="0"/>
              <w:rPr>
                <w:sz w:val="20"/>
                <w:szCs w:val="20"/>
                <w:color w:val="auto"/>
              </w:rPr>
            </w:pPr>
            <w:r>
              <w:rPr>
                <w:rFonts w:ascii="Arial" w:cs="Arial" w:eastAsia="Arial" w:hAnsi="Arial"/>
                <w:sz w:val="20"/>
                <w:szCs w:val="20"/>
                <w:color w:val="auto"/>
              </w:rPr>
              <w:t>United Kingdom</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Asia Incorporated</w:t>
            </w:r>
          </w:p>
        </w:tc>
        <w:tc>
          <w:tcPr>
            <w:tcW w:w="4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Asia UK Ltd.</w:t>
            </w:r>
          </w:p>
        </w:tc>
        <w:tc>
          <w:tcPr>
            <w:tcW w:w="4880" w:type="dxa"/>
            <w:vAlign w:val="bottom"/>
          </w:tcPr>
          <w:p>
            <w:pPr>
              <w:ind w:left="20"/>
              <w:spacing w:after="0"/>
              <w:rPr>
                <w:sz w:val="20"/>
                <w:szCs w:val="20"/>
                <w:color w:val="auto"/>
              </w:rPr>
            </w:pPr>
            <w:r>
              <w:rPr>
                <w:rFonts w:ascii="Arial" w:cs="Arial" w:eastAsia="Arial" w:hAnsi="Arial"/>
                <w:sz w:val="20"/>
                <w:szCs w:val="20"/>
                <w:color w:val="auto"/>
              </w:rPr>
              <w:t>United Kingdom</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Australia PTY Ltd.</w:t>
            </w:r>
          </w:p>
        </w:tc>
        <w:tc>
          <w:tcPr>
            <w:tcW w:w="4880" w:type="dxa"/>
            <w:vAlign w:val="bottom"/>
          </w:tcPr>
          <w:p>
            <w:pPr>
              <w:ind w:left="20"/>
              <w:spacing w:after="0"/>
              <w:rPr>
                <w:sz w:val="20"/>
                <w:szCs w:val="20"/>
                <w:color w:val="auto"/>
              </w:rPr>
            </w:pPr>
            <w:r>
              <w:rPr>
                <w:rFonts w:ascii="Arial" w:cs="Arial" w:eastAsia="Arial" w:hAnsi="Arial"/>
                <w:sz w:val="20"/>
                <w:szCs w:val="20"/>
                <w:color w:val="auto"/>
              </w:rPr>
              <w:t>Victoria</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Belgium NV</w:t>
            </w:r>
          </w:p>
        </w:tc>
        <w:tc>
          <w:tcPr>
            <w:tcW w:w="4880" w:type="dxa"/>
            <w:vAlign w:val="bottom"/>
          </w:tcPr>
          <w:p>
            <w:pPr>
              <w:ind w:left="20"/>
              <w:spacing w:after="0"/>
              <w:rPr>
                <w:sz w:val="20"/>
                <w:szCs w:val="20"/>
                <w:color w:val="auto"/>
              </w:rPr>
            </w:pPr>
            <w:r>
              <w:rPr>
                <w:rFonts w:ascii="Arial" w:cs="Arial" w:eastAsia="Arial" w:hAnsi="Arial"/>
                <w:sz w:val="20"/>
                <w:szCs w:val="20"/>
                <w:color w:val="auto"/>
              </w:rPr>
              <w:t>Belgium</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BV</w:t>
            </w:r>
          </w:p>
        </w:tc>
        <w:tc>
          <w:tcPr>
            <w:tcW w:w="4880" w:type="dxa"/>
            <w:vAlign w:val="bottom"/>
          </w:tcPr>
          <w:p>
            <w:pPr>
              <w:ind w:left="20"/>
              <w:spacing w:after="0"/>
              <w:rPr>
                <w:sz w:val="20"/>
                <w:szCs w:val="20"/>
                <w:color w:val="auto"/>
              </w:rPr>
            </w:pPr>
            <w:r>
              <w:rPr>
                <w:rFonts w:ascii="Arial" w:cs="Arial" w:eastAsia="Arial" w:hAnsi="Arial"/>
                <w:sz w:val="20"/>
                <w:szCs w:val="20"/>
                <w:color w:val="auto"/>
              </w:rPr>
              <w:t>Netherlands</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Canada Ltd.</w:t>
            </w:r>
          </w:p>
        </w:tc>
        <w:tc>
          <w:tcPr>
            <w:tcW w:w="4880" w:type="dxa"/>
            <w:vAlign w:val="bottom"/>
          </w:tcPr>
          <w:p>
            <w:pPr>
              <w:ind w:left="20"/>
              <w:spacing w:after="0"/>
              <w:rPr>
                <w:sz w:val="20"/>
                <w:szCs w:val="20"/>
                <w:color w:val="auto"/>
              </w:rPr>
            </w:pPr>
            <w:r>
              <w:rPr>
                <w:rFonts w:ascii="Arial" w:cs="Arial" w:eastAsia="Arial" w:hAnsi="Arial"/>
                <w:sz w:val="20"/>
                <w:szCs w:val="20"/>
                <w:color w:val="auto"/>
              </w:rPr>
              <w:t>British Columbia</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CZ, spol. s.r.o.</w:t>
            </w:r>
          </w:p>
        </w:tc>
        <w:tc>
          <w:tcPr>
            <w:tcW w:w="4880" w:type="dxa"/>
            <w:vAlign w:val="bottom"/>
          </w:tcPr>
          <w:p>
            <w:pPr>
              <w:ind w:left="20"/>
              <w:spacing w:after="0"/>
              <w:rPr>
                <w:sz w:val="20"/>
                <w:szCs w:val="20"/>
                <w:color w:val="auto"/>
              </w:rPr>
            </w:pPr>
            <w:r>
              <w:rPr>
                <w:rFonts w:ascii="Arial" w:cs="Arial" w:eastAsia="Arial" w:hAnsi="Arial"/>
                <w:sz w:val="20"/>
                <w:szCs w:val="20"/>
                <w:color w:val="auto"/>
              </w:rPr>
              <w:t>Czech Republic</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France S.a.r.l</w:t>
            </w:r>
          </w:p>
        </w:tc>
        <w:tc>
          <w:tcPr>
            <w:tcW w:w="4880" w:type="dxa"/>
            <w:vAlign w:val="bottom"/>
          </w:tcPr>
          <w:p>
            <w:pPr>
              <w:ind w:left="20"/>
              <w:spacing w:after="0"/>
              <w:rPr>
                <w:sz w:val="20"/>
                <w:szCs w:val="20"/>
                <w:color w:val="auto"/>
              </w:rPr>
            </w:pPr>
            <w:r>
              <w:rPr>
                <w:rFonts w:ascii="Arial" w:cs="Arial" w:eastAsia="Arial" w:hAnsi="Arial"/>
                <w:sz w:val="20"/>
                <w:szCs w:val="20"/>
                <w:color w:val="auto"/>
              </w:rPr>
              <w:t>France</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GmbH</w:t>
            </w:r>
          </w:p>
        </w:tc>
        <w:tc>
          <w:tcPr>
            <w:tcW w:w="4880" w:type="dxa"/>
            <w:vAlign w:val="bottom"/>
          </w:tcPr>
          <w:p>
            <w:pPr>
              <w:ind w:left="20"/>
              <w:spacing w:after="0"/>
              <w:rPr>
                <w:sz w:val="20"/>
                <w:szCs w:val="20"/>
                <w:color w:val="auto"/>
              </w:rPr>
            </w:pPr>
            <w:r>
              <w:rPr>
                <w:rFonts w:ascii="Arial" w:cs="Arial" w:eastAsia="Arial" w:hAnsi="Arial"/>
                <w:sz w:val="20"/>
                <w:szCs w:val="20"/>
                <w:color w:val="auto"/>
              </w:rPr>
              <w:t>Germany</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Handelsgesellschaft m.b.H.</w:t>
            </w:r>
          </w:p>
        </w:tc>
        <w:tc>
          <w:tcPr>
            <w:tcW w:w="4880" w:type="dxa"/>
            <w:vAlign w:val="bottom"/>
          </w:tcPr>
          <w:p>
            <w:pPr>
              <w:ind w:left="20"/>
              <w:spacing w:after="0"/>
              <w:rPr>
                <w:sz w:val="20"/>
                <w:szCs w:val="20"/>
                <w:color w:val="auto"/>
              </w:rPr>
            </w:pPr>
            <w:r>
              <w:rPr>
                <w:rFonts w:ascii="Arial" w:cs="Arial" w:eastAsia="Arial" w:hAnsi="Arial"/>
                <w:sz w:val="20"/>
                <w:szCs w:val="20"/>
                <w:color w:val="auto"/>
              </w:rPr>
              <w:t>Austria</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Healthcare India Private Limited</w:t>
            </w:r>
          </w:p>
        </w:tc>
        <w:tc>
          <w:tcPr>
            <w:tcW w:w="4880" w:type="dxa"/>
            <w:vAlign w:val="bottom"/>
          </w:tcPr>
          <w:p>
            <w:pPr>
              <w:ind w:left="20"/>
              <w:spacing w:after="0"/>
              <w:rPr>
                <w:sz w:val="20"/>
                <w:szCs w:val="20"/>
                <w:color w:val="auto"/>
              </w:rPr>
            </w:pPr>
            <w:r>
              <w:rPr>
                <w:rFonts w:ascii="Arial" w:cs="Arial" w:eastAsia="Arial" w:hAnsi="Arial"/>
                <w:sz w:val="20"/>
                <w:szCs w:val="20"/>
                <w:color w:val="auto"/>
              </w:rPr>
              <w:t>India</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Hospitalar EIRELI</w:t>
            </w:r>
          </w:p>
        </w:tc>
        <w:tc>
          <w:tcPr>
            <w:tcW w:w="4880" w:type="dxa"/>
            <w:vAlign w:val="bottom"/>
          </w:tcPr>
          <w:p>
            <w:pPr>
              <w:ind w:left="20"/>
              <w:spacing w:after="0"/>
              <w:rPr>
                <w:sz w:val="20"/>
                <w:szCs w:val="20"/>
                <w:color w:val="auto"/>
              </w:rPr>
            </w:pPr>
            <w:r>
              <w:rPr>
                <w:rFonts w:ascii="Arial" w:cs="Arial" w:eastAsia="Arial" w:hAnsi="Arial"/>
                <w:sz w:val="20"/>
                <w:szCs w:val="20"/>
                <w:color w:val="auto"/>
              </w:rPr>
              <w:t>Brazil</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International Finance S.a.r.l.</w:t>
            </w:r>
          </w:p>
        </w:tc>
        <w:tc>
          <w:tcPr>
            <w:tcW w:w="4880" w:type="dxa"/>
            <w:vAlign w:val="bottom"/>
          </w:tcPr>
          <w:p>
            <w:pPr>
              <w:ind w:left="20"/>
              <w:spacing w:after="0"/>
              <w:rPr>
                <w:sz w:val="20"/>
                <w:szCs w:val="20"/>
                <w:color w:val="auto"/>
              </w:rPr>
            </w:pPr>
            <w:r>
              <w:rPr>
                <w:rFonts w:ascii="Arial" w:cs="Arial" w:eastAsia="Arial" w:hAnsi="Arial"/>
                <w:sz w:val="20"/>
                <w:szCs w:val="20"/>
                <w:color w:val="auto"/>
              </w:rPr>
              <w:t>Luxembourg</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International Holdings GmbH</w:t>
            </w:r>
          </w:p>
        </w:tc>
        <w:tc>
          <w:tcPr>
            <w:tcW w:w="4880" w:type="dxa"/>
            <w:vAlign w:val="bottom"/>
          </w:tcPr>
          <w:p>
            <w:pPr>
              <w:ind w:left="20"/>
              <w:spacing w:after="0"/>
              <w:rPr>
                <w:sz w:val="20"/>
                <w:szCs w:val="20"/>
                <w:color w:val="auto"/>
              </w:rPr>
            </w:pPr>
            <w:r>
              <w:rPr>
                <w:rFonts w:ascii="Arial" w:cs="Arial" w:eastAsia="Arial" w:hAnsi="Arial"/>
                <w:sz w:val="20"/>
                <w:szCs w:val="20"/>
                <w:color w:val="auto"/>
              </w:rPr>
              <w:t>Switzerland</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Italia s.r.l.</w:t>
            </w:r>
          </w:p>
        </w:tc>
        <w:tc>
          <w:tcPr>
            <w:tcW w:w="4880" w:type="dxa"/>
            <w:vAlign w:val="bottom"/>
          </w:tcPr>
          <w:p>
            <w:pPr>
              <w:ind w:left="20"/>
              <w:spacing w:after="0"/>
              <w:rPr>
                <w:sz w:val="20"/>
                <w:szCs w:val="20"/>
                <w:color w:val="auto"/>
              </w:rPr>
            </w:pPr>
            <w:r>
              <w:rPr>
                <w:rFonts w:ascii="Arial" w:cs="Arial" w:eastAsia="Arial" w:hAnsi="Arial"/>
                <w:sz w:val="20"/>
                <w:szCs w:val="20"/>
                <w:color w:val="auto"/>
              </w:rPr>
              <w:t>Italy</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Japan GK</w:t>
            </w:r>
          </w:p>
        </w:tc>
        <w:tc>
          <w:tcPr>
            <w:tcW w:w="4880" w:type="dxa"/>
            <w:vAlign w:val="bottom"/>
          </w:tcPr>
          <w:p>
            <w:pPr>
              <w:ind w:left="20"/>
              <w:spacing w:after="0"/>
              <w:rPr>
                <w:sz w:val="20"/>
                <w:szCs w:val="20"/>
                <w:color w:val="auto"/>
              </w:rPr>
            </w:pPr>
            <w:r>
              <w:rPr>
                <w:rFonts w:ascii="Arial" w:cs="Arial" w:eastAsia="Arial" w:hAnsi="Arial"/>
                <w:sz w:val="20"/>
                <w:szCs w:val="20"/>
                <w:color w:val="auto"/>
              </w:rPr>
              <w:t>Japan</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Korea, Inc.</w:t>
            </w:r>
          </w:p>
        </w:tc>
        <w:tc>
          <w:tcPr>
            <w:tcW w:w="4880" w:type="dxa"/>
            <w:vAlign w:val="bottom"/>
          </w:tcPr>
          <w:p>
            <w:pPr>
              <w:ind w:left="20"/>
              <w:spacing w:after="0"/>
              <w:rPr>
                <w:sz w:val="20"/>
                <w:szCs w:val="20"/>
                <w:color w:val="auto"/>
              </w:rPr>
            </w:pPr>
            <w:r>
              <w:rPr>
                <w:rFonts w:ascii="Arial" w:cs="Arial" w:eastAsia="Arial" w:hAnsi="Arial"/>
                <w:sz w:val="20"/>
                <w:szCs w:val="20"/>
                <w:color w:val="auto"/>
              </w:rPr>
              <w:t>Seoul, Korea</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Limited</w:t>
            </w:r>
          </w:p>
        </w:tc>
        <w:tc>
          <w:tcPr>
            <w:tcW w:w="4880" w:type="dxa"/>
            <w:vAlign w:val="bottom"/>
          </w:tcPr>
          <w:p>
            <w:pPr>
              <w:ind w:left="20"/>
              <w:spacing w:after="0"/>
              <w:rPr>
                <w:sz w:val="20"/>
                <w:szCs w:val="20"/>
                <w:color w:val="auto"/>
              </w:rPr>
            </w:pPr>
            <w:r>
              <w:rPr>
                <w:rFonts w:ascii="Arial" w:cs="Arial" w:eastAsia="Arial" w:hAnsi="Arial"/>
                <w:sz w:val="20"/>
                <w:szCs w:val="20"/>
                <w:color w:val="auto"/>
              </w:rPr>
              <w:t>United Kingdom</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Malaysia Sdn. Bhd.</w:t>
            </w:r>
          </w:p>
        </w:tc>
        <w:tc>
          <w:tcPr>
            <w:tcW w:w="4880" w:type="dxa"/>
            <w:vAlign w:val="bottom"/>
          </w:tcPr>
          <w:p>
            <w:pPr>
              <w:ind w:left="20"/>
              <w:spacing w:after="0"/>
              <w:rPr>
                <w:sz w:val="20"/>
                <w:szCs w:val="20"/>
                <w:color w:val="auto"/>
              </w:rPr>
            </w:pPr>
            <w:r>
              <w:rPr>
                <w:rFonts w:ascii="Arial" w:cs="Arial" w:eastAsia="Arial" w:hAnsi="Arial"/>
                <w:sz w:val="20"/>
                <w:szCs w:val="20"/>
                <w:color w:val="auto"/>
              </w:rPr>
              <w:t>Malaysia</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Manufacturing, Inc.</w:t>
            </w:r>
          </w:p>
        </w:tc>
        <w:tc>
          <w:tcPr>
            <w:tcW w:w="4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(Shanghai) Management Co. Ltd.</w:t>
            </w:r>
          </w:p>
        </w:tc>
        <w:tc>
          <w:tcPr>
            <w:tcW w:w="4880" w:type="dxa"/>
            <w:vAlign w:val="bottom"/>
          </w:tcPr>
          <w:p>
            <w:pPr>
              <w:ind w:left="20"/>
              <w:spacing w:after="0"/>
              <w:rPr>
                <w:sz w:val="20"/>
                <w:szCs w:val="20"/>
                <w:color w:val="auto"/>
              </w:rPr>
            </w:pPr>
            <w:r>
              <w:rPr>
                <w:rFonts w:ascii="Arial" w:cs="Arial" w:eastAsia="Arial" w:hAnsi="Arial"/>
                <w:sz w:val="20"/>
                <w:szCs w:val="20"/>
                <w:color w:val="auto"/>
              </w:rPr>
              <w:t>Shanghai,China</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Mexico Manufacturing, S.de R.L. de C.V.</w:t>
            </w:r>
          </w:p>
        </w:tc>
        <w:tc>
          <w:tcPr>
            <w:tcW w:w="4880" w:type="dxa"/>
            <w:vAlign w:val="bottom"/>
          </w:tcPr>
          <w:p>
            <w:pPr>
              <w:ind w:left="20"/>
              <w:spacing w:after="0"/>
              <w:rPr>
                <w:sz w:val="20"/>
                <w:szCs w:val="20"/>
                <w:color w:val="auto"/>
              </w:rPr>
            </w:pPr>
            <w:r>
              <w:rPr>
                <w:rFonts w:ascii="Arial" w:cs="Arial" w:eastAsia="Arial" w:hAnsi="Arial"/>
                <w:sz w:val="20"/>
                <w:szCs w:val="20"/>
                <w:color w:val="auto"/>
              </w:rPr>
              <w:t>Mexico</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New Zealand Limited</w:t>
            </w:r>
          </w:p>
        </w:tc>
        <w:tc>
          <w:tcPr>
            <w:tcW w:w="4880" w:type="dxa"/>
            <w:vAlign w:val="bottom"/>
          </w:tcPr>
          <w:p>
            <w:pPr>
              <w:ind w:left="20"/>
              <w:spacing w:after="0"/>
              <w:rPr>
                <w:sz w:val="20"/>
                <w:szCs w:val="20"/>
                <w:color w:val="auto"/>
              </w:rPr>
            </w:pPr>
            <w:r>
              <w:rPr>
                <w:rFonts w:ascii="Arial" w:cs="Arial" w:eastAsia="Arial" w:hAnsi="Arial"/>
                <w:sz w:val="20"/>
                <w:szCs w:val="20"/>
                <w:color w:val="auto"/>
              </w:rPr>
              <w:t>New Zealand</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Produzione Italia S.r.l.</w:t>
            </w:r>
          </w:p>
        </w:tc>
        <w:tc>
          <w:tcPr>
            <w:tcW w:w="4880" w:type="dxa"/>
            <w:vAlign w:val="bottom"/>
          </w:tcPr>
          <w:p>
            <w:pPr>
              <w:ind w:left="20"/>
              <w:spacing w:after="0"/>
              <w:rPr>
                <w:sz w:val="20"/>
                <w:szCs w:val="20"/>
                <w:color w:val="auto"/>
              </w:rPr>
            </w:pPr>
            <w:r>
              <w:rPr>
                <w:rFonts w:ascii="Arial" w:cs="Arial" w:eastAsia="Arial" w:hAnsi="Arial"/>
                <w:sz w:val="20"/>
                <w:szCs w:val="20"/>
                <w:color w:val="auto"/>
              </w:rPr>
              <w:t>Italy</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S.A.</w:t>
            </w:r>
          </w:p>
        </w:tc>
        <w:tc>
          <w:tcPr>
            <w:tcW w:w="4880" w:type="dxa"/>
            <w:vAlign w:val="bottom"/>
          </w:tcPr>
          <w:p>
            <w:pPr>
              <w:ind w:left="20"/>
              <w:spacing w:after="0"/>
              <w:rPr>
                <w:sz w:val="20"/>
                <w:szCs w:val="20"/>
                <w:color w:val="auto"/>
              </w:rPr>
            </w:pPr>
            <w:r>
              <w:rPr>
                <w:rFonts w:ascii="Arial" w:cs="Arial" w:eastAsia="Arial" w:hAnsi="Arial"/>
                <w:sz w:val="20"/>
                <w:szCs w:val="20"/>
                <w:color w:val="auto"/>
              </w:rPr>
              <w:t>Switzerland</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Scandinavia AB</w:t>
            </w:r>
          </w:p>
        </w:tc>
        <w:tc>
          <w:tcPr>
            <w:tcW w:w="4880" w:type="dxa"/>
            <w:vAlign w:val="bottom"/>
          </w:tcPr>
          <w:p>
            <w:pPr>
              <w:ind w:left="20"/>
              <w:spacing w:after="0"/>
              <w:rPr>
                <w:sz w:val="20"/>
                <w:szCs w:val="20"/>
                <w:color w:val="auto"/>
              </w:rPr>
            </w:pPr>
            <w:r>
              <w:rPr>
                <w:rFonts w:ascii="Arial" w:cs="Arial" w:eastAsia="Arial" w:hAnsi="Arial"/>
                <w:sz w:val="20"/>
                <w:szCs w:val="20"/>
                <w:color w:val="auto"/>
              </w:rPr>
              <w:t>Sweden</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Haemonetics Singapore Pte. Ltd.</w:t>
            </w:r>
          </w:p>
        </w:tc>
        <w:tc>
          <w:tcPr>
            <w:tcW w:w="4880" w:type="dxa"/>
            <w:vAlign w:val="bottom"/>
          </w:tcPr>
          <w:p>
            <w:pPr>
              <w:ind w:left="20"/>
              <w:spacing w:after="0"/>
              <w:rPr>
                <w:sz w:val="20"/>
                <w:szCs w:val="20"/>
                <w:color w:val="auto"/>
              </w:rPr>
            </w:pPr>
            <w:r>
              <w:rPr>
                <w:rFonts w:ascii="Arial" w:cs="Arial" w:eastAsia="Arial" w:hAnsi="Arial"/>
                <w:sz w:val="20"/>
                <w:szCs w:val="20"/>
                <w:color w:val="auto"/>
              </w:rPr>
              <w:t>Singapore</w:t>
            </w:r>
          </w:p>
        </w:tc>
      </w:tr>
      <w:tr>
        <w:trPr>
          <w:trHeight w:val="250"/>
        </w:trPr>
        <w:tc>
          <w:tcPr>
            <w:tcW w:w="6120" w:type="dxa"/>
            <w:vAlign w:val="bottom"/>
            <w:gridSpan w:val="2"/>
          </w:tcPr>
          <w:p>
            <w:pPr>
              <w:ind w:left="20"/>
              <w:spacing w:after="0"/>
              <w:rPr>
                <w:sz w:val="20"/>
                <w:szCs w:val="20"/>
                <w:color w:val="auto"/>
              </w:rPr>
            </w:pPr>
            <w:r>
              <w:rPr>
                <w:rFonts w:ascii="Arial" w:cs="Arial" w:eastAsia="Arial" w:hAnsi="Arial"/>
                <w:sz w:val="20"/>
                <w:szCs w:val="20"/>
                <w:color w:val="auto"/>
              </w:rPr>
              <w:t>Haemoscope Corporation</w:t>
            </w:r>
          </w:p>
        </w:tc>
        <w:tc>
          <w:tcPr>
            <w:tcW w:w="4880" w:type="dxa"/>
            <w:vAlign w:val="bottom"/>
          </w:tcPr>
          <w:p>
            <w:pPr>
              <w:ind w:left="20"/>
              <w:spacing w:after="0"/>
              <w:rPr>
                <w:sz w:val="20"/>
                <w:szCs w:val="20"/>
                <w:color w:val="auto"/>
              </w:rPr>
            </w:pPr>
            <w:r>
              <w:rPr>
                <w:rFonts w:ascii="Arial" w:cs="Arial" w:eastAsia="Arial" w:hAnsi="Arial"/>
                <w:sz w:val="20"/>
                <w:szCs w:val="20"/>
                <w:color w:val="auto"/>
              </w:rPr>
              <w:t>Massachusetts</w:t>
            </w:r>
          </w:p>
        </w:tc>
      </w:tr>
    </w:tbl>
    <w:p>
      <w:pPr>
        <w:sectPr>
          <w:pgSz w:w="11900" w:h="16838" w:orient="portrait"/>
          <w:cols w:equalWidth="0" w:num="1">
            <w:col w:w="11000"/>
          </w:cols>
          <w:pgMar w:left="320" w:top="892" w:right="57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ind w:right="3320" w:firstLine="3318"/>
        <w:spacing w:after="0" w:line="312"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171"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Registration Statement (Form S-8 No. 333-232899), pertaining to the 2019 Long-Term Incentive Compensation Plan of Haemonetics Corporation;</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333-222877), pertaining to the 2007 Employee Stock Purchase Plan of Haemonetics Corporation;</w:t>
      </w:r>
    </w:p>
    <w:p>
      <w:pPr>
        <w:spacing w:after="0" w:line="9" w:lineRule="exact"/>
        <w:rPr>
          <w:rFonts w:ascii="Arial" w:cs="Arial" w:eastAsia="Arial" w:hAnsi="Arial"/>
          <w:sz w:val="18"/>
          <w:szCs w:val="18"/>
          <w:color w:val="auto"/>
        </w:rPr>
      </w:pPr>
    </w:p>
    <w:p>
      <w:pPr>
        <w:ind w:right="220" w:firstLine="8"/>
        <w:spacing w:after="0" w:line="250"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333-200226), pertaining to the 2005 Long-Term Incentive Compensation Plan of Haemonetics Corporation, as amended by that certain Post-Effective Amendment No. 1 to the Registration Statement (No. 333-200226);</w:t>
      </w:r>
    </w:p>
    <w:p>
      <w:pPr>
        <w:ind w:left="260" w:hanging="252"/>
        <w:spacing w:after="0"/>
        <w:tabs>
          <w:tab w:leader="none" w:pos="2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Registration Statement (Form S-8 No. 333-181847), pertaining to the 2005 Long-Term Incentive Compensation Plan of Haemonetics Corporation;</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Registration Statement (Form S-8 No. 333-159434), pertaining to the 2005 Long-Term Incentive Compensation Plan of Haemonetics Corporation;</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Registration Statement (Form S-8 No. 333-149205), pertaining to the 2007 Employee Stock Purchase Plan of Haemonetics Corporation; and</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Registration Statement (Form S-8 No. 333-136839), pertaining to the 2005 Long-Term Incentive Compensation Plan of Haemonetics Corporation.</w:t>
      </w:r>
    </w:p>
    <w:p>
      <w:pPr>
        <w:spacing w:after="0" w:line="200" w:lineRule="exact"/>
        <w:rPr>
          <w:sz w:val="20"/>
          <w:szCs w:val="20"/>
          <w:color w:val="auto"/>
        </w:rPr>
      </w:pPr>
    </w:p>
    <w:p>
      <w:pPr>
        <w:spacing w:after="0" w:line="29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of our reports dated May 26, 2021, with respect to the consolidated financial statements of Haemonetics Corporation and the effectiveness of internal control over financial reporting of Haemonetics Corporation included in this Annual Report (Form 10-K) of Haemonetics Corporation for the fiscal year ended April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26, 2021</w:t>
      </w:r>
    </w:p>
    <w:p>
      <w:pPr>
        <w:sectPr>
          <w:pgSz w:w="11900" w:h="16838" w:orient="portrait"/>
          <w:cols w:equalWidth="0" w:num="1">
            <w:col w:w="11240"/>
          </w:cols>
          <w:pgMar w:left="320" w:top="89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20" w:hanging="324"/>
        <w:spacing w:after="0" w:line="342" w:lineRule="auto"/>
        <w:tabs>
          <w:tab w:leader="none" w:pos="1016"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2021</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35318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Christopher A. Simon, President and Chief Executive Officer</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5"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20" w:hanging="324"/>
        <w:spacing w:after="0" w:line="342" w:lineRule="auto"/>
        <w:tabs>
          <w:tab w:leader="none" w:pos="1016"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2021</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14605</wp:posOffset>
            </wp:positionV>
            <wp:extent cx="42348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5"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April 3, 2021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2021</w:t>
      </w:r>
    </w:p>
    <w:p>
      <w:pPr>
        <w:spacing w:after="0" w:line="17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8117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Christopher A. Simon,</w:t>
      </w:r>
    </w:p>
    <w:p>
      <w:pPr>
        <w:spacing w:after="0" w:line="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and Chief Executive Officer</w:t>
      </w:r>
    </w:p>
    <w:p>
      <w:pPr>
        <w:ind w:left="51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April 3, 2021 as filed with the Securities and Exchange Commission on the date hereof (the “Report”), I, William Burke, Chief Financial Officer and Executive Vice President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2021</w:t>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14605</wp:posOffset>
            </wp:positionV>
            <wp:extent cx="39687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6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lvl w:ilvl="1">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lvl w:ilvl="1">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upperLetter"/>
      <w:start w:val="1"/>
    </w:lvl>
  </w:abstractNum>
  <w:abstractNum w:abstractNumId="33">
    <w:nsid w:val="2463B9EA"/>
    <w:multiLevelType w:val="hybridMultilevel"/>
    <w:lvl w:ilvl="0">
      <w:lvlJc w:val="left"/>
      <w:lvlText w:val="%1)"/>
      <w:numFmt w:val="upperLetter"/>
      <w:start w:val="2"/>
    </w:lvl>
  </w:abstractNum>
  <w:abstractNum w:abstractNumId="34">
    <w:nsid w:val="5E884ADC"/>
    <w:multiLevelType w:val="hybridMultilevel"/>
    <w:lvl w:ilvl="0">
      <w:lvlJc w:val="left"/>
      <w:lvlText w:val="%1"/>
      <w:numFmt w:val="decimal"/>
      <w:start w:val="104"/>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33" Type="http://schemas.openxmlformats.org/officeDocument/2006/relationships/hyperlink" Target="http://www.sec.gov/Archives/edgar/data/313143/000031314319000035/exhibit31-restatedarticles.htm" TargetMode="External"/><Relationship Id="rId134" Type="http://schemas.openxmlformats.org/officeDocument/2006/relationships/hyperlink" Target="http://www.sec.gov/Archives/edgar/data/313143/000031314320000052/by-lawsasamended62920.htm" TargetMode="External"/><Relationship Id="rId135" Type="http://schemas.openxmlformats.org/officeDocument/2006/relationships/hyperlink" Target="http://www.sec.gov/Archives/edgar/data/313143/000031314320000028/fy2020exh4b.htm" TargetMode="External"/><Relationship Id="rId136" Type="http://schemas.openxmlformats.org/officeDocument/2006/relationships/hyperlink" Target="http://www.sec.gov/Archives/edgar/data/313143/000110465921032760/tm218226d4_ex4-1.htm" TargetMode="External"/><Relationship Id="rId137" Type="http://schemas.openxmlformats.org/officeDocument/2006/relationships/hyperlink" Target="http://www.sec.gov/Archives/edgar/data/313143/000031314314000086/a2005long-termincentivepla.htm" TargetMode="External"/><Relationship Id="rId138" Type="http://schemas.openxmlformats.org/officeDocument/2006/relationships/hyperlink" Target="http://www.sec.gov/Archives/edgar/data/313143/000031314319000035/exhibit101-2019plan.htm" TargetMode="External"/><Relationship Id="rId139" Type="http://schemas.openxmlformats.org/officeDocument/2006/relationships/hyperlink" Target="http://www.sec.gov/Archives/edgar/data/313143/000110465905053967/a05-19810_1ex10d1.htm" TargetMode="External"/><Relationship Id="rId140" Type="http://schemas.openxmlformats.org/officeDocument/2006/relationships/hyperlink" Target="http://www.sec.gov/Archives/edgar/data/313143/000095012310054652/b80592exv10ws.htm" TargetMode="External"/><Relationship Id="rId141" Type="http://schemas.openxmlformats.org/officeDocument/2006/relationships/hyperlink" Target="http://www.sec.gov/Archives/edgar/data/313143/000031314318000052/haeq1jun2019ex102.htm" TargetMode="External"/><Relationship Id="rId142" Type="http://schemas.openxmlformats.org/officeDocument/2006/relationships/hyperlink" Target="http://www.sec.gov/Archives/edgar/data/313143/000031314319000053/haeq2sep2020ex104.htm" TargetMode="External"/><Relationship Id="rId145" Type="http://schemas.openxmlformats.org/officeDocument/2006/relationships/hyperlink" Target="http://www.sec.gov/Archives/edgar/data/313143/000031314313000085/a10dpaleetsdalebuncher3rd.htm" TargetMode="External"/><Relationship Id="rId146" Type="http://schemas.openxmlformats.org/officeDocument/2006/relationships/hyperlink" Target="http://www.sec.gov/Archives/edgar/data/313143/000031314313000085/a10epa-leetsdaleamend4.htm" TargetMode="External"/><Relationship Id="rId147" Type="http://schemas.openxmlformats.org/officeDocument/2006/relationships/hyperlink" Target="http://www.sec.gov/Archives/edgar/data/313143/000031314313000085/a10fpaleetsdaleamdend5.htm" TargetMode="External"/><Relationship Id="rId148" Type="http://schemas.openxmlformats.org/officeDocument/2006/relationships/hyperlink" Target="http://www.sec.gov/Archives/edgar/data/313143/000031314313000085/a10gpaleetsdaleamend6th.htm" TargetMode="External"/><Relationship Id="rId149" Type="http://schemas.openxmlformats.org/officeDocument/2006/relationships/hyperlink" Target="http://www.sec.gov/Archives/edgar/data/313143/000031314313000085/a10hleetsdale7thamend12.htm" TargetMode="External"/><Relationship Id="rId150" Type="http://schemas.openxmlformats.org/officeDocument/2006/relationships/hyperlink" Target="http://www.sec.gov/Archives/edgar/data/313143/000031314313000085/a10ileetsdale8amend.htm" TargetMode="External"/><Relationship Id="rId153" Type="http://schemas.openxmlformats.org/officeDocument/2006/relationships/hyperlink" Target="http://www.sec.gov/Archives/edgar/data/313143/000031314318000020/fy2018exh10j.htm" TargetMode="External"/><Relationship Id="rId154" Type="http://schemas.openxmlformats.org/officeDocument/2006/relationships/hyperlink" Target="http://www.sec.gov/Archives/edgar/data/313143/000031314318000020/fy2018exh10k.htm" TargetMode="External"/><Relationship Id="rId155" Type="http://schemas.openxmlformats.org/officeDocument/2006/relationships/hyperlink" Target="http://www.sec.gov/Archives/edgar/data/313143/000031314318000020/fy2018exh10l.htm" TargetMode="External"/><Relationship Id="rId156" Type="http://schemas.openxmlformats.org/officeDocument/2006/relationships/hyperlink" Target="http://www.sec.gov/Archives/edgar/data/313143/000031314321000010/ex101-firstamendmenttoclin.htm" TargetMode="External"/><Relationship Id="rId157" Type="http://schemas.openxmlformats.org/officeDocument/2006/relationships/hyperlink" Target="http://www.sec.gov/Archives/edgar/data/313143/000031314313000085/a10lextleasefeb212000ensat.htm" TargetMode="External"/><Relationship Id="rId158" Type="http://schemas.openxmlformats.org/officeDocument/2006/relationships/hyperlink" Target="http://www.sec.gov/Archives/edgar/data/313143/000031314313000085/a10mbbvaletteragreeaug1420.htm" TargetMode="External"/><Relationship Id="rId161" Type="http://schemas.openxmlformats.org/officeDocument/2006/relationships/hyperlink" Target="http://www.sec.gov/Archives/edgar/data/313143/000031314314000097/haeq1june2015exhibit10dpen.htm" TargetMode="External"/><Relationship Id="rId162" Type="http://schemas.openxmlformats.org/officeDocument/2006/relationships/hyperlink" Target="http://www.sec.gov/Archives/edgar/data/0001520325/000119312521001047/d833938dex1023.htm" TargetMode="External"/><Relationship Id="rId163" Type="http://schemas.openxmlformats.org/officeDocument/2006/relationships/hyperlink" Target="http://www.sec.gov/Archives/edgar/data/313143/000110465921030056/tm218226d1_ex10-1.htm" TargetMode="External"/><Relationship Id="rId164" Type="http://schemas.openxmlformats.org/officeDocument/2006/relationships/hyperlink" Target="http://www.sec.gov/Archives/edgar/data/313143/000110465921032760/tm218226d4_ex10-1.htm" TargetMode="External"/><Relationship Id="rId165" Type="http://schemas.openxmlformats.org/officeDocument/2006/relationships/hyperlink" Target="http://www.sec.gov/Archives/edgar/data/313143/000110465921037152/tm21974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2021-05-26T16:56:54Z</dcterms:created>
  <dcterms:modified xsi:type="dcterms:W3CDTF">2021-05-26T16:56:54Z</dcterms:modified>
</cp:coreProperties>
</file>