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1, 2022</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0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The number of shares of $0.01 par value common stock outstanding as of November 4, 2022: 50,608,362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2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8"/>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164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40" w:type="dxa"/>
            <w:vAlign w:val="bottom"/>
            <w:tcBorders>
              <w:top w:val="single" w:sz="8" w:color="0000FF"/>
            </w:tcBorders>
            <w:gridSpan w:val="4"/>
          </w:tcPr>
          <w:p>
            <w:pPr>
              <w:spacing w:after="0"/>
              <w:rPr>
                <w:sz w:val="24"/>
                <w:szCs w:val="24"/>
                <w:color w:val="auto"/>
              </w:rPr>
            </w:pPr>
          </w:p>
        </w:tc>
        <w:tc>
          <w:tcPr>
            <w:tcW w:w="71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Income and Comprehensive Income - Three and Six Months Ended October 1, 2022 and</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October 2, 2021</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 - October 1, 2022 and Consolidated Balance Sheet - April 2, 2022</w:t>
            </w:r>
          </w:p>
        </w:tc>
        <w:tc>
          <w:tcPr>
            <w:tcW w:w="1620" w:type="dxa"/>
            <w:vAlign w:val="bottom"/>
            <w:gridSpan w:val="5"/>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and Six Months Ended October 1, 2022 and October 2,</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0000FF"/>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FF"/>
              </w:rPr>
              <w:t>2021</w:t>
            </w: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2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 Six Months Ended October 1, 2022 and October 2, 2021</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36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686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66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9520" w:type="dxa"/>
            <w:vAlign w:val="bottom"/>
            <w:gridSpan w:val="24"/>
          </w:tcPr>
          <w:p>
            <w:pPr>
              <w:ind w:left="20"/>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212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208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744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60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rPr>
              <w:t>1A. Risk Factors</w:t>
            </w:r>
          </w:p>
        </w:tc>
        <w:tc>
          <w:tcPr>
            <w:tcW w:w="8100" w:type="dxa"/>
            <w:vAlign w:val="bottom"/>
            <w:gridSpan w:val="19"/>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460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92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244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708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18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66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970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FF"/>
              </w:rPr>
              <w:t>5.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w:t>
            </w:r>
          </w:p>
        </w:tc>
        <w:tc>
          <w:tcPr>
            <w:tcW w:w="1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146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6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180" w:type="dxa"/>
            <w:vAlign w:val="bottom"/>
            <w:tcBorders>
              <w:top w:val="single" w:sz="8" w:color="0000FF"/>
            </w:tcBorders>
            <w:gridSpan w:val="2"/>
          </w:tcPr>
          <w:p>
            <w:pPr>
              <w:spacing w:after="0"/>
              <w:rPr>
                <w:sz w:val="24"/>
                <w:szCs w:val="24"/>
                <w:color w:val="auto"/>
              </w:rPr>
            </w:pPr>
          </w:p>
        </w:tc>
        <w:tc>
          <w:tcPr>
            <w:tcW w:w="8860" w:type="dxa"/>
            <w:vAlign w:val="bottom"/>
            <w:gridSpan w:val="2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gridSpan w:val="18"/>
          </w:tcPr>
          <w:p>
            <w:pPr>
              <w:ind w:left="48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left="360" w:right="16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INCOME AND COMPREHENSIVE INCOME (Unaudited in thousands, except per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6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5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r>
      <w:tr>
        <w:trPr>
          <w:trHeight w:val="195"/>
        </w:trPr>
        <w:tc>
          <w:tcPr>
            <w:tcW w:w="5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468,425</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237,799</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230,626</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166,996</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divestiture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204,726</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50,989</w:t>
            </w: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51,358</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259,496</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$2,495 at October 1, 2022 and $2,475 at April 2, 2022</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756,031</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258,482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$395,822 at October 1, 2022 and $376,552 at April 2, 2022</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310,261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467,287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1,865,112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121,207</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442,266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559,441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0" w:type="dxa"/>
            <w:vAlign w:val="bottom"/>
          </w:tcPr>
          <w:p>
            <w:pPr>
              <w:spacing w:after="0"/>
              <w:rPr>
                <w:sz w:val="1"/>
                <w:szCs w:val="1"/>
                <w:color w:val="auto"/>
              </w:rPr>
            </w:pPr>
          </w:p>
        </w:tc>
      </w:tr>
      <w:tr>
        <w:trPr>
          <w:trHeight w:val="21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0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50,605,499 shares at</w:t>
            </w: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October 1, 2022 and 51,124,240 shares at April 2, 2022</w:t>
            </w: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749,424</w:t>
            </w:r>
          </w:p>
        </w:tc>
        <w:tc>
          <w:tcPr>
            <w:tcW w:w="0" w:type="dxa"/>
            <w:vAlign w:val="bottom"/>
          </w:tcPr>
          <w:p>
            <w:pPr>
              <w:spacing w:after="0"/>
              <w:rPr>
                <w:sz w:val="1"/>
                <w:szCs w:val="1"/>
                <w:color w:val="auto"/>
              </w:rPr>
            </w:pPr>
          </w:p>
        </w:tc>
      </w:tr>
      <w:tr>
        <w:trPr>
          <w:trHeight w:val="212"/>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1,865,112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ind w:left="380" w:right="230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STOCKHOLDERS’ EQUITY (Unaudited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80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280" w:type="dxa"/>
            <w:vAlign w:val="bottom"/>
          </w:tcPr>
          <w:p>
            <w:pPr>
              <w:spacing w:after="0"/>
              <w:rPr>
                <w:sz w:val="5"/>
                <w:szCs w:val="5"/>
                <w:color w:val="auto"/>
              </w:rPr>
            </w:pPr>
          </w:p>
        </w:tc>
        <w:tc>
          <w:tcPr>
            <w:tcW w:w="920" w:type="dxa"/>
            <w:vAlign w:val="bottom"/>
          </w:tcPr>
          <w:p>
            <w:pPr>
              <w:jc w:val="right"/>
              <w:ind w:right="39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572,476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749,424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0" w:type="dxa"/>
            <w:vAlign w:val="bottom"/>
          </w:tcPr>
          <w:p>
            <w:pPr>
              <w:spacing w:after="0"/>
              <w:rPr>
                <w:sz w:val="1"/>
                <w:szCs w:val="1"/>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51,315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580,359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222,268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(32,717)</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770,423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repurchased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w:t>
            </w:r>
          </w:p>
        </w:tc>
        <w:tc>
          <w:tcPr>
            <w:tcW w:w="0" w:type="dxa"/>
            <w:vAlign w:val="bottom"/>
          </w:tcPr>
          <w:p>
            <w:pPr>
              <w:spacing w:after="0"/>
              <w:rPr>
                <w:sz w:val="1"/>
                <w:szCs w:val="1"/>
                <w:color w:val="auto"/>
              </w:rPr>
            </w:pPr>
          </w:p>
        </w:tc>
      </w:tr>
      <w:tr>
        <w:trPr>
          <w:trHeight w:val="196"/>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564,394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729,009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80" w:type="dxa"/>
            <w:vAlign w:val="bottom"/>
          </w:tcPr>
          <w:p>
            <w:pPr>
              <w:spacing w:after="0"/>
              <w:rPr>
                <w:sz w:val="14"/>
                <w:szCs w:val="14"/>
                <w:color w:val="auto"/>
              </w:rPr>
            </w:pPr>
          </w:p>
        </w:tc>
        <w:tc>
          <w:tcPr>
            <w:tcW w:w="920" w:type="dxa"/>
            <w:vAlign w:val="bottom"/>
            <w:vMerge w:val="restart"/>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6"/>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Cumulative effect of change in accounting standards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(60,121)</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551,108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154,562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w:t>
            </w: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October 2,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558,156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698,549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240" w:type="dxa"/>
            <w:vAlign w:val="bottom"/>
          </w:tcPr>
          <w:p>
            <w:pPr>
              <w:spacing w:after="0"/>
              <w:rPr>
                <w:sz w:val="13"/>
                <w:szCs w:val="13"/>
                <w:color w:val="auto"/>
              </w:rPr>
            </w:pPr>
          </w:p>
        </w:tc>
        <w:tc>
          <w:tcPr>
            <w:tcW w:w="1340" w:type="dxa"/>
            <w:vAlign w:val="bottom"/>
          </w:tcPr>
          <w:p>
            <w:pPr>
              <w:jc w:val="right"/>
              <w:ind w:right="368"/>
              <w:spacing w:after="0" w:line="158" w:lineRule="exact"/>
              <w:rPr>
                <w:sz w:val="20"/>
                <w:szCs w:val="20"/>
                <w:color w:val="auto"/>
              </w:rPr>
            </w:pPr>
            <w:r>
              <w:rPr>
                <w:rFonts w:ascii="Times New Roman" w:cs="Times New Roman" w:eastAsia="Times New Roman" w:hAnsi="Times New Roman"/>
                <w:sz w:val="16"/>
                <w:szCs w:val="16"/>
                <w:b w:val="1"/>
                <w:bCs w:val="1"/>
                <w:color w:val="auto"/>
              </w:rPr>
              <w:t>October 2,</w:t>
            </w:r>
          </w:p>
        </w:tc>
      </w:tr>
      <w:tr>
        <w:trPr>
          <w:trHeight w:val="214"/>
        </w:trPr>
        <w:tc>
          <w:tcPr>
            <w:tcW w:w="7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10,402</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48,567</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assets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deferred finance costs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 provision for losses on inventory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Gains on divestiture</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7,054</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accounts receivable</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(14,574)</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inventories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prepaid income taxes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other assets and other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 in accounts payable and accrued expenses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(25,449)</w:t>
            </w: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41,780</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(34,731)</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divestiture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(36,371)</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borrowings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redemption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revolving facility</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term loan borrowings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repurchases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259,496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192,305</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241,200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192,420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6"/>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Transfers from inventory to fixed assets for placement of Haemonetics equipment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right="8760" w:firstLine="8"/>
        <w:spacing w:after="0" w:line="565"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October 1, 2022 are not necessarily indicative of the results that may be expected for the full fiscal year ending April 1, 2023 or any other interim period. These unaudited condensed consolidated financial statements should be read in conjunction with the audited consolidated financial statements and footnotes included in the Annual Report on Form 10-K for the fiscal year ended April 2, 2022.</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six months ended October 1, 2022, except those listed below. In November 2022, the Company made a €20 million investment in Vivasure Medical LTD, bringing the Company's total investment to €30 million. The investment will also be classified as other long-term assets on the Company’s Condensed Consolidated Balance Sheets.</w:t>
      </w:r>
    </w:p>
    <w:p>
      <w:pPr>
        <w:spacing w:after="0" w:line="206" w:lineRule="exact"/>
        <w:rPr>
          <w:sz w:val="20"/>
          <w:szCs w:val="20"/>
          <w:color w:val="auto"/>
        </w:rPr>
      </w:pPr>
    </w:p>
    <w:p>
      <w:pPr>
        <w:ind w:right="7120" w:firstLine="8"/>
        <w:spacing w:after="0" w:line="53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Standards Implemented</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2020, the FASB issued ASC Update No. 2020-06 — Debt - Debt with Conversion and Other Options (Subtopic 470-20) and Derivatives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 Contracts in Entity’s Own Equity (Subtopic 815-40). The amendments simplify the complexity associated with applying U.S. GAAP for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characteristics of liabilities and equity. Update No. 2020-06 is effective for fiscal years beginning after December 15,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interim periods within those fiscal years. The Company early adopted ASC Update No. 2020-06 effective April 4, 2021 using the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 method, which resulted in a decrease of $61.2 million to additional paid-in capital, a decrease to non-current deferred tax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and an increase of $80.3 million to non-current convertible notes, net, on the condensed consolidated balance sheets. Additionally, retained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was adjusted to remove amortization expense recognized in prior periods related to the debt discount and the convertible notes no longer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discount that will be amortized, net of taxes. The impact to retained earnings on the condensed consolidated balance sheets as of April 4, 2021 is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$1.0 million.</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six months ended October 1, 2022, the Company incurred $3.1 million and $6.6 million, respectively, of restructuring and restructuring related costs under this program. During the three and six months ended October 2, 2021, the Company incurred $4.6 million and</w:t>
      </w:r>
    </w:p>
    <w:p>
      <w:pPr>
        <w:spacing w:after="0" w:line="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$14.5 million, respectively, of restructuring and restructuring related costs under this program. Total cumulative charges under this program are $62.3 million.</w:t>
      </w:r>
    </w:p>
    <w:p>
      <w:pPr>
        <w:spacing w:after="0" w:line="2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the 2020 Program and prior programs for the six months ended October 1, 2022, substantially all of which relates to employee severance and other employee costs: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1,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restructuring costs by line item within our accompanying unaudited Condensed Consolidated Statements of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2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the Company had a restructuring liability of $1.8 million, of which $1.5 million is payable within the next twelve months.</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restructuring costs included in the table above, the Company also incurred costs that do not constitute restructuring under ASC 420, </w:t>
      </w:r>
      <w:r>
        <w:rPr>
          <w:rFonts w:ascii="Times New Roman" w:cs="Times New Roman" w:eastAsia="Times New Roman" w:hAnsi="Times New Roman"/>
          <w:sz w:val="18"/>
          <w:szCs w:val="18"/>
          <w:i w:val="1"/>
          <w:iCs w:val="1"/>
          <w:color w:val="auto"/>
        </w:rPr>
        <w:t>Exit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Disposal Cost Obligations, </w:t>
      </w:r>
      <w:r>
        <w:rPr>
          <w:rFonts w:ascii="Times New Roman" w:cs="Times New Roman" w:eastAsia="Times New Roman" w:hAnsi="Times New Roman"/>
          <w:sz w:val="18"/>
          <w:szCs w:val="18"/>
          <w:color w:val="auto"/>
        </w:rPr>
        <w:t>and which the Company instead refers to as restructuring related costs. These costs consist primarily of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1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0"/>
                <w:szCs w:val="20"/>
                <w:color w:val="auto"/>
              </w:rPr>
            </w:pPr>
          </w:p>
        </w:tc>
        <w:tc>
          <w:tcPr>
            <w:tcW w:w="24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October 2,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October 2, 2021</w:t>
            </w: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48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1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4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October 2,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October 2, 2021</w:t>
            </w: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For the three and six months ended October 1, 2022, the Company reported income tax expense of $7.9 million and $13.5 million, respectively, representing effective tax rates of 19.1% and 20.3%, respectively. The effective tax rate for the six months ended October 1, 2022 includes a discrete tax benefit of $0.5 million related to tax rate changes enacted in the quarter and $0.3 million of discrete tax expense relating to stock compensation shortfalls. The effective tax rate for the three months ended October 1, 2022, the effective tax rate includes a discrete tax benefit of $0.5 million related to tax rate changes enacted in the quarter and $0.3 million of discrete tax benefit relating to stock compensation windfalls.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October 2, 2021, the Company reported income tax expense of $5.1 million and $6.5 million, respectively, representing effective tax rates of 25.4% and 38.5%, respectively. The effective tax rates for the three and six months ended October 2, 2021 include discrete tax expense relating to stock compensation shortfalls of $0.1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51,358</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and six months ended October 1, 2022, weighted average shares outstanding, assuming dilution, excludes the impact of 0.7 million and 0.8 million anti-dilutive shares, respectively. For the three and six months ended October 2, 2021, weighted average shares outstanding, assuming dilution, excludes the impact of 0.9 million anti-dilutive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2022, the Company's Board of Directors authorized the repurchase of up to $300 million of Haemonetics common stock over the next three years.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Subsequent to the Company’s announcement of the share repurchase program, in August 2022, the Company entered into an accelerated share repurchase agreement (“ASR”) with Citibank N.A. (“Citibank”) to repurchase $75.0 million of the Company's common stock. Pursuant to the terms of the ASR, in August 2022, the Company paid Citibank $75.0 million in cash and received an initial delivery of 0.8 million shares of the Company's common stock based on a closing market price on the New York Stock Exchange on August 16, 2022 of $76.32. This initial delivery of shares represented approximately 80% of the notional amount of the ASR. The ASR was completed in November 2022 and approximately 0.2 million additional shares were delivered upon settlement.</w:t>
      </w:r>
    </w:p>
    <w:p>
      <w:pPr>
        <w:spacing w:after="0" w:line="22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October 1, 2022, the total remaining authorization for repurchases of the Company's common stock under the share repurchase program was $225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Company’s revenue recognition policy is to recognize revenues from product sales, software and services in accordance with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Revenue is recognized when obligations under the terms of a contract with a customer are satisfied; this occurs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October 1, 2022, the Company had $23.0 million of its transaction price allocated to remaining performance obligations related to executed contracts with an original duration of one year or more. The Company expects to recognize approximately 74% of this amount as revenue within the next twelve months and the remaining balance thereafter.</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October 1, 2022 and April 2, 2022, the Company had contract assets of $7.6 million and $5.5 million, respectively. Contract assets are classified as other current assets and other long-term assets on the Condensed Consolidated Balance Sheets.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of October 1, 2022 and April 2, 2022, the Company had contract liabilities of $24.4 million and $26.8 million, respectively. During the three and six months ended October 1, 2022, the Company recognized $6.8 million and $18.5 million of revenue, respectively, that was included in the above April 2, 2022 contract liability balance.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p>
      <w:pPr>
        <w:sectPr>
          <w:pgSz w:w="11900" w:h="16838" w:orient="portrait"/>
          <w:cols w:equalWidth="0" w:num="1">
            <w:col w:w="11240"/>
          </w:cols>
          <w:pgMar w:left="320" w:top="887"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320" w:type="dxa"/>
            <w:vAlign w:val="bottom"/>
          </w:tcPr>
          <w:p>
            <w:pPr>
              <w:spacing w:after="0"/>
              <w:rPr>
                <w:sz w:val="12"/>
                <w:szCs w:val="12"/>
                <w:color w:val="auto"/>
              </w:rPr>
            </w:pPr>
          </w:p>
        </w:tc>
        <w:tc>
          <w:tcPr>
            <w:tcW w:w="1260" w:type="dxa"/>
            <w:vAlign w:val="bottom"/>
          </w:tcPr>
          <w:p>
            <w:pPr>
              <w:jc w:val="right"/>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88,886</w:t>
            </w:r>
          </w:p>
        </w:tc>
      </w:tr>
      <w:tr>
        <w:trPr>
          <w:trHeight w:val="230"/>
        </w:trPr>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r>
      <w:tr>
        <w:trPr>
          <w:trHeight w:val="234"/>
        </w:trPr>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186,954</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254,680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293,027</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-334010</wp:posOffset>
            </wp:positionV>
            <wp:extent cx="709803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-633730</wp:posOffset>
            </wp:positionV>
            <wp:extent cx="70980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183" w:lineRule="exact"/>
        <w:rPr>
          <w:sz w:val="20"/>
          <w:szCs w:val="20"/>
          <w:color w:val="auto"/>
        </w:rPr>
      </w:pPr>
    </w:p>
    <w:p>
      <w:pPr>
        <w:sectPr>
          <w:pgSz w:w="11900" w:h="16838" w:orient="portrait"/>
          <w:cols w:equalWidth="0" w:num="2">
            <w:col w:w="7180" w:space="720"/>
            <w:col w:w="3340"/>
          </w:cols>
          <w:pgMar w:left="320" w:top="887" w:right="339" w:bottom="1440" w:gutter="0" w:footer="0" w:header="0"/>
          <w:type w:val="continuous"/>
        </w:sectPr>
      </w:pP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9. NOTES PAYABLE AND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2023, the conditions allowing holders of the 2026 Notes to convert have not been met. The 2026 Notes were therefore not convertible as of October 1, 2022 and were classified as long-term debt on the Company’s Condensed Consolidated Balance Sheets.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October 1, 2022, the $500.0 million principal balance was netted down by $9.2 million of remaining debt issuance costs, resulting in a net convertible note payable of $490.8 million. Interest expense related to the 2026 Notes was $0.7 million and $1.3 million, for the three and six months ended October 1, 2022, respectively, which is entirely attributable to the amortization of the debt issuance costs. The debt issuance costs are amortized at an effective interest rate of 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June 15, 2018, the Company entered into a credit agreement with certain lenders that provided for a $350.0 million term loan and a $350.0 million revolving loan (together with the term loan, as amended from time to time, the “2018 Credit Facilities”) that were each scheduled to mature on June 15, 2023 with applicable interest rates during the period established using LIBOR plus 1.13% - 1.75%, depending on the Company’s leverage ratio.</w:t>
      </w:r>
    </w:p>
    <w:p>
      <w:pPr>
        <w:spacing w:after="0" w:line="18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7"/>
          <w:szCs w:val="17"/>
          <w:color w:val="auto"/>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spacing w:after="0" w:line="21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For the term loan under the Revised Credit facilities, for the three and six months ended October 1, 2022, the Company recognized interest expense of $0.5 million for third party fees incurred and capitalized $0.2 million of lender fees related to the term loan. For the three and six months ended October 1, 2022, the Company capitalized $1.1 million of lender fees and third-party costs incurred in the refinancing related to the revolving credit facility under the Revised Credit Facilities.</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At October 1, 2022, $278.3 million was outstanding under the term loan with an effective interest rate of 4.2%. The Company has scheduled principal payments of $8.8 million required during the 12 months following October 1, 2022. There was $50.0 million outstanding under the revolving credit facility at October 1, 2022. The Company also has $19.6 million of uncommitted operating lines of credit to fund its global operations under which there were no outstanding borrowings as of October 1, 2022.</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leverage and interest coverage ratios specified in the Revised Credit Facilities as well as all other bank covenants as of October 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 AND FAIR VALUE MEASUREMENTS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the three and six months ended October 1, 2022, 28.8% and 29.6%, respectively, of the Company’s sales were generated outside the U.S. in local currencies. The Company also incurs certain manufacturing, marketing and selling costs in international markets in local currency.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Chinese Yuan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October 1, 2022 and April 2, 2022 were cash flow hedges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$30.9 million as of October 1, 2022 and $67.3 million as of April 2, 2022. At October 1, 2022, a gain of $2.4 million, net of tax, will be reclassified to earnings within the next twelve months. Substantially all currency cash flow hedges outstanding as of October 1, 2022 mature within twelve months.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$45.2 million as of October 1, 2022 and $39.5 million as of April 2,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4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June 15, 2018, the Company entered into the 2018 Credit Facilities, which provided for a $350.0 million term loan and a $350.0 million revolving credit facility. Under the terms of the 2018 Credit Facilities, interest was established using LIBOR plus the applicable rate ranging from 1.13% to 1.75% based on the Company's leverage ratio. In August 2018, the Company entered into two interest rate swap agreements to pay an average fixed rate of 2.80% plus the applicable rate on a total notional value of $241.9 million of debt, or 70% of the notional value of the unsecured term loan. The 2018 interest rate swaps mature on June 15, 2023. As a result of the refinancing in August 2022, the 2018 interest rate swaps were amended in September 2022 to align with</w:t>
      </w:r>
    </w:p>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Secured Overnight Financing Rate (“SOFR”) rate rather than LIBOR (the “Amended Swaps”). The Company concluded that the Amended Swaps were still effective such that hedge accounting was continued on these swaps.</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 in an average blended fixed interest rate of 3.57% plus the applicable rate on 70% of the notional value of the unsecured term loan until mid-June 2023 and 4.12% plus the applicable rate thereafter on 80% of the notional until the maturity date in June 2025. The Company has concluded that each of these four additional interest rate swaps are effective and qualify for hedge accounting treatment.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October 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60" w:type="dxa"/>
            <w:vAlign w:val="bottom"/>
          </w:tcPr>
          <w:p>
            <w:pPr>
              <w:spacing w:after="0"/>
              <w:rPr>
                <w:sz w:val="13"/>
                <w:szCs w:val="13"/>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8"/>
        </w:trPr>
        <w:tc>
          <w:tcPr>
            <w:tcW w:w="2500" w:type="dxa"/>
            <w:vAlign w:val="bottom"/>
            <w:gridSpan w:val="2"/>
            <w:vMerge w:val="restart"/>
          </w:tcPr>
          <w:p>
            <w:pPr>
              <w:ind w:left="800"/>
              <w:spacing w:after="0" w:line="137"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80" w:type="dxa"/>
            <w:vAlign w:val="bottom"/>
          </w:tcPr>
          <w:p>
            <w:pPr>
              <w:spacing w:after="0"/>
              <w:rPr>
                <w:sz w:val="5"/>
                <w:szCs w:val="5"/>
                <w:color w:val="auto"/>
              </w:rPr>
            </w:pPr>
          </w:p>
        </w:tc>
        <w:tc>
          <w:tcPr>
            <w:tcW w:w="94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Designation Date</w:t>
            </w:r>
          </w:p>
        </w:tc>
        <w:tc>
          <w:tcPr>
            <w:tcW w:w="120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70"/>
        </w:trPr>
        <w:tc>
          <w:tcPr>
            <w:tcW w:w="2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of October 1, 2022</w:t>
            </w: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70"/>
        </w:trPr>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194,776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six months ended October 1, 2022, a gain of $3.2 million, net of tax, was recorded in accumulated other comprehensive loss to recognize the effective portion of the fair value of the Swaps that qualify as 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To date, the Company has not experienced significant customer payment defaults, or identified other significant collectability concerns.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4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560" w:type="dxa"/>
            <w:vAlign w:val="bottom"/>
          </w:tcPr>
          <w:p>
            <w:pPr>
              <w:spacing w:after="0"/>
              <w:rPr>
                <w:sz w:val="16"/>
                <w:szCs w:val="16"/>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0" w:type="dxa"/>
            <w:vAlign w:val="bottom"/>
          </w:tcPr>
          <w:p>
            <w:pPr>
              <w:spacing w:after="0"/>
              <w:rPr>
                <w:sz w:val="1"/>
                <w:szCs w:val="1"/>
                <w:color w:val="auto"/>
              </w:rPr>
            </w:pPr>
          </w:p>
        </w:tc>
      </w:tr>
      <w:tr>
        <w:trPr>
          <w:trHeight w:val="229"/>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4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0" w:type="dxa"/>
            <w:vAlign w:val="bottom"/>
          </w:tcPr>
          <w:p>
            <w:pPr>
              <w:spacing w:after="0"/>
              <w:rPr>
                <w:sz w:val="1"/>
                <w:szCs w:val="1"/>
                <w:color w:val="auto"/>
              </w:rPr>
            </w:pPr>
          </w:p>
        </w:tc>
      </w:tr>
      <w:tr>
        <w:trPr>
          <w:trHeight w:val="229"/>
        </w:trPr>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14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5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six months ended October 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Accumulated Other</w:t>
            </w:r>
          </w:p>
        </w:tc>
        <w:tc>
          <w:tcPr>
            <w:tcW w:w="1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0" w:type="dxa"/>
            <w:vAlign w:val="bottom"/>
          </w:tcPr>
          <w:p>
            <w:pPr>
              <w:spacing w:after="0"/>
              <w:rPr>
                <w:sz w:val="1"/>
                <w:szCs w:val="1"/>
                <w:color w:val="auto"/>
              </w:rPr>
            </w:pPr>
          </w:p>
        </w:tc>
      </w:tr>
      <w:tr>
        <w:trPr>
          <w:trHeight w:val="13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5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into</w:t>
            </w:r>
          </w:p>
        </w:tc>
        <w:tc>
          <w:tcPr>
            <w:tcW w:w="19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Testing</w:t>
            </w: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Designated foreign currency hedge</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revenues, COGS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SG&amp;A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Non-designated foreign currency</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interest rate swaps, net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October 1, 2022 or April 2, 2022. As of October 1, 2022, no material deferred taxes were recognized for designated foreign currency hedges.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October 1, 2022,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2022 and April 2, 2022: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80" w:type="dxa"/>
            <w:vAlign w:val="bottom"/>
          </w:tcPr>
          <w:p>
            <w:pPr>
              <w:spacing w:after="0"/>
              <w:rPr>
                <w:sz w:val="13"/>
                <w:szCs w:val="1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3"/>
                <w:szCs w:val="13"/>
                <w:color w:val="auto"/>
              </w:rPr>
            </w:pPr>
          </w:p>
        </w:tc>
        <w:tc>
          <w:tcPr>
            <w:tcW w:w="15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80" w:type="dxa"/>
            <w:vAlign w:val="bottom"/>
          </w:tcPr>
          <w:p>
            <w:pPr>
              <w:spacing w:after="0"/>
              <w:rPr>
                <w:sz w:val="16"/>
                <w:szCs w:val="16"/>
                <w:color w:val="auto"/>
              </w:rPr>
            </w:pPr>
          </w:p>
        </w:tc>
        <w:tc>
          <w:tcPr>
            <w:tcW w:w="17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320" w:type="dxa"/>
            <w:vAlign w:val="bottom"/>
          </w:tcPr>
          <w:p>
            <w:pPr>
              <w:spacing w:after="0"/>
              <w:rPr>
                <w:sz w:val="16"/>
                <w:szCs w:val="16"/>
                <w:color w:val="auto"/>
              </w:rPr>
            </w:pPr>
          </w:p>
        </w:tc>
        <w:tc>
          <w:tcPr>
            <w:tcW w:w="15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5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October 1, 2022 and April 2,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October 1,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68,695</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April 2, 2022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100,657</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35,569</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3"/>
                <w:szCs w:val="23"/>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right"/>
              <w:ind w:right="476"/>
              <w:spacing w:after="0"/>
              <w:rPr>
                <w:sz w:val="20"/>
                <w:szCs w:val="20"/>
                <w:color w:val="auto"/>
              </w:rPr>
            </w:pPr>
            <w:r>
              <w:rPr>
                <w:rFonts w:ascii="Times New Roman" w:cs="Times New Roman" w:eastAsia="Times New Roman" w:hAnsi="Times New Roman"/>
                <w:sz w:val="18"/>
                <w:szCs w:val="18"/>
                <w:color w:val="auto"/>
              </w:rPr>
              <w:t>2022 - 2023</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acquisitions was $0.8 million at October 1, 2022 and was included in other liabilities. A reconciliation of the change in the fair value of contingent consideration is included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8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 2022</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which is carried at amortized cost, accounts receivable and accounts payable approximate fair value. The fair value of the 2026 Notes as of October 1, 2022 was $399.2 million, which was determined by using the market price on the last trading day of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19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 xml:space="preserve">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intervene in the underlying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captioned </w:t>
      </w:r>
      <w:r>
        <w:rPr>
          <w:rFonts w:ascii="Times New Roman" w:cs="Times New Roman" w:eastAsia="Times New Roman" w:hAnsi="Times New Roman"/>
          <w:sz w:val="18"/>
          <w:szCs w:val="18"/>
          <w:i w:val="1"/>
          <w:iCs w:val="1"/>
          <w:color w:val="auto"/>
        </w:rPr>
        <w:t>United States ex rel. Berthelot et al. v. Haemonetics Corp.,</w:t>
      </w:r>
      <w:r>
        <w:rPr>
          <w:rFonts w:ascii="Times New Roman" w:cs="Times New Roman" w:eastAsia="Times New Roman" w:hAnsi="Times New Roman"/>
          <w:sz w:val="18"/>
          <w:szCs w:val="18"/>
          <w:color w:val="auto"/>
        </w:rPr>
        <w:t xml:space="preserve"> 1:20-cv-11062-ADB, pending in the U.S. District Court for the District of Massachusetts, indicating that the DOJ had completed its investigative activity based on then available information.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was unsealed by order dated August 18, 2022.</w:t>
      </w:r>
    </w:p>
    <w:p>
      <w:pPr>
        <w:spacing w:after="0" w:line="21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 xml:space="preserve">In the fourth quarter of fiscal 2021, a putative class action complaint was filed against the Company in the Circuit Court of Cook County, Illinois by Mary Crumpton, on behalf of herself and similarly situated individuals.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late March 2022, the court denied the Company’s motion to dismiss for lack of personal jurisdiction but did not address the merits of the Company’s other positions. The Company believes the allegations in this lawsuit are without merit and will defend vigorously against them. The case is still in an early stage and the Company cannot reasonably estimate a range of potential loss and expense at this time.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ENTERPRISE-WIDE INFORMATION</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8" w:name="page19"/>
    <w:bookmarkEnd w:id="18"/>
    <w:p>
      <w:pPr>
        <w:ind w:right="480"/>
        <w:spacing w:after="0" w:line="282" w:lineRule="auto"/>
        <w:rPr>
          <w:sz w:val="20"/>
          <w:szCs w:val="20"/>
          <w:color w:val="auto"/>
        </w:rPr>
      </w:pPr>
      <w:r>
        <w:rPr>
          <w:rFonts w:ascii="Times New Roman" w:cs="Times New Roman" w:eastAsia="Times New Roman" w:hAnsi="Times New Roman"/>
          <w:sz w:val="18"/>
          <w:szCs w:val="18"/>
          <w:color w:val="auto"/>
        </w:rPr>
        <w:t>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deal amortization, restructuring and restructuring related costs,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153,509</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454,311</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558,943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468,425</w:t>
            </w:r>
          </w:p>
        </w:tc>
        <w:tc>
          <w:tcPr>
            <w:tcW w:w="0" w:type="dxa"/>
            <w:vAlign w:val="bottom"/>
          </w:tcPr>
          <w:p>
            <w:pPr>
              <w:spacing w:after="0"/>
              <w:rPr>
                <w:sz w:val="1"/>
                <w:szCs w:val="1"/>
                <w:color w:val="auto"/>
              </w:rPr>
            </w:pPr>
          </w:p>
        </w:tc>
      </w:tr>
    </w:tbl>
    <w:p>
      <w:pPr>
        <w:ind w:left="200" w:hanging="161"/>
        <w:spacing w:after="0" w:line="233" w:lineRule="auto"/>
        <w:tabs>
          <w:tab w:leader="none" w:pos="20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-123825</wp:posOffset>
            </wp:positionV>
            <wp:extent cx="32575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59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Plasma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Blood Center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Hospital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208,867</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exchange rates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Deal amortization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restructuring related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of assets and PCS2 related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MDR and IVDR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Gains on divestiture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25,900</w:t>
            </w:r>
          </w:p>
        </w:tc>
        <w:tc>
          <w:tcPr>
            <w:tcW w:w="0" w:type="dxa"/>
            <w:vAlign w:val="bottom"/>
          </w:tcPr>
          <w:p>
            <w:pPr>
              <w:spacing w:after="0"/>
              <w:rPr>
                <w:sz w:val="1"/>
                <w:szCs w:val="1"/>
                <w:color w:val="auto"/>
              </w:rPr>
            </w:pPr>
          </w:p>
        </w:tc>
      </w:tr>
    </w:tbl>
    <w:p>
      <w:pPr>
        <w:ind w:left="40" w:right="360" w:firstLine="6"/>
        <w:spacing w:after="0" w:line="221" w:lineRule="auto"/>
        <w:tabs>
          <w:tab w:leader="none" w:pos="203"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-226060</wp:posOffset>
            </wp:positionV>
            <wp:extent cx="33604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2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products and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192,584</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Blood Center products and services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 products and services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158,163</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558,943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468,425</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generated in the Company’s principle operating regions on a reported basis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558,943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468,425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20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 2022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(25,954)</w:t>
            </w:r>
          </w:p>
        </w:tc>
        <w:tc>
          <w:tcPr>
            <w:tcW w:w="0" w:type="dxa"/>
            <w:vAlign w:val="bottom"/>
          </w:tcPr>
          <w:p>
            <w:pPr>
              <w:spacing w:after="0"/>
              <w:rPr>
                <w:sz w:val="1"/>
                <w:szCs w:val="1"/>
                <w:color w:val="auto"/>
              </w:rPr>
            </w:pPr>
          </w:p>
        </w:tc>
      </w:tr>
      <w:tr>
        <w:trPr>
          <w:trHeight w:val="156"/>
        </w:trPr>
        <w:tc>
          <w:tcPr>
            <w:tcW w:w="45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176"/>
        </w:trPr>
        <w:tc>
          <w:tcPr>
            <w:tcW w:w="4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(44,905)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(40,255)</w:t>
            </w:r>
          </w:p>
        </w:tc>
        <w:tc>
          <w:tcPr>
            <w:tcW w:w="0" w:type="dxa"/>
            <w:vAlign w:val="bottom"/>
          </w:tcPr>
          <w:p>
            <w:pPr>
              <w:spacing w:after="0"/>
              <w:rPr>
                <w:sz w:val="1"/>
                <w:szCs w:val="1"/>
                <w:color w:val="auto"/>
              </w:rPr>
            </w:pPr>
          </w:p>
        </w:tc>
      </w:tr>
    </w:tbl>
    <w:p>
      <w:pPr>
        <w:ind w:left="220" w:hanging="160"/>
        <w:spacing w:after="0" w:line="233" w:lineRule="auto"/>
        <w:tabs>
          <w:tab w:leader="none" w:pos="2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2, 2022. The following discussion may contain forward-looking statements and should be read in conjunction with the “Cautionary Statement Regarding Forward-Looking Information” in this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14"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August 2022, our Board of Directors authorized the repurchase of up to $300 million of Haemonetics common stock from time to time, based on market conditions, over the next three years. Subsequent to our announcement of the share repurchase program, in August 2022, the Company entered into an</w:t>
      </w:r>
    </w:p>
    <w:p>
      <w:pPr>
        <w:ind w:right="80"/>
        <w:spacing w:after="0" w:line="239" w:lineRule="auto"/>
        <w:rPr>
          <w:sz w:val="20"/>
          <w:szCs w:val="20"/>
          <w:color w:val="auto"/>
        </w:rPr>
      </w:pPr>
      <w:r>
        <w:rPr>
          <w:rFonts w:ascii="Times New Roman" w:cs="Times New Roman" w:eastAsia="Times New Roman" w:hAnsi="Times New Roman"/>
          <w:sz w:val="18"/>
          <w:szCs w:val="18"/>
          <w:color w:val="auto"/>
        </w:rPr>
        <w:t>accelerated share repurchase agreement (“ASR”) with Citibank N.A. (“Citibank”) to repurchase $75.0 million of the Company's common stock. Pursuant to the terms of the ASR, we paid Citibank $75.0 million in cash and received an initial delivery of 0.8 million shares of the Company's common stock based on a closing market price on the New York Stock Exchange on August 16, 2022 of $76.32. This initial delivery of shares represented approximately 80% of the notional amount of the ASR. The ASR was completed in November 2022 and approximately 0.2 million additional shares were delivered upon settlement.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As of October 1, 2022, the total remaining authorization for repurchase of the Company’s common stock was $225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Repayment</w:t>
      </w:r>
    </w:p>
    <w:p>
      <w:pPr>
        <w:spacing w:after="0" w:line="22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July 26, 2022, we entered into an amended and restated credit agreement with certain lenders to refinance the credit facilities under our 2018 credit agreement (as amended from time to time) and extend the applicable maturity date through June 2025. The amended and restated credit agreement provides for a $280 million senior unsecured term loan, the proceeds of which have been used to retire the balance of the term loan under our 2018 credit agreement, and a $420 million senior unsecured revolving credit facility. In September 2022, we amended two prior interest rate swap agreements and entered into certain supplemental interest rate swap agreements to effectively convert between 70% to 80% of borrowings under our Revised Credit Facilities from a variable Term Secured Overnight Financing Rate (“SOFR”) rate to a fixed rate of interest through June 2025. In September 2022, we amended two prior interest rate swap agreements and entered into certain supplemental interest rate swap agreements to effectively convert between 70% to 80% of borrowings under our Revised Credit Facilities from a variable Term SOFR rate to a fixed rate of interest through June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and six months ended October 1, 2022, the Company incurred $3.1 million and $6.6 million, respectively, of restructuring and restructuring related costs under this program. Total cumulative charges under this program are $62.3 million as of October 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Pr>
          <w:p>
            <w:pPr>
              <w:spacing w:after="0"/>
              <w:rPr>
                <w:sz w:val="11"/>
                <w:szCs w:val="11"/>
                <w:color w:val="auto"/>
              </w:rPr>
            </w:pPr>
          </w:p>
        </w:tc>
        <w:tc>
          <w:tcPr>
            <w:tcW w:w="106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200" w:type="dxa"/>
            <w:vAlign w:val="bottom"/>
          </w:tcPr>
          <w:p>
            <w:pPr>
              <w:spacing w:after="0"/>
              <w:rPr>
                <w:sz w:val="11"/>
                <w:szCs w:val="11"/>
                <w:color w:val="auto"/>
              </w:rPr>
            </w:pPr>
          </w:p>
        </w:tc>
        <w:tc>
          <w:tcPr>
            <w:tcW w:w="1060" w:type="dxa"/>
            <w:vAlign w:val="bottom"/>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297,485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239,897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558,943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468,425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157,878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122,541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28.8 %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300,141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230,626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49.2 %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111,146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98,031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222,642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204,726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46,732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77,499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25,900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199.2 %</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(5,673)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(10,946)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41,059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106.1 %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66,553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293.5 %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7,862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13,479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107.0 %</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25.4 %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38.5 %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33,197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123.5 %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53,074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410.2 %</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420.0 %</w:t>
            </w:r>
          </w:p>
        </w:tc>
        <w:tc>
          <w:tcPr>
            <w:tcW w:w="0" w:type="dxa"/>
            <w:vAlign w:val="bottom"/>
          </w:tcPr>
          <w:p>
            <w:pPr>
              <w:spacing w:after="0"/>
              <w:rPr>
                <w:sz w:val="1"/>
                <w:szCs w:val="1"/>
                <w:color w:val="auto"/>
              </w:rPr>
            </w:pPr>
          </w:p>
        </w:tc>
      </w:t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120.7 %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415.0 %</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revenues increased 24.0% and 19.3% during the three and six months ended October 1, 2022, respectively, as compared with the same periods of fiscal 2022. Without the effect of foreign exchange, net revenues increased 27.0% and 21.9% during the three and six months ended October 1, 2022, respectively, as compared with the same periods of fiscal 2022. Revenue increases in our Plasma and Hospital businesses, primarily related to volume and price, drove the overall increase in revenue during the three and six months ended October 1,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right="300"/>
        <w:spacing w:after="0" w:line="261" w:lineRule="auto"/>
        <w:rPr>
          <w:sz w:val="20"/>
          <w:szCs w:val="20"/>
          <w:color w:val="auto"/>
        </w:rPr>
      </w:pPr>
      <w:r>
        <w:rPr>
          <w:rFonts w:ascii="Times New Roman" w:cs="Times New Roman" w:eastAsia="Times New Roman" w:hAnsi="Times New Roman"/>
          <w:sz w:val="18"/>
          <w:szCs w:val="18"/>
          <w:color w:val="auto"/>
        </w:rPr>
        <w:t>Operating income increased during the three and six months ended October 1, 2022 as compared with the same period of fiscal 2022, primarily due to increased revenues in Plasma and Hospital, savings from the 2020 Program and decreased spending on acquisitions in the current year periods, partially offset by lower revenues in Blood Center, increased freight costs in our global supply chain, increased sales and marketing expense and higher performance-based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Pr>
          <w:p>
            <w:pPr>
              <w:spacing w:after="0"/>
              <w:rPr>
                <w:sz w:val="11"/>
                <w:szCs w:val="11"/>
                <w:color w:val="auto"/>
              </w:rPr>
            </w:pPr>
          </w:p>
        </w:tc>
        <w:tc>
          <w:tcPr>
            <w:tcW w:w="106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87,791</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40" w:firstLine="8"/>
        <w:spacing w:after="0"/>
        <w:tabs>
          <w:tab w:leader="none" w:pos="132"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108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0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400" w:type="dxa"/>
            <w:vAlign w:val="bottom"/>
          </w:tcPr>
          <w:p>
            <w:pPr>
              <w:jc w:val="right"/>
              <w:ind w:right="339"/>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393,720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165,223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55"/>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558,943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468,425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40" w:firstLine="8"/>
        <w:spacing w:after="0"/>
        <w:tabs>
          <w:tab w:leader="none" w:pos="132"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U.S, Europe, Japan and other parts of Asia. Our products are marketed in approximately 90 countries around the world through a combination of our direct sales force, independent distributors and agents. During the three and six months ended October 1, 2022 our revenue generated outside the U.S. was 28.8% and 29.6% of total net revenues, respectively, as compared with 36.6% and 37.4% during the three and six months ended October 2, 2021,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Pr>
          <w:p>
            <w:pPr>
              <w:spacing w:after="0"/>
              <w:rPr>
                <w:sz w:val="11"/>
                <w:szCs w:val="11"/>
                <w:color w:val="auto"/>
              </w:rPr>
            </w:pPr>
          </w:p>
        </w:tc>
        <w:tc>
          <w:tcPr>
            <w:tcW w:w="10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Hospital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20" w:firstLine="8"/>
        <w:spacing w:after="0"/>
        <w:tabs>
          <w:tab w:leader="none" w:pos="132"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179" w:lineRule="exact"/>
        <w:rPr>
          <w:rFonts w:ascii="Times New Roman" w:cs="Times New Roman" w:eastAsia="Times New Roman" w:hAnsi="Times New Roman"/>
          <w:sz w:val="15"/>
          <w:szCs w:val="15"/>
          <w:color w:val="auto"/>
          <w:vertAlign w:val="superscript"/>
        </w:rPr>
      </w:pPr>
    </w:p>
    <w:p>
      <w:pPr>
        <w:ind w:right="100" w:firstLine="8"/>
        <w:spacing w:after="0" w:line="268" w:lineRule="auto"/>
        <w:tabs>
          <w:tab w:leader="none" w:pos="145"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Hospital revenue includes Hemostasis Management revenue of $34.3 million and $31.5 million during the three months ended October 1, 2022 and October 2, 2021, respectively. Hemostasis Management revenue increased 8.9% in the second quarter of fiscal 2023, as compared with the same period of fiscal 2022. Without the effect of foreign exchange, Hemostasis Management revenue increased 11.2% in the second quarter of fiscal 2023, as compared with the same period of fiscal 2022. Vascular Closure revenue increased 42.1% in the second quarter of fiscal 2023 as compared with the same period of fiscal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Pr>
          <w:p>
            <w:pPr>
              <w:spacing w:after="0"/>
              <w:rPr>
                <w:sz w:val="11"/>
                <w:szCs w:val="11"/>
                <w:color w:val="auto"/>
              </w:rPr>
            </w:pPr>
          </w:p>
        </w:tc>
        <w:tc>
          <w:tcPr>
            <w:tcW w:w="10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Hospital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220" w:firstLine="8"/>
        <w:spacing w:after="0"/>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193" w:lineRule="exact"/>
        <w:rPr>
          <w:rFonts w:ascii="Times New Roman" w:cs="Times New Roman" w:eastAsia="Times New Roman" w:hAnsi="Times New Roman"/>
          <w:sz w:val="15"/>
          <w:szCs w:val="15"/>
          <w:color w:val="auto"/>
          <w:vertAlign w:val="superscript"/>
        </w:rPr>
      </w:pPr>
    </w:p>
    <w:p>
      <w:pPr>
        <w:jc w:val="both"/>
        <w:ind w:right="60" w:firstLine="8"/>
        <w:spacing w:after="0" w:line="255" w:lineRule="auto"/>
        <w:tabs>
          <w:tab w:leader="none" w:pos="145"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Hospital revenue includes Hemostasis Management revenue of $67.8 million and $63.7 million during the six months ended October 1, 2022 and October 2, 2021, respectively. Hemostasis Management revenue increased 6.5% in the first six months of fiscal 2023, as compared with the same period of fiscal 2022. Without the effect of foreign exchange, Hemostasis Management revenue increased 8.5% in the first six months of fiscal 2023, as compared with the same period of fiscal 2022. Vascular Closure revenue increased 38.9% in the first six months of fiscal 2023 as compared with the same period of fiscal 2022.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Plasma revenue increased 56.1% and 49.7% during the three and six months ended October 1, 2022, respectively, as compared with the same periods of fiscal 2022. Without the effect of foreign exchange, Plasma revenue increased 57.2% and 50.8% during the three and six months ended October 1, 2022, respectively, as compared with the same periods of fiscal 2022. The increases during the three and six months ended October 1, 2022, as compared with the same period of fiscal 2021 were driven by volume and price.</w:t>
      </w:r>
    </w:p>
    <w:p>
      <w:pPr>
        <w:spacing w:after="0" w:line="193"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8"/>
          <w:szCs w:val="18"/>
          <w:color w:val="auto"/>
        </w:rPr>
        <w:t>During the third quarter of fiscal 2022, we amended our supply agreement with CSL Plasma, Ltd. (“CSL”), which CSL had previously notified us of its intent not to renew and was initially set to expire in June 2022, to allow CSL to continue to use our PCS2 plasma collection system devices and purchase disposable plasmapheresis kits through December 2023. The extension provides CSL the ability to utilize our devices and disposables in their collection centers on a non-exclusive basis and includes an $88.0 million minimum purchase commitment in fiscal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Blood Center revenue decreased 4.0% and 6.9% during the three and six months ended October 1, 2022, respectively, as compared with the same periods of fiscal 2022. Without the effect of foreign exchange, Blood Center revenue increased 0.5% and decreased 3.2% during the three and six months ended October 1, 2022, respectively, as compared with the same periods of fiscal 2022. The decreases during the three and six months ended October 1, 2022 as compared with the same periods of fiscal 2022 was primarily driven by a decline in the volume of apheresis disposables.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1"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18"/>
          <w:szCs w:val="18"/>
          <w:color w:val="auto"/>
        </w:rPr>
        <w:t>Hospital revenue increased 19.1% and 15.9% during the three and six months ended October 1, 2022, respectively, as compared with the same periods of fiscal 2022. Without the effect of foreign exchange, Hospital revenue increased 21.9% and 18.4% during the three and six months ended October 1, 2022, respectively, as compared with the same periods of fiscal 2022. The increase during the three and six months ended October 1, 2022 was primarily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attributable </w:t>
      </w:r>
      <w:r>
        <w:rPr>
          <w:rFonts w:ascii="Times New Roman" w:cs="Times New Roman" w:eastAsia="Times New Roman" w:hAnsi="Times New Roman"/>
          <w:sz w:val="21"/>
          <w:szCs w:val="21"/>
          <w:color w:val="auto"/>
        </w:rPr>
        <w:t>to</w:t>
      </w:r>
      <w:r>
        <w:rPr>
          <w:rFonts w:ascii="Times New Roman" w:cs="Times New Roman" w:eastAsia="Times New Roman" w:hAnsi="Times New Roman"/>
          <w:sz w:val="18"/>
          <w:szCs w:val="18"/>
          <w:color w:val="auto"/>
        </w:rPr>
        <w:t xml:space="preserve"> Vascular Closure revenue, as well as increases in Transfusion Management revenue and TEG disposables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106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58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157,878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122,541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300,141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230,626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6"/>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51.1 %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49.2 %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Gross profit increased 28.8% for both the three and six months ended October 1, 2022 as compared with the same periods of fiscal 2022. Without the effect of foreign exchange, gross profit increased 34.7% and 34.6% during the three and six months ended October 1, 2022, respectively, as compared with the same periods of fiscal 2022. The increase during the three and six months ended October 1, 2022 was primarily driven by volume and mix and productivity savings from the 2020 Program, partially offset by inflationary pressures in our global manufacturing and supply chain and increased depreciation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26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21,798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23,554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92,411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75,778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166,996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35.7 %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8,221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23,779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(30.2)%</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divestiture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i w:val="1"/>
                <w:iCs w:val="1"/>
                <w:color w:val="auto"/>
              </w:rPr>
              <w:t>n/m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(96.0)%</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111,146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98,031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204,726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c>
          <w:tcPr>
            <w:tcW w:w="0" w:type="dxa"/>
            <w:vAlign w:val="bottom"/>
          </w:tcPr>
          <w:p>
            <w:pPr>
              <w:spacing w:after="0"/>
              <w:rPr>
                <w:sz w:val="1"/>
                <w:szCs w:val="1"/>
                <w:color w:val="auto"/>
              </w:rPr>
            </w:pPr>
          </w:p>
        </w:tc>
      </w:tr>
      <w:tr>
        <w:trPr>
          <w:trHeight w:val="23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40.9 %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43.7 %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increased 0.4% and decreased 7.5% during the three and six months ended October 1, 2022, respectively, as compared with the same periods of fiscal 2022. Without the effect of foreign exchange, research and development expenses increased 0.8% and decreased 6.9% during the three and six months ended October 1, 2022, respectively, as compared with the same periods of fiscal 2022. This increase for the three months ended October 1, 2022, was due to continued growth investments. The decrease in the six months ended October 1, 2022, was primarily due to the timing of investments across quarters and cost savings related to the 2020 Program.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21.9% and 10.6% during the three and six months ended October 1, 2022, respectively, as compared with the same periods of fiscal 2022. Without the effect of foreign exchange, selling, general, and administrative expenses increased 24.4% and 12.4% during the three and six months ended October 1, 2022, respectively, as compared with the same periods of fiscal 2022. The increase during the three and six months ended October 1, 2022 was primarily driven by inflationary pressures and higher freight costs in our global supply chain, higher investments in sales and marketing and higher performance-based compensation, partially offset by cost savings related to the 2020 Program and decreased acquisition related costs in the current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amortization expense of $8.2 million and $16.6 million during the three and six months ended October 1, 2022, respectively, and</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$11.4 million and $23.8 million during the three and six months ended October 2, 2021, respectively. The decrease is primarily the result of intangible assets that became fully amortized during fiscal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Divestiture</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recognized gains on divestiture of $0.4 million during the three and six months ended October 1, 2022 and $9.6 million during the six months ended October 2,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Interest and other expenses increased 23.6% and 21.8% during the three and six months ended October 1, 2022, respectively, as compared with the same period of fiscal 2022. Without the effects of foreign exchange, interest and other expenses increased 20.7% and 19.5% during the three and six months ended October 1, 2022, respectively, as compared with the same periods of fiscal 2022. The increase was primarily driven by higher foreign currency impact due to market and rate volatility and higher interest rates which impacted the interest incurred on our term loan.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For the three and six months ended October 1, 2022, we reported income tax expense of $7.9 million and $13.5 million, respectively, representing effective tax rates of 19.1% and 20.3%, respectively. The effective tax rate for the six months ended October 1, 2022, include a discrete tax benefit of $0.5 million related to tax rate changes enacted during the quarter and $0.3 million of discrete tax expense relating to stock compensation shortfalls. The effective tax rate for the three months ended October 1, 2022, include a discrete tax benefit of $0.5 million related to tax rate changes enacted during the quarter and $0.3 million of discrete tax benefit relating to stock compensation windfalls.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October 2, 2021, we reported income tax expense of $5.1 million and $6.5 million, respectively, representing effective tax rates of 25.4% and 38.5%, respectively. The effective tax rate for the three and six months ended October 2, 2021 includes discrete tax expense relating to stock compensation shortfalls of $0.1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320" w:type="dxa"/>
            <w:vAlign w:val="bottom"/>
          </w:tcPr>
          <w:p>
            <w:pPr>
              <w:spacing w:after="0"/>
              <w:rPr>
                <w:sz w:val="13"/>
                <w:szCs w:val="13"/>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259,496</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313,765</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(514,093)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Net debt position is the sum of cash and cash equivalents less total debt.</w:t>
      </w:r>
    </w:p>
    <w:p>
      <w:pPr>
        <w:spacing w:after="0" w:line="19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We believe these sources are sufficient to fund our cash requirements over at least the next twelve months. Our expected cash outlays relate primarily to acquisitions, investments, capital expenditures, including enhancements to our North American manufacturing facilities, share repurchases, cash payments under our revised credit agreement and restructuring initiatives.</w:t>
      </w:r>
    </w:p>
    <w:p>
      <w:pPr>
        <w:spacing w:after="0" w:line="20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October 1, 2022.</w:t>
      </w:r>
    </w:p>
    <w:p>
      <w:pPr>
        <w:spacing w:after="0" w:line="19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As of October 1, 2022, we had $241.2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loan (together, as amended from time to time, the “2018 Credit Facilities”), and extend the maturity date through June 2025. The amended and restated credit agreement provides for a $280 million senior unsecured term loan, the proceeds of which have been used to retire the balance of the term loan under the 2018 Credit Facilities, and a $420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 As of October 1, 2022, $278.3 million was outstanding under the term loan with an effective interest rate of 4.2%. There was $50.0 million outstanding under the revolving credit facility at October 1, 2022, which the Company repaid in full in October 2022. We also had $19.6 million of uncommitted operating lines of credit to fund our global operations under which there were no outstanding borrowings as of October 1, 2022. Additionally, the Company was in compliance with the leverage and interest coverage ratios specified in the amended and restated credit agreement as well as all other bank covenants as of October 1, 2022.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of $8.8 million required during the remainder of fiscal 2023.</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six months ended October 1, 2022, we incurred $3.1 million and $6.6 million, respectively, of restructuring and restructuring related costs under this program.</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Pr>
          <w:p>
            <w:pPr>
              <w:jc w:val="right"/>
              <w:ind w:right="575"/>
              <w:spacing w:after="0" w:line="131"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129,032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0" w:type="dxa"/>
            <w:vAlign w:val="bottom"/>
          </w:tcPr>
          <w:p>
            <w:pPr>
              <w:spacing w:after="0"/>
              <w:rPr>
                <w:sz w:val="1"/>
                <w:szCs w:val="1"/>
                <w:color w:val="auto"/>
              </w:rPr>
            </w:pPr>
          </w:p>
        </w:tc>
      </w:tr>
      <w:tr>
        <w:trPr>
          <w:trHeight w:val="22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2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$87.3 million during the six months ended October 1, 2022, as compared with the six months ended October 2, 2021. The increase in cash provided by operating activities was primarily the result of an increase in net income, a decrease in inventories driven by NexSys PCS device placements and higher other net working capital, including higher performance-based compensation.</w:t>
      </w:r>
    </w:p>
    <w:p>
      <w:pPr>
        <w:spacing w:after="0" w:line="20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increased by $52.9 million during the six months ended October 1, 2022, as compared with the six months ended October 2, 2021. The increase in cash used in investing activities was primarily the result of an increase in capital expenditures, driven by NexSys PCS device placements, and other investments made in the current year period, which was partially offset by increased sales of property, plant and equipment.</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by $44.1 million during the six months ended October 1, 2022, as compared with the six months ended October 2, 2021, primarily due to share repurchases and acquisition-related contingent consideration payments made in the current year, partially offset by the $50.0 million draw down on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experienced rising inflationary pressures in our global supply chain that had an impact on our results of operations during the three and six months ended October 1, 2022. We continue to monitor inflationary pressures generally and raw materials indices that may affect our procurement and production costs. Increases in the price of petroleum derivatives could result in corresponding increases in our costs to procure plastic raw materials. We expect the inflationary pressures we have experienced in our global supply chain to continue throughout fiscal 2023.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October 1, 2022, 28.8% and 29.6%,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Chinese Yuan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recent accounting pronouncements that we expect to have a material impact on our financial position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89" w:lineRule="exact"/>
        <w:rPr>
          <w:sz w:val="20"/>
          <w:szCs w:val="20"/>
          <w:color w:val="auto"/>
        </w:rPr>
      </w:pPr>
    </w:p>
    <w:p>
      <w:pPr>
        <w:ind w:left="660" w:right="4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or outbreaks of communicable diseases, on our business, financial conditions and results of operations, including the time it will take for vaccines to be broadly distributed and administered worldwide, and the effectiveness of such vaccines in slowing or stopping the spread of COVID-19 and its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9" w:name="page30"/>
    <w:bookmarkEnd w:id="29"/>
    <w:p>
      <w:pPr>
        <w:ind w:left="328"/>
        <w:spacing w:after="0"/>
        <w:rPr>
          <w:sz w:val="20"/>
          <w:szCs w:val="20"/>
          <w:color w:val="auto"/>
        </w:rPr>
      </w:pPr>
      <w:r>
        <w:rPr>
          <w:rFonts w:ascii="Times New Roman" w:cs="Times New Roman" w:eastAsia="Times New Roman" w:hAnsi="Times New Roman"/>
          <w:sz w:val="18"/>
          <w:szCs w:val="18"/>
          <w:color w:val="auto"/>
        </w:rPr>
        <w:t>variants and mitigating the economic effects of the pandemic, including inflationary pressures and higher freight costs in our global supply chain;</w:t>
      </w:r>
    </w:p>
    <w:p>
      <w:pPr>
        <w:spacing w:after="0" w:line="252"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our long-term strategic and financial-improvement goals;</w:t>
      </w:r>
    </w:p>
    <w:p>
      <w:pPr>
        <w:spacing w:after="0" w:line="252"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8" w:lineRule="exact"/>
        <w:rPr>
          <w:rFonts w:ascii="Times New Roman" w:cs="Times New Roman" w:eastAsia="Times New Roman" w:hAnsi="Times New Roman"/>
          <w:sz w:val="18"/>
          <w:szCs w:val="18"/>
          <w:color w:val="auto"/>
        </w:rPr>
      </w:pPr>
    </w:p>
    <w:p>
      <w:pPr>
        <w:ind w:left="328" w:right="480" w:hanging="328"/>
        <w:spacing w:after="0" w:line="312" w:lineRule="auto"/>
        <w:tabs>
          <w:tab w:leader="none" w:pos="3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66" w:lineRule="exact"/>
        <w:rPr>
          <w:rFonts w:ascii="Times New Roman" w:cs="Times New Roman" w:eastAsia="Times New Roman" w:hAnsi="Times New Roman"/>
          <w:sz w:val="17"/>
          <w:szCs w:val="17"/>
          <w:color w:val="auto"/>
        </w:rPr>
      </w:pPr>
    </w:p>
    <w:p>
      <w:pPr>
        <w:ind w:left="328" w:right="72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52"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8"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8" w:lineRule="exact"/>
        <w:rPr>
          <w:rFonts w:ascii="Times New Roman" w:cs="Times New Roman" w:eastAsia="Times New Roman" w:hAnsi="Times New Roman"/>
          <w:sz w:val="18"/>
          <w:szCs w:val="18"/>
          <w:color w:val="auto"/>
        </w:rPr>
      </w:pPr>
    </w:p>
    <w:p>
      <w:pPr>
        <w:ind w:left="328" w:right="540" w:hanging="328"/>
        <w:spacing w:after="0" w:line="266"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02"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w:t>
      </w:r>
    </w:p>
    <w:p>
      <w:pPr>
        <w:spacing w:after="0" w:line="188" w:lineRule="exact"/>
        <w:rPr>
          <w:rFonts w:ascii="Times New Roman" w:cs="Times New Roman" w:eastAsia="Times New Roman" w:hAnsi="Times New Roman"/>
          <w:sz w:val="18"/>
          <w:szCs w:val="18"/>
          <w:color w:val="auto"/>
        </w:rPr>
      </w:pPr>
    </w:p>
    <w:p>
      <w:pPr>
        <w:ind w:left="328" w:right="68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divestitures or other strategic investments by the Company may not be realized or may take longer to realize than expected;</w:t>
      </w:r>
    </w:p>
    <w:p>
      <w:pPr>
        <w:spacing w:after="0" w:line="18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88"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FCPA, EU MDR/EU IVDR and similar laws in other jurisdictions, as well as U.S. and foreign export and import restrictions and tariffs;</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Russia and other foreign jurisdictions where we do business;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 and</w:t>
      </w:r>
    </w:p>
    <w:p>
      <w:pPr>
        <w:spacing w:after="0" w:line="200" w:lineRule="exact"/>
        <w:rPr>
          <w:sz w:val="20"/>
          <w:szCs w:val="20"/>
          <w:color w:val="auto"/>
        </w:rPr>
      </w:pPr>
    </w:p>
    <w:p>
      <w:pPr>
        <w:spacing w:after="0" w:line="363"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91" w:right="379" w:bottom="1440" w:gutter="0" w:footer="0" w:header="0"/>
        </w:sectPr>
      </w:pPr>
    </w:p>
    <w:bookmarkStart w:id="30" w:name="page31"/>
    <w:bookmarkEnd w:id="30"/>
    <w:p>
      <w:pPr>
        <w:ind w:left="660" w:right="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October 1, 2022, in the event of a 10% strengthening of the U.S. Dollar, the change in fair value of all forward contracts would result in a $3.1 million increase in the fair value of the forward contracts; whereas a 10% weakening of the U.S. Dollar would result in a $3.4 million decrease of the fair value of the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Revised Credit Facilities as of October 1, 2022 was $278.3 million with an interest rate of 4.2% based on prevailing Term SOFR rates. An increase of 100 basis points in Term SOFR rates would result in additional annual interest expense of $0.8 million. In September 2022, we modified our two existing interest rate swaps to align to Term SOFR rather than LIBOR and entered into four additional interest rate swaps to effectively convert $194.8 million of borrowings under our Revised Credit Facilities from a variable rate to a fixed rate. These interest rate swaps are intended to mitigate the exposure to fluctuations in interest rates and qualify for hedge accounting treatment as cash flow hedges.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conducted an evaluation, as of October 1, 2022,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October 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October 1, 2022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our Annual Report on Form 10-K for the fiscal year ended April 2,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Company’s share repurchases during the second quarter of fiscal 2023:</w:t>
      </w:r>
    </w:p>
    <w:p>
      <w:pPr>
        <w:spacing w:after="0" w:line="273" w:lineRule="exact"/>
        <w:rPr>
          <w:sz w:val="20"/>
          <w:szCs w:val="20"/>
          <w:color w:val="auto"/>
        </w:rPr>
      </w:pPr>
    </w:p>
    <w:tbl>
      <w:tblPr>
        <w:tblLayout w:type="fixed"/>
        <w:tblInd w:w="540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8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62"/>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Value of Shares that May</w:t>
            </w:r>
          </w:p>
        </w:tc>
      </w:tr>
      <w:tr>
        <w:trPr>
          <w:trHeight w:val="162"/>
        </w:trPr>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6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Yet Be Purchased Under</w:t>
            </w:r>
          </w:p>
        </w:tc>
      </w:tr>
      <w:tr>
        <w:trPr>
          <w:trHeight w:val="159"/>
        </w:trPr>
        <w:tc>
          <w:tcPr>
            <w:tcW w:w="1160" w:type="dxa"/>
            <w:vAlign w:val="bottom"/>
          </w:tcPr>
          <w:p>
            <w:pPr>
              <w:jc w:val="center"/>
              <w:ind w:right="68"/>
              <w:spacing w:after="0" w:line="15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80" w:type="dxa"/>
            <w:vAlign w:val="bottom"/>
          </w:tcPr>
          <w:p>
            <w:pPr>
              <w:jc w:val="center"/>
              <w:ind w:left="68"/>
              <w:spacing w:after="0" w:line="159" w:lineRule="exact"/>
              <w:rPr>
                <w:sz w:val="20"/>
                <w:szCs w:val="20"/>
                <w:color w:val="auto"/>
              </w:rPr>
            </w:pPr>
            <w:r>
              <w:rPr>
                <w:rFonts w:ascii="Times New Roman" w:cs="Times New Roman" w:eastAsia="Times New Roman" w:hAnsi="Times New Roman"/>
                <w:sz w:val="14"/>
                <w:szCs w:val="14"/>
                <w:b w:val="1"/>
                <w:bCs w:val="1"/>
                <w:color w:val="auto"/>
              </w:rPr>
              <w:t>the Program</w:t>
            </w:r>
          </w:p>
        </w:tc>
      </w:tr>
      <w:tr>
        <w:trPr>
          <w:trHeight w:val="232"/>
        </w:trPr>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(in millions)($)</w:t>
            </w:r>
            <w:r>
              <w:rPr>
                <w:rFonts w:ascii="Times New Roman" w:cs="Times New Roman" w:eastAsia="Times New Roman" w:hAnsi="Times New Roman"/>
                <w:sz w:val="18"/>
                <w:szCs w:val="18"/>
                <w:b w:val="1"/>
                <w:bCs w:val="1"/>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83196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163195"/>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July 3, 2022 – July 30, 2022</w:t>
      </w:r>
    </w:p>
    <w:tbl>
      <w:tblPr>
        <w:tblLayout w:type="fixed"/>
        <w:tblInd w:w="0" w:type="dxa"/>
        <w:tblCellMar>
          <w:top w:w="0" w:type="dxa"/>
          <w:left w:w="0" w:type="dxa"/>
          <w:bottom w:w="0" w:type="dxa"/>
          <w:right w:w="0" w:type="dxa"/>
        </w:tblCellMar>
      </w:tblPr>
      <w:tr>
        <w:trPr>
          <w:trHeight w:val="15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July 31, 2022 - August 27, 2022</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786,164</w:t>
            </w:r>
          </w:p>
        </w:tc>
        <w:tc>
          <w:tcPr>
            <w:tcW w:w="12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(2)</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786,164</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53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28, 2022 – October 1, 2022</w:t>
            </w:r>
          </w:p>
        </w:tc>
        <w:tc>
          <w:tcPr>
            <w:tcW w:w="10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786,164</w:t>
            </w: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28575</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11430</wp:posOffset>
            </wp:positionV>
            <wp:extent cx="685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9" w:lineRule="exact"/>
        <w:rPr>
          <w:sz w:val="20"/>
          <w:szCs w:val="20"/>
          <w:color w:val="auto"/>
        </w:rPr>
      </w:pPr>
    </w:p>
    <w:p>
      <w:pPr>
        <w:ind w:left="20" w:right="120" w:firstLine="6"/>
        <w:spacing w:after="0" w:line="261"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August 2022, the Company’s Board of Directors authorized the repurchase of up to $300.0 million of the Company’s common stock from time to time, based on market conditions, over the next three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14" w:lineRule="exact"/>
        <w:rPr>
          <w:rFonts w:ascii="Times New Roman" w:cs="Times New Roman" w:eastAsia="Times New Roman" w:hAnsi="Times New Roman"/>
          <w:sz w:val="9"/>
          <w:szCs w:val="9"/>
          <w:color w:val="auto"/>
        </w:rPr>
      </w:pPr>
    </w:p>
    <w:p>
      <w:pPr>
        <w:ind w:left="20" w:right="120" w:firstLine="6"/>
        <w:spacing w:after="0" w:line="255"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Following the Company’s announcement of the share repurchase program, in August 2022, the Company entered into an ASR with Citibank to repurchase $75.0 million of the Company’s common stock. Pursuant to the terms of the ASR, in August 2022, the Company paid Citibank $75.0 million in cash and received an initial delivery of 0.8 million shares of the Company's common stock based on a closing market price on the New York Stock Exchange on August 16, 2022 of $76.32. This initial delivery of shares represented approximately 80% of the notional amount of the ASR. The ASR was completed in November 2022 and approximately 0.2 million additional shares were delivered upon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-770890</wp:posOffset>
            </wp:positionV>
            <wp:extent cx="685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95" w:right="7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800" w:right="280" w:hanging="768"/>
        <w:spacing w:after="0" w:line="237" w:lineRule="auto"/>
        <w:tabs>
          <w:tab w:leader="none" w:pos="780" w:val="left"/>
        </w:tabs>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80" w:lineRule="exact"/>
        <w:rPr>
          <w:sz w:val="20"/>
          <w:szCs w:val="20"/>
          <w:color w:val="auto"/>
        </w:rPr>
      </w:pPr>
    </w:p>
    <w:p>
      <w:pPr>
        <w:ind w:left="800" w:right="640" w:hanging="768"/>
        <w:spacing w:after="0" w:line="237" w:lineRule="auto"/>
        <w:tabs>
          <w:tab w:leader="none" w:pos="78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By-Laws of the Company, as amended through June 29, 2020 (filed as Exhibit 3.1 to the Company’s Form 8-K dated June 30, 2020 and incorporated herein by reference).</w:t>
      </w:r>
    </w:p>
    <w:p>
      <w:pPr>
        <w:spacing w:after="0" w:line="280" w:lineRule="exact"/>
        <w:rPr>
          <w:sz w:val="20"/>
          <w:szCs w:val="20"/>
          <w:color w:val="auto"/>
        </w:rPr>
      </w:pPr>
    </w:p>
    <w:p>
      <w:pPr>
        <w:ind w:left="800" w:right="280" w:hanging="768"/>
        <w:spacing w:after="0" w:line="236" w:lineRule="auto"/>
        <w:tabs>
          <w:tab w:leader="none" w:pos="78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Credit Agreement, dated as of July 26, 2022, by and among the Company, the lenders from time to time party thereto and JPMorgan Chase Bank, N.A., as administrative agent (filed as Exhibit 10.1 to the Company’s Form 8-K dated August 1, 2022 and</w:t>
      </w:r>
    </w:p>
    <w:p>
      <w:pPr>
        <w:ind w:left="800"/>
        <w:spacing w:after="0"/>
        <w:rPr>
          <w:sz w:val="20"/>
          <w:szCs w:val="20"/>
          <w:color w:val="auto"/>
        </w:rPr>
      </w:pPr>
      <w:r>
        <w:rPr>
          <w:rFonts w:ascii="Times New Roman" w:cs="Times New Roman" w:eastAsia="Times New Roman" w:hAnsi="Times New Roman"/>
          <w:sz w:val="18"/>
          <w:szCs w:val="18"/>
          <w:color w:val="auto"/>
        </w:rPr>
        <w:t>incorporated herein by reference).</w:t>
      </w:r>
    </w:p>
    <w:p>
      <w:pPr>
        <w:spacing w:after="0" w:line="273" w:lineRule="exact"/>
        <w:rPr>
          <w:sz w:val="20"/>
          <w:szCs w:val="20"/>
          <w:color w:val="auto"/>
        </w:rPr>
      </w:pPr>
    </w:p>
    <w:p>
      <w:pPr>
        <w:ind w:left="800" w:right="24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10.2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Amendment No. 2 to Shelter Plan Service Agreement dated June 10, 2014, by and between Cardiva Medical, Inc. and Offshore International, Incorporated, dated as of August 3, 2022 (1).</w:t>
      </w:r>
    </w:p>
    <w:p>
      <w:pPr>
        <w:spacing w:after="0" w:line="280" w:lineRule="exact"/>
        <w:rPr>
          <w:sz w:val="20"/>
          <w:szCs w:val="20"/>
          <w:color w:val="auto"/>
        </w:rPr>
      </w:pPr>
    </w:p>
    <w:p>
      <w:pPr>
        <w:ind w:left="800" w:right="3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 Company.</w:t>
      </w:r>
    </w:p>
    <w:p>
      <w:pPr>
        <w:spacing w:after="0" w:line="239" w:lineRule="exact"/>
        <w:rPr>
          <w:sz w:val="20"/>
          <w:szCs w:val="20"/>
          <w:color w:val="auto"/>
        </w:rPr>
      </w:pPr>
    </w:p>
    <w:p>
      <w:pPr>
        <w:ind w:left="8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 the Company.</w:t>
      </w:r>
    </w:p>
    <w:p>
      <w:pPr>
        <w:spacing w:after="0" w:line="239" w:lineRule="exact"/>
        <w:rPr>
          <w:sz w:val="20"/>
          <w:szCs w:val="20"/>
          <w:color w:val="auto"/>
        </w:rPr>
      </w:pPr>
    </w:p>
    <w:p>
      <w:pPr>
        <w:ind w:left="800" w:right="6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39" w:lineRule="exact"/>
        <w:rPr>
          <w:sz w:val="20"/>
          <w:szCs w:val="20"/>
          <w:color w:val="auto"/>
        </w:rPr>
      </w:pPr>
    </w:p>
    <w:p>
      <w:pPr>
        <w:ind w:left="800" w:right="12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0" w:lineRule="exact"/>
        <w:rPr>
          <w:sz w:val="20"/>
          <w:szCs w:val="20"/>
          <w:color w:val="auto"/>
        </w:rPr>
      </w:pPr>
    </w:p>
    <w:p>
      <w:pPr>
        <w:ind w:left="800" w:right="40" w:hanging="779"/>
        <w:spacing w:after="0" w:line="236" w:lineRule="auto"/>
        <w:tabs>
          <w:tab w:leader="none" w:pos="7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Haemonetics Corporation on Form 10-Q for the quarter ended July 2, 2022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Times New Roman" w:cs="Times New Roman" w:eastAsia="Times New Roman" w:hAnsi="Times New Roman"/>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171" w:lineRule="exact"/>
        <w:rPr>
          <w:sz w:val="20"/>
          <w:szCs w:val="20"/>
          <w:color w:val="auto"/>
        </w:rPr>
      </w:pPr>
    </w:p>
    <w:p>
      <w:pPr>
        <w:ind w:left="660" w:hanging="63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considered confidential and have been omitted as permitted under SEC rules and regulations.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4" w:name="page35"/>
    <w:bookmarkEnd w:id="3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40"/>
          </w:cols>
          <w:pgMar w:left="320" w:top="887" w:right="1239" w:bottom="1440" w:gutter="0" w:footer="0" w:header="0"/>
        </w:sectPr>
      </w:pPr>
    </w:p>
    <w:bookmarkStart w:id="35" w:name="page36"/>
    <w:bookmarkEnd w:id="35"/>
    <w:p>
      <w:pPr>
        <w:spacing w:after="0" w:line="64"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b w:val="1"/>
          <w:bCs w:val="1"/>
          <w:color w:val="auto"/>
        </w:rPr>
        <w:t>CERTAIN INFORMATION HAS BEEN OMITTED FROM THIS DOCUMENT BECAUSE IT IS (I) NOT MATERIAL, AND (II) WOULD BE COMPETITIVELY HARMFUL IF PUBLICLY DISCLOSED. OMISSIONS ARE MARKED [***].</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II</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TO</w:t>
      </w:r>
    </w:p>
    <w:p>
      <w:pPr>
        <w:jc w:val="center"/>
        <w:spacing w:after="0"/>
        <w:rPr>
          <w:sz w:val="20"/>
          <w:szCs w:val="20"/>
          <w:color w:val="auto"/>
        </w:rPr>
      </w:pPr>
      <w:r>
        <w:rPr>
          <w:rFonts w:ascii="Times New Roman" w:cs="Times New Roman" w:eastAsia="Times New Roman" w:hAnsi="Times New Roman"/>
          <w:sz w:val="25"/>
          <w:szCs w:val="25"/>
          <w:b w:val="1"/>
          <w:bCs w:val="1"/>
          <w:color w:val="auto"/>
        </w:rPr>
        <w:t>SHELTER PLAN SERVICE AGREEMENT DATED JUNE 10, 2014</w:t>
      </w:r>
    </w:p>
    <w:p>
      <w:pPr>
        <w:spacing w:after="0" w:line="200" w:lineRule="exact"/>
        <w:rPr>
          <w:sz w:val="20"/>
          <w:szCs w:val="20"/>
          <w:color w:val="auto"/>
        </w:rPr>
      </w:pPr>
    </w:p>
    <w:p>
      <w:pPr>
        <w:spacing w:after="0" w:line="23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THIS AMENDMENT II entered into by and between CARDIVA MEDICAL, INC., a Delaware corporation (“CLIENT”), and OFFSHORE INTERNATIONAL, INCORPORATED, an Arizona corporation DBA TETAKAWI, ("TETAKAWI").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ind w:left="660" w:hanging="328"/>
        <w:spacing w:after="0" w:line="236"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TETAKAWI and CLIENT are parties to certain Shelter Plan Service Agreement dated June 10, 2014, and its Amendment I dated November 4, 2019 (collectively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hanging="328"/>
        <w:spacing w:after="0" w:line="236"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Agreement, CLIENT currently conducts its manufacturing operations in Building 37 located in TETAKAWI’S Roca Fuerte Industrial Park (the “</w:t>
      </w:r>
      <w:r>
        <w:rPr>
          <w:rFonts w:ascii="Times New Roman" w:cs="Times New Roman" w:eastAsia="Times New Roman" w:hAnsi="Times New Roman"/>
          <w:sz w:val="22"/>
          <w:szCs w:val="22"/>
          <w:b w:val="1"/>
          <w:bCs w:val="1"/>
          <w:color w:val="auto"/>
        </w:rPr>
        <w:t>Park</w:t>
      </w:r>
      <w:r>
        <w:rPr>
          <w:rFonts w:ascii="Times New Roman" w:cs="Times New Roman" w:eastAsia="Times New Roman" w:hAnsi="Times New Roman"/>
          <w:sz w:val="22"/>
          <w:szCs w:val="22"/>
          <w:color w:val="auto"/>
        </w:rPr>
        <w:t>”) in Guaymas, Sonora, Mexico.</w:t>
      </w:r>
    </w:p>
    <w:p>
      <w:pPr>
        <w:spacing w:after="0" w:line="177" w:lineRule="exact"/>
        <w:rPr>
          <w:sz w:val="20"/>
          <w:szCs w:val="20"/>
          <w:color w:val="auto"/>
        </w:rPr>
      </w:pPr>
    </w:p>
    <w:p>
      <w:pPr>
        <w:jc w:val="both"/>
        <w:ind w:left="660" w:hanging="328"/>
        <w:spacing w:after="0" w:line="22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requested and TETAKAWI has agreed to provide additional space in the Park by way of the construction of one (1) new building in the Park, per the terms of this Amendment II. TETAKAWI is willing to perform such duties related to the construction of such building, subject to CLIENT’S commitments and obligations under the Agreement, as modified by this Amendment II.</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and for other good and valuable consideration, the receipt and sufficiency of which are hereby acknowledged, the parties hereto covenant and agree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Expansion of Building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spacing w:after="0" w:line="22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TETAKAWI has agreed to construct and CLIENT has agreed to occupy an expansion of Building 37 to be built adjoining its current building, located in Tract 10, Lot 2 (such expansion, “</w:t>
      </w:r>
      <w:r>
        <w:rPr>
          <w:rFonts w:ascii="Times New Roman" w:cs="Times New Roman" w:eastAsia="Times New Roman" w:hAnsi="Times New Roman"/>
          <w:sz w:val="22"/>
          <w:szCs w:val="22"/>
          <w:b w:val="1"/>
          <w:bCs w:val="1"/>
          <w:color w:val="auto"/>
        </w:rPr>
        <w:t>Building 38</w:t>
      </w:r>
      <w:r>
        <w:rPr>
          <w:rFonts w:ascii="Times New Roman" w:cs="Times New Roman" w:eastAsia="Times New Roman" w:hAnsi="Times New Roman"/>
          <w:sz w:val="22"/>
          <w:szCs w:val="22"/>
          <w:color w:val="auto"/>
        </w:rPr>
        <w:t>”), which expansion shall be connected with and have the same address as Building 37. TETAKAWI’s standard site and floor plan and specifications for Building 38 (the “</w:t>
      </w:r>
      <w:r>
        <w:rPr>
          <w:rFonts w:ascii="Times New Roman" w:cs="Times New Roman" w:eastAsia="Times New Roman" w:hAnsi="Times New Roman"/>
          <w:sz w:val="22"/>
          <w:szCs w:val="22"/>
          <w:b w:val="1"/>
          <w:bCs w:val="1"/>
          <w:color w:val="auto"/>
        </w:rPr>
        <w:t>Standard Building Plans</w:t>
      </w:r>
      <w:r>
        <w:rPr>
          <w:rFonts w:ascii="Times New Roman" w:cs="Times New Roman" w:eastAsia="Times New Roman" w:hAnsi="Times New Roman"/>
          <w:sz w:val="22"/>
          <w:szCs w:val="22"/>
          <w:color w:val="auto"/>
        </w:rPr>
        <w:t>”) are attached as Exhibit A-1 to this Amendment II.</w:t>
      </w:r>
    </w:p>
    <w:p>
      <w:pPr>
        <w:spacing w:after="0" w:line="179"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340" w:hanging="360"/>
        <w:spacing w:after="0" w:line="217" w:lineRule="auto"/>
        <w:tabs>
          <w:tab w:leader="none" w:pos="13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CLIENT’S promises in this Amendment II, TETAKAWI agrees that it will construct or cause the construction of Building 38, which will be used by CLIENT in carrying out its operations under the Agreement, as amended by this Amendment II. TETAKAWI anticipates that Building 38 will be substantially complete within seven (7) months after the commencement of construction (such seven (7) month date is referred to hereinafter as the "</w:t>
      </w:r>
      <w:r>
        <w:rPr>
          <w:rFonts w:ascii="Times New Roman" w:cs="Times New Roman" w:eastAsia="Times New Roman" w:hAnsi="Times New Roman"/>
          <w:sz w:val="22"/>
          <w:szCs w:val="22"/>
          <w:b w:val="1"/>
          <w:bCs w:val="1"/>
          <w:color w:val="auto"/>
        </w:rPr>
        <w:t>Estimated Substantial Completion Date</w:t>
      </w:r>
      <w:r>
        <w:rPr>
          <w:rFonts w:ascii="Times New Roman" w:cs="Times New Roman" w:eastAsia="Times New Roman" w:hAnsi="Times New Roman"/>
          <w:sz w:val="22"/>
          <w:szCs w:val="22"/>
          <w:color w:val="auto"/>
        </w:rPr>
        <w:t>"). TETAKAWI will use all</w:t>
      </w:r>
    </w:p>
    <w:p>
      <w:pPr>
        <w:sectPr>
          <w:pgSz w:w="11900" w:h="16838" w:orient="portrait"/>
          <w:cols w:equalWidth="0" w:num="1">
            <w:col w:w="11240"/>
          </w:cols>
          <w:pgMar w:left="320" w:top="1440" w:right="339" w:bottom="1440" w:gutter="0" w:footer="0" w:header="0"/>
        </w:sectPr>
      </w:pPr>
    </w:p>
    <w:bookmarkStart w:id="36" w:name="page37"/>
    <w:bookmarkEnd w:id="36"/>
    <w:p>
      <w:pPr>
        <w:spacing w:after="0" w:line="63" w:lineRule="exact"/>
        <w:rPr>
          <w:sz w:val="20"/>
          <w:szCs w:val="20"/>
          <w:color w:val="auto"/>
        </w:rPr>
      </w:pPr>
    </w:p>
    <w:p>
      <w:pPr>
        <w:jc w:val="both"/>
        <w:ind w:left="360"/>
        <w:spacing w:after="0" w:line="209" w:lineRule="auto"/>
        <w:rPr>
          <w:sz w:val="20"/>
          <w:szCs w:val="20"/>
          <w:color w:val="auto"/>
        </w:rPr>
      </w:pPr>
      <w:r>
        <w:rPr>
          <w:rFonts w:ascii="Times New Roman" w:cs="Times New Roman" w:eastAsia="Times New Roman" w:hAnsi="Times New Roman"/>
          <w:sz w:val="22"/>
          <w:szCs w:val="22"/>
          <w:color w:val="auto"/>
        </w:rPr>
        <w:t>reasonable efforts to achieve Substantial Completion (as defined below) of Building 38 on or before the Estimated Substantial Completion Date. Building 38 will be deemed substantially complete, and the Facilities Fee and Park Maintenance Fee (each as modified by this Amendment) will be payable to TETAKAWI, when all permits, licenses and consents required under applicable law for the construction, occupancy and use of Building 38 have been granted on a permanent basis and CLIENT is able to conduct its "building fit up" in the production area, including air line and other equipment installation in the Production Area (“</w:t>
      </w:r>
      <w:r>
        <w:rPr>
          <w:rFonts w:ascii="Times New Roman" w:cs="Times New Roman" w:eastAsia="Times New Roman" w:hAnsi="Times New Roman"/>
          <w:sz w:val="22"/>
          <w:szCs w:val="22"/>
          <w:b w:val="1"/>
          <w:bCs w:val="1"/>
          <w:color w:val="auto"/>
        </w:rPr>
        <w:t>Substantial Completion</w:t>
      </w:r>
      <w:r>
        <w:rPr>
          <w:rFonts w:ascii="Times New Roman" w:cs="Times New Roman" w:eastAsia="Times New Roman" w:hAnsi="Times New Roman"/>
          <w:sz w:val="22"/>
          <w:szCs w:val="22"/>
          <w:color w:val="auto"/>
        </w:rPr>
        <w:t>”, and the date on which acceptance is given shall be the “</w:t>
      </w:r>
      <w:r>
        <w:rPr>
          <w:rFonts w:ascii="Times New Roman" w:cs="Times New Roman" w:eastAsia="Times New Roman" w:hAnsi="Times New Roman"/>
          <w:sz w:val="22"/>
          <w:szCs w:val="22"/>
          <w:b w:val="1"/>
          <w:bCs w:val="1"/>
          <w:color w:val="auto"/>
        </w:rPr>
        <w:t>Substantial Completion Date</w:t>
      </w:r>
      <w:r>
        <w:rPr>
          <w:rFonts w:ascii="Times New Roman" w:cs="Times New Roman" w:eastAsia="Times New Roman" w:hAnsi="Times New Roman"/>
          <w:sz w:val="22"/>
          <w:szCs w:val="22"/>
          <w:color w:val="auto"/>
        </w:rPr>
        <w:t>”). If Substantial Completion occurs more than 90 days after the Estimated Substantial Completion Date (the “</w:t>
      </w:r>
      <w:r>
        <w:rPr>
          <w:rFonts w:ascii="Times New Roman" w:cs="Times New Roman" w:eastAsia="Times New Roman" w:hAnsi="Times New Roman"/>
          <w:sz w:val="22"/>
          <w:szCs w:val="22"/>
          <w:b w:val="1"/>
          <w:bCs w:val="1"/>
          <w:color w:val="auto"/>
        </w:rPr>
        <w:t>Grace Period</w:t>
      </w:r>
      <w:r>
        <w:rPr>
          <w:rFonts w:ascii="Times New Roman" w:cs="Times New Roman" w:eastAsia="Times New Roman" w:hAnsi="Times New Roman"/>
          <w:sz w:val="22"/>
          <w:szCs w:val="22"/>
          <w:color w:val="auto"/>
        </w:rPr>
        <w:t>”), TETAKAWI will pay CLIENT $[***] for each week of delay after the end of the Grace Period for TETAKAWI to achieve Substantial Completion. CLIENT acknowledges and agrees that the Substantial Completion Date may occur sooner than seven (7) months after the commencement of construction and, that the Facilities Fee and Park Maintenance Fee (each as modified by this Amendment) will be payable upon Substantial Completion, even if the Substantial Completion is prior the Estimated Substantial Completion Date.</w:t>
      </w:r>
    </w:p>
    <w:p>
      <w:pPr>
        <w:spacing w:after="0" w:line="183" w:lineRule="exact"/>
        <w:rPr>
          <w:sz w:val="20"/>
          <w:szCs w:val="20"/>
          <w:color w:val="auto"/>
        </w:rPr>
      </w:pPr>
    </w:p>
    <w:p>
      <w:pPr>
        <w:jc w:val="both"/>
        <w:ind w:left="360" w:hanging="360"/>
        <w:spacing w:after="0" w:line="218" w:lineRule="auto"/>
        <w:tabs>
          <w:tab w:leader="none" w:pos="46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TETAKAWI will deliver to CLIENT the Standard Building Plans (the “</w:t>
      </w:r>
      <w:r>
        <w:rPr>
          <w:rFonts w:ascii="Times New Roman" w:cs="Times New Roman" w:eastAsia="Times New Roman" w:hAnsi="Times New Roman"/>
          <w:sz w:val="22"/>
          <w:szCs w:val="22"/>
          <w:b w:val="1"/>
          <w:bCs w:val="1"/>
          <w:color w:val="auto"/>
        </w:rPr>
        <w:t>Building Plans</w:t>
      </w:r>
      <w:r>
        <w:rPr>
          <w:rFonts w:ascii="Times New Roman" w:cs="Times New Roman" w:eastAsia="Times New Roman" w:hAnsi="Times New Roman"/>
          <w:sz w:val="22"/>
          <w:szCs w:val="22"/>
          <w:color w:val="auto"/>
        </w:rPr>
        <w:t>”) within ten (10) business days after Effective Date. CLIENT will be entitled to review and make changes to the Building Plans within fifteen (15) business days after receipt. Any changes to the Building Plans, including any costs associated therewith, must be mutually acceptable to CLIENT and TETAKAWI, and the aforementioned completion dates shall be adjusted, if necessary.</w:t>
      </w:r>
    </w:p>
    <w:p>
      <w:pPr>
        <w:spacing w:after="0" w:line="178" w:lineRule="exact"/>
        <w:rPr>
          <w:rFonts w:ascii="Times New Roman" w:cs="Times New Roman" w:eastAsia="Times New Roman" w:hAnsi="Times New Roman"/>
          <w:sz w:val="22"/>
          <w:szCs w:val="22"/>
          <w:color w:val="auto"/>
        </w:rPr>
      </w:pPr>
    </w:p>
    <w:p>
      <w:pPr>
        <w:jc w:val="both"/>
        <w:ind w:left="360" w:hanging="360"/>
        <w:spacing w:after="0" w:line="227" w:lineRule="auto"/>
        <w:tabs>
          <w:tab w:leader="none" w:pos="42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CLIENT agrees to pay, at the time and in a manner reasonably agreed with TETAKAWI, the increased cost of any changes to the Building Plans that are incorporated into Building 38 at the request of CLIENT. CLIENT and TETAKAWI understand and agree that a change order requested by CLIENT to the Building Plans may affect the Substantial Completion Date. CLIENT and TETAKAWI therefore will mutually agree in advance to an extension to the Substantial Completion Date, as required, for any change to the Building Plans that affects such dates.</w:t>
      </w:r>
    </w:p>
    <w:p>
      <w:pPr>
        <w:spacing w:after="0" w:line="180" w:lineRule="exact"/>
        <w:rPr>
          <w:rFonts w:ascii="Times New Roman" w:cs="Times New Roman" w:eastAsia="Times New Roman" w:hAnsi="Times New Roman"/>
          <w:sz w:val="21"/>
          <w:szCs w:val="21"/>
          <w:color w:val="auto"/>
        </w:rPr>
      </w:pPr>
    </w:p>
    <w:p>
      <w:pPr>
        <w:jc w:val="both"/>
        <w:ind w:left="360" w:hanging="360"/>
        <w:spacing w:after="0" w:line="215" w:lineRule="auto"/>
        <w:tabs>
          <w:tab w:leader="none" w:pos="40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acknowledges and agrees that TETAKAWI’S covenant to have Building 38 constructed is dependent on execution of this Amendment II, including Exhibit A-1 thereto, and CLIENT'S written approval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Approval</w:t>
      </w:r>
      <w:r>
        <w:rPr>
          <w:rFonts w:ascii="Times New Roman" w:cs="Times New Roman" w:eastAsia="Times New Roman" w:hAnsi="Times New Roman"/>
          <w:sz w:val="22"/>
          <w:szCs w:val="22"/>
          <w:color w:val="auto"/>
        </w:rPr>
        <w:t>") of the construction of Building 38 pursuant to the Building Plans, as amended to incorporate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changes that are acceptable to the parties or specified by CLIENT in accordance with this Agreement. TETAKAWI will commence construction or cause it to be commenced within fifteen (15) business days after TETAKAWI’S receipt of the Plans Approval from CLIENT.</w:t>
      </w:r>
    </w:p>
    <w:p>
      <w:pPr>
        <w:spacing w:after="0" w:line="179" w:lineRule="exact"/>
        <w:rPr>
          <w:sz w:val="20"/>
          <w:szCs w:val="20"/>
          <w:color w:val="auto"/>
        </w:rPr>
      </w:pPr>
    </w:p>
    <w:p>
      <w:pPr>
        <w:ind w:left="320" w:hanging="320"/>
        <w:spacing w:after="0"/>
        <w:tabs>
          <w:tab w:leader="none" w:pos="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20" w:hanging="320"/>
        <w:spacing w:after="0" w:line="215" w:lineRule="auto"/>
        <w:tabs>
          <w:tab w:leader="none" w:pos="3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acknowledges and agrees that, in consideration of CLIENT'S covenants in this Amendment II, TETAKAWI will hold Building 38 exclusively for CLIENT'S occupancy upon the completion of its construction, and, as a result thereof, will or may forego other opportunities to allocate Building 38 for use by third parties. CLIENT further acknowledges that TETAKAWI would not construct Building 38 or make it available to CLIENT if CLIENT had not requested it to do so, and if CLIENT had not agreed to use the Building 38 in accordance with the Agreement, as amended by this Amendment II. As such, on</w:t>
      </w:r>
    </w:p>
    <w:p>
      <w:pPr>
        <w:sectPr>
          <w:pgSz w:w="11900" w:h="16838" w:orient="portrait"/>
          <w:cols w:equalWidth="0" w:num="1">
            <w:col w:w="10260"/>
          </w:cols>
          <w:pgMar w:left="1300" w:top="1440" w:right="339" w:bottom="1440" w:gutter="0" w:footer="0" w:header="0"/>
        </w:sectPr>
      </w:pPr>
    </w:p>
    <w:bookmarkStart w:id="37" w:name="page38"/>
    <w:bookmarkEnd w:id="37"/>
    <w:p>
      <w:pPr>
        <w:spacing w:after="0" w:line="63" w:lineRule="exact"/>
        <w:rPr>
          <w:sz w:val="20"/>
          <w:szCs w:val="20"/>
          <w:color w:val="auto"/>
        </w:rPr>
      </w:pPr>
    </w:p>
    <w:p>
      <w:pPr>
        <w:ind w:left="968"/>
        <w:spacing w:after="0" w:line="236" w:lineRule="auto"/>
        <w:rPr>
          <w:sz w:val="20"/>
          <w:szCs w:val="20"/>
          <w:color w:val="auto"/>
        </w:rPr>
      </w:pPr>
      <w:r>
        <w:rPr>
          <w:rFonts w:ascii="Times New Roman" w:cs="Times New Roman" w:eastAsia="Times New Roman" w:hAnsi="Times New Roman"/>
          <w:sz w:val="22"/>
          <w:szCs w:val="22"/>
          <w:color w:val="auto"/>
        </w:rPr>
        <w:t>the Substantial Completion Date, the CLIENT agrees to begin the process of expanding its manufacturing operation into Building 38.</w:t>
      </w:r>
    </w:p>
    <w:p>
      <w:pPr>
        <w:spacing w:after="0" w:line="177" w:lineRule="exact"/>
        <w:rPr>
          <w:sz w:val="20"/>
          <w:szCs w:val="20"/>
          <w:color w:val="auto"/>
        </w:rPr>
      </w:pPr>
    </w:p>
    <w:p>
      <w:pPr>
        <w:jc w:val="both"/>
        <w:ind w:left="968" w:hanging="320"/>
        <w:spacing w:after="0" w:line="225" w:lineRule="auto"/>
        <w:tabs>
          <w:tab w:leader="none" w:pos="96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agrees to install and maintain, at its own responsibility, cost and expense, the necessary environmental, health and safety measures, including fire suppression measures, in order for Building 38 to be at all times compliant with applicable Mexican environmental, health and safety laws and regulations.</w:t>
      </w:r>
    </w:p>
    <w:p>
      <w:pPr>
        <w:spacing w:after="0" w:line="179" w:lineRule="exact"/>
        <w:rPr>
          <w:sz w:val="20"/>
          <w:szCs w:val="20"/>
          <w:color w:val="auto"/>
        </w:rPr>
      </w:pPr>
    </w:p>
    <w:p>
      <w:pPr>
        <w:ind w:left="968" w:hanging="320"/>
        <w:spacing w:after="0"/>
        <w:tabs>
          <w:tab w:leader="none" w:pos="96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Completion 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968" w:hanging="320"/>
        <w:spacing w:after="0" w:line="212" w:lineRule="auto"/>
        <w:tabs>
          <w:tab w:leader="none" w:pos="95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TETAKAWI will provide CLIENT with a written notice (the "Completion Notice") of substantial completion of construction of Building 38 at least ten (10) business days prior to completion, which notice shall include a certification that Substantial Completion has occurred and identify any items that still need to be completed. Within five (5) business days after the date of CLIENT'S receipt of a Completion Notice, the parties will perform a "walk through" inspection of Building 38 for the purpose of confirming that Substantial Completion has occurred and identifying those finishing touches and other items (collectively the "Punch List Items") that remain to be completed. TETAKAWI will correct or will cause to be corrected the Punch List Items, if any, as soon as practicable after the "walk through" inspection.</w:t>
      </w:r>
    </w:p>
    <w:p>
      <w:pPr>
        <w:spacing w:after="0" w:line="183" w:lineRule="exact"/>
        <w:rPr>
          <w:rFonts w:ascii="Times New Roman" w:cs="Times New Roman" w:eastAsia="Times New Roman" w:hAnsi="Times New Roman"/>
          <w:sz w:val="22"/>
          <w:szCs w:val="22"/>
          <w:color w:val="auto"/>
        </w:rPr>
      </w:pPr>
    </w:p>
    <w:p>
      <w:pPr>
        <w:jc w:val="both"/>
        <w:ind w:left="968" w:hanging="320"/>
        <w:spacing w:after="0" w:line="215" w:lineRule="auto"/>
        <w:tabs>
          <w:tab w:leader="none" w:pos="96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CLIENT fails to participate in a "walk through" inspection, CLIENT will be deemed to have accepted Building 38 as suitable for its use and in accordance with the Building Plans. If CLIENT begins use of Building 38 for whatever purpose, regardless of whether a walk-through inspection has been performed, Building 38 will be deemed to have been accepted by CLIENT as suitable for its use and in accordance with the Building Plans. CLIENT will be provided a minimum of two (2) weeks’ prior notice of Building 38 availability for walk through and allowed one (1) working week to complete the walk through.</w:t>
      </w:r>
    </w:p>
    <w:p>
      <w:pPr>
        <w:spacing w:after="0" w:line="17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Extended Agreement Term.</w:t>
      </w:r>
    </w:p>
    <w:p>
      <w:pPr>
        <w:spacing w:after="0" w:line="206" w:lineRule="exact"/>
        <w:rPr>
          <w:sz w:val="20"/>
          <w:szCs w:val="20"/>
          <w:color w:val="auto"/>
        </w:rPr>
      </w:pPr>
    </w:p>
    <w:p>
      <w:pPr>
        <w:jc w:val="both"/>
        <w:ind w:left="328" w:firstLine="648"/>
        <w:spacing w:after="0" w:line="217" w:lineRule="auto"/>
        <w:rPr>
          <w:sz w:val="20"/>
          <w:szCs w:val="20"/>
          <w:color w:val="auto"/>
        </w:rPr>
      </w:pPr>
      <w:r>
        <w:rPr>
          <w:rFonts w:ascii="Times New Roman" w:cs="Times New Roman" w:eastAsia="Times New Roman" w:hAnsi="Times New Roman"/>
          <w:sz w:val="22"/>
          <w:szCs w:val="22"/>
          <w:color w:val="auto"/>
        </w:rPr>
        <w:t>Starting on the Substantial Completion Date of Building 38, CLIENT and TETAKAWI agree that the new term of the Agreement shall be extended for seven (7) years from the Substantial Completion Date (“Extended Term”). As such, TETAKAWI’S and CLIENT’S rights and obligations under the Agreement, as amended herein, regarding the Mexican Facility (as defined below) shall commence on the Substantial Completion Date and continue throughout the Extended Term.</w:t>
      </w:r>
    </w:p>
    <w:p>
      <w:pPr>
        <w:spacing w:after="0" w:line="179" w:lineRule="exact"/>
        <w:rPr>
          <w:sz w:val="20"/>
          <w:szCs w:val="20"/>
          <w:color w:val="auto"/>
        </w:rPr>
      </w:pPr>
    </w:p>
    <w:p>
      <w:pPr>
        <w:ind w:left="328" w:hanging="328"/>
        <w:spacing w:after="0"/>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Amendments.</w:t>
      </w:r>
    </w:p>
    <w:p>
      <w:pPr>
        <w:spacing w:after="0" w:line="206" w:lineRule="exact"/>
        <w:rPr>
          <w:sz w:val="20"/>
          <w:szCs w:val="20"/>
          <w:color w:val="auto"/>
        </w:rPr>
      </w:pPr>
    </w:p>
    <w:p>
      <w:pPr>
        <w:ind w:left="328" w:right="20" w:firstLine="648"/>
        <w:spacing w:after="0" w:line="236" w:lineRule="auto"/>
        <w:rPr>
          <w:sz w:val="20"/>
          <w:szCs w:val="20"/>
          <w:color w:val="auto"/>
        </w:rPr>
      </w:pPr>
      <w:r>
        <w:rPr>
          <w:rFonts w:ascii="Times New Roman" w:cs="Times New Roman" w:eastAsia="Times New Roman" w:hAnsi="Times New Roman"/>
          <w:sz w:val="22"/>
          <w:szCs w:val="22"/>
          <w:color w:val="auto"/>
        </w:rPr>
        <w:t>As of the Substantial Completion Date (as defined in this Amendment), the Agreement is hereby amended as follows:</w:t>
      </w:r>
    </w:p>
    <w:p>
      <w:pPr>
        <w:spacing w:after="0" w:line="164" w:lineRule="exact"/>
        <w:rPr>
          <w:sz w:val="20"/>
          <w:szCs w:val="20"/>
          <w:color w:val="auto"/>
        </w:rPr>
      </w:pPr>
    </w:p>
    <w:p>
      <w:pPr>
        <w:ind w:left="968" w:hanging="320"/>
        <w:spacing w:after="0"/>
        <w:tabs>
          <w:tab w:leader="none" w:pos="96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 Paragraph (A)(i) is amended by deleting “US$[***]” and replacing it with “US$[***]”.</w:t>
      </w:r>
    </w:p>
    <w:p>
      <w:pPr>
        <w:ind w:left="968" w:hanging="320"/>
        <w:spacing w:after="0" w:line="204" w:lineRule="auto"/>
        <w:tabs>
          <w:tab w:leader="none" w:pos="96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 Paragraph (A)(ii) is amended by deleting “US$[***]” and replacing it with “US$[***]”.</w:t>
      </w:r>
    </w:p>
    <w:p>
      <w:pPr>
        <w:ind w:left="968" w:hanging="320"/>
        <w:spacing w:after="0" w:line="204" w:lineRule="auto"/>
        <w:tabs>
          <w:tab w:leader="none" w:pos="9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“Mexican Facility” as used throughout the Agreement shall be defined to include Building 37 and Building 38 as well as any other building occupied by CLIENT in the Park.</w:t>
      </w:r>
    </w:p>
    <w:p>
      <w:pPr>
        <w:spacing w:after="0" w:line="1"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VII, Paragraph (A) is deleted in its entirety and replaced with the following:</w:t>
      </w:r>
    </w:p>
    <w:p>
      <w:pPr>
        <w:sectPr>
          <w:pgSz w:w="11900" w:h="16838" w:orient="portrait"/>
          <w:cols w:equalWidth="0" w:num="1">
            <w:col w:w="10908"/>
          </w:cols>
          <w:pgMar w:left="652" w:top="1440" w:right="339" w:bottom="1440" w:gutter="0" w:footer="0" w:header="0"/>
        </w:sectPr>
      </w:pPr>
    </w:p>
    <w:bookmarkStart w:id="38" w:name="page39"/>
    <w:bookmarkEnd w:id="38"/>
    <w:p>
      <w:pPr>
        <w:spacing w:after="0" w:line="63" w:lineRule="exact"/>
        <w:rPr>
          <w:sz w:val="20"/>
          <w:szCs w:val="20"/>
          <w:color w:val="auto"/>
        </w:rPr>
      </w:pPr>
    </w:p>
    <w:p>
      <w:pPr>
        <w:jc w:val="both"/>
        <w:ind w:left="1628"/>
        <w:spacing w:after="0" w:line="225" w:lineRule="auto"/>
        <w:rPr>
          <w:sz w:val="20"/>
          <w:szCs w:val="20"/>
          <w:color w:val="auto"/>
        </w:rPr>
      </w:pPr>
      <w:r>
        <w:rPr>
          <w:rFonts w:ascii="Times New Roman" w:cs="Times New Roman" w:eastAsia="Times New Roman" w:hAnsi="Times New Roman"/>
          <w:sz w:val="22"/>
          <w:szCs w:val="22"/>
          <w:color w:val="auto"/>
        </w:rPr>
        <w:t>“A. The term of this Agreement commences on the Effective Date and ends on the seventh anniversary of the Substantial Completion Date (as defined in this Amendment), unless terminated or extended in accordance with this Agreement.”</w:t>
      </w:r>
    </w:p>
    <w:p>
      <w:pPr>
        <w:spacing w:after="0" w:line="179" w:lineRule="exact"/>
        <w:rPr>
          <w:sz w:val="20"/>
          <w:szCs w:val="20"/>
          <w:color w:val="auto"/>
        </w:rPr>
      </w:pPr>
    </w:p>
    <w:p>
      <w:pPr>
        <w:ind w:left="968" w:right="20" w:hanging="320"/>
        <w:spacing w:after="0" w:line="236" w:lineRule="auto"/>
        <w:tabs>
          <w:tab w:leader="none" w:pos="96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VII, Paragraph (C) is amended by deleting the first sentence thereof in its entirety and replacing it with the following:</w:t>
      </w:r>
    </w:p>
    <w:p>
      <w:pPr>
        <w:spacing w:after="0" w:line="177" w:lineRule="exact"/>
        <w:rPr>
          <w:sz w:val="20"/>
          <w:szCs w:val="20"/>
          <w:color w:val="auto"/>
        </w:rPr>
      </w:pPr>
    </w:p>
    <w:p>
      <w:pPr>
        <w:jc w:val="both"/>
        <w:ind w:left="328" w:firstLine="648"/>
        <w:spacing w:after="0" w:line="220" w:lineRule="auto"/>
        <w:rPr>
          <w:sz w:val="20"/>
          <w:szCs w:val="20"/>
          <w:color w:val="auto"/>
        </w:rPr>
      </w:pPr>
      <w:r>
        <w:rPr>
          <w:rFonts w:ascii="Times New Roman" w:cs="Times New Roman" w:eastAsia="Times New Roman" w:hAnsi="Times New Roman"/>
          <w:sz w:val="22"/>
          <w:szCs w:val="22"/>
          <w:color w:val="auto"/>
        </w:rPr>
        <w:t>“If CLIENT requests early termination of this Agreement for convenience, it shall continue to pay the Facilities Fees until the earlier of (a) the midpoint of the period between the effective date of termination and the expiration of the Extended Term or (b) or the date on which a substitute tenant of the Mexican Facility is found and commences to use the Mexican Facility on terms acceptable to TETAKAWI.”</w:t>
      </w:r>
    </w:p>
    <w:p>
      <w:pPr>
        <w:spacing w:after="0" w:line="179" w:lineRule="exact"/>
        <w:rPr>
          <w:sz w:val="20"/>
          <w:szCs w:val="20"/>
          <w:color w:val="auto"/>
        </w:rPr>
      </w:pPr>
    </w:p>
    <w:p>
      <w:pPr>
        <w:jc w:val="both"/>
        <w:ind w:left="328" w:firstLine="648"/>
        <w:spacing w:after="0" w:line="220" w:lineRule="auto"/>
        <w:rPr>
          <w:sz w:val="20"/>
          <w:szCs w:val="20"/>
          <w:color w:val="auto"/>
        </w:rPr>
      </w:pPr>
      <w:r>
        <w:rPr>
          <w:rFonts w:ascii="Times New Roman" w:cs="Times New Roman" w:eastAsia="Times New Roman" w:hAnsi="Times New Roman"/>
          <w:sz w:val="22"/>
          <w:szCs w:val="22"/>
          <w:color w:val="auto"/>
        </w:rPr>
        <w:t>CLIENT acknowledges and agrees that there is a shortage of workers in the Guaymas/Empalme region. As such, CLIENT agrees to adhere to TETAKAWI’S recommendations for limiting/reducing worker turnover, in the understanding that TETAKAWI does not guarantee to CLIENT the recruitment and hiring of any workers needed by CLIENT for its expansion project into Building 38.</w:t>
      </w:r>
    </w:p>
    <w:p>
      <w:pPr>
        <w:spacing w:after="0" w:line="179" w:lineRule="exact"/>
        <w:rPr>
          <w:sz w:val="20"/>
          <w:szCs w:val="20"/>
          <w:color w:val="auto"/>
        </w:rPr>
      </w:pPr>
    </w:p>
    <w:p>
      <w:pPr>
        <w:ind w:left="328" w:hanging="328"/>
        <w:spacing w:after="0"/>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Fire Suppression System.</w:t>
      </w:r>
    </w:p>
    <w:p>
      <w:pPr>
        <w:spacing w:after="0" w:line="206" w:lineRule="exact"/>
        <w:rPr>
          <w:sz w:val="20"/>
          <w:szCs w:val="20"/>
          <w:color w:val="auto"/>
        </w:rPr>
      </w:pPr>
    </w:p>
    <w:p>
      <w:pPr>
        <w:jc w:val="both"/>
        <w:ind w:left="328" w:firstLine="648"/>
        <w:spacing w:after="0" w:line="213" w:lineRule="auto"/>
        <w:rPr>
          <w:sz w:val="20"/>
          <w:szCs w:val="20"/>
          <w:color w:val="auto"/>
        </w:rPr>
      </w:pPr>
      <w:r>
        <w:rPr>
          <w:rFonts w:ascii="Times New Roman" w:cs="Times New Roman" w:eastAsia="Times New Roman" w:hAnsi="Times New Roman"/>
          <w:sz w:val="22"/>
          <w:szCs w:val="22"/>
          <w:color w:val="auto"/>
        </w:rPr>
        <w:t>CLIENT and TETAKAWI agree that a third-party service provider will install in Building 38 the Fire Suppression System approved by CLIENT. Due to the fact that starting on the Substantial Completion Date CLIENT will be in full control of Building 38 and because CLIENT will own and will be completely responsible for all assets located inside Building 38, CLIENT shall, at its sole cost and expense, maintain in good order, condition, and repair the Fire Suppression System. Upon CLIENT’s written request and at CLIENT’S sole responsibility, cost, and expense, TETAKAWI agrees to assist CLIENT in seeking and coordinating the necessary third-party service providers needed to maintain the Fire Suppression System in good order, condition, and repair.</w:t>
      </w:r>
    </w:p>
    <w:p>
      <w:pPr>
        <w:spacing w:after="0" w:line="183" w:lineRule="exact"/>
        <w:rPr>
          <w:sz w:val="20"/>
          <w:szCs w:val="20"/>
          <w:color w:val="auto"/>
        </w:rPr>
      </w:pPr>
    </w:p>
    <w:p>
      <w:pPr>
        <w:jc w:val="both"/>
        <w:ind w:left="328" w:firstLine="648"/>
        <w:spacing w:after="0" w:line="212" w:lineRule="auto"/>
        <w:rPr>
          <w:sz w:val="20"/>
          <w:szCs w:val="20"/>
          <w:color w:val="auto"/>
        </w:rPr>
      </w:pPr>
      <w:r>
        <w:rPr>
          <w:rFonts w:ascii="Times New Roman" w:cs="Times New Roman" w:eastAsia="Times New Roman" w:hAnsi="Times New Roman"/>
          <w:sz w:val="22"/>
          <w:szCs w:val="22"/>
          <w:color w:val="auto"/>
        </w:rPr>
        <w:t>CLIENT hereby expressly and specifically forever release and discharges TETAKAWI and its affiliates from, of and for, and hereby waives and surrenders, any and all claims, counterclaims, demands, suits, actions, causes of actions, liabilities, obligations, damages, injuries, of any nature or kind whatsoever, including claims for personal injury or property damage, plus any and all costs, fees and expenses, including reasonable attorney’s fees, whether arising at law or in equity, under the common law, federal, state, local or other law (including Mexican law), in any manner relating to or arising from the Fire Suppression System installed or to be installed on Building 38, whether or not related to the operation, functionality, performance or reliability of the Fire Suppression System or the supply, volume, flow or pressure of water to the Fire Suppression System or otherwise (collectively “Claims”).</w:t>
      </w:r>
    </w:p>
    <w:p>
      <w:pPr>
        <w:spacing w:after="0" w:line="183" w:lineRule="exact"/>
        <w:rPr>
          <w:sz w:val="20"/>
          <w:szCs w:val="20"/>
          <w:color w:val="auto"/>
        </w:rPr>
      </w:pPr>
    </w:p>
    <w:p>
      <w:pPr>
        <w:jc w:val="both"/>
        <w:ind w:left="328" w:firstLine="648"/>
        <w:spacing w:after="0" w:line="222" w:lineRule="auto"/>
        <w:rPr>
          <w:sz w:val="20"/>
          <w:szCs w:val="20"/>
          <w:color w:val="auto"/>
        </w:rPr>
      </w:pPr>
      <w:r>
        <w:rPr>
          <w:rFonts w:ascii="Times New Roman" w:cs="Times New Roman" w:eastAsia="Times New Roman" w:hAnsi="Times New Roman"/>
          <w:sz w:val="21"/>
          <w:szCs w:val="21"/>
          <w:color w:val="auto"/>
        </w:rPr>
        <w:t>CLIENT expressly agrees for itself, and on behalf of its successors, assigns and insurers, as the case may be, that as a condition of TETAKAWI agreeing to coordinate the installation of the Fire Suppression System as well as to assist CLIENT, upon CLIENT’S written request, in seeking and coordinating the necessary third-party service providers needed to maintain the Fire Suppression System in good order, condition, and repair, CLIENT warrants, covenants and represents that it will commence no Claims against TETAKAWI or its affiliates which shall, in any way or manner whatsoever relate to the Fire Suppression System, its operation, functionality, performance or reliability, or the amount, quantity, quality, supply, pressure, volume or flow of the water provided to or intended for use by the Fire Suppression System. It is the express intention of CLIENT that this paragraph shall constitute and serve as a full, comprehensive and final general</w:t>
      </w:r>
    </w:p>
    <w:p>
      <w:pPr>
        <w:sectPr>
          <w:pgSz w:w="11900" w:h="16838" w:orient="portrait"/>
          <w:cols w:equalWidth="0" w:num="1">
            <w:col w:w="10908"/>
          </w:cols>
          <w:pgMar w:left="652" w:top="1440" w:right="339" w:bottom="1440" w:gutter="0" w:footer="0" w:header="0"/>
        </w:sectPr>
      </w:pPr>
    </w:p>
    <w:bookmarkStart w:id="39" w:name="page40"/>
    <w:bookmarkEnd w:id="39"/>
    <w:p>
      <w:pPr>
        <w:spacing w:after="0" w:line="63" w:lineRule="exact"/>
        <w:rPr>
          <w:sz w:val="20"/>
          <w:szCs w:val="20"/>
          <w:color w:val="auto"/>
        </w:rPr>
      </w:pPr>
    </w:p>
    <w:p>
      <w:pPr>
        <w:ind w:left="328"/>
        <w:spacing w:after="0" w:line="236" w:lineRule="auto"/>
        <w:rPr>
          <w:sz w:val="20"/>
          <w:szCs w:val="20"/>
          <w:color w:val="auto"/>
        </w:rPr>
      </w:pPr>
      <w:r>
        <w:rPr>
          <w:rFonts w:ascii="Times New Roman" w:cs="Times New Roman" w:eastAsia="Times New Roman" w:hAnsi="Times New Roman"/>
          <w:sz w:val="22"/>
          <w:szCs w:val="22"/>
          <w:color w:val="auto"/>
        </w:rPr>
        <w:t>release of TETAKAWI and its affiliates from all such Claims, which are as of this date inherently unknown and unliquidated.</w:t>
      </w:r>
    </w:p>
    <w:p>
      <w:pPr>
        <w:spacing w:after="0" w:line="177" w:lineRule="exact"/>
        <w:rPr>
          <w:sz w:val="20"/>
          <w:szCs w:val="20"/>
          <w:color w:val="auto"/>
        </w:rPr>
      </w:pPr>
    </w:p>
    <w:p>
      <w:pPr>
        <w:ind w:left="328" w:hanging="328"/>
        <w:spacing w:after="0"/>
        <w:tabs>
          <w:tab w:leader="none" w:pos="3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28" w:firstLine="648"/>
        <w:spacing w:after="0" w:line="236" w:lineRule="auto"/>
        <w:rPr>
          <w:sz w:val="20"/>
          <w:szCs w:val="20"/>
          <w:color w:val="auto"/>
        </w:rPr>
      </w:pPr>
      <w:r>
        <w:rPr>
          <w:rFonts w:ascii="Times New Roman" w:cs="Times New Roman" w:eastAsia="Times New Roman" w:hAnsi="Times New Roman"/>
          <w:sz w:val="22"/>
          <w:szCs w:val="22"/>
          <w:color w:val="auto"/>
        </w:rPr>
        <w:t>All words and phrases defined in the Agreement and not otherwise defined in this Amendment II shall have the meanings ascribed to such words and phrases in the Agreement.</w:t>
      </w:r>
    </w:p>
    <w:p>
      <w:pPr>
        <w:spacing w:after="0" w:line="177" w:lineRule="exact"/>
        <w:rPr>
          <w:sz w:val="20"/>
          <w:szCs w:val="20"/>
          <w:color w:val="auto"/>
        </w:rPr>
      </w:pPr>
    </w:p>
    <w:p>
      <w:pPr>
        <w:ind w:left="328" w:hanging="328"/>
        <w:spacing w:after="0"/>
        <w:tabs>
          <w:tab w:leader="none" w:pos="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w:t>
      </w:r>
    </w:p>
    <w:p>
      <w:pPr>
        <w:spacing w:after="0" w:line="206" w:lineRule="exact"/>
        <w:rPr>
          <w:rFonts w:ascii="Times New Roman" w:cs="Times New Roman" w:eastAsia="Times New Roman" w:hAnsi="Times New Roman"/>
          <w:sz w:val="22"/>
          <w:szCs w:val="22"/>
          <w:color w:val="auto"/>
        </w:rPr>
      </w:pPr>
    </w:p>
    <w:p>
      <w:pPr>
        <w:jc w:val="both"/>
        <w:ind w:left="968"/>
        <w:spacing w:after="0" w:line="20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shall be liable or responsible to the other party, nor be deemed to have defaulted under or breached this Amendment, due to a complete failure in performing any term of this Amendment (except for any obligations to make payments to the other party hereunder), when and to the extent such party's (the "Impacted Party") failure is caused by or results from the following force majeure events "Force Majeure Event(s)": (a) acts of God; (b) flood, fire, earthquake, epidemics or explosion; (c) war, invasion, hostilities, terrorist threats or acts, riot or other civil unrest; (d) government order, law, or action; (e) embargoes or blockades in effect on or after the date of the Agreement; (f) national or regional emergency; (g) strikes; (h) shortage of adequate power; and (i) other similar events beyond the reasonable control of the Impacted Party. The Impacted Party shall give written notice within 15 days of the Force Majeure Event to the other party, stating the specific reasons preventing its performance and the period the occurrence is expected to continue. The Impacted Party shall use commercially reasonable best efforts to attempt to mitigate or diminish the effects of the Force Majeure Event on the other party or parties to this Amendment. The Impacted Party shall resume the performance of its obligations as soon as reasonably practicable after the removal of the cause. If the Impacted Party is TETAKAWI, the CLIENT must continue to pay all invoices during the period between the occurrence of the Force Majeure Event and the removal of the cause, provided TETAKAWI continues to perform, either in whole or in part, its services pursuant to this Amendment and the amounts of such invoices shall be reduced to reflect any reduction in, or limitation to, the services rendered by TETAKAWI hereunder. In the event that the Impacted Party's failure remains uncured for a period of 60 consecutive days following written notice given by it under this Section, either party may thereafter terminate the Agreement upon thirty 30 days' written notice, which termination will be deemed a termination for cause by the terminating party. Such notice shall specify in detail the events constituting Force Majeure and must be accompanied by a detailed calculation of and contain a payment for all amounts due and payable under the Agreement to the other party through and including the effective time of the termination. The non-terminating party, if it does not agree with the calculation and believes the amount of payment submitted by the terminating party to be less than amounts actually due to it under the Agreement, shall so notify the terminating party of its disagreement in writing but may retain the tendered payment as a partial payment toward the amount due from the terminating party. For the avoidance of doubt, if CLIENT elects to terminate the Agreement due to a Force Majeure Event, CLIENT will have to make all payments due to TETAKAWI up until the moment of effective termination of the Agreement, including Severance Payments, without any discounts, deductions or any other compensation that might apply.</w:t>
      </w:r>
    </w:p>
    <w:p>
      <w:pPr>
        <w:spacing w:after="0" w:line="179"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HVAC and electrical system in Building 38.</w:t>
      </w:r>
    </w:p>
    <w:p>
      <w:pPr>
        <w:sectPr>
          <w:pgSz w:w="11900" w:h="16838" w:orient="portrait"/>
          <w:cols w:equalWidth="0" w:num="1">
            <w:col w:w="10908"/>
          </w:cols>
          <w:pgMar w:left="652" w:top="1440" w:right="339" w:bottom="1440" w:gutter="0" w:footer="0" w:header="0"/>
        </w:sectPr>
      </w:pPr>
    </w:p>
    <w:bookmarkStart w:id="40" w:name="page41"/>
    <w:bookmarkEnd w:id="40"/>
    <w:p>
      <w:pPr>
        <w:spacing w:after="0" w:line="306" w:lineRule="exact"/>
        <w:rPr>
          <w:sz w:val="20"/>
          <w:szCs w:val="20"/>
          <w:color w:val="auto"/>
        </w:rPr>
      </w:pPr>
    </w:p>
    <w:p>
      <w:pPr>
        <w:jc w:val="both"/>
        <w:ind w:left="968"/>
        <w:spacing w:after="0" w:line="208" w:lineRule="auto"/>
        <w:rPr>
          <w:sz w:val="20"/>
          <w:szCs w:val="20"/>
          <w:color w:val="auto"/>
        </w:rPr>
      </w:pPr>
      <w:r>
        <w:rPr>
          <w:rFonts w:ascii="Times New Roman" w:cs="Times New Roman" w:eastAsia="Times New Roman" w:hAnsi="Times New Roman"/>
          <w:sz w:val="22"/>
          <w:szCs w:val="22"/>
          <w:color w:val="auto"/>
        </w:rPr>
        <w:t>The Mexican Facility will have HVAC system and the electrical system described in Exhibit A-1. CLIENT represents and warrants that its manufacturing operations and other non-manufacturing activities inside the Mexican Facility after Substantial Completion are suitable to and will not stress the HVAC and electrical systems currently in place at the Mexican Facility. To the extent CLIENT intends to increase its manufacturing operations and other non-manufacturing activities inside the Mexican Facility after Substantial Completion and such increases i) would stress or exceed the capacity of the HVAC system (e.g., increased thermal load, increased air extraction, etc.) at the Mexican Facility, ii) would stress or exceed the capacity of the electrical system at the Mexican Facility, or both, CLIENT agrees to notify and meet with TETAKAWI prior to increasing its manufacturing operations and other non-manufacturing activities to determine whether any replacements, modifications or adaptations may be required to the HVAC system and electrical system at the Mexican Facility. CLIENT agrees to pay for the technical studies required for purposes of determining whether any replacements, modification or adaptations of the HVAC system or electrical system, or both, are required. TETAKAWI and CLIENT agree to select the HVAC contractor and electrical system contractor that will perform the required technical study from a list of up to three contractors per subject matter (i.e., three HVAC contractors and three electrical system contractors) that will be provided by TETAKAWI to CLIENT. If the technical study determines that such replacements, modifications or adaptations are required, CLIENT agrees to pay for such replacements, modifications or adaptations reasonably necessary to handle CLIENT’S manufacturing operations and other activities at the Mexican Facility.</w:t>
      </w:r>
    </w:p>
    <w:p>
      <w:pPr>
        <w:spacing w:after="0" w:line="185" w:lineRule="exact"/>
        <w:rPr>
          <w:sz w:val="20"/>
          <w:szCs w:val="20"/>
          <w:color w:val="auto"/>
        </w:rPr>
      </w:pPr>
    </w:p>
    <w:p>
      <w:pPr>
        <w:jc w:val="both"/>
        <w:ind w:left="968" w:hanging="320"/>
        <w:spacing w:after="0" w:line="220" w:lineRule="auto"/>
        <w:tabs>
          <w:tab w:leader="none" w:pos="9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the Agreement shall continue in full force and effect, except to the extent amended herein. In the event of a conflict between the Agreement and this Amendment II, this Amendment II shall control. This Amendment II may be executed simultaneously in two or more counterparts, each of which will be deemed an original, and all of which together will constitute one and the same instrument.</w:t>
      </w:r>
    </w:p>
    <w:p>
      <w:pPr>
        <w:spacing w:after="0" w:line="17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9"/>
          <w:szCs w:val="19"/>
          <w:color w:val="252525"/>
        </w:rPr>
        <w:t>Except as expressly provided hereby, all of the terms and provisions of the Agreement are and shall remain in full force and effect</w:t>
      </w:r>
    </w:p>
    <w:p>
      <w:pPr>
        <w:spacing w:after="0" w:line="6" w:lineRule="exact"/>
        <w:rPr>
          <w:sz w:val="20"/>
          <w:szCs w:val="20"/>
          <w:color w:val="auto"/>
        </w:rPr>
      </w:pPr>
    </w:p>
    <w:p>
      <w:pPr>
        <w:ind w:left="328"/>
        <w:spacing w:after="0" w:line="204" w:lineRule="auto"/>
        <w:rPr>
          <w:sz w:val="20"/>
          <w:szCs w:val="20"/>
          <w:color w:val="auto"/>
        </w:rPr>
      </w:pPr>
      <w:r>
        <w:rPr>
          <w:rFonts w:ascii="Times New Roman" w:cs="Times New Roman" w:eastAsia="Times New Roman" w:hAnsi="Times New Roman"/>
          <w:sz w:val="20"/>
          <w:szCs w:val="20"/>
          <w:color w:val="252525"/>
        </w:rPr>
        <w:t>and are hereby ratified and confirmed by the parties. The amendments contained herein shall not be construed as a waiver or amendment of any other provision of the Agreement or for any purpose except as expressly set forth herein. On and after the</w:t>
      </w:r>
    </w:p>
    <w:p>
      <w:pPr>
        <w:spacing w:after="0" w:line="1" w:lineRule="exact"/>
        <w:rPr>
          <w:sz w:val="20"/>
          <w:szCs w:val="20"/>
          <w:color w:val="auto"/>
        </w:rPr>
      </w:pPr>
    </w:p>
    <w:p>
      <w:pPr>
        <w:ind w:left="328" w:right="20"/>
        <w:spacing w:after="0" w:line="233" w:lineRule="auto"/>
        <w:rPr>
          <w:sz w:val="20"/>
          <w:szCs w:val="20"/>
          <w:color w:val="auto"/>
        </w:rPr>
      </w:pPr>
      <w:r>
        <w:rPr>
          <w:rFonts w:ascii="Times New Roman" w:cs="Times New Roman" w:eastAsia="Times New Roman" w:hAnsi="Times New Roman"/>
          <w:sz w:val="20"/>
          <w:szCs w:val="20"/>
          <w:color w:val="252525"/>
        </w:rPr>
        <w:t>Effective Date, each reference in the Agreement to “this Agreement,” “the Agreement,” “hereunder,” “hereof,” “herein,” or words of like import will mean and be a reference to the Agreement as amended by this Amendment</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[SIGNATURES FOLLOW ON NEXT PAGE]</w:t>
      </w:r>
    </w:p>
    <w:p>
      <w:pPr>
        <w:sectPr>
          <w:pgSz w:w="11900" w:h="16838" w:orient="portrait"/>
          <w:cols w:equalWidth="0" w:num="1">
            <w:col w:w="10908"/>
          </w:cols>
          <w:pgMar w:left="652" w:top="1440" w:right="339" w:bottom="1440" w:gutter="0" w:footer="0" w:header="0"/>
        </w:sectPr>
      </w:pPr>
    </w:p>
    <w:bookmarkStart w:id="41" w:name="page42"/>
    <w:bookmarkEnd w:id="41"/>
    <w:p>
      <w:pPr>
        <w:spacing w:after="0" w:line="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parties execute this Amendment II in multiple original counterparts on the dates set forth beneath their respective signatures, with the intent that it becomes effective as per the latest date of signature below (“Effective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OFFSHORE INTERNATIONAL, INC.,</w:t>
            </w:r>
          </w:p>
        </w:tc>
        <w:tc>
          <w:tcPr>
            <w:tcW w:w="616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CARDIVA MEDICAL, INC.,</w:t>
            </w:r>
          </w:p>
        </w:tc>
      </w:tr>
      <w:tr>
        <w:trPr>
          <w:trHeight w:val="286"/>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an Arizona corporation</w:t>
            </w:r>
          </w:p>
        </w:tc>
        <w:tc>
          <w:tcPr>
            <w:tcW w:w="616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a Delaware corporation</w:t>
            </w:r>
          </w:p>
        </w:tc>
      </w:tr>
      <w:tr>
        <w:trPr>
          <w:trHeight w:val="52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Elsa Sfurza</w:t>
            </w:r>
          </w:p>
        </w:tc>
        <w:tc>
          <w:tcPr>
            <w:tcW w:w="2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By:</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James C. D’Arecca</w:t>
            </w:r>
          </w:p>
        </w:tc>
      </w:tr>
      <w:tr>
        <w:trPr>
          <w:trHeight w:val="265"/>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Printed Name:</w:t>
            </w:r>
          </w:p>
        </w:tc>
        <w:tc>
          <w:tcPr>
            <w:tcW w:w="3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Elsa Sfurza</w:t>
            </w:r>
          </w:p>
        </w:tc>
        <w:tc>
          <w:tcPr>
            <w:tcW w:w="2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Printed Name:</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James C. D’Arecca</w:t>
            </w:r>
          </w:p>
        </w:tc>
      </w:tr>
      <w:tr>
        <w:trPr>
          <w:trHeight w:val="264"/>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3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EVP &amp; CFO</w:t>
            </w:r>
          </w:p>
        </w:tc>
        <w:tc>
          <w:tcPr>
            <w:tcW w:w="2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Its:</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CFO</w:t>
            </w:r>
          </w:p>
        </w:tc>
      </w:tr>
      <w:tr>
        <w:trPr>
          <w:trHeight w:val="263"/>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August 3, 2022</w:t>
            </w:r>
          </w:p>
        </w:tc>
        <w:tc>
          <w:tcPr>
            <w:tcW w:w="2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Date:</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August 2, 2022</w:t>
            </w:r>
          </w:p>
        </w:tc>
      </w:tr>
    </w:tbl>
    <w:p>
      <w:pPr>
        <w:sectPr>
          <w:pgSz w:w="11900" w:h="16838" w:orient="portrait"/>
          <w:cols w:equalWidth="0" w:num="1">
            <w:col w:w="11160"/>
          </w:cols>
          <w:pgMar w:left="400" w:top="144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60" w:hanging="324"/>
        <w:spacing w:after="0" w:line="312" w:lineRule="auto"/>
        <w:tabs>
          <w:tab w:leader="none" w:pos="9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October 1, 2022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October 1, 2022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upperLetter"/>
      <w:start w:val="9"/>
    </w:lvl>
  </w:abstractNum>
  <w:abstractNum w:abstractNumId="21">
    <w:nsid w:val="22221A70"/>
    <w:multiLevelType w:val="hybridMultilevel"/>
    <w:lvl w:ilvl="0">
      <w:lvlJc w:val="left"/>
      <w:lvlText w:val="%1."/>
      <w:numFmt w:val="upperLetter"/>
      <w:start w:val="35"/>
    </w:lvl>
  </w:abstractNum>
  <w:abstractNum w:abstractNumId="22">
    <w:nsid w:val="4516DDE9"/>
    <w:multiLevelType w:val="hybridMultilevel"/>
    <w:lvl w:ilvl="0">
      <w:lvlJc w:val="left"/>
      <w:lvlText w:val="%1."/>
      <w:numFmt w:val="upperLetter"/>
      <w:start w:val="6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upperLetter"/>
      <w:start w:val="1"/>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upperLetter"/>
      <w:start w:val="2"/>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2"/>
    </w:lvl>
  </w:abstractNum>
  <w:abstractNum w:abstractNumId="30">
    <w:nsid w:val="77465F01"/>
    <w:multiLevelType w:val="hybridMultilevel"/>
    <w:lvl w:ilvl="0">
      <w:lvlJc w:val="left"/>
      <w:lvlText w:val="%1."/>
      <w:numFmt w:val="upperLetter"/>
      <w:start w:val="3"/>
    </w:lvl>
  </w:abstractNum>
  <w:abstractNum w:abstractNumId="31">
    <w:nsid w:val="7724C67E"/>
    <w:multiLevelType w:val="hybridMultilevel"/>
    <w:lvl w:ilvl="0">
      <w:lvlJc w:val="left"/>
      <w:lvlText w:val="%1"/>
      <w:numFmt w:val="decimal"/>
      <w:start w:val="1"/>
    </w:lvl>
    <w:lvl w:ilvl="1">
      <w:lvlJc w:val="left"/>
      <w:lvlText w:val="(%2)"/>
      <w:numFmt w:val="lowerRoman"/>
      <w:start w:val="1"/>
    </w:lvl>
  </w:abstractNum>
  <w:abstractNum w:abstractNumId="32">
    <w:nsid w:val="5C482A97"/>
    <w:multiLevelType w:val="hybridMultilevel"/>
    <w:lvl w:ilvl="0">
      <w:lvlJc w:val="left"/>
      <w:lvlText w:val="%1."/>
      <w:numFmt w:val="decimal"/>
      <w:start w:val="2"/>
    </w:lvl>
    <w:lvl w:ilvl="1">
      <w:lvlJc w:val="left"/>
      <w:lvlText w:val="%2"/>
      <w:numFmt w:val="lowerRoman"/>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upperLetter"/>
      <w:start w:val="1"/>
    </w:lvl>
  </w:abstractNum>
  <w:abstractNum w:abstractNumId="35">
    <w:nsid w:val="51EAD36B"/>
    <w:multiLevelType w:val="hybridMultilevel"/>
    <w:lvl w:ilvl="0">
      <w:lvlJc w:val="left"/>
      <w:lvlText w:val="%1."/>
      <w:numFmt w:val="upperLetter"/>
      <w:start w:val="5"/>
    </w:lvl>
  </w:abstractNum>
  <w:abstractNum w:abstractNumId="36">
    <w:nsid w:val="2D517796"/>
    <w:multiLevelType w:val="hybridMultilevel"/>
    <w:lvl w:ilvl="0">
      <w:lvlJc w:val="left"/>
      <w:lvlText w:val="%1."/>
      <w:numFmt w:val="decimal"/>
      <w:start w:val="4"/>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6"/>
    </w:lvl>
    <w:lvl w:ilvl="1">
      <w:lvlJc w:val="left"/>
      <w:lvlText w:val="%2."/>
      <w:numFmt w:val="upperLetter"/>
      <w:start w:val="1"/>
    </w:lvl>
  </w:abstractNum>
  <w:abstractNum w:abstractNumId="39">
    <w:nsid w:val="3855585C"/>
    <w:multiLevelType w:val="hybridMultilevel"/>
    <w:lvl w:ilvl="0">
      <w:lvlJc w:val="left"/>
      <w:lvlText w:val="%1"/>
      <w:numFmt w:val="decimal"/>
      <w:start w:val="1"/>
    </w:lvl>
    <w:lvl w:ilvl="1">
      <w:lvlJc w:val="left"/>
      <w:lvlText w:val="%2."/>
      <w:numFmt w:val="upperLetter"/>
      <w:start w:val="3"/>
    </w:lvl>
  </w:abstractNum>
  <w:abstractNum w:abstractNumId="40">
    <w:nsid w:val="70A64E2A"/>
    <w:multiLevelType w:val="hybridMultilevel"/>
    <w:lvl w:ilvl="0">
      <w:lvlJc w:val="left"/>
      <w:lvlText w:val="%1."/>
      <w:numFmt w:val="decimal"/>
      <w:start w:val="7"/>
    </w:lvl>
    <w:lvl w:ilvl="1">
      <w:lvlJc w:val="left"/>
      <w:lvlText w:val="%2"/>
      <w:numFmt w:val="upp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1" Type="http://schemas.openxmlformats.org/officeDocument/2006/relationships/hyperlink" Target="http://www.sec.gov/Archives/edgar/data/313143/000031314319000035/exhibit31-restatedarticles.htm" TargetMode="External"/><Relationship Id="rId52" Type="http://schemas.openxmlformats.org/officeDocument/2006/relationships/hyperlink" Target="http://www.sec.gov/Archives/edgar/data/313143/000031314320000052/by-lawsasamended62920.htm" TargetMode="External"/><Relationship Id="rId53" Type="http://schemas.openxmlformats.org/officeDocument/2006/relationships/hyperlink" Target="https://www.sec.gov/Archives/edgar/data/313143/000031314322000042/ex1012022ar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2022-11-08T17:31:49Z</dcterms:created>
  <dcterms:modified xsi:type="dcterms:W3CDTF">2022-11-08T17:31:49Z</dcterms:modified>
</cp:coreProperties>
</file>