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Galvin Roy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 SUMMER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HAEMONETICS CORP</w:t>
              </w:r>
            </w:hyperlink>
            <w:r>
              <w:rPr/>
              <w:t xml:space="preserve"> [ </w:t>
            </w:r>
            <w:r>
              <w:rPr>
                <w:rFonts w:ascii="Times;serif" w:hAnsi="Times;serif"/>
                <w:color w:val="0000FF"/>
                <w:sz w:val="24"/>
                <w:shd w:fill="FFFFFF" w:val="clear"/>
              </w:rPr>
              <w:t>HAE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879</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56.29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12,347</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27,535</w:t>
            </w:r>
            <w:r>
              <w:rPr>
                <w:rFonts w:ascii="Times;serif" w:hAnsi="Times;serif"/>
                <w:color w:val="008000"/>
                <w:position w:val="7"/>
                <w:sz w:val="16"/>
                <w:sz w:val="20"/>
                <w:shd w:fill="FFFFFF" w:val="clear"/>
              </w:rPr>
              <w:t>(3)</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39,882</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for tax obligations in connection with the vesting of certain restricted stock units ("RSUs") previously reported in Table 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includes unvested RSUs previously reported as well as 415 shares acquired by the reporting person under the Haemonetics Corporation 2007 Employee Stock Purchase Plan (as amended and/or restated from time to time) on April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awarded are in the form of RSUs issued pursuant to the Haemonetics Corporation Amended and Restated 2019 Long-Term Incentive Compensation Plan. The RSUs vest in three annual installments with forty percent of the total award vesting on the first anniversary of the date of grant, forty percent vesting on the second anniversary of the date of grant and the remaining twenty percent vesting on the third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contingent right to receive one (1) share of the Issuer's common stock when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V. Powers, attorney-in-fact for Mr. Galvin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0021" TargetMode="External"/><Relationship Id="rId5" Type="http://schemas.openxmlformats.org/officeDocument/2006/relationships/hyperlink" Target="http://www.sec.gov/cgi-bin/browse-edgar?action=getcompany&amp;CIK=00003131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727</Words>
  <Characters>3915</Characters>
  <CharactersWithSpaces>4575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