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For the quarter ended: </w:t>
      </w:r>
      <w:r>
        <w:rPr>
          <w:rFonts w:ascii="Arial" w:cs="Arial" w:eastAsia="Arial" w:hAnsi="Arial"/>
          <w:sz w:val="18"/>
          <w:szCs w:val="18"/>
          <w:b w:val="1"/>
          <w:bCs w:val="1"/>
          <w:u w:val="single" w:color="auto"/>
          <w:color w:val="auto"/>
        </w:rPr>
        <w:t>July 2, 2011</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1-14041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42"/>
          <w:szCs w:val="42"/>
          <w:b w:val="1"/>
          <w:bCs w:val="1"/>
          <w:color w:val="auto"/>
        </w:rPr>
        <w:t>HAEMONETICS CORPORATION</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122" w:right="299" w:bottom="1440" w:gutter="0" w:footer="0" w:header="0"/>
        </w:sectPr>
      </w:pPr>
    </w:p>
    <w:p>
      <w:pPr>
        <w:spacing w:after="0" w:line="197"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Massachusetts</w:t>
      </w:r>
    </w:p>
    <w:p>
      <w:pPr>
        <w:spacing w:after="0" w:line="22"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(State or other jurisdiction</w:t>
      </w:r>
    </w:p>
    <w:p>
      <w:pPr>
        <w:spacing w:after="0" w:line="5"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04-2882273</w:t>
      </w:r>
    </w:p>
    <w:p>
      <w:pPr>
        <w:spacing w:after="0" w:line="22"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(I.R.S. Employer Identification No.)</w:t>
      </w:r>
    </w:p>
    <w:p>
      <w:pPr>
        <w:spacing w:after="0" w:line="412" w:lineRule="exact"/>
        <w:rPr>
          <w:sz w:val="20"/>
          <w:szCs w:val="20"/>
          <w:color w:val="auto"/>
        </w:rPr>
      </w:pPr>
    </w:p>
    <w:p>
      <w:pPr>
        <w:sectPr>
          <w:pgSz w:w="11900" w:h="16838" w:orient="portrait"/>
          <w:cols w:equalWidth="0" w:num="2">
            <w:col w:w="6700" w:space="720"/>
            <w:col w:w="3940"/>
          </w:cols>
          <w:pgMar w:left="240" w:top="122" w:right="299" w:bottom="1440" w:gutter="0" w:footer="0" w:header="0"/>
          <w:type w:val="continuous"/>
        </w:sectPr>
      </w:pPr>
    </w:p>
    <w:p>
      <w:pPr>
        <w:spacing w:after="0" w:line="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400 Wood Road, Braintree, MA 02184</w:t>
      </w:r>
    </w:p>
    <w:p>
      <w:pPr>
        <w:spacing w:after="0" w:line="57"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(Address of principal executive offices)</w:t>
      </w:r>
    </w:p>
    <w:p>
      <w:pPr>
        <w:sectPr>
          <w:pgSz w:w="11900" w:h="16838" w:orient="portrait"/>
          <w:cols w:equalWidth="0" w:num="1">
            <w:col w:w="11360"/>
          </w:cols>
          <w:pgMar w:left="240" w:top="122" w:right="299" w:bottom="1440" w:gutter="0" w:footer="0" w:header="0"/>
          <w:type w:val="continuous"/>
        </w:sect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2"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4" w:lineRule="exact"/>
        <w:rPr>
          <w:sz w:val="20"/>
          <w:szCs w:val="20"/>
          <w:color w:val="auto"/>
        </w:rPr>
      </w:pPr>
    </w:p>
    <w:p>
      <w:pPr>
        <w:ind w:right="540"/>
        <w:spacing w:after="0" w:line="36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60"/>
          </w:cols>
          <w:pgMar w:left="240" w:top="122" w:right="299" w:bottom="1440" w:gutter="0" w:footer="0" w:header="0"/>
          <w:type w:val="continuous"/>
        </w:sectPr>
      </w:pPr>
    </w:p>
    <w:p>
      <w:pPr>
        <w:spacing w:after="0" w:line="76" w:lineRule="exact"/>
        <w:rPr>
          <w:sz w:val="20"/>
          <w:szCs w:val="20"/>
          <w:color w:val="auto"/>
        </w:rPr>
      </w:pPr>
    </w:p>
    <w:p>
      <w:pPr>
        <w:ind w:left="4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Non-accelerated filer 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23" w:lineRule="exact"/>
        <w:rPr>
          <w:sz w:val="20"/>
          <w:szCs w:val="20"/>
          <w:color w:val="auto"/>
        </w:rPr>
      </w:pPr>
    </w:p>
    <w:p>
      <w:pPr>
        <w:sectPr>
          <w:pgSz w:w="11900" w:h="16838" w:orient="portrait"/>
          <w:cols w:equalWidth="0" w:num="4">
            <w:col w:w="2840" w:space="720"/>
            <w:col w:w="1320" w:space="660"/>
            <w:col w:w="3280" w:space="260"/>
            <w:col w:w="2280"/>
          </w:cols>
          <w:pgMar w:left="240" w:top="122" w:right="2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4"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number of shares of $.01 par value common stock outstanding as of July 2, 2011:</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25,770,869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147320</wp:posOffset>
            </wp:positionV>
            <wp:extent cx="72491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549275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58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4"/>
        </w:trPr>
        <w:tc>
          <w:tcPr>
            <w:tcW w:w="10580" w:type="dxa"/>
            <w:vAlign w:val="bottom"/>
            <w:gridSpan w:val="23"/>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058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18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Statements of Income — Three Months Ended July 2, 2011 and July 3, 2010</w:t>
              </w:r>
            </w:hyperlink>
          </w:p>
        </w:tc>
        <w:tc>
          <w:tcPr>
            <w:tcW w:w="3200" w:type="dxa"/>
            <w:vAlign w:val="bottom"/>
            <w:gridSpan w:val="3"/>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80" w:type="dxa"/>
            <w:vAlign w:val="bottom"/>
            <w:gridSpan w:val="21"/>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 — July 2, 2011 and April 2, 2011</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80" w:type="dxa"/>
            <w:vAlign w:val="bottom"/>
            <w:tcBorders>
              <w:bottom w:val="single" w:sz="8" w:color="0000EE"/>
            </w:tcBorders>
            <w:gridSpan w:val="20"/>
          </w:tcPr>
          <w:p>
            <w:pPr>
              <w:spacing w:after="0" w:line="19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Cash Flows — Three Months Ended July 2, 2011 and July 3, 2010</w:t>
              </w:r>
            </w:hyperlink>
          </w:p>
        </w:tc>
        <w:tc>
          <w:tcPr>
            <w:tcW w:w="2900" w:type="dxa"/>
            <w:vAlign w:val="bottom"/>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Unaudited Consolidated Financial Statements</w:t>
              </w:r>
            </w:hyperlink>
          </w:p>
        </w:tc>
        <w:tc>
          <w:tcPr>
            <w:tcW w:w="6500" w:type="dxa"/>
            <w:vAlign w:val="bottom"/>
            <w:gridSpan w:val="7"/>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4"/>
        </w:trPr>
        <w:tc>
          <w:tcPr>
            <w:tcW w:w="10580" w:type="dxa"/>
            <w:vAlign w:val="bottom"/>
            <w:gridSpan w:val="23"/>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 Management’s Discussion and Analysis of Financial Condition and Results of Operations</w:t>
              </w:r>
            </w:hyperlink>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2"/>
        </w:trPr>
        <w:tc>
          <w:tcPr>
            <w:tcW w:w="7400" w:type="dxa"/>
            <w:vAlign w:val="bottom"/>
            <w:tcBorders>
              <w:top w:val="single" w:sz="8" w:color="0000EE"/>
            </w:tcBorders>
            <w:gridSpan w:val="21"/>
          </w:tcPr>
          <w:p>
            <w:pPr>
              <w:spacing w:after="0" w:line="19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3. Quantitative and Qualitative Disclosures about Market Risk</w:t>
              </w:r>
            </w:hyperlink>
          </w:p>
        </w:tc>
        <w:tc>
          <w:tcPr>
            <w:tcW w:w="3180" w:type="dxa"/>
            <w:vAlign w:val="bottom"/>
            <w:gridSpan w:val="2"/>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2"/>
        </w:trPr>
        <w:tc>
          <w:tcPr>
            <w:tcW w:w="258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b w:val="1"/>
                <w:bCs w:val="1"/>
                <w:color w:val="0000EE"/>
                <w:w w:val="90"/>
              </w:rPr>
            </w:pPr>
            <w:hyperlink w:anchor="page27">
              <w:r>
                <w:rPr>
                  <w:rFonts w:ascii="Arial" w:cs="Arial" w:eastAsia="Arial" w:hAnsi="Arial"/>
                  <w:sz w:val="18"/>
                  <w:szCs w:val="18"/>
                  <w:b w:val="1"/>
                  <w:bCs w:val="1"/>
                  <w:color w:val="0000EE"/>
                  <w:w w:val="90"/>
                </w:rPr>
                <w:t>ITEM 4. Controls and Procedures</w:t>
              </w:r>
            </w:hyperlink>
          </w:p>
        </w:tc>
        <w:tc>
          <w:tcPr>
            <w:tcW w:w="2660" w:type="dxa"/>
            <w:vAlign w:val="bottom"/>
            <w:tcBorders>
              <w:top w:val="single" w:sz="8" w:color="0000EE"/>
            </w:tcBorders>
            <w:gridSpan w:val="6"/>
          </w:tcPr>
          <w:p>
            <w:pPr>
              <w:spacing w:after="0"/>
              <w:rPr>
                <w:sz w:val="16"/>
                <w:szCs w:val="16"/>
                <w:color w:val="auto"/>
              </w:rPr>
            </w:pPr>
          </w:p>
        </w:tc>
        <w:tc>
          <w:tcPr>
            <w:tcW w:w="5340" w:type="dxa"/>
            <w:vAlign w:val="bottom"/>
            <w:gridSpan w:val="5"/>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1"/>
        </w:trPr>
        <w:tc>
          <w:tcPr>
            <w:tcW w:w="1058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1"/>
        </w:trPr>
        <w:tc>
          <w:tcPr>
            <w:tcW w:w="20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0"/>
              </w:rPr>
            </w:pPr>
            <w:hyperlink w:anchor="page28">
              <w:r>
                <w:rPr>
                  <w:rFonts w:ascii="Arial" w:cs="Arial" w:eastAsia="Arial" w:hAnsi="Arial"/>
                  <w:sz w:val="18"/>
                  <w:szCs w:val="18"/>
                  <w:b w:val="1"/>
                  <w:bCs w:val="1"/>
                  <w:color w:val="0000EE"/>
                  <w:w w:val="90"/>
                </w:rPr>
                <w:t>ITEM 1. Legal Proceedings</w:t>
              </w:r>
            </w:hyperlink>
          </w:p>
        </w:tc>
        <w:tc>
          <w:tcPr>
            <w:tcW w:w="640" w:type="dxa"/>
            <w:vAlign w:val="bottom"/>
            <w:tcBorders>
              <w:top w:val="single" w:sz="8" w:color="0000EE"/>
            </w:tcBorders>
            <w:gridSpan w:val="6"/>
          </w:tcPr>
          <w:p>
            <w:pPr>
              <w:spacing w:after="0"/>
              <w:rPr>
                <w:sz w:val="24"/>
                <w:szCs w:val="24"/>
                <w:color w:val="auto"/>
              </w:rPr>
            </w:pPr>
          </w:p>
        </w:tc>
        <w:tc>
          <w:tcPr>
            <w:tcW w:w="7860" w:type="dxa"/>
            <w:vAlign w:val="bottom"/>
            <w:gridSpan w:val="9"/>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580" w:type="dxa"/>
            <w:vAlign w:val="bottom"/>
            <w:gridSpan w:val="23"/>
          </w:tcPr>
          <w:p>
            <w:pPr>
              <w:spacing w:after="0" w:line="19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1A. Risk Factors</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3"/>
          </w:tcPr>
          <w:p>
            <w:pPr>
              <w:spacing w:after="0" w:line="19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 Unregistered Sales of Equity Securities and Use of Proceeds</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5180" w:type="dxa"/>
            <w:vAlign w:val="bottom"/>
            <w:tcBorders>
              <w:top w:val="single" w:sz="8" w:color="0000EE"/>
            </w:tcBorders>
            <w:gridSpan w:val="17"/>
          </w:tcPr>
          <w:p>
            <w:pPr>
              <w:spacing w:after="0" w:line="19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 Defaults upon Senior Securities</w:t>
              </w:r>
            </w:hyperlink>
          </w:p>
        </w:tc>
        <w:tc>
          <w:tcPr>
            <w:tcW w:w="5400" w:type="dxa"/>
            <w:vAlign w:val="bottom"/>
            <w:gridSpan w:val="6"/>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260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b w:val="1"/>
                <w:bCs w:val="1"/>
                <w:color w:val="0000EE"/>
                <w:w w:val="90"/>
              </w:rPr>
            </w:pPr>
            <w:hyperlink w:anchor="page28">
              <w:r>
                <w:rPr>
                  <w:rFonts w:ascii="Arial" w:cs="Arial" w:eastAsia="Arial" w:hAnsi="Arial"/>
                  <w:sz w:val="18"/>
                  <w:szCs w:val="18"/>
                  <w:b w:val="1"/>
                  <w:bCs w:val="1"/>
                  <w:color w:val="0000EE"/>
                  <w:w w:val="90"/>
                </w:rPr>
                <w:t>ITEM 4. [Removed and Reserved]</w:t>
              </w:r>
            </w:hyperlink>
          </w:p>
        </w:tc>
        <w:tc>
          <w:tcPr>
            <w:tcW w:w="460" w:type="dxa"/>
            <w:vAlign w:val="bottom"/>
            <w:tcBorders>
              <w:top w:val="single" w:sz="8" w:color="0000EE"/>
            </w:tcBorders>
            <w:gridSpan w:val="2"/>
          </w:tcPr>
          <w:p>
            <w:pPr>
              <w:spacing w:after="0"/>
              <w:rPr>
                <w:sz w:val="16"/>
                <w:szCs w:val="16"/>
                <w:color w:val="auto"/>
              </w:rPr>
            </w:pPr>
          </w:p>
        </w:tc>
        <w:tc>
          <w:tcPr>
            <w:tcW w:w="7520" w:type="dxa"/>
            <w:vAlign w:val="bottom"/>
            <w:gridSpan w:val="8"/>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0000EE"/>
            </w:tcBorders>
            <w:gridSpan w:val="9"/>
          </w:tcPr>
          <w:p>
            <w:pPr>
              <w:spacing w:after="0" w:line="192" w:lineRule="exact"/>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ITEM 5. Other Information</w:t>
              </w:r>
            </w:hyperlink>
          </w:p>
        </w:tc>
        <w:tc>
          <w:tcPr>
            <w:tcW w:w="8460" w:type="dxa"/>
            <w:vAlign w:val="bottom"/>
            <w:gridSpan w:val="14"/>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580" w:type="dxa"/>
            <w:vAlign w:val="bottom"/>
            <w:gridSpan w:val="23"/>
          </w:tcPr>
          <w:p>
            <w:pPr>
              <w:spacing w:after="0" w:line="19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6. Exhibits</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Signatures</w:t>
              </w:r>
            </w:hyperlink>
          </w:p>
        </w:tc>
        <w:tc>
          <w:tcPr>
            <w:tcW w:w="360" w:type="dxa"/>
            <w:vAlign w:val="bottom"/>
            <w:tcBorders>
              <w:top w:val="single" w:sz="8" w:color="0000EE"/>
            </w:tcBorders>
          </w:tcPr>
          <w:p>
            <w:pPr>
              <w:spacing w:after="0"/>
              <w:rPr>
                <w:sz w:val="16"/>
                <w:szCs w:val="16"/>
                <w:color w:val="auto"/>
              </w:rPr>
            </w:pPr>
          </w:p>
        </w:tc>
        <w:tc>
          <w:tcPr>
            <w:tcW w:w="9260" w:type="dxa"/>
            <w:vAlign w:val="bottom"/>
            <w:gridSpan w:val="17"/>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bottom w:val="single" w:sz="8" w:color="0000EE"/>
            </w:tcBorders>
            <w:gridSpan w:val="3"/>
          </w:tcPr>
          <w:p>
            <w:pPr>
              <w:spacing w:after="0" w:line="192" w:lineRule="exact"/>
              <w:rPr>
                <w:sz w:val="20"/>
                <w:szCs w:val="20"/>
                <w:color w:val="auto"/>
              </w:rPr>
            </w:pPr>
            <w:r>
              <w:rPr>
                <w:rFonts w:ascii="Arial" w:cs="Arial" w:eastAsia="Arial" w:hAnsi="Arial"/>
                <w:sz w:val="17"/>
                <w:szCs w:val="17"/>
                <w:color w:val="0000EE"/>
                <w:w w:val="97"/>
              </w:rPr>
              <w:t>EX-31.1</w:t>
            </w:r>
          </w:p>
        </w:tc>
        <w:tc>
          <w:tcPr>
            <w:tcW w:w="9920" w:type="dxa"/>
            <w:vAlign w:val="bottom"/>
            <w:gridSpan w:val="19"/>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bottom w:val="single" w:sz="8" w:color="0000EE"/>
            </w:tcBorders>
            <w:gridSpan w:val="3"/>
          </w:tcPr>
          <w:p>
            <w:pPr>
              <w:spacing w:after="0" w:line="192" w:lineRule="exact"/>
              <w:rPr>
                <w:sz w:val="20"/>
                <w:szCs w:val="20"/>
                <w:color w:val="auto"/>
              </w:rPr>
            </w:pPr>
            <w:r>
              <w:rPr>
                <w:rFonts w:ascii="Arial" w:cs="Arial" w:eastAsia="Arial" w:hAnsi="Arial"/>
                <w:sz w:val="17"/>
                <w:szCs w:val="17"/>
                <w:color w:val="0000EE"/>
                <w:w w:val="97"/>
              </w:rPr>
              <w:t>EX-31.2</w:t>
            </w:r>
          </w:p>
        </w:tc>
        <w:tc>
          <w:tcPr>
            <w:tcW w:w="9920" w:type="dxa"/>
            <w:vAlign w:val="bottom"/>
            <w:gridSpan w:val="19"/>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bottom w:val="single" w:sz="8" w:color="0000EE"/>
            </w:tcBorders>
            <w:gridSpan w:val="3"/>
          </w:tcPr>
          <w:p>
            <w:pPr>
              <w:spacing w:after="0" w:line="192" w:lineRule="exact"/>
              <w:rPr>
                <w:sz w:val="20"/>
                <w:szCs w:val="20"/>
                <w:color w:val="auto"/>
              </w:rPr>
            </w:pPr>
            <w:r>
              <w:rPr>
                <w:rFonts w:ascii="Arial" w:cs="Arial" w:eastAsia="Arial" w:hAnsi="Arial"/>
                <w:sz w:val="17"/>
                <w:szCs w:val="17"/>
                <w:color w:val="0000EE"/>
                <w:w w:val="97"/>
              </w:rPr>
              <w:t>EX-32.1</w:t>
            </w:r>
          </w:p>
        </w:tc>
        <w:tc>
          <w:tcPr>
            <w:tcW w:w="9920" w:type="dxa"/>
            <w:vAlign w:val="bottom"/>
            <w:gridSpan w:val="19"/>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 w:type="dxa"/>
            <w:vAlign w:val="bottom"/>
            <w:tcBorders>
              <w:bottom w:val="single" w:sz="8" w:color="0000EE"/>
            </w:tcBorders>
            <w:gridSpan w:val="2"/>
          </w:tcPr>
          <w:p>
            <w:pPr>
              <w:spacing w:after="0" w:line="192" w:lineRule="exact"/>
              <w:rPr>
                <w:sz w:val="20"/>
                <w:szCs w:val="20"/>
                <w:color w:val="auto"/>
              </w:rPr>
            </w:pPr>
            <w:r>
              <w:rPr>
                <w:rFonts w:ascii="Arial" w:cs="Arial" w:eastAsia="Arial" w:hAnsi="Arial"/>
                <w:sz w:val="17"/>
                <w:szCs w:val="17"/>
                <w:color w:val="0000EE"/>
                <w:w w:val="94"/>
              </w:rPr>
              <w:t>EX-32.2</w:t>
            </w:r>
          </w:p>
        </w:tc>
        <w:tc>
          <w:tcPr>
            <w:tcW w:w="9940" w:type="dxa"/>
            <w:vAlign w:val="bottom"/>
            <w:gridSpan w:val="20"/>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460" w:type="dxa"/>
            <w:vAlign w:val="bottom"/>
            <w:tcBorders>
              <w:bottom w:val="single" w:sz="8" w:color="0000EE"/>
            </w:tcBorders>
            <w:gridSpan w:val="10"/>
          </w:tcPr>
          <w:p>
            <w:pPr>
              <w:spacing w:after="0" w:line="192" w:lineRule="exact"/>
              <w:rPr>
                <w:sz w:val="20"/>
                <w:szCs w:val="20"/>
                <w:color w:val="auto"/>
              </w:rPr>
            </w:pPr>
            <w:r>
              <w:rPr>
                <w:rFonts w:ascii="Arial" w:cs="Arial" w:eastAsia="Arial" w:hAnsi="Arial"/>
                <w:sz w:val="17"/>
                <w:szCs w:val="17"/>
                <w:color w:val="0000EE"/>
                <w:w w:val="97"/>
              </w:rPr>
              <w:t>EX-101 INSTANCE DOCUMENT</w:t>
            </w:r>
          </w:p>
        </w:tc>
        <w:tc>
          <w:tcPr>
            <w:tcW w:w="8080" w:type="dxa"/>
            <w:vAlign w:val="bottom"/>
            <w:gridSpan w:val="12"/>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SCHEMA DOCUMENT</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CALCULATION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LABELS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PRESENTATION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DEFINITION LINKBASE DOCUMENT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July 2,</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line="206" w:lineRule="exact"/>
              <w:rPr>
                <w:sz w:val="20"/>
                <w:szCs w:val="20"/>
                <w:color w:val="auto"/>
              </w:rPr>
            </w:pPr>
            <w:r>
              <w:rPr>
                <w:rFonts w:ascii="Arial" w:cs="Arial" w:eastAsia="Arial" w:hAnsi="Arial"/>
                <w:sz w:val="18"/>
                <w:szCs w:val="18"/>
                <w:color w:val="auto"/>
                <w:w w:val="89"/>
              </w:rPr>
              <w:t>170,569</w:t>
            </w:r>
          </w:p>
        </w:tc>
        <w:tc>
          <w:tcPr>
            <w:tcW w:w="1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89"/>
              </w:rPr>
              <w:t>163,039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86,463</w:t>
            </w:r>
          </w:p>
        </w:tc>
        <w:tc>
          <w:tcPr>
            <w:tcW w:w="0" w:type="dxa"/>
            <w:vAlign w:val="bottom"/>
          </w:tcPr>
          <w:p>
            <w:pPr>
              <w:spacing w:after="0"/>
              <w:rPr>
                <w:sz w:val="1"/>
                <w:szCs w:val="1"/>
                <w:color w:val="auto"/>
              </w:rPr>
            </w:pPr>
          </w:p>
        </w:tc>
      </w:tr>
      <w:tr>
        <w:trPr>
          <w:trHeight w:val="430"/>
        </w:trPr>
        <w:tc>
          <w:tcPr>
            <w:tcW w:w="9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23,908</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24,189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8"/>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23,693</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16,947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25,731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2, 2011</w:t>
            </w:r>
          </w:p>
        </w:tc>
        <w:tc>
          <w:tcPr>
            <w:tcW w:w="118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2, 2011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216,891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196,707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Accounts receivable, less allowance of $1,741 at July 2, 2011 and $1,799 at April 2, 2011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120,759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127,166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94,960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Deferred tax asset,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468,269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448,831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Land, building and building improvements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52,544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52,359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Plant equipment and machinery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132,404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Office equipment and information technology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84,530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83,258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Haemonetics equipment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215,640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tcPr>
          <w:p>
            <w:pPr>
              <w:ind w:left="380"/>
              <w:spacing w:after="0"/>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485,118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475,684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(328,140)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(320,156)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tcPr>
          <w:p>
            <w:pPr>
              <w:ind w:left="380"/>
              <w:spacing w:after="0"/>
              <w:rPr>
                <w:sz w:val="20"/>
                <w:szCs w:val="20"/>
                <w:color w:val="auto"/>
              </w:rPr>
            </w:pPr>
            <w:r>
              <w:rPr>
                <w:rFonts w:ascii="Arial" w:cs="Arial" w:eastAsia="Arial" w:hAnsi="Arial"/>
                <w:sz w:val="18"/>
                <w:szCs w:val="18"/>
                <w:b w:val="1"/>
                <w:bCs w:val="1"/>
                <w:color w:val="auto"/>
              </w:rPr>
              <w:t>Net property, plant and equipment</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156,978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155,528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Intangible assets, less amortization of $46,707 at July 2, 2011 and $43,827 at April 2, 2011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100,892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101,789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115,707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115,367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Deferred tax asset, long term</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80" w:type="dxa"/>
            <w:vAlign w:val="bottom"/>
          </w:tcPr>
          <w:p>
            <w:pPr>
              <w:ind w:left="380"/>
              <w:spacing w:after="0"/>
              <w:rPr>
                <w:sz w:val="20"/>
                <w:szCs w:val="20"/>
                <w:color w:val="auto"/>
              </w:rPr>
            </w:pPr>
            <w:r>
              <w:rPr>
                <w:rFonts w:ascii="Arial" w:cs="Arial" w:eastAsia="Arial" w:hAnsi="Arial"/>
                <w:sz w:val="18"/>
                <w:szCs w:val="18"/>
                <w:b w:val="1"/>
                <w:bCs w:val="1"/>
                <w:color w:val="auto"/>
              </w:rPr>
              <w:t>Total other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228,159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853,406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833,264</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8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906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23,001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103,019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108,671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18,386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18,669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15,822</w:t>
            </w:r>
          </w:p>
        </w:tc>
        <w:tc>
          <w:tcPr>
            <w:tcW w:w="0" w:type="dxa"/>
            <w:vAlign w:val="bottom"/>
          </w:tcPr>
          <w:p>
            <w:pPr>
              <w:spacing w:after="0"/>
              <w:rPr>
                <w:sz w:val="1"/>
                <w:szCs w:val="1"/>
                <w:color w:val="auto"/>
              </w:rPr>
            </w:pPr>
          </w:p>
        </w:tc>
      </w:tr>
      <w:tr>
        <w:trPr>
          <w:trHeight w:val="423"/>
        </w:trPr>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w w:val="91"/>
              </w:rPr>
              <w:t>Common stock, $0.01 par value; Authorized - 150,000,000 shares; Issued and outstanding— 25,770,869 at July 2, 2011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and 25,660,393 shares at April 2, 2011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310,083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302,709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390,577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373,630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712,456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686,136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853,406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833,264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3"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820"/>
              <w:spacing w:after="0" w:line="117" w:lineRule="exact"/>
              <w:rPr>
                <w:sz w:val="20"/>
                <w:szCs w:val="20"/>
                <w:color w:val="auto"/>
              </w:rPr>
            </w:pPr>
            <w:r>
              <w:rPr>
                <w:rFonts w:ascii="Arial" w:cs="Arial" w:eastAsia="Arial" w:hAnsi="Arial"/>
                <w:sz w:val="13"/>
                <w:szCs w:val="13"/>
                <w:b w:val="1"/>
                <w:bCs w:val="1"/>
                <w:color w:val="auto"/>
              </w:rPr>
              <w:t>July 2,</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53"/>
              <w:spacing w:after="0" w:line="117" w:lineRule="exact"/>
              <w:rPr>
                <w:sz w:val="20"/>
                <w:szCs w:val="20"/>
                <w:color w:val="auto"/>
              </w:rPr>
            </w:pPr>
            <w:r>
              <w:rPr>
                <w:rFonts w:ascii="Arial" w:cs="Arial" w:eastAsia="Arial" w:hAnsi="Arial"/>
                <w:sz w:val="13"/>
                <w:szCs w:val="13"/>
                <w:b w:val="1"/>
                <w:bCs w:val="1"/>
                <w:color w:val="auto"/>
              </w:rPr>
              <w:t>July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2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16,947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Loss/(Gain) on sales of property, plant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Unrealized loss from hedging activities</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interest expense on contingent consideration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accounts receivable,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Increase in inventories</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(10,288)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prepaid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Decrease in other assets and other long-term liabilities</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on exercise of stock options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(19,078)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(11,801)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(15,224)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(11,782)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Net decrease in short-term loans</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Share repurchase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(54,937)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(58,095)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196,707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141,562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216,891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83,467</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180"/>
              <w:spacing w:after="0"/>
              <w:rPr>
                <w:sz w:val="20"/>
                <w:szCs w:val="20"/>
                <w:color w:val="auto"/>
              </w:rPr>
            </w:pPr>
            <w:r>
              <w:rPr>
                <w:rFonts w:ascii="Arial" w:cs="Arial" w:eastAsia="Arial" w:hAnsi="Arial"/>
                <w:sz w:val="18"/>
                <w:szCs w:val="18"/>
                <w:color w:val="auto"/>
              </w:rPr>
              <w:t>Income taxes paid</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line="205" w:lineRule="exact"/>
              <w:rPr>
                <w:sz w:val="20"/>
                <w:szCs w:val="20"/>
                <w:color w:val="auto"/>
              </w:rPr>
            </w:pPr>
            <w:r>
              <w:rPr>
                <w:rFonts w:ascii="Arial" w:cs="Arial" w:eastAsia="Arial" w:hAnsi="Arial"/>
                <w:sz w:val="18"/>
                <w:szCs w:val="18"/>
                <w:color w:val="auto"/>
              </w:rPr>
              <w:t>1,387</w:t>
            </w:r>
          </w:p>
        </w:tc>
        <w:tc>
          <w:tcPr>
            <w:tcW w:w="66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three months ended July 2, 2011. Operating results for the three month period ended July 2, 2011 are not necessarily indicative of the results that may be expected for the full fiscal year ending March 31, 2012, or any other interim period. These unaudited consolidated financial statements should be read in conjunction with our audited consolidated financial statements and footnotes included in our annual report on Form 10-K for the fiscal year ended April 2, 2011.</w:t>
      </w:r>
    </w:p>
    <w:p>
      <w:pPr>
        <w:spacing w:after="0" w:line="50"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There were no material recognized subsequent events recorded in the July 2, 2011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Our fiscal year ends on the Saturday closest to the last day of March. Fiscal year 2012 and 2011 include 52 weeks with all four quarters each having 13 weeks.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11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xml:space="preserve">In May 2011, the FASB issued Accounting Standards Update No. 2011-04, </w:t>
      </w:r>
      <w:r>
        <w:rPr>
          <w:rFonts w:ascii="Arial" w:cs="Arial" w:eastAsia="Arial" w:hAnsi="Arial"/>
          <w:sz w:val="17"/>
          <w:szCs w:val="17"/>
          <w:i w:val="1"/>
          <w:iCs w:val="1"/>
          <w:color w:val="auto"/>
        </w:rPr>
        <w:t>Fair Value Measurement (Topic 820): Amendments to Achieve Common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and Disclosure Requirements in U.S. GAAP and IFRSs. </w:t>
      </w:r>
      <w:r>
        <w:rPr>
          <w:rFonts w:ascii="Arial" w:cs="Arial" w:eastAsia="Arial" w:hAnsi="Arial"/>
          <w:sz w:val="17"/>
          <w:szCs w:val="17"/>
          <w:color w:val="auto"/>
        </w:rPr>
        <w:t>Update No. 2011-04 updates the accounting guidance related to fair value measurements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that results in a consistent definition of fair value and common requirements for measurement of and disclosure about fair value between U.S. GAAP and International Financial Reporting Standards (IFRS). The updated guidance is effective for interim and annual periods beginning after December 15, 2011. Early application is not permitted. We are currently evaluating the potential impact of Update No. 2011-04 on our consolidated financial statements. This statement is effective for our fourth quarter of fiscal year 2012.</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Comprehensive Income (Topic 220): Presentation of Comprehensive Income</w:t>
      </w:r>
      <w:r>
        <w:rPr>
          <w:rFonts w:ascii="Arial" w:cs="Arial" w:eastAsia="Arial" w:hAnsi="Arial"/>
          <w:sz w:val="17"/>
          <w:szCs w:val="17"/>
          <w:color w:val="auto"/>
        </w:rPr>
        <w:t>. Update No. 2011-05 updates the disclosure requirements for comprehensive income to include total of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This statement is effective in our first quarter of fiscal year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1"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 xml:space="preserve">In October 2009, the FASB issued Accounting Standards Update No. 2009-13, </w:t>
      </w:r>
      <w:r>
        <w:rPr>
          <w:rFonts w:ascii="Arial" w:cs="Arial" w:eastAsia="Arial" w:hAnsi="Arial"/>
          <w:sz w:val="15"/>
          <w:szCs w:val="15"/>
          <w:i w:val="1"/>
          <w:iCs w:val="1"/>
          <w:color w:val="auto"/>
        </w:rPr>
        <w:t>Revenue Recognition (Topic 605): Multiple-Deliverable Revenue Arrangements</w:t>
      </w:r>
      <w:r>
        <w:rPr>
          <w:rFonts w:ascii="Arial" w:cs="Arial" w:eastAsia="Arial" w:hAnsi="Arial"/>
          <w:sz w:val="15"/>
          <w:szCs w:val="15"/>
          <w:color w:val="auto"/>
        </w:rPr>
        <w:t xml:space="preserve">, and Accounting Standards Update No. 2009-14, </w:t>
      </w:r>
      <w:r>
        <w:rPr>
          <w:rFonts w:ascii="Arial" w:cs="Arial" w:eastAsia="Arial" w:hAnsi="Arial"/>
          <w:sz w:val="15"/>
          <w:szCs w:val="15"/>
          <w:i w:val="1"/>
          <w:iCs w:val="1"/>
          <w:color w:val="auto"/>
        </w:rPr>
        <w:t>Software (Topic 985): Certain Revenue Arrangements That Include Software</w:t>
      </w:r>
      <w:r>
        <w:rPr>
          <w:rFonts w:ascii="Arial" w:cs="Arial" w:eastAsia="Arial" w:hAnsi="Arial"/>
          <w:sz w:val="15"/>
          <w:szCs w:val="15"/>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also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allocate arrangement consideration using the relative selling price method. The Updates also include new disclosure requirements on how the application of the relative selling price method affects the timing and amount of revenue recognition. On April 3, 2011, the Company adopted this guidance, which did not have a material impact on our financial position and results of operations.</w:t>
      </w:r>
    </w:p>
    <w:p>
      <w:pPr>
        <w:spacing w:after="0" w:line="26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 xml:space="preserve">In December 2010, the FASB issued Accounting Standards Update No. 2010-29, </w:t>
      </w:r>
      <w:r>
        <w:rPr>
          <w:rFonts w:ascii="Arial" w:cs="Arial" w:eastAsia="Arial" w:hAnsi="Arial"/>
          <w:sz w:val="17"/>
          <w:szCs w:val="17"/>
          <w:i w:val="1"/>
          <w:iCs w:val="1"/>
          <w:color w:val="auto"/>
        </w:rPr>
        <w:t>Business Combinations (Topic 805): Disclosure of Supplementary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for Business Combinations</w:t>
      </w:r>
      <w:r>
        <w:rPr>
          <w:rFonts w:ascii="Arial" w:cs="Arial" w:eastAsia="Arial" w:hAnsi="Arial"/>
          <w:sz w:val="17"/>
          <w:szCs w:val="17"/>
          <w:color w:val="auto"/>
        </w:rPr>
        <w:t>. Update No. 2010-29 clarifies paragraph 805-10-50-2(h) to require public entities that enter into 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material on an individual or aggregate basis to disclose pro forma information for such business combinations that occurred in the current reporting period, including pro forma revenue and earnings of the combined entity as though the acquisition date had been as of the beginning of the comparable prior annual reporting period only. We did not complete any material business acquisitions during the three months ended July 2, 2011 thus the disclosure requirements were not applicable for the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17" w:lineRule="exact"/>
        <w:rPr>
          <w:sz w:val="20"/>
          <w:szCs w:val="20"/>
          <w:color w:val="auto"/>
        </w:rPr>
      </w:pPr>
    </w:p>
    <w:p>
      <w:pPr>
        <w:ind w:right="620"/>
        <w:spacing w:after="0" w:line="366" w:lineRule="auto"/>
        <w:rPr>
          <w:sz w:val="20"/>
          <w:szCs w:val="20"/>
          <w:color w:val="auto"/>
        </w:rPr>
      </w:pPr>
      <w:r>
        <w:rPr>
          <w:rFonts w:ascii="Arial" w:cs="Arial" w:eastAsia="Arial" w:hAnsi="Arial"/>
          <w:sz w:val="15"/>
          <w:szCs w:val="15"/>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520" w:type="dxa"/>
            <w:vAlign w:val="bottom"/>
            <w:tcBorders>
              <w:top w:val="single" w:sz="8" w:color="auto"/>
              <w:bottom w:val="single" w:sz="8" w:color="auto"/>
            </w:tcBorders>
            <w:gridSpan w:val="3"/>
          </w:tcPr>
          <w:p>
            <w:pPr>
              <w:ind w:left="40"/>
              <w:spacing w:after="0" w:line="139" w:lineRule="exact"/>
              <w:rPr>
                <w:sz w:val="20"/>
                <w:szCs w:val="20"/>
                <w:color w:val="auto"/>
              </w:rPr>
            </w:pPr>
            <w:r>
              <w:rPr>
                <w:rFonts w:ascii="Arial" w:cs="Arial" w:eastAsia="Arial" w:hAnsi="Arial"/>
                <w:sz w:val="14"/>
                <w:szCs w:val="14"/>
                <w:color w:val="auto"/>
              </w:rPr>
              <w:t>July 2, 2011</w:t>
            </w:r>
          </w:p>
        </w:tc>
        <w:tc>
          <w:tcPr>
            <w:tcW w:w="76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Arial" w:cs="Arial" w:eastAsia="Arial" w:hAnsi="Arial"/>
                <w:sz w:val="14"/>
                <w:szCs w:val="14"/>
                <w:color w:val="auto"/>
                <w:w w:val="92"/>
              </w:rPr>
              <w:t>July 3,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280" w:type="dxa"/>
            <w:vAlign w:val="bottom"/>
            <w:gridSpan w:val="5"/>
          </w:tcPr>
          <w:p>
            <w:pPr>
              <w:spacing w:after="0" w:line="139" w:lineRule="exact"/>
              <w:rPr>
                <w:sz w:val="20"/>
                <w:szCs w:val="20"/>
                <w:color w:val="auto"/>
              </w:rPr>
            </w:pPr>
            <w:r>
              <w:rPr>
                <w:rFonts w:ascii="Arial" w:cs="Arial" w:eastAsia="Arial" w:hAnsi="Arial"/>
                <w:sz w:val="14"/>
                <w:szCs w:val="14"/>
                <w:color w:val="auto"/>
                <w:w w:val="87"/>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16,947</w:t>
            </w:r>
          </w:p>
        </w:tc>
        <w:tc>
          <w:tcPr>
            <w:tcW w:w="76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25,731</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4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0.66</w:t>
            </w:r>
          </w:p>
        </w:tc>
        <w:tc>
          <w:tcPr>
            <w:tcW w:w="7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16,947</w:t>
            </w:r>
          </w:p>
        </w:tc>
        <w:tc>
          <w:tcPr>
            <w:tcW w:w="76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25,703</w:t>
            </w:r>
          </w:p>
        </w:tc>
        <w:tc>
          <w:tcPr>
            <w:tcW w:w="0" w:type="dxa"/>
            <w:vAlign w:val="bottom"/>
          </w:tcPr>
          <w:p>
            <w:pPr>
              <w:spacing w:after="0"/>
              <w:rPr>
                <w:sz w:val="1"/>
                <w:szCs w:val="1"/>
                <w:color w:val="auto"/>
              </w:rPr>
            </w:pPr>
          </w:p>
        </w:tc>
      </w:tr>
      <w:tr>
        <w:trPr>
          <w:trHeight w:val="424"/>
        </w:trPr>
        <w:tc>
          <w:tcPr>
            <w:tcW w:w="904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760" w:type="dxa"/>
            <w:vAlign w:val="bottom"/>
          </w:tcPr>
          <w:p>
            <w:pPr>
              <w:spacing w:after="0"/>
              <w:rPr>
                <w:sz w:val="24"/>
                <w:szCs w:val="2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Weighted average shares outstanding, assuming dilution, excludes the impact of 0.5 million and 1.0 million stock options for the first quarter of fiscal year 2012 and 2011, respectively, because these securities were anti-dilutive during the noted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17" w:lineRule="exact"/>
        <w:rPr>
          <w:sz w:val="20"/>
          <w:szCs w:val="20"/>
          <w:color w:val="auto"/>
        </w:rPr>
      </w:pPr>
    </w:p>
    <w:p>
      <w:pPr>
        <w:jc w:val="both"/>
        <w:ind w:right="120"/>
        <w:spacing w:after="0" w:line="366" w:lineRule="auto"/>
        <w:rPr>
          <w:sz w:val="20"/>
          <w:szCs w:val="20"/>
          <w:color w:val="auto"/>
        </w:rPr>
      </w:pPr>
      <w:r>
        <w:rPr>
          <w:rFonts w:ascii="Arial" w:cs="Arial" w:eastAsia="Arial" w:hAnsi="Arial"/>
          <w:sz w:val="15"/>
          <w:szCs w:val="15"/>
          <w:color w:val="auto"/>
        </w:rPr>
        <w:t>Stock-based compensation expense of $2.4 million and $2.2 million was recognized for the three months ended July 2, 2011 and July 3, 2010, respectively. The related income tax benefit recognized was $0.7 million and $0.5 million for the three months ended July 2, 2011 and July 3, 2010, respectively.</w:t>
      </w:r>
    </w:p>
    <w:p>
      <w:pPr>
        <w:spacing w:after="0" w:line="4"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The weighted average fair value for stock options granted in the first three months of fiscal year 2012 and 2011 was $17.68 and $17.48, respectively. The assumptions utilized for stock option grants during the periods presented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9"/>
              <w:spacing w:after="0"/>
              <w:rPr>
                <w:sz w:val="20"/>
                <w:szCs w:val="20"/>
                <w:color w:val="auto"/>
              </w:rPr>
            </w:pPr>
            <w:r>
              <w:rPr>
                <w:rFonts w:ascii="Arial" w:cs="Arial" w:eastAsia="Arial" w:hAnsi="Arial"/>
                <w:sz w:val="14"/>
                <w:szCs w:val="14"/>
                <w:color w:val="auto"/>
              </w:rPr>
              <w:t>Three Months Ended</w:t>
            </w:r>
          </w:p>
        </w:tc>
      </w:tr>
      <w:tr>
        <w:trPr>
          <w:trHeight w:val="139"/>
        </w:trPr>
        <w:tc>
          <w:tcPr>
            <w:tcW w:w="8760" w:type="dxa"/>
            <w:vAlign w:val="bottom"/>
          </w:tcPr>
          <w:p>
            <w:pPr>
              <w:spacing w:after="0"/>
              <w:rPr>
                <w:sz w:val="12"/>
                <w:szCs w:val="12"/>
                <w:color w:val="auto"/>
              </w:rPr>
            </w:pPr>
          </w:p>
        </w:tc>
        <w:tc>
          <w:tcPr>
            <w:tcW w:w="1060" w:type="dxa"/>
            <w:vAlign w:val="bottom"/>
            <w:tcBorders>
              <w:bottom w:val="single" w:sz="8" w:color="auto"/>
            </w:tcBorders>
          </w:tcPr>
          <w:p>
            <w:pPr>
              <w:jc w:val="right"/>
              <w:ind w:right="98"/>
              <w:spacing w:after="0" w:line="139" w:lineRule="exact"/>
              <w:rPr>
                <w:sz w:val="20"/>
                <w:szCs w:val="20"/>
                <w:color w:val="auto"/>
              </w:rPr>
            </w:pPr>
            <w:r>
              <w:rPr>
                <w:rFonts w:ascii="Arial" w:cs="Arial" w:eastAsia="Arial" w:hAnsi="Arial"/>
                <w:sz w:val="14"/>
                <w:szCs w:val="14"/>
                <w:color w:val="auto"/>
              </w:rPr>
              <w:t>July 2, 2011</w:t>
            </w:r>
          </w:p>
        </w:tc>
        <w:tc>
          <w:tcPr>
            <w:tcW w:w="540" w:type="dxa"/>
            <w:vAlign w:val="bottom"/>
          </w:tcPr>
          <w:p>
            <w:pPr>
              <w:spacing w:after="0"/>
              <w:rPr>
                <w:sz w:val="12"/>
                <w:szCs w:val="12"/>
                <w:color w:val="auto"/>
              </w:rPr>
            </w:pPr>
          </w:p>
        </w:tc>
        <w:tc>
          <w:tcPr>
            <w:tcW w:w="1060" w:type="dxa"/>
            <w:vAlign w:val="bottom"/>
            <w:tcBorders>
              <w:bottom w:val="single" w:sz="8" w:color="auto"/>
            </w:tcBorders>
          </w:tcPr>
          <w:p>
            <w:pPr>
              <w:jc w:val="right"/>
              <w:ind w:right="109"/>
              <w:spacing w:after="0" w:line="139" w:lineRule="exact"/>
              <w:rPr>
                <w:sz w:val="20"/>
                <w:szCs w:val="20"/>
                <w:color w:val="auto"/>
              </w:rPr>
            </w:pPr>
            <w:r>
              <w:rPr>
                <w:rFonts w:ascii="Arial" w:cs="Arial" w:eastAsia="Arial" w:hAnsi="Arial"/>
                <w:sz w:val="14"/>
                <w:szCs w:val="14"/>
                <w:color w:val="auto"/>
              </w:rPr>
              <w:t>July 3, 2010</w:t>
            </w:r>
          </w:p>
        </w:tc>
      </w:tr>
      <w:tr>
        <w:trPr>
          <w:trHeight w:val="205"/>
        </w:trPr>
        <w:tc>
          <w:tcPr>
            <w:tcW w:w="8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Stock Options Black-Scholes assumptions (weighted average):</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2"/>
        </w:trPr>
        <w:tc>
          <w:tcPr>
            <w:tcW w:w="8760" w:type="dxa"/>
            <w:vAlign w:val="bottom"/>
          </w:tcPr>
          <w:p>
            <w:pPr>
              <w:ind w:left="200"/>
              <w:spacing w:after="0"/>
              <w:rPr>
                <w:sz w:val="20"/>
                <w:szCs w:val="20"/>
                <w:color w:val="auto"/>
              </w:rPr>
            </w:pPr>
            <w:r>
              <w:rPr>
                <w:rFonts w:ascii="Arial" w:cs="Arial" w:eastAsia="Arial" w:hAnsi="Arial"/>
                <w:sz w:val="18"/>
                <w:szCs w:val="18"/>
                <w:color w:val="auto"/>
              </w:rPr>
              <w:t>Volatility</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27.20%</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28.34%</w:t>
            </w:r>
          </w:p>
        </w:tc>
      </w:tr>
      <w:tr>
        <w:trPr>
          <w:trHeight w:val="212"/>
        </w:trPr>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Expected life (years)</w:t>
            </w: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4.9</w:t>
            </w:r>
          </w:p>
        </w:tc>
        <w:tc>
          <w:tcPr>
            <w:tcW w:w="16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5.0</w:t>
            </w:r>
          </w:p>
        </w:tc>
      </w:tr>
      <w:tr>
        <w:trPr>
          <w:trHeight w:val="212"/>
        </w:trPr>
        <w:tc>
          <w:tcPr>
            <w:tcW w:w="876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1.65%</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2.64%</w:t>
            </w:r>
          </w:p>
        </w:tc>
      </w:tr>
      <w:tr>
        <w:trPr>
          <w:trHeight w:val="212"/>
        </w:trPr>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0.00%</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During the three months ended July 2, 2011 and July 3, 2010, there were 41,067 and 35,992 shares purchased under the ESPP, respectively. They were purchased at $46.80 and $45.70 per share under the ESPP,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11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For the three months ended</w:t>
            </w:r>
          </w:p>
        </w:tc>
      </w:tr>
      <w:tr>
        <w:trPr>
          <w:trHeight w:val="139"/>
        </w:trPr>
        <w:tc>
          <w:tcPr>
            <w:tcW w:w="926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spacing w:after="0" w:line="139" w:lineRule="exact"/>
              <w:rPr>
                <w:sz w:val="20"/>
                <w:szCs w:val="20"/>
                <w:color w:val="auto"/>
              </w:rPr>
            </w:pPr>
            <w:r>
              <w:rPr>
                <w:rFonts w:ascii="Arial" w:cs="Arial" w:eastAsia="Arial" w:hAnsi="Arial"/>
                <w:sz w:val="14"/>
                <w:szCs w:val="14"/>
                <w:color w:val="auto"/>
              </w:rPr>
              <w:t>July 2, 2011</w:t>
            </w:r>
          </w:p>
        </w:tc>
        <w:tc>
          <w:tcPr>
            <w:tcW w:w="700" w:type="dxa"/>
            <w:vAlign w:val="bottom"/>
            <w:tcBorders>
              <w:top w:val="single" w:sz="8" w:color="auto"/>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90"/>
              </w:rPr>
              <w:t>July 3, 2010</w:t>
            </w:r>
          </w:p>
        </w:tc>
        <w:tc>
          <w:tcPr>
            <w:tcW w:w="100" w:type="dxa"/>
            <w:vAlign w:val="bottom"/>
          </w:tcPr>
          <w:p>
            <w:pPr>
              <w:spacing w:after="0"/>
              <w:rPr>
                <w:sz w:val="12"/>
                <w:szCs w:val="12"/>
                <w:color w:val="auto"/>
              </w:rPr>
            </w:pPr>
          </w:p>
        </w:tc>
      </w:tr>
      <w:tr>
        <w:trPr>
          <w:trHeight w:val="139"/>
        </w:trPr>
        <w:tc>
          <w:tcPr>
            <w:tcW w:w="9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left="238"/>
              <w:spacing w:after="0" w:line="139" w:lineRule="exact"/>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r>
        <w:trPr>
          <w:trHeight w:val="212"/>
        </w:trPr>
        <w:tc>
          <w:tcPr>
            <w:tcW w:w="9260" w:type="dxa"/>
            <w:vAlign w:val="bottom"/>
          </w:tcPr>
          <w:p>
            <w:pPr>
              <w:spacing w:after="0"/>
              <w:rPr>
                <w:sz w:val="20"/>
                <w:szCs w:val="20"/>
                <w:color w:val="auto"/>
              </w:rPr>
            </w:pPr>
            <w:r>
              <w:rPr>
                <w:rFonts w:ascii="Arial" w:cs="Arial" w:eastAsia="Arial" w:hAnsi="Arial"/>
                <w:sz w:val="18"/>
                <w:szCs w:val="18"/>
                <w:color w:val="auto"/>
              </w:rPr>
              <w:t>Warranty provision</w:t>
            </w: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12"/>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r>
      <w:tr>
        <w:trPr>
          <w:trHeight w:val="218"/>
        </w:trPr>
        <w:tc>
          <w:tcPr>
            <w:tcW w:w="9260" w:type="dxa"/>
            <w:vAlign w:val="bottom"/>
          </w:tcPr>
          <w:p>
            <w:pPr>
              <w:spacing w:after="0"/>
              <w:rPr>
                <w:sz w:val="20"/>
                <w:szCs w:val="20"/>
                <w:color w:val="auto"/>
              </w:rPr>
            </w:pPr>
            <w:r>
              <w:rPr>
                <w:rFonts w:ascii="Arial" w:cs="Arial" w:eastAsia="Arial" w:hAnsi="Arial"/>
                <w:sz w:val="18"/>
                <w:szCs w:val="18"/>
                <w:color w:val="auto"/>
              </w:rPr>
              <w:t>Warranty accrual as of the end of the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For the three months ended</w:t>
            </w:r>
          </w:p>
        </w:tc>
        <w:tc>
          <w:tcPr>
            <w:tcW w:w="0" w:type="dxa"/>
            <w:vAlign w:val="bottom"/>
          </w:tcPr>
          <w:p>
            <w:pPr>
              <w:spacing w:after="0"/>
              <w:rPr>
                <w:sz w:val="1"/>
                <w:szCs w:val="1"/>
                <w:color w:val="auto"/>
              </w:rPr>
            </w:pPr>
          </w:p>
        </w:tc>
      </w:tr>
      <w:tr>
        <w:trPr>
          <w:trHeight w:val="139"/>
        </w:trPr>
        <w:tc>
          <w:tcPr>
            <w:tcW w:w="9200" w:type="dxa"/>
            <w:vAlign w:val="bottom"/>
            <w:gridSpan w:val="3"/>
            <w:vMerge w:val="continue"/>
          </w:tcPr>
          <w:p>
            <w:pPr>
              <w:spacing w:after="0"/>
              <w:rPr>
                <w:sz w:val="12"/>
                <w:szCs w:val="12"/>
                <w:color w:val="auto"/>
              </w:rPr>
            </w:pPr>
          </w:p>
        </w:tc>
        <w:tc>
          <w:tcPr>
            <w:tcW w:w="1100" w:type="dxa"/>
            <w:vAlign w:val="bottom"/>
            <w:tcBorders>
              <w:top w:val="single" w:sz="8" w:color="auto"/>
            </w:tcBorders>
            <w:gridSpan w:val="3"/>
          </w:tcPr>
          <w:p>
            <w:pPr>
              <w:ind w:left="20"/>
              <w:spacing w:after="0" w:line="139" w:lineRule="exact"/>
              <w:rPr>
                <w:sz w:val="20"/>
                <w:szCs w:val="20"/>
                <w:color w:val="auto"/>
              </w:rPr>
            </w:pPr>
            <w:r>
              <w:rPr>
                <w:rFonts w:ascii="Arial" w:cs="Arial" w:eastAsia="Arial" w:hAnsi="Arial"/>
                <w:sz w:val="14"/>
                <w:szCs w:val="14"/>
                <w:b w:val="1"/>
                <w:bCs w:val="1"/>
                <w:color w:val="auto"/>
              </w:rPr>
              <w:t>July 2, 2011</w:t>
            </w:r>
          </w:p>
        </w:tc>
        <w:tc>
          <w:tcPr>
            <w:tcW w:w="1020" w:type="dxa"/>
            <w:vAlign w:val="bottom"/>
            <w:tcBorders>
              <w:top w:val="single" w:sz="8" w:color="auto"/>
            </w:tcBorders>
            <w:gridSpan w:val="3"/>
          </w:tcPr>
          <w:p>
            <w:pPr>
              <w:ind w:left="300"/>
              <w:spacing w:after="0" w:line="139" w:lineRule="exact"/>
              <w:rPr>
                <w:sz w:val="20"/>
                <w:szCs w:val="20"/>
                <w:color w:val="auto"/>
              </w:rPr>
            </w:pPr>
            <w:r>
              <w:rPr>
                <w:rFonts w:ascii="Arial" w:cs="Arial" w:eastAsia="Arial" w:hAnsi="Arial"/>
                <w:sz w:val="14"/>
                <w:szCs w:val="14"/>
                <w:b w:val="1"/>
                <w:bCs w:val="1"/>
                <w:color w:val="auto"/>
                <w:w w:val="88"/>
              </w:rPr>
              <w:t>July 3,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206" w:lineRule="exact"/>
              <w:rPr>
                <w:sz w:val="20"/>
                <w:szCs w:val="20"/>
                <w:color w:val="auto"/>
              </w:rPr>
            </w:pPr>
            <w:r>
              <w:rPr>
                <w:rFonts w:ascii="Arial" w:cs="Arial" w:eastAsia="Arial" w:hAnsi="Arial"/>
                <w:sz w:val="18"/>
                <w:szCs w:val="18"/>
                <w:color w:val="auto"/>
                <w:w w:val="98"/>
              </w:rPr>
              <w:t>16,947</w:t>
            </w:r>
          </w:p>
        </w:tc>
        <w:tc>
          <w:tcPr>
            <w:tcW w:w="460" w:type="dxa"/>
            <w:vAlign w:val="bottom"/>
            <w:gridSpan w:val="2"/>
            <w:shd w:val="clear" w:color="auto" w:fill="CCEEFF"/>
          </w:tcPr>
          <w:p>
            <w:pPr>
              <w:ind w:left="300"/>
              <w:spacing w:after="0" w:line="20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8"/>
              </w:rPr>
              <w:t>17,918</w:t>
            </w:r>
          </w:p>
        </w:tc>
        <w:tc>
          <w:tcPr>
            <w:tcW w:w="0" w:type="dxa"/>
            <w:vAlign w:val="bottom"/>
          </w:tcPr>
          <w:p>
            <w:pPr>
              <w:spacing w:after="0"/>
              <w:rPr>
                <w:sz w:val="1"/>
                <w:szCs w:val="1"/>
                <w:color w:val="auto"/>
              </w:rPr>
            </w:pPr>
          </w:p>
        </w:tc>
      </w:tr>
      <w:tr>
        <w:trPr>
          <w:trHeight w:val="430"/>
        </w:trPr>
        <w:tc>
          <w:tcPr>
            <w:tcW w:w="920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minimum pension liability, net of tax</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1,705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gain/(loss) on cash flow hedges, net of tax</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Reclassifications into earnings of cash flow hedge (gains)/losses, net of tax</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18,945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17"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July 2, 2011</w:t>
            </w:r>
          </w:p>
        </w:tc>
        <w:tc>
          <w:tcPr>
            <w:tcW w:w="840" w:type="dxa"/>
            <w:vAlign w:val="bottom"/>
            <w:gridSpan w:val="3"/>
          </w:tcPr>
          <w:p>
            <w:pPr>
              <w:spacing w:after="0"/>
              <w:rPr>
                <w:sz w:val="20"/>
                <w:szCs w:val="20"/>
                <w:color w:val="auto"/>
              </w:rPr>
            </w:pPr>
            <w:r>
              <w:rPr>
                <w:rFonts w:ascii="Arial" w:cs="Arial" w:eastAsia="Arial" w:hAnsi="Arial"/>
                <w:sz w:val="14"/>
                <w:szCs w:val="14"/>
                <w:color w:val="auto"/>
              </w:rPr>
              <w:t>April 2, 2011</w:t>
            </w:r>
          </w:p>
        </w:tc>
      </w:tr>
      <w:tr>
        <w:trPr>
          <w:trHeight w:val="139"/>
        </w:trPr>
        <w:tc>
          <w:tcPr>
            <w:tcW w:w="9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5"/>
              <w:spacing w:after="0" w:line="139" w:lineRule="exact"/>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30,368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26,404</w:t>
            </w:r>
          </w:p>
        </w:tc>
      </w:tr>
      <w:tr>
        <w:trPr>
          <w:trHeight w:val="212"/>
        </w:trPr>
        <w:tc>
          <w:tcPr>
            <w:tcW w:w="920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5,195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r>
      <w:tr>
        <w:trPr>
          <w:trHeight w:val="212"/>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59,397</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53,631</w:t>
            </w:r>
          </w:p>
        </w:tc>
        <w:tc>
          <w:tcPr>
            <w:tcW w:w="100" w:type="dxa"/>
            <w:vAlign w:val="bottom"/>
            <w:shd w:val="clear" w:color="auto" w:fill="CCEEFF"/>
          </w:tcPr>
          <w:p>
            <w:pPr>
              <w:spacing w:after="0"/>
              <w:rPr>
                <w:sz w:val="18"/>
                <w:szCs w:val="18"/>
                <w:color w:val="auto"/>
              </w:rPr>
            </w:pPr>
          </w:p>
        </w:tc>
      </w:tr>
      <w:tr>
        <w:trPr>
          <w:trHeight w:val="218"/>
        </w:trPr>
        <w:tc>
          <w:tcPr>
            <w:tcW w:w="9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94,960</w:t>
            </w:r>
          </w:p>
        </w:tc>
        <w:tc>
          <w:tcPr>
            <w:tcW w:w="6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84,387</w:t>
            </w:r>
          </w:p>
        </w:tc>
      </w:tr>
      <w:tr>
        <w:trPr>
          <w:trHeight w:val="20"/>
        </w:trPr>
        <w:tc>
          <w:tcPr>
            <w:tcW w:w="9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ACCS Acquisition</w:t>
      </w:r>
    </w:p>
    <w:p>
      <w:pPr>
        <w:spacing w:after="0" w:line="1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28, 2010, Haemonetics acquired certain assets of Applied Critical Care Services, Inc. (ACCS) for $6.4 million. This transaction was accounted for as an acquisition of a business. ACCS was a manufacturer’s representative for Haemonetics engaged in the selling and servicing of the TEG product line. The purchase price allocation, which was finalized during the three months ended July 2, 2011, was as follows: $4.3 million in customer relationships; $0.6 million of other liabilities; and $2.7 million in goodwill.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 AND FAIR VALUE MEASUREMENTS</w:t>
      </w:r>
    </w:p>
    <w:p>
      <w:pPr>
        <w:spacing w:after="0" w:line="117"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We manufacture, market and sell our products globally. Approximately 49% of our sales were generated outside the U.S. in local currencies. We also incur certain manufacturing, marketing and selling costs in international markets in local currency.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Accordingly, our earnings and cash flows are exposed to market risk from changes in foreign currency exchange rates relative to the U.S. dollar, our reporting currency.</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1"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 xml:space="preserve">All of our designated foreign currency hedge contracts as of July 2, 2011 and April 2, 2011 were cash flow hedges under ASC Topic 815, </w:t>
      </w:r>
      <w:r>
        <w:rPr>
          <w:rFonts w:ascii="Arial" w:cs="Arial" w:eastAsia="Arial" w:hAnsi="Arial"/>
          <w:sz w:val="15"/>
          <w:szCs w:val="15"/>
          <w:i w:val="1"/>
          <w:iCs w:val="1"/>
          <w:color w:val="auto"/>
        </w:rPr>
        <w:t>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w:t>
      </w:r>
      <w:r>
        <w:rPr>
          <w:rFonts w:ascii="Arial" w:cs="Arial" w:eastAsia="Arial" w:hAnsi="Arial"/>
          <w:sz w:val="15"/>
          <w:szCs w:val="15"/>
          <w:color w:val="auto"/>
        </w:rPr>
        <w:t>. We record the effective portion of any change in the fair value of designated foreign currency hedge contracts in Accumulated Other Comprehensive</w:t>
      </w:r>
      <w:r>
        <w:rPr>
          <w:rFonts w:ascii="Arial" w:cs="Arial" w:eastAsia="Arial" w:hAnsi="Arial"/>
          <w:sz w:val="15"/>
          <w:szCs w:val="15"/>
          <w:i w:val="1"/>
          <w:iCs w:val="1"/>
          <w:color w:val="auto"/>
        </w:rPr>
        <w:t xml:space="preserve"> </w:t>
      </w:r>
      <w:r>
        <w:rPr>
          <w:rFonts w:ascii="Arial" w:cs="Arial" w:eastAsia="Arial" w:hAnsi="Arial"/>
          <w:sz w:val="15"/>
          <w:szCs w:val="15"/>
          <w:color w:val="auto"/>
        </w:rPr>
        <w:t>Income in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$144.4 million as of July 2, 2011 and $154.8 million as of April 2, 2011.</w:t>
      </w:r>
    </w:p>
    <w:p>
      <w:pPr>
        <w:spacing w:after="0" w:line="4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During the quarter ended July 2, 2011, we recognized net losses of $1.6 million in earnings on our cash flow hedges. All currency cash flow hedges outstanding as of July 2, 2011 mature within twelve months. For the quarter ended July 2, 2011, net losses of $0.6 million were recorded in Accumulated Other Comprehensive Income to recognize the effective portion of the fair value of any designated foreign currency hedge contracts that are, or previously were, designated as foreign currency cash flow hedges, as compared to net losses of $0.9 million as of July 3, 2010. At July 2, 2011, $1.3 million of losses, net of tax, may be reclassified to earnings within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Hedge Contracts</w:t>
      </w:r>
    </w:p>
    <w:p>
      <w:pPr>
        <w:spacing w:after="0" w:line="111"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non-designated foreign currency hedge contracts under ASC Topic 815 outstanding in the contract amount of $47.3 million as of July 2, 2011 and $45.9 million as of April 2,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1"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three months ended July 2, 2011.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gridSpan w:val="2"/>
          </w:tcPr>
          <w:p>
            <w:pPr>
              <w:jc w:val="center"/>
              <w:ind w:left="62"/>
              <w:spacing w:after="0"/>
              <w:rPr>
                <w:sz w:val="20"/>
                <w:szCs w:val="20"/>
                <w:color w:val="auto"/>
              </w:rPr>
            </w:pPr>
            <w:r>
              <w:rPr>
                <w:rFonts w:ascii="Arial" w:cs="Arial" w:eastAsia="Arial" w:hAnsi="Arial"/>
                <w:sz w:val="14"/>
                <w:szCs w:val="14"/>
                <w:color w:val="auto"/>
                <w:w w:val="94"/>
              </w:rPr>
              <w:t>Amount of Loss</w:t>
            </w: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6"/>
        </w:trPr>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239"/>
              <w:spacing w:after="0" w:line="146" w:lineRule="exact"/>
              <w:rPr>
                <w:sz w:val="20"/>
                <w:szCs w:val="20"/>
                <w:color w:val="auto"/>
              </w:rPr>
            </w:pPr>
            <w:r>
              <w:rPr>
                <w:rFonts w:ascii="Arial" w:cs="Arial" w:eastAsia="Arial" w:hAnsi="Arial"/>
                <w:sz w:val="14"/>
                <w:szCs w:val="14"/>
                <w:color w:val="auto"/>
                <w:w w:val="94"/>
              </w:rPr>
              <w:t>Amount of Loss</w:t>
            </w:r>
          </w:p>
        </w:tc>
        <w:tc>
          <w:tcPr>
            <w:tcW w:w="400" w:type="dxa"/>
            <w:vAlign w:val="bottom"/>
          </w:tcPr>
          <w:p>
            <w:pPr>
              <w:spacing w:after="0"/>
              <w:rPr>
                <w:sz w:val="12"/>
                <w:szCs w:val="12"/>
                <w:color w:val="auto"/>
              </w:rPr>
            </w:pPr>
          </w:p>
        </w:tc>
        <w:tc>
          <w:tcPr>
            <w:tcW w:w="1020" w:type="dxa"/>
            <w:vAlign w:val="bottom"/>
          </w:tcPr>
          <w:p>
            <w:pPr>
              <w:jc w:val="center"/>
              <w:ind w:right="179"/>
              <w:spacing w:after="0" w:line="146" w:lineRule="exact"/>
              <w:rPr>
                <w:sz w:val="20"/>
                <w:szCs w:val="20"/>
                <w:color w:val="auto"/>
              </w:rPr>
            </w:pPr>
            <w:r>
              <w:rPr>
                <w:rFonts w:ascii="Arial" w:cs="Arial" w:eastAsia="Arial" w:hAnsi="Arial"/>
                <w:sz w:val="14"/>
                <w:szCs w:val="14"/>
                <w:color w:val="auto"/>
                <w:w w:val="90"/>
              </w:rPr>
              <w:t>Reclassified</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6" w:lineRule="exact"/>
              <w:rPr>
                <w:sz w:val="20"/>
                <w:szCs w:val="20"/>
                <w:color w:val="auto"/>
              </w:rPr>
            </w:pPr>
            <w:r>
              <w:rPr>
                <w:rFonts w:ascii="Arial" w:cs="Arial" w:eastAsia="Arial" w:hAnsi="Arial"/>
                <w:sz w:val="14"/>
                <w:szCs w:val="14"/>
                <w:color w:val="auto"/>
                <w:w w:val="95"/>
              </w:rPr>
              <w:t>Amount</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6"/>
        </w:trPr>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59"/>
              <w:spacing w:after="0" w:line="146" w:lineRule="exact"/>
              <w:rPr>
                <w:sz w:val="20"/>
                <w:szCs w:val="20"/>
                <w:color w:val="auto"/>
              </w:rPr>
            </w:pPr>
            <w:r>
              <w:rPr>
                <w:rFonts w:ascii="Arial" w:cs="Arial" w:eastAsia="Arial" w:hAnsi="Arial"/>
                <w:sz w:val="14"/>
                <w:szCs w:val="14"/>
                <w:color w:val="auto"/>
                <w:w w:val="89"/>
              </w:rPr>
              <w:t>Recognized</w:t>
            </w:r>
          </w:p>
        </w:tc>
        <w:tc>
          <w:tcPr>
            <w:tcW w:w="1420" w:type="dxa"/>
            <w:vAlign w:val="bottom"/>
            <w:gridSpan w:val="2"/>
          </w:tcPr>
          <w:p>
            <w:pPr>
              <w:jc w:val="center"/>
              <w:ind w:left="62"/>
              <w:spacing w:after="0" w:line="146" w:lineRule="exact"/>
              <w:rPr>
                <w:sz w:val="20"/>
                <w:szCs w:val="20"/>
                <w:color w:val="auto"/>
              </w:rPr>
            </w:pPr>
            <w:r>
              <w:rPr>
                <w:rFonts w:ascii="Arial" w:cs="Arial" w:eastAsia="Arial" w:hAnsi="Arial"/>
                <w:sz w:val="14"/>
                <w:szCs w:val="14"/>
                <w:color w:val="auto"/>
                <w:w w:val="99"/>
              </w:rPr>
              <w:t>from AOCI into</w:t>
            </w:r>
          </w:p>
        </w:tc>
        <w:tc>
          <w:tcPr>
            <w:tcW w:w="1660" w:type="dxa"/>
            <w:vAlign w:val="bottom"/>
          </w:tcPr>
          <w:p>
            <w:pPr>
              <w:ind w:left="540"/>
              <w:spacing w:after="0" w:line="146" w:lineRule="exact"/>
              <w:rPr>
                <w:sz w:val="20"/>
                <w:szCs w:val="20"/>
                <w:color w:val="auto"/>
              </w:rPr>
            </w:pPr>
            <w:r>
              <w:rPr>
                <w:rFonts w:ascii="Arial" w:cs="Arial" w:eastAsia="Arial" w:hAnsi="Arial"/>
                <w:sz w:val="14"/>
                <w:szCs w:val="14"/>
                <w:color w:val="auto"/>
              </w:rPr>
              <w:t>Location in</w:t>
            </w:r>
          </w:p>
        </w:tc>
        <w:tc>
          <w:tcPr>
            <w:tcW w:w="1360" w:type="dxa"/>
            <w:vAlign w:val="bottom"/>
            <w:gridSpan w:val="4"/>
          </w:tcPr>
          <w:p>
            <w:pPr>
              <w:jc w:val="center"/>
              <w:ind w:right="80"/>
              <w:spacing w:after="0" w:line="146" w:lineRule="exact"/>
              <w:rPr>
                <w:sz w:val="20"/>
                <w:szCs w:val="20"/>
                <w:color w:val="auto"/>
              </w:rPr>
            </w:pPr>
            <w:r>
              <w:rPr>
                <w:rFonts w:ascii="Arial" w:cs="Arial" w:eastAsia="Arial" w:hAnsi="Arial"/>
                <w:sz w:val="14"/>
                <w:szCs w:val="14"/>
                <w:color w:val="auto"/>
                <w:w w:val="93"/>
              </w:rPr>
              <w:t>Excluded from</w:t>
            </w:r>
          </w:p>
        </w:tc>
        <w:tc>
          <w:tcPr>
            <w:tcW w:w="1360" w:type="dxa"/>
            <w:vAlign w:val="bottom"/>
            <w:gridSpan w:val="2"/>
          </w:tcPr>
          <w:p>
            <w:pPr>
              <w:jc w:val="center"/>
              <w:ind w:left="42"/>
              <w:spacing w:after="0" w:line="146" w:lineRule="exact"/>
              <w:rPr>
                <w:sz w:val="20"/>
                <w:szCs w:val="20"/>
                <w:color w:val="auto"/>
              </w:rPr>
            </w:pPr>
            <w:r>
              <w:rPr>
                <w:rFonts w:ascii="Arial" w:cs="Arial" w:eastAsia="Arial" w:hAnsi="Arial"/>
                <w:sz w:val="14"/>
                <w:szCs w:val="14"/>
                <w:color w:val="auto"/>
                <w:w w:val="94"/>
              </w:rPr>
              <w:t>Location in</w:t>
            </w:r>
          </w:p>
        </w:tc>
      </w:tr>
      <w:tr>
        <w:trPr>
          <w:trHeight w:val="146"/>
        </w:trPr>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59"/>
              <w:spacing w:after="0" w:line="146" w:lineRule="exact"/>
              <w:rPr>
                <w:sz w:val="20"/>
                <w:szCs w:val="20"/>
                <w:color w:val="auto"/>
              </w:rPr>
            </w:pPr>
            <w:r>
              <w:rPr>
                <w:rFonts w:ascii="Arial" w:cs="Arial" w:eastAsia="Arial" w:hAnsi="Arial"/>
                <w:sz w:val="14"/>
                <w:szCs w:val="14"/>
                <w:color w:val="auto"/>
              </w:rPr>
              <w:t>in AOCI</w:t>
            </w:r>
          </w:p>
        </w:tc>
        <w:tc>
          <w:tcPr>
            <w:tcW w:w="400" w:type="dxa"/>
            <w:vAlign w:val="bottom"/>
          </w:tcPr>
          <w:p>
            <w:pPr>
              <w:spacing w:after="0"/>
              <w:rPr>
                <w:sz w:val="12"/>
                <w:szCs w:val="12"/>
                <w:color w:val="auto"/>
              </w:rPr>
            </w:pPr>
          </w:p>
        </w:tc>
        <w:tc>
          <w:tcPr>
            <w:tcW w:w="1020" w:type="dxa"/>
            <w:vAlign w:val="bottom"/>
          </w:tcPr>
          <w:p>
            <w:pPr>
              <w:jc w:val="center"/>
              <w:ind w:right="159"/>
              <w:spacing w:after="0" w:line="146" w:lineRule="exact"/>
              <w:rPr>
                <w:sz w:val="20"/>
                <w:szCs w:val="20"/>
                <w:color w:val="auto"/>
              </w:rPr>
            </w:pPr>
            <w:r>
              <w:rPr>
                <w:rFonts w:ascii="Arial" w:cs="Arial" w:eastAsia="Arial" w:hAnsi="Arial"/>
                <w:sz w:val="14"/>
                <w:szCs w:val="14"/>
                <w:color w:val="auto"/>
                <w:w w:val="90"/>
              </w:rPr>
              <w:t>Earnings</w:t>
            </w:r>
          </w:p>
        </w:tc>
        <w:tc>
          <w:tcPr>
            <w:tcW w:w="1660" w:type="dxa"/>
            <w:vAlign w:val="bottom"/>
          </w:tcPr>
          <w:p>
            <w:pPr>
              <w:ind w:left="500"/>
              <w:spacing w:after="0" w:line="146" w:lineRule="exact"/>
              <w:rPr>
                <w:sz w:val="20"/>
                <w:szCs w:val="20"/>
                <w:color w:val="auto"/>
              </w:rPr>
            </w:pPr>
            <w:r>
              <w:rPr>
                <w:rFonts w:ascii="Arial" w:cs="Arial" w:eastAsia="Arial" w:hAnsi="Arial"/>
                <w:sz w:val="14"/>
                <w:szCs w:val="14"/>
                <w:color w:val="auto"/>
              </w:rPr>
              <w:t>Statement of</w:t>
            </w:r>
          </w:p>
        </w:tc>
        <w:tc>
          <w:tcPr>
            <w:tcW w:w="220" w:type="dxa"/>
            <w:vAlign w:val="bottom"/>
          </w:tcPr>
          <w:p>
            <w:pPr>
              <w:spacing w:after="0"/>
              <w:rPr>
                <w:sz w:val="12"/>
                <w:szCs w:val="12"/>
                <w:color w:val="auto"/>
              </w:rPr>
            </w:pPr>
          </w:p>
        </w:tc>
        <w:tc>
          <w:tcPr>
            <w:tcW w:w="1140" w:type="dxa"/>
            <w:vAlign w:val="bottom"/>
            <w:gridSpan w:val="3"/>
          </w:tcPr>
          <w:p>
            <w:pPr>
              <w:jc w:val="center"/>
              <w:ind w:right="300"/>
              <w:spacing w:after="0" w:line="146" w:lineRule="exact"/>
              <w:rPr>
                <w:sz w:val="20"/>
                <w:szCs w:val="20"/>
                <w:color w:val="auto"/>
              </w:rPr>
            </w:pPr>
            <w:r>
              <w:rPr>
                <w:rFonts w:ascii="Arial" w:cs="Arial" w:eastAsia="Arial" w:hAnsi="Arial"/>
                <w:sz w:val="14"/>
                <w:szCs w:val="14"/>
                <w:color w:val="auto"/>
                <w:w w:val="91"/>
              </w:rPr>
              <w:t>Effectiveness</w:t>
            </w:r>
          </w:p>
        </w:tc>
        <w:tc>
          <w:tcPr>
            <w:tcW w:w="1360" w:type="dxa"/>
            <w:vAlign w:val="bottom"/>
            <w:gridSpan w:val="2"/>
          </w:tcPr>
          <w:p>
            <w:pPr>
              <w:jc w:val="center"/>
              <w:ind w:left="42"/>
              <w:spacing w:after="0" w:line="146" w:lineRule="exact"/>
              <w:rPr>
                <w:sz w:val="20"/>
                <w:szCs w:val="20"/>
                <w:color w:val="auto"/>
              </w:rPr>
            </w:pPr>
            <w:r>
              <w:rPr>
                <w:rFonts w:ascii="Arial" w:cs="Arial" w:eastAsia="Arial" w:hAnsi="Arial"/>
                <w:sz w:val="14"/>
                <w:szCs w:val="14"/>
                <w:color w:val="auto"/>
                <w:w w:val="90"/>
              </w:rPr>
              <w:t>Statement of</w:t>
            </w:r>
          </w:p>
        </w:tc>
      </w:tr>
      <w:tr>
        <w:trPr>
          <w:trHeight w:val="164"/>
        </w:trPr>
        <w:tc>
          <w:tcPr>
            <w:tcW w:w="3820" w:type="dxa"/>
            <w:vAlign w:val="bottom"/>
          </w:tcPr>
          <w:p>
            <w:pPr>
              <w:spacing w:after="0"/>
              <w:rPr>
                <w:sz w:val="20"/>
                <w:szCs w:val="20"/>
                <w:color w:val="auto"/>
              </w:rPr>
            </w:pPr>
            <w:r>
              <w:rPr>
                <w:rFonts w:ascii="Arial" w:cs="Arial" w:eastAsia="Arial" w:hAnsi="Arial"/>
                <w:sz w:val="14"/>
                <w:szCs w:val="14"/>
                <w:color w:val="auto"/>
              </w:rPr>
              <w:t>Derivative Instruments</w:t>
            </w:r>
          </w:p>
        </w:tc>
        <w:tc>
          <w:tcPr>
            <w:tcW w:w="440" w:type="dxa"/>
            <w:vAlign w:val="bottom"/>
          </w:tcPr>
          <w:p>
            <w:pPr>
              <w:spacing w:after="0"/>
              <w:rPr>
                <w:sz w:val="14"/>
                <w:szCs w:val="14"/>
                <w:color w:val="auto"/>
              </w:rPr>
            </w:pPr>
          </w:p>
        </w:tc>
        <w:tc>
          <w:tcPr>
            <w:tcW w:w="1360" w:type="dxa"/>
            <w:vAlign w:val="bottom"/>
            <w:gridSpan w:val="2"/>
          </w:tcPr>
          <w:p>
            <w:pPr>
              <w:jc w:val="center"/>
              <w:ind w:right="219"/>
              <w:spacing w:after="0"/>
              <w:rPr>
                <w:sz w:val="20"/>
                <w:szCs w:val="20"/>
                <w:color w:val="auto"/>
              </w:rPr>
            </w:pPr>
            <w:r>
              <w:rPr>
                <w:rFonts w:ascii="Arial" w:cs="Arial" w:eastAsia="Arial" w:hAnsi="Arial"/>
                <w:sz w:val="14"/>
                <w:szCs w:val="14"/>
                <w:color w:val="auto"/>
                <w:w w:val="95"/>
              </w:rPr>
              <w:t>(Effective Portion)</w:t>
            </w:r>
          </w:p>
        </w:tc>
        <w:tc>
          <w:tcPr>
            <w:tcW w:w="1420" w:type="dxa"/>
            <w:vAlign w:val="bottom"/>
            <w:gridSpan w:val="2"/>
          </w:tcPr>
          <w:p>
            <w:pPr>
              <w:jc w:val="center"/>
              <w:ind w:left="82"/>
              <w:spacing w:after="0"/>
              <w:rPr>
                <w:sz w:val="20"/>
                <w:szCs w:val="20"/>
                <w:color w:val="auto"/>
              </w:rPr>
            </w:pPr>
            <w:r>
              <w:rPr>
                <w:rFonts w:ascii="Arial" w:cs="Arial" w:eastAsia="Arial" w:hAnsi="Arial"/>
                <w:sz w:val="14"/>
                <w:szCs w:val="14"/>
                <w:color w:val="auto"/>
                <w:w w:val="95"/>
              </w:rPr>
              <w:t>(Effective Portion)</w:t>
            </w:r>
          </w:p>
        </w:tc>
        <w:tc>
          <w:tcPr>
            <w:tcW w:w="1660" w:type="dxa"/>
            <w:vAlign w:val="bottom"/>
          </w:tcPr>
          <w:p>
            <w:pPr>
              <w:ind w:left="560"/>
              <w:spacing w:after="0"/>
              <w:rPr>
                <w:sz w:val="20"/>
                <w:szCs w:val="20"/>
                <w:color w:val="auto"/>
              </w:rPr>
            </w:pPr>
            <w:r>
              <w:rPr>
                <w:rFonts w:ascii="Arial" w:cs="Arial" w:eastAsia="Arial" w:hAnsi="Arial"/>
                <w:sz w:val="14"/>
                <w:szCs w:val="14"/>
                <w:color w:val="auto"/>
              </w:rPr>
              <w:t>Operations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Testing (*)</w:t>
            </w:r>
          </w:p>
        </w:tc>
        <w:tc>
          <w:tcPr>
            <w:tcW w:w="1360" w:type="dxa"/>
            <w:vAlign w:val="bottom"/>
            <w:gridSpan w:val="2"/>
          </w:tcPr>
          <w:p>
            <w:pPr>
              <w:jc w:val="center"/>
              <w:ind w:left="22"/>
              <w:spacing w:after="0"/>
              <w:rPr>
                <w:sz w:val="20"/>
                <w:szCs w:val="20"/>
                <w:color w:val="auto"/>
              </w:rPr>
            </w:pPr>
            <w:r>
              <w:rPr>
                <w:rFonts w:ascii="Arial" w:cs="Arial" w:eastAsia="Arial" w:hAnsi="Arial"/>
                <w:sz w:val="14"/>
                <w:szCs w:val="14"/>
                <w:color w:val="auto"/>
                <w:w w:val="90"/>
              </w:rPr>
              <w:t>Operations</w:t>
            </w:r>
          </w:p>
        </w:tc>
      </w:tr>
      <w:tr>
        <w:trPr>
          <w:trHeight w:val="139"/>
        </w:trPr>
        <w:tc>
          <w:tcPr>
            <w:tcW w:w="382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2"/>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(1,323)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660" w:type="dxa"/>
            <w:vAlign w:val="bottom"/>
            <w:shd w:val="clear" w:color="auto" w:fill="CCEEFF"/>
          </w:tcPr>
          <w:p>
            <w:pPr>
              <w:jc w:val="center"/>
              <w:ind w:left="140"/>
              <w:spacing w:after="0"/>
              <w:rPr>
                <w:sz w:val="20"/>
                <w:szCs w:val="20"/>
                <w:color w:val="auto"/>
              </w:rPr>
            </w:pPr>
            <w:r>
              <w:rPr>
                <w:rFonts w:ascii="Arial" w:cs="Arial" w:eastAsia="Arial" w:hAnsi="Arial"/>
                <w:sz w:val="18"/>
                <w:szCs w:val="18"/>
                <w:color w:val="auto"/>
                <w:w w:val="85"/>
              </w:rPr>
              <w:t>Net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jc w:val="center"/>
              <w:ind w:left="42"/>
              <w:spacing w:after="0"/>
              <w:rPr>
                <w:sz w:val="20"/>
                <w:szCs w:val="20"/>
                <w:color w:val="auto"/>
              </w:rPr>
            </w:pPr>
            <w:r>
              <w:rPr>
                <w:rFonts w:ascii="Arial" w:cs="Arial" w:eastAsia="Arial" w:hAnsi="Arial"/>
                <w:sz w:val="18"/>
                <w:szCs w:val="18"/>
                <w:color w:val="auto"/>
                <w:w w:val="88"/>
              </w:rPr>
              <w:t>Other income</w:t>
            </w:r>
          </w:p>
        </w:tc>
      </w:tr>
      <w:tr>
        <w:trPr>
          <w:trHeight w:val="212"/>
        </w:trPr>
        <w:tc>
          <w:tcPr>
            <w:tcW w:w="3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COGS,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120"/>
              <w:spacing w:after="0"/>
              <w:rPr>
                <w:sz w:val="20"/>
                <w:szCs w:val="20"/>
                <w:color w:val="auto"/>
              </w:rPr>
            </w:pPr>
            <w:r>
              <w:rPr>
                <w:rFonts w:ascii="Arial" w:cs="Arial" w:eastAsia="Arial" w:hAnsi="Arial"/>
                <w:sz w:val="18"/>
                <w:szCs w:val="18"/>
                <w:color w:val="auto"/>
                <w:w w:val="99"/>
              </w:rPr>
              <w:t>SG&amp;A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9"/>
        </w:trPr>
        <w:tc>
          <w:tcPr>
            <w:tcW w:w="3820" w:type="dxa"/>
            <w:vAlign w:val="bottom"/>
          </w:tcPr>
          <w:p>
            <w:pPr>
              <w:spacing w:after="0"/>
              <w:rPr>
                <w:sz w:val="20"/>
                <w:szCs w:val="20"/>
                <w:color w:val="auto"/>
              </w:rPr>
            </w:pPr>
            <w:r>
              <w:rPr>
                <w:rFonts w:ascii="Arial" w:cs="Arial" w:eastAsia="Arial" w:hAnsi="Arial"/>
                <w:sz w:val="18"/>
                <w:szCs w:val="18"/>
                <w:color w:val="auto"/>
                <w:w w:val="96"/>
              </w:rPr>
              <w:t>Non-designated foreign currency hedge contracts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w w:val="88"/>
              </w:rPr>
              <w:t>Other expense</w:t>
            </w:r>
          </w:p>
        </w:tc>
      </w:tr>
      <w:tr>
        <w:trPr>
          <w:trHeight w:val="212"/>
        </w:trPr>
        <w:tc>
          <w:tcPr>
            <w:tcW w:w="3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(1,323)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6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right="3700" w:firstLine="6"/>
        <w:spacing w:after="0" w:line="442" w:lineRule="auto"/>
        <w:tabs>
          <w:tab w:leader="none" w:pos="464"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exclude the difference between the spot rate and hedge forward rate from our effectiveness testing. We did not have fair value hedges or net investment hedges outstanding as of July 2, 2011 or April 2, 2011.</w:t>
      </w:r>
    </w:p>
    <w:p>
      <w:pPr>
        <w:spacing w:after="0" w:line="1"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July 2, 2011,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156"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 as of July 2, 2011 and April 2, 2011 by type of contract and whether it is a qualifying hedge under ASC Topic 815.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Location in</w:t>
            </w:r>
          </w:p>
        </w:tc>
        <w:tc>
          <w:tcPr>
            <w:tcW w:w="1360" w:type="dxa"/>
            <w:vAlign w:val="bottom"/>
            <w:gridSpan w:val="4"/>
          </w:tcPr>
          <w:p>
            <w:pPr>
              <w:spacing w:after="0"/>
              <w:rPr>
                <w:sz w:val="20"/>
                <w:szCs w:val="20"/>
                <w:color w:val="auto"/>
              </w:rPr>
            </w:pPr>
            <w:r>
              <w:rPr>
                <w:rFonts w:ascii="Arial" w:cs="Arial" w:eastAsia="Arial" w:hAnsi="Arial"/>
                <w:sz w:val="14"/>
                <w:szCs w:val="14"/>
                <w:color w:val="auto"/>
              </w:rPr>
              <w:t>Balance as of</w:t>
            </w:r>
          </w:p>
        </w:tc>
        <w:tc>
          <w:tcPr>
            <w:tcW w:w="860" w:type="dxa"/>
            <w:vAlign w:val="bottom"/>
            <w:gridSpan w:val="3"/>
          </w:tcPr>
          <w:p>
            <w:pPr>
              <w:spacing w:after="0"/>
              <w:rPr>
                <w:sz w:val="20"/>
                <w:szCs w:val="20"/>
                <w:color w:val="auto"/>
              </w:rPr>
            </w:pPr>
            <w:r>
              <w:rPr>
                <w:rFonts w:ascii="Arial" w:cs="Arial" w:eastAsia="Arial" w:hAnsi="Arial"/>
                <w:sz w:val="14"/>
                <w:szCs w:val="14"/>
                <w:color w:val="auto"/>
                <w:w w:val="98"/>
              </w:rPr>
              <w:t>Balance as of</w:t>
            </w:r>
          </w:p>
        </w:tc>
        <w:tc>
          <w:tcPr>
            <w:tcW w:w="0" w:type="dxa"/>
            <w:vAlign w:val="bottom"/>
          </w:tcPr>
          <w:p>
            <w:pPr>
              <w:spacing w:after="0"/>
              <w:rPr>
                <w:sz w:val="1"/>
                <w:szCs w:val="1"/>
                <w:color w:val="auto"/>
              </w:rPr>
            </w:pPr>
          </w:p>
        </w:tc>
      </w:tr>
      <w:tr>
        <w:trPr>
          <w:trHeight w:val="164"/>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4"/>
                <w:szCs w:val="14"/>
                <w:color w:val="auto"/>
              </w:rPr>
            </w:pPr>
          </w:p>
        </w:tc>
        <w:tc>
          <w:tcPr>
            <w:tcW w:w="2200" w:type="dxa"/>
            <w:vAlign w:val="bottom"/>
            <w:gridSpan w:val="2"/>
          </w:tcPr>
          <w:p>
            <w:pPr>
              <w:jc w:val="center"/>
              <w:ind w:right="760"/>
              <w:spacing w:after="0"/>
              <w:rPr>
                <w:sz w:val="20"/>
                <w:szCs w:val="20"/>
                <w:color w:val="auto"/>
              </w:rPr>
            </w:pPr>
            <w:r>
              <w:rPr>
                <w:rFonts w:ascii="Arial" w:cs="Arial" w:eastAsia="Arial" w:hAnsi="Arial"/>
                <w:sz w:val="14"/>
                <w:szCs w:val="14"/>
                <w:color w:val="auto"/>
                <w:w w:val="87"/>
              </w:rPr>
              <w:t>Balance Sheet</w:t>
            </w:r>
          </w:p>
        </w:tc>
        <w:tc>
          <w:tcPr>
            <w:tcW w:w="1360" w:type="dxa"/>
            <w:vAlign w:val="bottom"/>
            <w:gridSpan w:val="4"/>
          </w:tcPr>
          <w:p>
            <w:pPr>
              <w:ind w:left="20"/>
              <w:spacing w:after="0"/>
              <w:rPr>
                <w:sz w:val="20"/>
                <w:szCs w:val="20"/>
                <w:color w:val="auto"/>
              </w:rPr>
            </w:pPr>
            <w:r>
              <w:rPr>
                <w:rFonts w:ascii="Arial" w:cs="Arial" w:eastAsia="Arial" w:hAnsi="Arial"/>
                <w:sz w:val="14"/>
                <w:szCs w:val="14"/>
                <w:color w:val="auto"/>
              </w:rPr>
              <w:t>July 2, 2011</w:t>
            </w:r>
          </w:p>
        </w:tc>
        <w:tc>
          <w:tcPr>
            <w:tcW w:w="860" w:type="dxa"/>
            <w:vAlign w:val="bottom"/>
            <w:gridSpan w:val="3"/>
          </w:tcPr>
          <w:p>
            <w:pPr>
              <w:spacing w:after="0"/>
              <w:rPr>
                <w:sz w:val="20"/>
                <w:szCs w:val="20"/>
                <w:color w:val="auto"/>
              </w:rPr>
            </w:pPr>
            <w:r>
              <w:rPr>
                <w:rFonts w:ascii="Arial" w:cs="Arial" w:eastAsia="Arial" w:hAnsi="Arial"/>
                <w:sz w:val="14"/>
                <w:szCs w:val="14"/>
                <w:color w:val="auto"/>
              </w:rPr>
              <w:t>April 2, 2011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Derivative Assets:</w:t>
            </w:r>
          </w:p>
        </w:tc>
        <w:tc>
          <w:tcPr>
            <w:tcW w:w="52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Designated foreign currency hedge contracts</w:t>
            </w:r>
          </w:p>
        </w:tc>
        <w:tc>
          <w:tcPr>
            <w:tcW w:w="520" w:type="dxa"/>
            <w:vAlign w:val="bottom"/>
          </w:tcPr>
          <w:p>
            <w:pPr>
              <w:spacing w:after="0"/>
              <w:rPr>
                <w:sz w:val="19"/>
                <w:szCs w:val="19"/>
                <w:color w:val="auto"/>
              </w:rPr>
            </w:pPr>
          </w:p>
        </w:tc>
        <w:tc>
          <w:tcPr>
            <w:tcW w:w="220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Other current assets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2,475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2,563</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4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2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Other accrued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three months ended July 2, 2011,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7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83" w:lineRule="exact"/>
        <w:rPr>
          <w:sz w:val="20"/>
          <w:szCs w:val="20"/>
          <w:color w:val="auto"/>
        </w:rPr>
      </w:pPr>
    </w:p>
    <w:p>
      <w:pPr>
        <w:ind w:left="900" w:hanging="443"/>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24" w:lineRule="exact"/>
        <w:rPr>
          <w:rFonts w:ascii="Arial" w:cs="Arial" w:eastAsia="Arial" w:hAnsi="Arial"/>
          <w:sz w:val="18"/>
          <w:szCs w:val="18"/>
          <w:b w:val="1"/>
          <w:bCs w:val="1"/>
          <w:color w:val="auto"/>
        </w:rPr>
      </w:pPr>
    </w:p>
    <w:p>
      <w:pPr>
        <w:ind w:left="900" w:right="500" w:hanging="443"/>
        <w:spacing w:after="0" w:line="265"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86" w:lineRule="exact"/>
        <w:rPr>
          <w:rFonts w:ascii="Arial" w:cs="Arial" w:eastAsia="Arial" w:hAnsi="Arial"/>
          <w:sz w:val="18"/>
          <w:szCs w:val="18"/>
          <w:b w:val="1"/>
          <w:bCs w:val="1"/>
          <w:color w:val="auto"/>
        </w:rPr>
      </w:pPr>
    </w:p>
    <w:p>
      <w:pPr>
        <w:ind w:left="900" w:right="200" w:hanging="443"/>
        <w:spacing w:after="0" w:line="265"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Our money market funds carried at fair value are classified within Level 1 of the fair value hierarchy because they are valued using quoted market prices.</w:t>
      </w:r>
    </w:p>
    <w:p>
      <w:pPr>
        <w:spacing w:after="0" w:line="146"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 xml:space="preserve">We recognize all derivative financial instruments in our consolidated financial statements at fair value in accordance with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We determine the fair value of these instruments using the framework prescribed by ASC Topic 820 by considering the estimated amount we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For the quarter ended July 2, 2011, we have classified our other liabilities — contingent consideration relating to our acquisition of Neoteric within Level 3 of the fair value hierarchy because the value is determined using significant unobservable inputs.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July 2, 2011: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2"/>
              </w:rPr>
              <w:t>Quoted Market</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center"/>
              <w:ind w:right="436"/>
              <w:spacing w:after="0" w:line="146" w:lineRule="exact"/>
              <w:rPr>
                <w:sz w:val="20"/>
                <w:szCs w:val="20"/>
                <w:color w:val="auto"/>
              </w:rPr>
            </w:pPr>
            <w:r>
              <w:rPr>
                <w:rFonts w:ascii="Arial" w:cs="Arial" w:eastAsia="Arial" w:hAnsi="Arial"/>
                <w:sz w:val="14"/>
                <w:szCs w:val="14"/>
                <w:color w:val="auto"/>
                <w:w w:val="91"/>
              </w:rPr>
              <w:t>Other</w:t>
            </w:r>
          </w:p>
        </w:tc>
        <w:tc>
          <w:tcPr>
            <w:tcW w:w="460" w:type="dxa"/>
            <w:vAlign w:val="bottom"/>
          </w:tcPr>
          <w:p>
            <w:pPr>
              <w:spacing w:after="0"/>
              <w:rPr>
                <w:sz w:val="12"/>
                <w:szCs w:val="12"/>
                <w:color w:val="auto"/>
              </w:rPr>
            </w:pPr>
          </w:p>
        </w:tc>
        <w:tc>
          <w:tcPr>
            <w:tcW w:w="14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5"/>
              </w:rPr>
              <w:t>Significant</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ind w:right="456"/>
              <w:spacing w:after="0" w:line="146" w:lineRule="exact"/>
              <w:rPr>
                <w:sz w:val="20"/>
                <w:szCs w:val="20"/>
                <w:color w:val="auto"/>
              </w:rPr>
            </w:pPr>
            <w:r>
              <w:rPr>
                <w:rFonts w:ascii="Arial" w:cs="Arial" w:eastAsia="Arial" w:hAnsi="Arial"/>
                <w:sz w:val="14"/>
                <w:szCs w:val="14"/>
                <w:color w:val="auto"/>
                <w:w w:val="91"/>
              </w:rPr>
              <w:t>Prices for</w:t>
            </w:r>
          </w:p>
        </w:tc>
        <w:tc>
          <w:tcPr>
            <w:tcW w:w="480" w:type="dxa"/>
            <w:vAlign w:val="bottom"/>
          </w:tcPr>
          <w:p>
            <w:pPr>
              <w:spacing w:after="0"/>
              <w:rPr>
                <w:sz w:val="12"/>
                <w:szCs w:val="12"/>
                <w:color w:val="auto"/>
              </w:rPr>
            </w:pPr>
          </w:p>
        </w:tc>
        <w:tc>
          <w:tcPr>
            <w:tcW w:w="142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89"/>
              </w:rPr>
              <w:t>Observable</w:t>
            </w:r>
          </w:p>
        </w:tc>
        <w:tc>
          <w:tcPr>
            <w:tcW w:w="460" w:type="dxa"/>
            <w:vAlign w:val="bottom"/>
          </w:tcPr>
          <w:p>
            <w:pPr>
              <w:spacing w:after="0"/>
              <w:rPr>
                <w:sz w:val="12"/>
                <w:szCs w:val="12"/>
                <w:color w:val="auto"/>
              </w:rPr>
            </w:pPr>
          </w:p>
        </w:tc>
        <w:tc>
          <w:tcPr>
            <w:tcW w:w="14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0"/>
              </w:rPr>
              <w:t>Unobservable</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1"/>
              </w:rPr>
              <w:t>Identical Assets</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center"/>
              <w:ind w:right="416"/>
              <w:spacing w:after="0" w:line="146" w:lineRule="exact"/>
              <w:rPr>
                <w:sz w:val="20"/>
                <w:szCs w:val="20"/>
                <w:color w:val="auto"/>
              </w:rPr>
            </w:pPr>
            <w:r>
              <w:rPr>
                <w:rFonts w:ascii="Arial" w:cs="Arial" w:eastAsia="Arial" w:hAnsi="Arial"/>
                <w:sz w:val="14"/>
                <w:szCs w:val="14"/>
                <w:color w:val="auto"/>
                <w:w w:val="89"/>
              </w:rPr>
              <w:t>Inputs</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center"/>
              <w:ind w:right="434"/>
              <w:spacing w:after="0" w:line="146" w:lineRule="exact"/>
              <w:rPr>
                <w:sz w:val="20"/>
                <w:szCs w:val="20"/>
                <w:color w:val="auto"/>
              </w:rPr>
            </w:pPr>
            <w:r>
              <w:rPr>
                <w:rFonts w:ascii="Arial" w:cs="Arial" w:eastAsia="Arial" w:hAnsi="Arial"/>
                <w:sz w:val="14"/>
                <w:szCs w:val="14"/>
                <w:color w:val="auto"/>
                <w:w w:val="94"/>
              </w:rPr>
              <w:t>Inputs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436"/>
              <w:spacing w:after="0"/>
              <w:rPr>
                <w:sz w:val="20"/>
                <w:szCs w:val="20"/>
                <w:color w:val="auto"/>
              </w:rPr>
            </w:pPr>
            <w:r>
              <w:rPr>
                <w:rFonts w:ascii="Arial" w:cs="Arial" w:eastAsia="Arial" w:hAnsi="Arial"/>
                <w:sz w:val="14"/>
                <w:szCs w:val="14"/>
                <w:color w:val="auto"/>
                <w:w w:val="95"/>
              </w:rPr>
              <w:t>(Level 1)</w:t>
            </w:r>
          </w:p>
        </w:tc>
        <w:tc>
          <w:tcPr>
            <w:tcW w:w="48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460" w:type="dxa"/>
            <w:vAlign w:val="bottom"/>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c>
          <w:tcPr>
            <w:tcW w:w="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Money market funds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6"/>
              <w:spacing w:after="0"/>
              <w:rPr>
                <w:sz w:val="20"/>
                <w:szCs w:val="20"/>
                <w:color w:val="auto"/>
              </w:rPr>
            </w:pPr>
            <w:r>
              <w:rPr>
                <w:rFonts w:ascii="Arial" w:cs="Arial" w:eastAsia="Arial" w:hAnsi="Arial"/>
                <w:sz w:val="18"/>
                <w:szCs w:val="18"/>
                <w:color w:val="auto"/>
                <w:w w:val="86"/>
              </w:rPr>
              <w:t>170,823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w w:val="86"/>
              </w:rPr>
              <w:t>170,823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84"/>
              </w:rPr>
              <w:t>2,475</w:t>
            </w:r>
          </w:p>
        </w:tc>
        <w:tc>
          <w:tcPr>
            <w:tcW w:w="4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86"/>
              </w:rPr>
              <w:t>170,823</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84"/>
              </w:rPr>
              <w:t>2,475</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86"/>
              </w:rPr>
              <w:t>173,298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Forward currency exchange contracts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6"/>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6"/>
              <w:spacing w:after="0"/>
              <w:rPr>
                <w:sz w:val="20"/>
                <w:szCs w:val="20"/>
                <w:color w:val="auto"/>
              </w:rPr>
            </w:pPr>
            <w:r>
              <w:rPr>
                <w:rFonts w:ascii="Arial" w:cs="Arial" w:eastAsia="Arial" w:hAnsi="Arial"/>
                <w:sz w:val="18"/>
                <w:szCs w:val="18"/>
                <w:color w:val="auto"/>
                <w:w w:val="84"/>
              </w:rPr>
              <w:t>3,707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contingent consideration</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84"/>
              </w:rPr>
              <w:t>2,338</w:t>
            </w:r>
          </w:p>
        </w:tc>
        <w:tc>
          <w:tcPr>
            <w:tcW w:w="4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84"/>
              </w:rPr>
              <w:t>3,707</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w w:val="84"/>
              </w:rPr>
              <w:t>2,338</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Level 3 liabilities consists of the contingent consideration liability that is solely related to the Neoteric acquisition and is calculated based on estimated annual revenue growth for the three years following the acquisition at established profitability thresholds and is not limited. The fair value of the liability is determined using probability weighted projected revenues and earnings through the ending in fiscal year 2012 that are discounted to present value based on a risk-weighted expected rate of return. The table below provides a reconciliation of the beginning and ending Level 3 liabilities for the three months ended July 2, 2011.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Fair Value</w:t>
            </w:r>
          </w:p>
        </w:tc>
      </w:tr>
      <w:tr>
        <w:trPr>
          <w:trHeight w:val="146"/>
        </w:trPr>
        <w:tc>
          <w:tcPr>
            <w:tcW w:w="1034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88"/>
              </w:rPr>
              <w:t>Measurements</w:t>
            </w:r>
          </w:p>
        </w:tc>
      </w:tr>
      <w:tr>
        <w:trPr>
          <w:trHeight w:val="146"/>
        </w:trPr>
        <w:tc>
          <w:tcPr>
            <w:tcW w:w="1034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93"/>
              </w:rPr>
              <w:t>Using Significant</w:t>
            </w:r>
          </w:p>
        </w:tc>
      </w:tr>
      <w:tr>
        <w:trPr>
          <w:trHeight w:val="146"/>
        </w:trPr>
        <w:tc>
          <w:tcPr>
            <w:tcW w:w="10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90"/>
              </w:rPr>
              <w:t>Unobservable</w:t>
            </w:r>
          </w:p>
        </w:tc>
      </w:tr>
      <w:tr>
        <w:trPr>
          <w:trHeight w:val="146"/>
        </w:trPr>
        <w:tc>
          <w:tcPr>
            <w:tcW w:w="10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4"/>
              </w:rPr>
              <w:t>Inputs</w:t>
            </w:r>
          </w:p>
        </w:tc>
      </w:tr>
      <w:tr>
        <w:trPr>
          <w:trHeight w:val="164"/>
        </w:trPr>
        <w:tc>
          <w:tcPr>
            <w:tcW w:w="10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(Level 3)</w:t>
            </w:r>
          </w:p>
        </w:tc>
      </w:tr>
      <w:tr>
        <w:trPr>
          <w:trHeight w:val="205"/>
        </w:trPr>
        <w:tc>
          <w:tcPr>
            <w:tcW w:w="103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Beginning balance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7"/>
                <w:szCs w:val="17"/>
                <w:color w:val="auto"/>
              </w:rPr>
            </w:pPr>
          </w:p>
        </w:tc>
      </w:tr>
      <w:tr>
        <w:trPr>
          <w:trHeight w:val="212"/>
        </w:trPr>
        <w:tc>
          <w:tcPr>
            <w:tcW w:w="10340" w:type="dxa"/>
            <w:vAlign w:val="bottom"/>
          </w:tcPr>
          <w:p>
            <w:pPr>
              <w:spacing w:after="0"/>
              <w:rPr>
                <w:sz w:val="20"/>
                <w:szCs w:val="20"/>
                <w:color w:val="auto"/>
              </w:rPr>
            </w:pPr>
            <w:r>
              <w:rPr>
                <w:rFonts w:ascii="Arial" w:cs="Arial" w:eastAsia="Arial" w:hAnsi="Arial"/>
                <w:sz w:val="18"/>
                <w:szCs w:val="18"/>
                <w:color w:val="auto"/>
              </w:rPr>
              <w:t>Accretion of interest expense on contingent consideration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212"/>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8"/>
        </w:trPr>
        <w:tc>
          <w:tcPr>
            <w:tcW w:w="10340" w:type="dxa"/>
            <w:vAlign w:val="bottom"/>
          </w:tcPr>
          <w:p>
            <w:pPr>
              <w:spacing w:after="0"/>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8"/>
                <w:szCs w:val="18"/>
                <w:color w:val="auto"/>
              </w:rPr>
            </w:pPr>
          </w:p>
        </w:tc>
      </w:tr>
      <w:tr>
        <w:trPr>
          <w:trHeight w:val="20"/>
        </w:trPr>
        <w:tc>
          <w:tcPr>
            <w:tcW w:w="10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1"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The fair value of our long-term debt obligations, which was estimated using quoted market prices for the same or similar instruments, was $3.9 million and $4.1 million at July 2, 2011 and April 2, 2011,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Company’s reported tax rate was 28.5% for the three month period ended July 2, 2011, and 26.5% for the three month period ended July 3, 2010. Our reported tax rate is lower than the federal statutory tax rate in both periods reported primarily due to lower foreign tax rates, including tax benefits associated with our Swiss operations. The reported tax rate was higher for the three months ended July 2, 2011 as compared to the prior year primarily due to a $0.8 million benefit recorded during the three months ended July 3, 2010 from the release of a foreign reserve as a result of a foreign jurisdictional ruling.</w:t>
      </w:r>
    </w:p>
    <w:p>
      <w:pPr>
        <w:spacing w:after="0" w:line="4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 business globally and, as a result, file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1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11"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Disposables (single-use sterile kits used in our devices for collection or salvage of blood products) are marketed in our plasma, blood center, and hospital product businesses. Plasma disposables are used with our PCS</w:t>
      </w:r>
      <w:r>
        <w:rPr>
          <w:rFonts w:ascii="Arial" w:cs="Arial" w:eastAsia="Arial" w:hAnsi="Arial"/>
          <w:sz w:val="13"/>
          <w:szCs w:val="13"/>
          <w:color w:val="auto"/>
        </w:rPr>
        <w:t>®</w:t>
      </w:r>
      <w:r>
        <w:rPr>
          <w:rFonts w:ascii="Arial" w:cs="Arial" w:eastAsia="Arial" w:hAnsi="Arial"/>
          <w:sz w:val="15"/>
          <w:szCs w:val="15"/>
          <w:color w:val="auto"/>
        </w:rPr>
        <w:t>2 devices to perform apheresis for the collection of plasma to be used as a raw material for biologically derived pharmaceuticals (also known as source plasma). Blood center disposables are used with our MCS+ device to collect one or more blood components (principally platelets but also red cells and plasma) for transfusion to patients. The Hospital business consists of disposables used with our Cell Saver</w:t>
      </w:r>
      <w:r>
        <w:rPr>
          <w:rFonts w:ascii="Arial" w:cs="Arial" w:eastAsia="Arial" w:hAnsi="Arial"/>
          <w:sz w:val="13"/>
          <w:szCs w:val="13"/>
          <w:color w:val="auto"/>
        </w:rPr>
        <w:t>®</w:t>
      </w:r>
      <w:r>
        <w:rPr>
          <w:rFonts w:ascii="Arial" w:cs="Arial" w:eastAsia="Arial" w:hAnsi="Arial"/>
          <w:sz w:val="15"/>
          <w:szCs w:val="15"/>
          <w:color w:val="auto"/>
        </w:rPr>
        <w:t xml:space="preserve"> and cardioPAT</w:t>
      </w:r>
      <w:r>
        <w:rPr>
          <w:rFonts w:ascii="Arial" w:cs="Arial" w:eastAsia="Arial" w:hAnsi="Arial"/>
          <w:sz w:val="13"/>
          <w:szCs w:val="13"/>
          <w:color w:val="auto"/>
        </w:rPr>
        <w:t>®</w:t>
      </w:r>
      <w:r>
        <w:rPr>
          <w:rFonts w:ascii="Arial" w:cs="Arial" w:eastAsia="Arial" w:hAnsi="Arial"/>
          <w:sz w:val="15"/>
          <w:szCs w:val="15"/>
          <w:color w:val="auto"/>
        </w:rPr>
        <w:t xml:space="preserve"> devices to recover red cells from blood lost in a surgical procedure so that these may be made available for reinfusion to the patient (“autotransfusion”). OrthoPAT</w:t>
      </w:r>
      <w:r>
        <w:rPr>
          <w:rFonts w:ascii="Arial" w:cs="Arial" w:eastAsia="Arial" w:hAnsi="Arial"/>
          <w:sz w:val="13"/>
          <w:szCs w:val="13"/>
          <w:color w:val="auto"/>
        </w:rPr>
        <w:t>®</w:t>
      </w:r>
      <w:r>
        <w:rPr>
          <w:rFonts w:ascii="Arial" w:cs="Arial" w:eastAsia="Arial" w:hAnsi="Arial"/>
          <w:sz w:val="15"/>
          <w:szCs w:val="15"/>
          <w:color w:val="auto"/>
        </w:rPr>
        <w:t xml:space="preserve"> disposables are used for autotransfusion during and immediately following orthopedic surgeries. Diagnostics products principally reflect sales of diagnostic reagents and the TEG</w:t>
      </w:r>
      <w:r>
        <w:rPr>
          <w:rFonts w:ascii="Arial" w:cs="Arial" w:eastAsia="Arial" w:hAnsi="Arial"/>
          <w:sz w:val="13"/>
          <w:szCs w:val="13"/>
          <w:color w:val="auto"/>
        </w:rPr>
        <w:t>®</w:t>
      </w:r>
      <w:r>
        <w:rPr>
          <w:rFonts w:ascii="Arial" w:cs="Arial" w:eastAsia="Arial" w:hAnsi="Arial"/>
          <w:sz w:val="15"/>
          <w:szCs w:val="15"/>
          <w:color w:val="auto"/>
        </w:rPr>
        <w:t xml:space="preserve"> Thrombelastograph</w:t>
      </w:r>
      <w:r>
        <w:rPr>
          <w:rFonts w:ascii="Arial" w:cs="Arial" w:eastAsia="Arial" w:hAnsi="Arial"/>
          <w:sz w:val="13"/>
          <w:szCs w:val="13"/>
          <w:color w:val="auto"/>
        </w:rPr>
        <w:t>®</w:t>
      </w:r>
      <w:r>
        <w:rPr>
          <w:rFonts w:ascii="Arial" w:cs="Arial" w:eastAsia="Arial" w:hAnsi="Arial"/>
          <w:sz w:val="15"/>
          <w:szCs w:val="15"/>
          <w:color w:val="auto"/>
        </w:rPr>
        <w:t xml:space="preserve"> hemostasis analyzer which profiles a patient’s blood clotting characteristics.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Three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spacing w:after="0" w:line="139" w:lineRule="exact"/>
              <w:rPr>
                <w:sz w:val="20"/>
                <w:szCs w:val="20"/>
                <w:color w:val="auto"/>
              </w:rPr>
            </w:pPr>
            <w:r>
              <w:rPr>
                <w:rFonts w:ascii="Arial" w:cs="Arial" w:eastAsia="Arial" w:hAnsi="Arial"/>
                <w:sz w:val="14"/>
                <w:szCs w:val="14"/>
                <w:color w:val="auto"/>
              </w:rPr>
              <w:t>July 2, 2011</w:t>
            </w:r>
          </w:p>
        </w:tc>
        <w:tc>
          <w:tcPr>
            <w:tcW w:w="700" w:type="dxa"/>
            <w:vAlign w:val="bottom"/>
            <w:tcBorders>
              <w:top w:val="single" w:sz="8" w:color="auto"/>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90"/>
              </w:rPr>
              <w:t>July 3,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414"/>
              <w:spacing w:after="0" w:line="139" w:lineRule="exact"/>
              <w:rPr>
                <w:sz w:val="20"/>
                <w:szCs w:val="20"/>
                <w:color w:val="auto"/>
              </w:rPr>
            </w:pPr>
            <w:r>
              <w:rPr>
                <w:rFonts w:ascii="Arial" w:cs="Arial" w:eastAsia="Arial" w:hAnsi="Arial"/>
                <w:sz w:val="14"/>
                <w:szCs w:val="14"/>
                <w:color w:val="auto"/>
                <w:w w:val="92"/>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62,759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55,917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Arial" w:cs="Arial" w:eastAsia="Arial" w:hAnsi="Arial"/>
                <w:sz w:val="18"/>
                <w:szCs w:val="18"/>
                <w:color w:val="auto"/>
              </w:rPr>
              <w:t>Platelet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37,310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36,317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49,178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47,631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Hospital disposables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Arial" w:cs="Arial" w:eastAsia="Arial" w:hAnsi="Arial"/>
                <w:sz w:val="18"/>
                <w:szCs w:val="18"/>
                <w:color w:val="auto"/>
              </w:rPr>
              <w:t>Surgical</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15,742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26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141,048</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133,564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Equipment &amp; 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170,569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REORGANIZATION</w:t>
      </w:r>
    </w:p>
    <w:p>
      <w:pPr>
        <w:spacing w:after="0" w:line="117"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On April 1, 2010, our Board of Directors approved transformation and restructuring plans, which primarily include the integration of Global Med Technologies, Inc. for the periods presented.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three months ended July 2, 2011 and July 3, 2010,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color w:val="auto"/>
                <w:w w:val="90"/>
              </w:rPr>
              <w:t>Three Months Ended July 2, 2011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4"/>
            <w:vMerge w:val="restart"/>
          </w:tcPr>
          <w:p>
            <w:pPr>
              <w:ind w:left="320"/>
              <w:spacing w:after="0"/>
              <w:rPr>
                <w:sz w:val="20"/>
                <w:szCs w:val="20"/>
                <w:color w:val="auto"/>
              </w:rPr>
            </w:pPr>
            <w:r>
              <w:rPr>
                <w:rFonts w:ascii="Arial" w:cs="Arial" w:eastAsia="Arial" w:hAnsi="Arial"/>
                <w:sz w:val="14"/>
                <w:szCs w:val="14"/>
                <w:color w:val="auto"/>
              </w:rPr>
              <w:t>Restructuring</w:t>
            </w:r>
          </w:p>
        </w:tc>
        <w:tc>
          <w:tcPr>
            <w:tcW w:w="0" w:type="dxa"/>
            <w:vAlign w:val="bottom"/>
          </w:tcPr>
          <w:p>
            <w:pPr>
              <w:spacing w:after="0"/>
              <w:rPr>
                <w:sz w:val="1"/>
                <w:szCs w:val="1"/>
                <w:color w:val="auto"/>
              </w:rPr>
            </w:pPr>
          </w:p>
        </w:tc>
      </w:tr>
      <w:tr>
        <w:trPr>
          <w:trHeight w:val="112"/>
        </w:trPr>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8"/>
              </w:rPr>
              <w:t>Accrual</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20" w:type="dxa"/>
            <w:vAlign w:val="bottom"/>
            <w:gridSpan w:val="4"/>
          </w:tcPr>
          <w:p>
            <w:pPr>
              <w:ind w:left="80"/>
              <w:spacing w:after="0" w:line="146" w:lineRule="exact"/>
              <w:rPr>
                <w:sz w:val="20"/>
                <w:szCs w:val="20"/>
                <w:color w:val="auto"/>
              </w:rPr>
            </w:pPr>
            <w:r>
              <w:rPr>
                <w:rFonts w:ascii="Arial" w:cs="Arial" w:eastAsia="Arial" w:hAnsi="Arial"/>
                <w:sz w:val="14"/>
                <w:szCs w:val="14"/>
                <w:color w:val="auto"/>
              </w:rPr>
              <w:t>Balance at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Asset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7"/>
              </w:rPr>
              <w:t>Balance at</w:t>
            </w: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color w:val="auto"/>
              </w:rPr>
              <w:t>April 2, 2011</w:t>
            </w:r>
          </w:p>
        </w:tc>
        <w:tc>
          <w:tcPr>
            <w:tcW w:w="760" w:type="dxa"/>
            <w:vAlign w:val="bottom"/>
            <w:gridSpan w:val="2"/>
          </w:tcPr>
          <w:p>
            <w:pPr>
              <w:spacing w:after="0"/>
              <w:rPr>
                <w:sz w:val="20"/>
                <w:szCs w:val="20"/>
                <w:color w:val="auto"/>
              </w:rPr>
            </w:pPr>
            <w:r>
              <w:rPr>
                <w:rFonts w:ascii="Arial" w:cs="Arial" w:eastAsia="Arial" w:hAnsi="Arial"/>
                <w:sz w:val="14"/>
                <w:szCs w:val="14"/>
                <w:color w:val="auto"/>
                <w:w w:val="88"/>
              </w:rPr>
              <w:t>Cost Incurred</w:t>
            </w:r>
          </w:p>
        </w:tc>
        <w:tc>
          <w:tcPr>
            <w:tcW w:w="680" w:type="dxa"/>
            <w:vAlign w:val="bottom"/>
          </w:tcPr>
          <w:p>
            <w:pPr>
              <w:spacing w:after="0"/>
              <w:rPr>
                <w:sz w:val="14"/>
                <w:szCs w:val="14"/>
                <w:color w:val="auto"/>
              </w:rPr>
            </w:pPr>
          </w:p>
        </w:tc>
        <w:tc>
          <w:tcPr>
            <w:tcW w:w="1280" w:type="dxa"/>
            <w:vAlign w:val="bottom"/>
            <w:gridSpan w:val="3"/>
          </w:tcPr>
          <w:p>
            <w:pPr>
              <w:jc w:val="right"/>
              <w:ind w:right="623"/>
              <w:spacing w:after="0"/>
              <w:rPr>
                <w:sz w:val="20"/>
                <w:szCs w:val="20"/>
                <w:color w:val="auto"/>
              </w:rPr>
            </w:pPr>
            <w:r>
              <w:rPr>
                <w:rFonts w:ascii="Arial" w:cs="Arial" w:eastAsia="Arial" w:hAnsi="Arial"/>
                <w:sz w:val="14"/>
                <w:szCs w:val="14"/>
                <w:color w:val="auto"/>
                <w:w w:val="89"/>
              </w:rPr>
              <w:t>Payments</w:t>
            </w:r>
          </w:p>
        </w:tc>
        <w:tc>
          <w:tcPr>
            <w:tcW w:w="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Write down</w:t>
            </w:r>
          </w:p>
        </w:tc>
        <w:tc>
          <w:tcPr>
            <w:tcW w:w="32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July 2, 2011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Employee-related costs</w:t>
            </w:r>
          </w:p>
        </w:tc>
        <w:tc>
          <w:tcPr>
            <w:tcW w:w="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2,782</w:t>
            </w:r>
          </w:p>
        </w:tc>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137</w:t>
            </w:r>
          </w:p>
        </w:tc>
        <w:tc>
          <w:tcPr>
            <w:tcW w:w="820" w:type="dxa"/>
            <w:vAlign w:val="bottom"/>
            <w:gridSpan w:val="2"/>
            <w:shd w:val="clear" w:color="auto" w:fill="CCEEFF"/>
          </w:tcPr>
          <w:p>
            <w:pPr>
              <w:jc w:val="right"/>
              <w:ind w:right="7"/>
              <w:spacing w:after="0" w:line="20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3"/>
              <w:spacing w:after="0" w:line="206" w:lineRule="exact"/>
              <w:rPr>
                <w:sz w:val="20"/>
                <w:szCs w:val="20"/>
                <w:color w:val="auto"/>
              </w:rPr>
            </w:pPr>
            <w:r>
              <w:rPr>
                <w:rFonts w:ascii="Arial" w:cs="Arial" w:eastAsia="Arial" w:hAnsi="Arial"/>
                <w:sz w:val="18"/>
                <w:szCs w:val="18"/>
                <w:color w:val="auto"/>
                <w:w w:val="98"/>
              </w:rPr>
              <w:t>(1,436)</w:t>
            </w:r>
          </w:p>
        </w:tc>
        <w:tc>
          <w:tcPr>
            <w:tcW w:w="180" w:type="dxa"/>
            <w:vAlign w:val="bottom"/>
            <w:gridSpan w:val="2"/>
            <w:shd w:val="clear" w:color="auto" w:fill="CCEEFF"/>
          </w:tcPr>
          <w:p>
            <w:pPr>
              <w:ind w:left="40"/>
              <w:spacing w:after="0" w:line="20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line="20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2"/>
        </w:trPr>
        <w:tc>
          <w:tcPr>
            <w:tcW w:w="5020" w:type="dxa"/>
            <w:vAlign w:val="bottom"/>
          </w:tcPr>
          <w:p>
            <w:pPr>
              <w:spacing w:after="0"/>
              <w:rPr>
                <w:sz w:val="20"/>
                <w:szCs w:val="20"/>
                <w:color w:val="auto"/>
              </w:rPr>
            </w:pPr>
            <w:r>
              <w:rPr>
                <w:rFonts w:ascii="Arial" w:cs="Arial" w:eastAsia="Arial" w:hAnsi="Arial"/>
                <w:sz w:val="18"/>
                <w:szCs w:val="18"/>
                <w:color w:val="auto"/>
              </w:rPr>
              <w:t>Facility related costs</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3"/>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3"/>
              <w:spacing w:after="0"/>
              <w:rPr>
                <w:sz w:val="20"/>
                <w:szCs w:val="20"/>
                <w:color w:val="auto"/>
              </w:rPr>
            </w:pPr>
            <w:r>
              <w:rPr>
                <w:rFonts w:ascii="Arial" w:cs="Arial" w:eastAsia="Arial" w:hAnsi="Arial"/>
                <w:sz w:val="18"/>
                <w:szCs w:val="18"/>
                <w:color w:val="auto"/>
                <w:w w:val="98"/>
              </w:rPr>
              <w:t>(1,778)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020" w:type="dxa"/>
            <w:vAlign w:val="bottom"/>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color w:val="auto"/>
                <w:w w:val="90"/>
              </w:rPr>
              <w:t>Three Months Ended July 3, 2010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4"/>
            <w:vMerge w:val="restart"/>
          </w:tcPr>
          <w:p>
            <w:pPr>
              <w:ind w:left="320"/>
              <w:spacing w:after="0"/>
              <w:rPr>
                <w:sz w:val="20"/>
                <w:szCs w:val="20"/>
                <w:color w:val="auto"/>
              </w:rPr>
            </w:pPr>
            <w:r>
              <w:rPr>
                <w:rFonts w:ascii="Arial" w:cs="Arial" w:eastAsia="Arial" w:hAnsi="Arial"/>
                <w:sz w:val="14"/>
                <w:szCs w:val="14"/>
                <w:color w:val="auto"/>
              </w:rPr>
              <w:t>Restructuring</w:t>
            </w:r>
          </w:p>
        </w:tc>
        <w:tc>
          <w:tcPr>
            <w:tcW w:w="0" w:type="dxa"/>
            <w:vAlign w:val="bottom"/>
          </w:tcPr>
          <w:p>
            <w:pPr>
              <w:spacing w:after="0"/>
              <w:rPr>
                <w:sz w:val="1"/>
                <w:szCs w:val="1"/>
                <w:color w:val="auto"/>
              </w:rPr>
            </w:pPr>
          </w:p>
        </w:tc>
      </w:tr>
      <w:tr>
        <w:trPr>
          <w:trHeight w:val="112"/>
        </w:trPr>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8"/>
              </w:rPr>
              <w:t>Accrual</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20" w:type="dxa"/>
            <w:vAlign w:val="bottom"/>
            <w:gridSpan w:val="4"/>
          </w:tcPr>
          <w:p>
            <w:pPr>
              <w:ind w:left="80"/>
              <w:spacing w:after="0" w:line="146" w:lineRule="exact"/>
              <w:rPr>
                <w:sz w:val="20"/>
                <w:szCs w:val="20"/>
                <w:color w:val="auto"/>
              </w:rPr>
            </w:pPr>
            <w:r>
              <w:rPr>
                <w:rFonts w:ascii="Arial" w:cs="Arial" w:eastAsia="Arial" w:hAnsi="Arial"/>
                <w:sz w:val="14"/>
                <w:szCs w:val="14"/>
                <w:color w:val="auto"/>
              </w:rPr>
              <w:t>Balance at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Asset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7"/>
              </w:rPr>
              <w:t>Balance at</w:t>
            </w: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color w:val="auto"/>
              </w:rPr>
              <w:t>April 3, 2010</w:t>
            </w:r>
          </w:p>
        </w:tc>
        <w:tc>
          <w:tcPr>
            <w:tcW w:w="760" w:type="dxa"/>
            <w:vAlign w:val="bottom"/>
            <w:gridSpan w:val="2"/>
          </w:tcPr>
          <w:p>
            <w:pPr>
              <w:spacing w:after="0"/>
              <w:rPr>
                <w:sz w:val="20"/>
                <w:szCs w:val="20"/>
                <w:color w:val="auto"/>
              </w:rPr>
            </w:pPr>
            <w:r>
              <w:rPr>
                <w:rFonts w:ascii="Arial" w:cs="Arial" w:eastAsia="Arial" w:hAnsi="Arial"/>
                <w:sz w:val="14"/>
                <w:szCs w:val="14"/>
                <w:color w:val="auto"/>
                <w:w w:val="88"/>
              </w:rPr>
              <w:t>Cost Incurred</w:t>
            </w:r>
          </w:p>
        </w:tc>
        <w:tc>
          <w:tcPr>
            <w:tcW w:w="680" w:type="dxa"/>
            <w:vAlign w:val="bottom"/>
          </w:tcPr>
          <w:p>
            <w:pPr>
              <w:spacing w:after="0"/>
              <w:rPr>
                <w:sz w:val="14"/>
                <w:szCs w:val="14"/>
                <w:color w:val="auto"/>
              </w:rPr>
            </w:pPr>
          </w:p>
        </w:tc>
        <w:tc>
          <w:tcPr>
            <w:tcW w:w="1280" w:type="dxa"/>
            <w:vAlign w:val="bottom"/>
            <w:gridSpan w:val="3"/>
          </w:tcPr>
          <w:p>
            <w:pPr>
              <w:jc w:val="right"/>
              <w:ind w:right="603"/>
              <w:spacing w:after="0"/>
              <w:rPr>
                <w:sz w:val="20"/>
                <w:szCs w:val="20"/>
                <w:color w:val="auto"/>
              </w:rPr>
            </w:pPr>
            <w:r>
              <w:rPr>
                <w:rFonts w:ascii="Arial" w:cs="Arial" w:eastAsia="Arial" w:hAnsi="Arial"/>
                <w:sz w:val="14"/>
                <w:szCs w:val="14"/>
                <w:color w:val="auto"/>
                <w:w w:val="93"/>
              </w:rPr>
              <w:t>Payments</w:t>
            </w:r>
          </w:p>
        </w:tc>
        <w:tc>
          <w:tcPr>
            <w:tcW w:w="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Write down</w:t>
            </w:r>
          </w:p>
        </w:tc>
        <w:tc>
          <w:tcPr>
            <w:tcW w:w="32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July 3, 2010</w:t>
            </w:r>
          </w:p>
        </w:tc>
        <w:tc>
          <w:tcPr>
            <w:tcW w:w="0" w:type="dxa"/>
            <w:vAlign w:val="bottom"/>
          </w:tcPr>
          <w:p>
            <w:pPr>
              <w:spacing w:after="0"/>
              <w:rPr>
                <w:sz w:val="1"/>
                <w:szCs w:val="1"/>
                <w:color w:val="auto"/>
              </w:rPr>
            </w:pPr>
          </w:p>
        </w:tc>
      </w:tr>
      <w:tr>
        <w:trPr>
          <w:trHeight w:val="205"/>
        </w:trPr>
        <w:tc>
          <w:tcPr>
            <w:tcW w:w="5020" w:type="dxa"/>
            <w:vAlign w:val="bottom"/>
          </w:tcPr>
          <w:p>
            <w:pPr>
              <w:spacing w:after="0" w:line="204" w:lineRule="exact"/>
              <w:rPr>
                <w:sz w:val="20"/>
                <w:szCs w:val="20"/>
                <w:color w:val="auto"/>
              </w:rPr>
            </w:pPr>
            <w:r>
              <w:rPr>
                <w:rFonts w:ascii="Arial" w:cs="Arial" w:eastAsia="Arial" w:hAnsi="Arial"/>
                <w:sz w:val="18"/>
                <w:szCs w:val="18"/>
                <w:color w:val="auto"/>
              </w:rPr>
              <w:t>Employee-related costs</w:t>
            </w:r>
          </w:p>
        </w:tc>
        <w:tc>
          <w:tcPr>
            <w:tcW w:w="22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Arial" w:cs="Arial" w:eastAsia="Arial" w:hAnsi="Arial"/>
                <w:sz w:val="18"/>
                <w:szCs w:val="18"/>
                <w:color w:val="auto"/>
              </w:rPr>
              <w:t>9,761</w:t>
            </w:r>
          </w:p>
        </w:tc>
        <w:tc>
          <w:tcPr>
            <w:tcW w:w="6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1,245</w:t>
            </w: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7"/>
              </w:rPr>
              <w:t>(2,899</w:t>
            </w:r>
          </w:p>
        </w:tc>
        <w:tc>
          <w:tcPr>
            <w:tcW w:w="620" w:type="dxa"/>
            <w:vAlign w:val="bottom"/>
          </w:tcPr>
          <w:p>
            <w:pPr>
              <w:jc w:val="right"/>
              <w:ind w:right="483"/>
              <w:spacing w:after="0"/>
              <w:rPr>
                <w:sz w:val="20"/>
                <w:szCs w:val="20"/>
                <w:color w:val="auto"/>
              </w:rPr>
            </w:pPr>
            <w:r>
              <w:rPr>
                <w:rFonts w:ascii="Arial" w:cs="Arial" w:eastAsia="Arial" w:hAnsi="Arial"/>
                <w:sz w:val="15"/>
                <w:szCs w:val="15"/>
                <w:color w:val="auto"/>
                <w:w w:val="79"/>
              </w:rPr>
              <w:t>)</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360"/>
              <w:spacing w:after="0" w:line="206" w:lineRule="exact"/>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9,761</w:t>
            </w:r>
          </w:p>
        </w:tc>
        <w:tc>
          <w:tcPr>
            <w:tcW w:w="6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3"/>
              <w:spacing w:after="0"/>
              <w:rPr>
                <w:sz w:val="20"/>
                <w:szCs w:val="20"/>
                <w:color w:val="auto"/>
              </w:rPr>
            </w:pPr>
            <w:r>
              <w:rPr>
                <w:rFonts w:ascii="Arial" w:cs="Arial" w:eastAsia="Arial" w:hAnsi="Arial"/>
                <w:sz w:val="18"/>
                <w:szCs w:val="18"/>
                <w:color w:val="auto"/>
                <w:w w:val="98"/>
              </w:rPr>
              <w:t>(2,899)</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CAPITALIZATION OF SOFTWARE DEVELOPMENT COSTS</w:t>
      </w:r>
    </w:p>
    <w:p>
      <w:pPr>
        <w:spacing w:after="0" w:line="11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feasibility has been established for the product. Once technological feasibility is established, all software costs should be capitalized until the product is available for general release to customers.</w:t>
      </w:r>
    </w:p>
    <w:p>
      <w:pPr>
        <w:spacing w:after="0" w:line="8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Company capitalized $1.5 million and $1.2 million in other software development costs for ongoing initiatives during three month period ended July 2, 2011 and July 3, 2010, respectively. At July 2, 2011 and April 2, 2011, we have a total of $10.8 million and $13.4 million, respectively, of costs capitalized related to in process software development initiatives, respectively. During the first quarter of fiscal year 2012, $4.1 million of capitalized costs related to one project were placed into service. The costs capitalized for each project are included in intangible assets in the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313295" cy="947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295" cy="9474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2011 Annual Report on Form 10-K filed with the Securities and Exchange Commission (the “SEC”) on May 26, 2011. The following discussion may contain forward-looking statements and should be read in conjunction with the “</w:t>
      </w:r>
      <w:r>
        <w:rPr>
          <w:rFonts w:ascii="Arial" w:cs="Arial" w:eastAsia="Arial" w:hAnsi="Arial"/>
          <w:sz w:val="17"/>
          <w:szCs w:val="17"/>
          <w:b w:val="1"/>
          <w:bCs w:val="1"/>
          <w:color w:val="auto"/>
        </w:rPr>
        <w:t>Cautionary</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 Regarding Forward-Looking Information</w:t>
      </w:r>
      <w:r>
        <w:rPr>
          <w:rFonts w:ascii="Arial" w:cs="Arial" w:eastAsia="Arial" w:hAnsi="Arial"/>
          <w:sz w:val="17"/>
          <w:szCs w:val="17"/>
          <w:color w:val="auto"/>
        </w:rPr>
        <w:t>” beginning on page 22.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w:t>
      </w:r>
    </w:p>
    <w:p>
      <w:pPr>
        <w:spacing w:after="0" w:line="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medical device systems automate the collection and processing of donated blood; assess likelihood for blood loss; salvage and process blood from surgery patients; and dispense and track blood inventory in the hospital. These systems include devices and single-use, proprietary disposable sets (“disposables”) that operate only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75"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Our business services products include blood management, Six Sigma, and LEAN manufacturing consulting, which support our customers’ needs for regulatory compliance and operational efficiency in the blood supply chain.</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83" w:lineRule="exact"/>
        <w:rPr>
          <w:sz w:val="20"/>
          <w:szCs w:val="20"/>
          <w:color w:val="auto"/>
        </w:rPr>
      </w:pPr>
    </w:p>
    <w:p>
      <w:pPr>
        <w:ind w:left="900" w:hanging="443"/>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124" w:lineRule="exact"/>
        <w:rPr>
          <w:rFonts w:ascii="Arial" w:cs="Arial" w:eastAsia="Arial" w:hAnsi="Arial"/>
          <w:sz w:val="18"/>
          <w:szCs w:val="18"/>
          <w:b w:val="1"/>
          <w:bCs w:val="1"/>
          <w:color w:val="auto"/>
        </w:rPr>
      </w:pPr>
    </w:p>
    <w:p>
      <w:pPr>
        <w:ind w:left="900" w:hanging="443"/>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w:t>
      </w:r>
    </w:p>
    <w:p>
      <w:pPr>
        <w:spacing w:after="0" w:line="124" w:lineRule="exact"/>
        <w:rPr>
          <w:rFonts w:ascii="Arial" w:cs="Arial" w:eastAsia="Arial" w:hAnsi="Arial"/>
          <w:sz w:val="18"/>
          <w:szCs w:val="18"/>
          <w:b w:val="1"/>
          <w:bCs w:val="1"/>
          <w:color w:val="auto"/>
        </w:rPr>
      </w:pPr>
    </w:p>
    <w:p>
      <w:pPr>
        <w:ind w:left="900" w:hanging="443"/>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82.7% and 81.9% of our total revenues for the first three months of fiscal year 2012 and 2011,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right"/>
              <w:ind w:right="315"/>
              <w:spacing w:after="0" w:line="117" w:lineRule="exact"/>
              <w:rPr>
                <w:sz w:val="20"/>
                <w:szCs w:val="20"/>
                <w:color w:val="auto"/>
              </w:rPr>
            </w:pPr>
            <w:r>
              <w:rPr>
                <w:rFonts w:ascii="Arial" w:cs="Arial" w:eastAsia="Arial" w:hAnsi="Arial"/>
                <w:sz w:val="13"/>
                <w:szCs w:val="13"/>
                <w:b w:val="1"/>
                <w:bCs w:val="1"/>
                <w:color w:val="auto"/>
              </w:rPr>
              <w:t>July 2,</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jc w:val="right"/>
              <w:ind w:right="314"/>
              <w:spacing w:after="0" w:line="117" w:lineRule="exact"/>
              <w:rPr>
                <w:sz w:val="20"/>
                <w:szCs w:val="20"/>
                <w:color w:val="auto"/>
              </w:rPr>
            </w:pPr>
            <w:r>
              <w:rPr>
                <w:rFonts w:ascii="Arial" w:cs="Arial" w:eastAsia="Arial" w:hAnsi="Arial"/>
                <w:sz w:val="13"/>
                <w:szCs w:val="13"/>
                <w:b w:val="1"/>
                <w:bCs w:val="1"/>
                <w:color w:val="auto"/>
              </w:rPr>
              <w:t>July 3,</w:t>
            </w:r>
          </w:p>
        </w:tc>
        <w:tc>
          <w:tcPr>
            <w:tcW w:w="4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9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5"/>
              <w:spacing w:after="0" w:line="206" w:lineRule="exact"/>
              <w:rPr>
                <w:sz w:val="20"/>
                <w:szCs w:val="20"/>
                <w:color w:val="auto"/>
              </w:rPr>
            </w:pPr>
            <w:r>
              <w:rPr>
                <w:rFonts w:ascii="Arial" w:cs="Arial" w:eastAsia="Arial" w:hAnsi="Arial"/>
                <w:sz w:val="18"/>
                <w:szCs w:val="18"/>
                <w:color w:val="auto"/>
                <w:w w:val="86"/>
              </w:rPr>
              <w:t>170,569</w:t>
            </w:r>
          </w:p>
        </w:tc>
        <w:tc>
          <w:tcPr>
            <w:tcW w:w="80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line="206" w:lineRule="exact"/>
              <w:rPr>
                <w:sz w:val="20"/>
                <w:szCs w:val="20"/>
                <w:color w:val="auto"/>
              </w:rPr>
            </w:pPr>
            <w:r>
              <w:rPr>
                <w:rFonts w:ascii="Arial" w:cs="Arial" w:eastAsia="Arial" w:hAnsi="Arial"/>
                <w:sz w:val="18"/>
                <w:szCs w:val="18"/>
                <w:color w:val="auto"/>
                <w:w w:val="86"/>
              </w:rPr>
              <w:t>163,039</w:t>
            </w:r>
          </w:p>
        </w:tc>
        <w:tc>
          <w:tcPr>
            <w:tcW w:w="1560" w:type="dxa"/>
            <w:vAlign w:val="bottom"/>
            <w:gridSpan w:val="2"/>
            <w:shd w:val="clear" w:color="auto" w:fill="CCEEFF"/>
          </w:tcPr>
          <w:p>
            <w:pPr>
              <w:jc w:val="right"/>
              <w:ind w:right="89"/>
              <w:spacing w:after="0" w:line="20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88,748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86,463</w:t>
            </w:r>
          </w:p>
        </w:tc>
        <w:tc>
          <w:tcPr>
            <w:tcW w:w="1560" w:type="dxa"/>
            <w:vAlign w:val="bottom"/>
            <w:gridSpan w:val="2"/>
          </w:tcPr>
          <w:p>
            <w:pPr>
              <w:jc w:val="right"/>
              <w:ind w:right="8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i w:val="1"/>
                <w:iCs w:val="1"/>
                <w:color w:val="auto"/>
              </w:rPr>
              <w:t>52.0%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53.0%</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6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64,840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62,274</w:t>
            </w:r>
          </w:p>
        </w:tc>
        <w:tc>
          <w:tcPr>
            <w:tcW w:w="1560" w:type="dxa"/>
            <w:vAlign w:val="bottom"/>
            <w:gridSpan w:val="2"/>
          </w:tcPr>
          <w:p>
            <w:pPr>
              <w:jc w:val="right"/>
              <w:ind w:right="89"/>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23,908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24,189</w:t>
            </w:r>
          </w:p>
        </w:tc>
        <w:tc>
          <w:tcPr>
            <w:tcW w:w="15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0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i w:val="1"/>
                <w:iCs w:val="1"/>
                <w:color w:val="auto"/>
              </w:rPr>
              <w:t>14.0%</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i w:val="1"/>
                <w:iCs w:val="1"/>
                <w:color w:val="auto"/>
              </w:rPr>
              <w:t>14.8%</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(153)</w:t>
            </w:r>
          </w:p>
        </w:tc>
        <w:tc>
          <w:tcPr>
            <w:tcW w:w="15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106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102</w:t>
            </w:r>
          </w:p>
        </w:tc>
        <w:tc>
          <w:tcPr>
            <w:tcW w:w="1560" w:type="dxa"/>
            <w:vAlign w:val="bottom"/>
            <w:gridSpan w:val="2"/>
          </w:tcPr>
          <w:p>
            <w:pPr>
              <w:jc w:val="right"/>
              <w:ind w:right="8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(215)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237</w:t>
            </w:r>
          </w:p>
        </w:tc>
        <w:tc>
          <w:tcPr>
            <w:tcW w:w="15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423"/>
        </w:trPr>
        <w:tc>
          <w:tcPr>
            <w:tcW w:w="69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23,693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24,375</w:t>
            </w:r>
          </w:p>
        </w:tc>
        <w:tc>
          <w:tcPr>
            <w:tcW w:w="1560" w:type="dxa"/>
            <w:vAlign w:val="bottom"/>
            <w:gridSpan w:val="2"/>
          </w:tcPr>
          <w:p>
            <w:pPr>
              <w:jc w:val="right"/>
              <w:ind w:right="4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6,746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6,457</w:t>
            </w:r>
          </w:p>
        </w:tc>
        <w:tc>
          <w:tcPr>
            <w:tcW w:w="15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0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i w:val="1"/>
                <w:iCs w:val="1"/>
                <w:color w:val="auto"/>
              </w:rPr>
              <w:t>28.5%</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i w:val="1"/>
                <w:iCs w:val="1"/>
                <w:color w:val="auto"/>
              </w:rPr>
              <w:t>26.5%</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16,947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17,918</w:t>
            </w:r>
          </w:p>
        </w:tc>
        <w:tc>
          <w:tcPr>
            <w:tcW w:w="15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0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i w:val="1"/>
                <w:iCs w:val="1"/>
                <w:color w:val="auto"/>
              </w:rPr>
              <w:t>9.9%</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i w:val="1"/>
                <w:iCs w:val="1"/>
                <w:color w:val="auto"/>
              </w:rPr>
              <w:t>11.0%</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0.65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0.70</w:t>
            </w:r>
          </w:p>
        </w:tc>
        <w:tc>
          <w:tcPr>
            <w:tcW w:w="15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revenues increased 4.6% for the first three months of fiscal year 2012 over the comparable period of fiscal year 2011. Without the effects of foreign exchange which accounted for an increase of 2.7% for the first three months of fiscal year 2012, net revenues increased 1.9% for the quarter. This increase reflects strong year over year revenue growth from our plasma and software businesses, offset by declines in our hospital businesses due to a recall of certain of our OrthoPAT devices.</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increased 2.6% as compared to the first three months of fiscal year 2011. Without the effects of foreign exchange, which increased gross profit by 2.9% for the first three months of fiscal year 2012, gross profit decreased 0.3% for the quarter. The decrease was primarily due to increased product quality costs and product mix associated with lower sales of hospital products and higher plasma disposable sales.</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Operating expenses increased 4.1% for the first three months of fiscal year 2012 over the comparable period of fiscal year 2011. Foreign exchange accounted for an increase in operating expenses of 3.8% for the quarter. Without the effects of foreign exchange, operating expenses increased 0.3% in the first three months of fiscal year 2012. Higher operating expenses are attributable to increased investment in research and development and in our field selling organization. These increases were partially offset by cost reductions from planned savings from integrating Global Med into our software business and lower expense associated with cash bonus compensation for this fiscal year.</w:t>
      </w:r>
    </w:p>
    <w:p>
      <w:pPr>
        <w:spacing w:after="0" w:line="8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Operating income decreased 2.8% for the first three months of fiscal year 2012 over the comparable period of fiscal year 2011. Foreign exchange accounted for an increase of 0.8% for the first quarter. Without the effects of foreign exchange, operating income decreased 3.6% for the quarter as revenue growth did not result in an increase in gross profit due primarily to product mix and higher costs of quality. Also contributing to this decrease were increases in operating expenses as discussed above.</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Net income decreased 5.4% for the first three months of fiscal year 2012 over the comparable period of fiscal year 2011. Without the effects of foreign exchange which accounted for a decrease in net income of 0.5% for the quarter, net income decreased 4.9% for the three months ended July 2, 2011. The decrease in net income was attributable to the decline in operating income described above, as well as lower non-operating income.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820"/>
              <w:spacing w:after="0" w:line="117" w:lineRule="exact"/>
              <w:rPr>
                <w:sz w:val="20"/>
                <w:szCs w:val="20"/>
                <w:color w:val="auto"/>
              </w:rPr>
            </w:pPr>
            <w:r>
              <w:rPr>
                <w:rFonts w:ascii="Arial" w:cs="Arial" w:eastAsia="Arial" w:hAnsi="Arial"/>
                <w:sz w:val="13"/>
                <w:szCs w:val="13"/>
                <w:b w:val="1"/>
                <w:bCs w:val="1"/>
                <w:color w:val="auto"/>
              </w:rPr>
              <w:t>July 2,</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80"/>
              <w:spacing w:after="0" w:line="117" w:lineRule="exact"/>
              <w:rPr>
                <w:sz w:val="20"/>
                <w:szCs w:val="20"/>
                <w:color w:val="auto"/>
              </w:rPr>
            </w:pPr>
            <w:r>
              <w:rPr>
                <w:rFonts w:ascii="Arial" w:cs="Arial" w:eastAsia="Arial" w:hAnsi="Arial"/>
                <w:sz w:val="13"/>
                <w:szCs w:val="13"/>
                <w:b w:val="1"/>
                <w:bCs w:val="1"/>
                <w:color w:val="auto"/>
              </w:rPr>
              <w:t>July 3,</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8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line="206" w:lineRule="exact"/>
              <w:rPr>
                <w:sz w:val="20"/>
                <w:szCs w:val="20"/>
                <w:color w:val="auto"/>
              </w:rPr>
            </w:pPr>
            <w:r>
              <w:rPr>
                <w:rFonts w:ascii="Arial" w:cs="Arial" w:eastAsia="Arial" w:hAnsi="Arial"/>
                <w:sz w:val="18"/>
                <w:szCs w:val="18"/>
                <w:color w:val="auto"/>
              </w:rPr>
              <w:t>86,395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79,309</w:t>
            </w:r>
          </w:p>
        </w:tc>
        <w:tc>
          <w:tcPr>
            <w:tcW w:w="118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84,174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83,730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170,569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163,039</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17"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73"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Our revenues generated outside the U.S. approximated 49.3% and 51.4% of net revenues for the first three months of fiscal year 2012 and 2011, respectively. Revenues in Japan accounted for approximately 15.3% of total revenues for the first three months of both fiscal year 2012 and 2011. Revenues in Europe accounted for approximately 25.0% and 26.1% of net revenues for the first three months of fiscal year 2012 and 2011, respectively. International sales are generally conducted in local currencies, primarily the Japanese Yen and the Euro. As discussed above, our results of operations are impacted by changes in the value of the Yen and the Euro relative to the U.S. Dollar.</w:t>
      </w:r>
    </w:p>
    <w:p>
      <w:pPr>
        <w:spacing w:after="0" w:line="8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1260" w:type="dxa"/>
            <w:vAlign w:val="bottom"/>
            <w:gridSpan w:val="3"/>
            <w:vMerge w:val="restart"/>
          </w:tcPr>
          <w:p>
            <w:pPr>
              <w:jc w:val="center"/>
              <w:ind w:left="58"/>
              <w:spacing w:after="0"/>
              <w:rPr>
                <w:sz w:val="20"/>
                <w:szCs w:val="20"/>
                <w:color w:val="auto"/>
              </w:rPr>
            </w:pPr>
            <w:r>
              <w:rPr>
                <w:rFonts w:ascii="Arial" w:cs="Arial" w:eastAsia="Arial" w:hAnsi="Arial"/>
                <w:sz w:val="14"/>
                <w:szCs w:val="14"/>
                <w:b w:val="1"/>
                <w:bCs w:val="1"/>
                <w:color w:val="auto"/>
                <w:w w:val="93"/>
              </w:rPr>
              <w:t>% Increase/</w:t>
            </w: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360" w:type="dxa"/>
            <w:vAlign w:val="bottom"/>
            <w:tcBorders>
              <w:top w:val="single" w:sz="8" w:color="auto"/>
            </w:tcBorders>
            <w:gridSpan w:val="2"/>
          </w:tcPr>
          <w:p>
            <w:pPr>
              <w:ind w:left="140"/>
              <w:spacing w:after="0" w:line="117" w:lineRule="exact"/>
              <w:rPr>
                <w:sz w:val="20"/>
                <w:szCs w:val="20"/>
                <w:color w:val="auto"/>
              </w:rPr>
            </w:pPr>
            <w:r>
              <w:rPr>
                <w:rFonts w:ascii="Arial" w:cs="Arial" w:eastAsia="Arial" w:hAnsi="Arial"/>
                <w:sz w:val="13"/>
                <w:szCs w:val="13"/>
                <w:b w:val="1"/>
                <w:bCs w:val="1"/>
                <w:color w:val="auto"/>
              </w:rPr>
              <w:t>July 2,</w:t>
            </w:r>
          </w:p>
        </w:tc>
        <w:tc>
          <w:tcPr>
            <w:tcW w:w="700" w:type="dxa"/>
            <w:vAlign w:val="bottom"/>
            <w:tcBorders>
              <w:top w:val="single" w:sz="8" w:color="auto"/>
            </w:tcBorders>
          </w:tcPr>
          <w:p>
            <w:pPr>
              <w:jc w:val="right"/>
              <w:ind w:right="58"/>
              <w:spacing w:after="0" w:line="117" w:lineRule="exact"/>
              <w:rPr>
                <w:sz w:val="20"/>
                <w:szCs w:val="20"/>
                <w:color w:val="auto"/>
              </w:rPr>
            </w:pPr>
            <w:r>
              <w:rPr>
                <w:rFonts w:ascii="Arial" w:cs="Arial" w:eastAsia="Arial" w:hAnsi="Arial"/>
                <w:sz w:val="13"/>
                <w:szCs w:val="13"/>
                <w:b w:val="1"/>
                <w:bCs w:val="1"/>
                <w:color w:val="auto"/>
              </w:rPr>
              <w:t>July 3,</w:t>
            </w:r>
          </w:p>
        </w:tc>
        <w:tc>
          <w:tcPr>
            <w:tcW w:w="3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260" w:type="dxa"/>
            <w:vAlign w:val="bottom"/>
          </w:tcPr>
          <w:p>
            <w:pPr>
              <w:spacing w:after="0"/>
              <w:rPr>
                <w:sz w:val="14"/>
                <w:szCs w:val="14"/>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Disposables</w:t>
            </w:r>
          </w:p>
        </w:tc>
        <w:tc>
          <w:tcPr>
            <w:tcW w:w="5620" w:type="dxa"/>
            <w:vAlign w:val="bottom"/>
            <w:gridSpan w:val="3"/>
            <w:shd w:val="clear" w:color="auto" w:fill="CCEEFF"/>
          </w:tcPr>
          <w:p>
            <w:pPr>
              <w:jc w:val="right"/>
              <w:ind w:right="660"/>
              <w:spacing w:after="0" w:line="206" w:lineRule="exact"/>
              <w:rPr>
                <w:sz w:val="20"/>
                <w:szCs w:val="20"/>
                <w:color w:val="auto"/>
              </w:rPr>
            </w:pPr>
            <w:r>
              <w:rPr>
                <w:rFonts w:ascii="Arial" w:cs="Arial" w:eastAsia="Arial" w:hAnsi="Arial"/>
                <w:sz w:val="18"/>
                <w:szCs w:val="18"/>
                <w:color w:val="auto"/>
              </w:rPr>
              <w:t>$ 141,048</w:t>
            </w: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4"/>
              </w:rPr>
              <w:t>$ 133,564</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Software solutions</w:t>
            </w:r>
          </w:p>
        </w:tc>
        <w:tc>
          <w:tcPr>
            <w:tcW w:w="5620" w:type="dxa"/>
            <w:vAlign w:val="bottom"/>
            <w:gridSpan w:val="3"/>
          </w:tcPr>
          <w:p>
            <w:pPr>
              <w:jc w:val="right"/>
              <w:ind w:right="660"/>
              <w:spacing w:after="0"/>
              <w:rPr>
                <w:sz w:val="20"/>
                <w:szCs w:val="20"/>
                <w:color w:val="auto"/>
              </w:rPr>
            </w:pPr>
            <w:r>
              <w:rPr>
                <w:rFonts w:ascii="Arial" w:cs="Arial" w:eastAsia="Arial" w:hAnsi="Arial"/>
                <w:sz w:val="18"/>
                <w:szCs w:val="18"/>
                <w:color w:val="auto"/>
              </w:rPr>
              <w:t>18,160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16,460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Equipment &amp; other</w:t>
            </w:r>
          </w:p>
        </w:tc>
        <w:tc>
          <w:tcPr>
            <w:tcW w:w="4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4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00" w:type="dxa"/>
            <w:vAlign w:val="bottom"/>
            <w:vMerge w:val="continue"/>
          </w:tcPr>
          <w:p>
            <w:pPr>
              <w:spacing w:after="0"/>
              <w:rPr>
                <w:sz w:val="18"/>
                <w:szCs w:val="18"/>
                <w:color w:val="auto"/>
              </w:rPr>
            </w:pPr>
          </w:p>
        </w:tc>
        <w:tc>
          <w:tcPr>
            <w:tcW w:w="4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$ 170,569</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$ 163,039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260" w:type="dxa"/>
            <w:vAlign w:val="bottom"/>
            <w:vMerge w:val="restart"/>
          </w:tcPr>
          <w:p>
            <w:pPr>
              <w:jc w:val="right"/>
              <w:ind w:right="1872"/>
              <w:spacing w:after="0"/>
              <w:rPr>
                <w:sz w:val="20"/>
                <w:szCs w:val="20"/>
                <w:color w:val="auto"/>
              </w:rPr>
            </w:pPr>
            <w:r>
              <w:rPr>
                <w:rFonts w:ascii="Arial" w:cs="Arial" w:eastAsia="Arial" w:hAnsi="Arial"/>
                <w:sz w:val="18"/>
                <w:szCs w:val="18"/>
                <w:color w:val="auto"/>
              </w:rPr>
              <w:t>16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5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For the three months ended</w:t>
            </w:r>
          </w:p>
        </w:tc>
        <w:tc>
          <w:tcPr>
            <w:tcW w:w="15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76"/>
              <w:spacing w:after="0" w:line="117"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900" w:type="dxa"/>
            <w:vAlign w:val="bottom"/>
          </w:tcPr>
          <w:p>
            <w:pPr>
              <w:jc w:val="right"/>
              <w:ind w:right="335"/>
              <w:spacing w:after="0" w:line="117" w:lineRule="exact"/>
              <w:rPr>
                <w:sz w:val="20"/>
                <w:szCs w:val="20"/>
                <w:color w:val="auto"/>
              </w:rPr>
            </w:pPr>
            <w:r>
              <w:rPr>
                <w:rFonts w:ascii="Arial" w:cs="Arial" w:eastAsia="Arial" w:hAnsi="Arial"/>
                <w:sz w:val="13"/>
                <w:szCs w:val="13"/>
                <w:b w:val="1"/>
                <w:bCs w:val="1"/>
                <w:color w:val="auto"/>
              </w:rPr>
              <w:t>July 3,</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2010</w:t>
            </w:r>
          </w:p>
        </w:tc>
        <w:tc>
          <w:tcPr>
            <w:tcW w:w="1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Plasma disposables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8"/>
              </w:rPr>
              <w:t>62,759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55,917</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424"/>
        </w:trPr>
        <w:tc>
          <w:tcPr>
            <w:tcW w:w="6840" w:type="dxa"/>
            <w:vAlign w:val="bottom"/>
            <w:gridSpan w:val="2"/>
          </w:tcPr>
          <w:p>
            <w:pPr>
              <w:spacing w:after="0"/>
              <w:rPr>
                <w:sz w:val="20"/>
                <w:szCs w:val="20"/>
                <w:color w:val="auto"/>
              </w:rPr>
            </w:pPr>
            <w:r>
              <w:rPr>
                <w:rFonts w:ascii="Arial" w:cs="Arial" w:eastAsia="Arial" w:hAnsi="Arial"/>
                <w:sz w:val="18"/>
                <w:szCs w:val="18"/>
                <w:color w:val="auto"/>
              </w:rPr>
              <w:t>Blood center disposables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8"/>
              </w:rPr>
              <w:t>37,310</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36,317</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 cell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8"/>
              </w:rPr>
              <w:t>11,869</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11,314</w:t>
            </w: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8"/>
              </w:rPr>
              <w:t>49,178</w:t>
            </w: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47,631</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8"/>
        </w:trPr>
        <w:tc>
          <w:tcPr>
            <w:tcW w:w="6840" w:type="dxa"/>
            <w:vAlign w:val="bottom"/>
            <w:gridSpan w:val="2"/>
          </w:tcPr>
          <w:p>
            <w:pPr>
              <w:spacing w:after="0"/>
              <w:rPr>
                <w:sz w:val="20"/>
                <w:szCs w:val="20"/>
                <w:color w:val="auto"/>
              </w:rPr>
            </w:pPr>
            <w:r>
              <w:rPr>
                <w:rFonts w:ascii="Arial" w:cs="Arial" w:eastAsia="Arial" w:hAnsi="Arial"/>
                <w:sz w:val="18"/>
                <w:szCs w:val="18"/>
                <w:color w:val="auto"/>
              </w:rPr>
              <w:t>Hospital disposables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8"/>
              </w:rPr>
              <w:t>15,742</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16,351</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OrthoPAT</w:t>
            </w:r>
          </w:p>
        </w:tc>
        <w:tc>
          <w:tcPr>
            <w:tcW w:w="340" w:type="dxa"/>
            <w:vAlign w:val="bottom"/>
          </w:tcPr>
          <w:p>
            <w:pPr>
              <w:spacing w:after="0"/>
              <w:rPr>
                <w:sz w:val="18"/>
                <w:szCs w:val="18"/>
                <w:color w:val="auto"/>
              </w:rPr>
            </w:pPr>
          </w:p>
        </w:tc>
        <w:tc>
          <w:tcPr>
            <w:tcW w:w="1140" w:type="dxa"/>
            <w:vAlign w:val="bottom"/>
          </w:tcPr>
          <w:p>
            <w:pPr>
              <w:jc w:val="right"/>
              <w:ind w:right="496"/>
              <w:spacing w:after="0"/>
              <w:rPr>
                <w:sz w:val="20"/>
                <w:szCs w:val="20"/>
                <w:color w:val="auto"/>
              </w:rPr>
            </w:pPr>
            <w:r>
              <w:rPr>
                <w:rFonts w:ascii="Arial" w:cs="Arial" w:eastAsia="Arial" w:hAnsi="Arial"/>
                <w:sz w:val="18"/>
                <w:szCs w:val="18"/>
                <w:color w:val="auto"/>
              </w:rPr>
              <w:t>7,754</w:t>
            </w:r>
          </w:p>
        </w:tc>
        <w:tc>
          <w:tcPr>
            <w:tcW w:w="660" w:type="dxa"/>
            <w:vAlign w:val="bottom"/>
          </w:tcPr>
          <w:p>
            <w:pPr>
              <w:spacing w:after="0"/>
              <w:rPr>
                <w:sz w:val="18"/>
                <w:szCs w:val="18"/>
                <w:color w:val="auto"/>
              </w:rPr>
            </w:pP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8,957</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Diagnostics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rPr>
              <w:t>5,615</w:t>
            </w: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4,708</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8"/>
              </w:rPr>
              <w:t>29,111</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30,016</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disposables revenue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82"/>
              </w:rPr>
              <w:t>141,048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86"/>
              </w:rPr>
              <w:t>133,564</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Disposables revenue increased 5.6% for the first three months of fiscal year 2012 over the comparable period of fiscal year 2011. Foreign exchange resulted in a 2.5% increase for the first quarter. Without the effect of foreign exchange, disposables revenue increased 3.1% for the first three months of fiscal year 2012, driven primarily by increases in our plasma business as discussed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1"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Plasma disposables revenue increased 12.2% for the first three months of fiscal year 2012 compared to the same period in fiscal year 2011. Foreign exchange accounted for a 1.4% increase for the first quarter. The remaining increase in plasma disposables revenue of 10.8% is primarily attributable to increased plasma collections by our commercial fractionation customers in North America and emerging markets. These increases were partially offset by reduced revenues in Japan due to a change in collection practices in Japan. We expect the strong growth in commercial collections to moderate over the balance of fiscal year 2012.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and red cells.</w:t>
      </w:r>
    </w:p>
    <w:p>
      <w:pPr>
        <w:spacing w:after="0" w:line="11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Platelet disposables revenue increased 2.7% for the first three months of fiscal year 2012 compared to the same period in fiscal year 2011. Comparing the first three months of fiscal year 2012 to that of fiscal year 2011, foreign exchange accounted for an increase of 5.0%. Without the effect of foreign exchange, platelet disposable revenue decreased 2.3% primarily due to a sales decline in our international markets. The sales decline was primarily associated with competition, including the switch from apheresis platelets to platelets derived from whole blood collections. This decline was partly offset by an increase in sales in our emerging markets.</w:t>
      </w:r>
    </w:p>
    <w:p>
      <w:pPr>
        <w:spacing w:after="0" w:line="8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Red cell disposables revenue increased 4.9% for the first three months of fiscal year 2012 compared to the same period in fiscal year 2011. Foreign exchange accounted for a revenue increase of 0.5% from the first three months of fiscal year 2011 to that of fiscal year 2012. The remaining increase of 4.4% for the quarter was driven by increased demand for red cells in North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Surgical disposables revenue consists principally of the Cell Saver and cardioPAT products. Revenues from our surgical disposables decreased 3.7% for the first three months of fiscal year 2012 compared to the same period in fiscal year 2011. Foreign exchange resulted in an increase in surgical disposables revenue of 3.4% for the quarter. The decrease of 7.1%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excluding the effect of foreign exchange for the first quarter was the result of a decrease in demand across our European and North American markets, driven by both competitive pressures and market conditions resulting in fewer surgeries.</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Revenues from our OrthoPAT disposables decreased 13.4% for the first three months of fiscal year 2012 compared to the same period in fiscal year 2011. Foreign exchange resulted in an increase in OrthoPAT disposables revenue of 1.9% for the quarter. Without the effect of foreign currency, OrthoPAT disposables revenue decreased by 15.3% for the first quarter. Our voluntary recall of our OrthoPAT devices manufactured prior to 2002 earlier this quarter adversely impacted our business. We expect to complete the build of replacement devices in our fourth quarter. Accordingly, we expect this trend to continue in the near term.</w:t>
      </w:r>
    </w:p>
    <w:p>
      <w:pPr>
        <w:spacing w:after="0" w:line="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Diagnostics product revenue consists principally of the TEG products. Revenues from our diagnostics products increased 19.3% for the first three months of fiscal year 2012 compared to the same period in fiscal year 2011. Currency exchange accounted for a decrease of 0.4%. Without the effect of currency, diagnostic product revenues increased by 19.7% for the quarter. The revenue increase in the quarter is due to new and continued adoption of our TEG equipment, including significant new business in emerging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Our software solutions revenues include revenue from software sales. Software solutions revenues increased 10.3% for the first three months of fiscal year 2012 over the comparable period of fiscal year 2011. Foreign exchange resulted in a 3.1% increase for the quarter. The remaining increase of 7.2% for the first three months of fiscal year 2012 was driven primarily by revenues associated with strong plasma-related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17" w:lineRule="exact"/>
        <w:rPr>
          <w:sz w:val="20"/>
          <w:szCs w:val="20"/>
          <w:color w:val="auto"/>
        </w:rPr>
      </w:pPr>
    </w:p>
    <w:p>
      <w:pPr>
        <w:jc w:val="both"/>
        <w:ind w:right="120"/>
        <w:spacing w:after="0" w:line="300" w:lineRule="auto"/>
        <w:rPr>
          <w:sz w:val="20"/>
          <w:szCs w:val="20"/>
          <w:color w:val="auto"/>
        </w:rPr>
      </w:pPr>
      <w:r>
        <w:rPr>
          <w:rFonts w:ascii="Arial" w:cs="Arial" w:eastAsia="Arial" w:hAnsi="Arial"/>
          <w:sz w:val="15"/>
          <w:szCs w:val="15"/>
          <w:color w:val="auto"/>
        </w:rPr>
        <w:t>Our equipment &amp; other revenues include revenue from equipment sales, repairs performed under preventive maintenance contracts or emergency service visits, spare part sales, and various service and training programs. Equipment &amp; other revenues decreased 12.7% for the first three months of fiscal year 2012 over the comparable period of fiscal year 2011. Foreign exchange resulted in a 4.0% increase for the quarter. Without the effect of currency exchange, the decrease of</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16.7% for the first three months of fiscal year 2012 was primarily driven by the timing of sales orders in our distribution business, including the deferral of a key contract award beyond the current quarter.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0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17"/>
        </w:trPr>
        <w:tc>
          <w:tcPr>
            <w:tcW w:w="7700" w:type="dxa"/>
            <w:vAlign w:val="bottom"/>
          </w:tcPr>
          <w:p>
            <w:pPr>
              <w:spacing w:after="0"/>
              <w:rPr>
                <w:sz w:val="10"/>
                <w:szCs w:val="10"/>
                <w:color w:val="auto"/>
              </w:rPr>
            </w:pPr>
          </w:p>
        </w:tc>
        <w:tc>
          <w:tcPr>
            <w:tcW w:w="1140" w:type="dxa"/>
            <w:vAlign w:val="bottom"/>
          </w:tcPr>
          <w:p>
            <w:pPr>
              <w:jc w:val="right"/>
              <w:ind w:right="283"/>
              <w:spacing w:after="0" w:line="117" w:lineRule="exact"/>
              <w:rPr>
                <w:sz w:val="20"/>
                <w:szCs w:val="20"/>
                <w:color w:val="auto"/>
              </w:rPr>
            </w:pPr>
            <w:r>
              <w:rPr>
                <w:rFonts w:ascii="Arial" w:cs="Arial" w:eastAsia="Arial" w:hAnsi="Arial"/>
                <w:sz w:val="13"/>
                <w:szCs w:val="13"/>
                <w:b w:val="1"/>
                <w:bCs w:val="1"/>
                <w:color w:val="auto"/>
              </w:rPr>
              <w:t>July 2,</w:t>
            </w:r>
          </w:p>
        </w:tc>
        <w:tc>
          <w:tcPr>
            <w:tcW w:w="560" w:type="dxa"/>
            <w:vAlign w:val="bottom"/>
          </w:tcPr>
          <w:p>
            <w:pPr>
              <w:spacing w:after="0"/>
              <w:rPr>
                <w:sz w:val="10"/>
                <w:szCs w:val="10"/>
                <w:color w:val="auto"/>
              </w:rPr>
            </w:pPr>
          </w:p>
        </w:tc>
        <w:tc>
          <w:tcPr>
            <w:tcW w:w="1120" w:type="dxa"/>
            <w:vAlign w:val="bottom"/>
          </w:tcPr>
          <w:p>
            <w:pPr>
              <w:jc w:val="right"/>
              <w:ind w:right="283"/>
              <w:spacing w:after="0" w:line="117" w:lineRule="exact"/>
              <w:rPr>
                <w:sz w:val="20"/>
                <w:szCs w:val="20"/>
                <w:color w:val="auto"/>
              </w:rPr>
            </w:pPr>
            <w:r>
              <w:rPr>
                <w:rFonts w:ascii="Arial" w:cs="Arial" w:eastAsia="Arial" w:hAnsi="Arial"/>
                <w:sz w:val="13"/>
                <w:szCs w:val="13"/>
                <w:b w:val="1"/>
                <w:bCs w:val="1"/>
                <w:color w:val="auto"/>
              </w:rPr>
              <w:t>July 3,</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8"/>
        </w:trPr>
        <w:tc>
          <w:tcPr>
            <w:tcW w:w="77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jc w:val="right"/>
              <w:ind w:right="343"/>
              <w:spacing w:after="0"/>
              <w:rPr>
                <w:sz w:val="20"/>
                <w:szCs w:val="20"/>
                <w:color w:val="auto"/>
              </w:rPr>
            </w:pPr>
            <w:r>
              <w:rPr>
                <w:rFonts w:ascii="Arial" w:cs="Arial" w:eastAsia="Arial" w:hAnsi="Arial"/>
                <w:sz w:val="14"/>
                <w:szCs w:val="14"/>
                <w:b w:val="1"/>
                <w:bCs w:val="1"/>
                <w:color w:val="auto"/>
              </w:rPr>
              <w:t>2011</w:t>
            </w:r>
          </w:p>
        </w:tc>
        <w:tc>
          <w:tcPr>
            <w:tcW w:w="1680" w:type="dxa"/>
            <w:vAlign w:val="bottom"/>
            <w:gridSpan w:val="2"/>
          </w:tcPr>
          <w:p>
            <w:pPr>
              <w:jc w:val="right"/>
              <w:ind w:right="34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8"/>
              </w:rPr>
              <w:t>% Increase</w:t>
            </w: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tcBorders>
          </w:tcPr>
          <w:p>
            <w:pPr>
              <w:jc w:val="right"/>
              <w:ind w:right="243"/>
              <w:spacing w:after="0" w:line="193" w:lineRule="exact"/>
              <w:rPr>
                <w:sz w:val="20"/>
                <w:szCs w:val="20"/>
                <w:color w:val="auto"/>
              </w:rPr>
            </w:pPr>
            <w:r>
              <w:rPr>
                <w:rFonts w:ascii="Arial" w:cs="Arial" w:eastAsia="Arial" w:hAnsi="Arial"/>
                <w:sz w:val="18"/>
                <w:szCs w:val="18"/>
                <w:color w:val="auto"/>
              </w:rPr>
              <w:t>$88,748</w:t>
            </w:r>
          </w:p>
        </w:tc>
        <w:tc>
          <w:tcPr>
            <w:tcW w:w="560" w:type="dxa"/>
            <w:vAlign w:val="bottom"/>
          </w:tcPr>
          <w:p>
            <w:pPr>
              <w:spacing w:after="0"/>
              <w:rPr>
                <w:sz w:val="16"/>
                <w:szCs w:val="16"/>
                <w:color w:val="auto"/>
              </w:rPr>
            </w:pPr>
          </w:p>
        </w:tc>
        <w:tc>
          <w:tcPr>
            <w:tcW w:w="1120" w:type="dxa"/>
            <w:vAlign w:val="bottom"/>
            <w:tcBorders>
              <w:top w:val="single" w:sz="8" w:color="auto"/>
            </w:tcBorders>
          </w:tcPr>
          <w:p>
            <w:pPr>
              <w:jc w:val="right"/>
              <w:ind w:right="243"/>
              <w:spacing w:after="0" w:line="193" w:lineRule="exact"/>
              <w:rPr>
                <w:sz w:val="20"/>
                <w:szCs w:val="20"/>
                <w:color w:val="auto"/>
              </w:rPr>
            </w:pPr>
            <w:r>
              <w:rPr>
                <w:rFonts w:ascii="Arial" w:cs="Arial" w:eastAsia="Arial" w:hAnsi="Arial"/>
                <w:sz w:val="18"/>
                <w:szCs w:val="18"/>
                <w:color w:val="auto"/>
              </w:rPr>
              <w:t>$86,463</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60"/>
              <w:spacing w:after="0" w:line="193" w:lineRule="exact"/>
              <w:rPr>
                <w:sz w:val="20"/>
                <w:szCs w:val="20"/>
                <w:color w:val="auto"/>
              </w:rPr>
            </w:pPr>
            <w:r>
              <w:rPr>
                <w:rFonts w:ascii="Arial" w:cs="Arial" w:eastAsia="Arial" w:hAnsi="Arial"/>
                <w:sz w:val="18"/>
                <w:szCs w:val="18"/>
                <w:color w:val="auto"/>
              </w:rPr>
              <w:t>2.6%</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140" w:type="dxa"/>
            <w:vAlign w:val="bottom"/>
          </w:tcPr>
          <w:p>
            <w:pPr>
              <w:jc w:val="right"/>
              <w:ind w:right="103"/>
              <w:spacing w:after="0"/>
              <w:rPr>
                <w:sz w:val="20"/>
                <w:szCs w:val="20"/>
                <w:color w:val="auto"/>
              </w:rPr>
            </w:pPr>
            <w:r>
              <w:rPr>
                <w:rFonts w:ascii="Arial" w:cs="Arial" w:eastAsia="Arial" w:hAnsi="Arial"/>
                <w:sz w:val="18"/>
                <w:szCs w:val="18"/>
                <w:color w:val="auto"/>
              </w:rPr>
              <w:t>52.0%</w:t>
            </w:r>
          </w:p>
        </w:tc>
        <w:tc>
          <w:tcPr>
            <w:tcW w:w="1680" w:type="dxa"/>
            <w:vAlign w:val="bottom"/>
            <w:gridSpan w:val="2"/>
          </w:tcPr>
          <w:p>
            <w:pPr>
              <w:jc w:val="right"/>
              <w:ind w:right="103"/>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95"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Gross profit increased 2.6% as compared to the first three months of fiscal year 2011. Without the effects of foreign exchange, which increased gross profit by 2.9% for the first three months of fiscal year 2012, gross profit decreased 0.3% for the quarter. Our gross profit margin decreased by 100 basis points for the first three months of fiscal year 2012. The decrease was primarily due to increased product quality costs and product mix associated with lower sales of hospital products and higher plasma disposable sales. The increased product quality costs included the shipment of a higher cost substitute product for certain plasma disposable sales in Europe in response to customer complaints that we are currently addressing. As we respond to these complaints we are in communication with regulators and are working with customers to minimize any disruption to their operations. We do not expect this matter to have a significant effect on our plasma business. We expect the product quality and mix trends noted to continue to impact gross profit over the balance of fiscal year 2012.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4"/>
                <w:szCs w:val="14"/>
                <w:b w:val="1"/>
                <w:bCs w:val="1"/>
                <w:color w:val="auto"/>
              </w:rPr>
              <w:t>For the three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0"/>
                <w:szCs w:val="10"/>
                <w:color w:val="auto"/>
              </w:rPr>
            </w:pPr>
          </w:p>
        </w:tc>
        <w:tc>
          <w:tcPr>
            <w:tcW w:w="1140" w:type="dxa"/>
            <w:vAlign w:val="bottom"/>
          </w:tcPr>
          <w:p>
            <w:pPr>
              <w:jc w:val="right"/>
              <w:ind w:right="618"/>
              <w:spacing w:after="0" w:line="117" w:lineRule="exact"/>
              <w:rPr>
                <w:sz w:val="20"/>
                <w:szCs w:val="20"/>
                <w:color w:val="auto"/>
              </w:rPr>
            </w:pPr>
            <w:r>
              <w:rPr>
                <w:rFonts w:ascii="Arial" w:cs="Arial" w:eastAsia="Arial" w:hAnsi="Arial"/>
                <w:sz w:val="13"/>
                <w:szCs w:val="13"/>
                <w:b w:val="1"/>
                <w:bCs w:val="1"/>
                <w:color w:val="auto"/>
              </w:rPr>
              <w:t>July 2,</w:t>
            </w:r>
          </w:p>
        </w:tc>
        <w:tc>
          <w:tcPr>
            <w:tcW w:w="580" w:type="dxa"/>
            <w:vAlign w:val="bottom"/>
          </w:tcPr>
          <w:p>
            <w:pPr>
              <w:spacing w:after="0"/>
              <w:rPr>
                <w:sz w:val="10"/>
                <w:szCs w:val="10"/>
                <w:color w:val="auto"/>
              </w:rPr>
            </w:pPr>
          </w:p>
        </w:tc>
        <w:tc>
          <w:tcPr>
            <w:tcW w:w="820" w:type="dxa"/>
            <w:vAlign w:val="bottom"/>
          </w:tcPr>
          <w:p>
            <w:pPr>
              <w:jc w:val="right"/>
              <w:ind w:right="297"/>
              <w:spacing w:after="0" w:line="117" w:lineRule="exact"/>
              <w:rPr>
                <w:sz w:val="20"/>
                <w:szCs w:val="20"/>
                <w:color w:val="auto"/>
              </w:rPr>
            </w:pPr>
            <w:r>
              <w:rPr>
                <w:rFonts w:ascii="Arial" w:cs="Arial" w:eastAsia="Arial" w:hAnsi="Arial"/>
                <w:sz w:val="13"/>
                <w:szCs w:val="13"/>
                <w:b w:val="1"/>
                <w:bCs w:val="1"/>
                <w:color w:val="auto"/>
              </w:rPr>
              <w:t>July 3,</w:t>
            </w:r>
          </w:p>
        </w:tc>
        <w:tc>
          <w:tcPr>
            <w:tcW w:w="1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5"/>
        </w:trPr>
        <w:tc>
          <w:tcPr>
            <w:tcW w:w="7160" w:type="dxa"/>
            <w:vAlign w:val="bottom"/>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rPr>
              <w:t>8,609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7,920</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19"/>
                <w:szCs w:val="19"/>
                <w:color w:val="auto"/>
              </w:rPr>
            </w:pPr>
          </w:p>
        </w:tc>
        <w:tc>
          <w:tcPr>
            <w:tcW w:w="1140" w:type="dxa"/>
            <w:vAlign w:val="bottom"/>
          </w:tcPr>
          <w:p>
            <w:pPr>
              <w:jc w:val="right"/>
              <w:ind w:right="418"/>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9"/>
                <w:szCs w:val="19"/>
                <w:color w:val="auto"/>
              </w:rPr>
            </w:pP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4.9%</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w w:val="87"/>
              </w:rPr>
              <w:t>56,231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83"/>
              </w:rPr>
              <w:t>54,354</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19"/>
                <w:szCs w:val="19"/>
                <w:color w:val="auto"/>
              </w:rPr>
            </w:pPr>
          </w:p>
        </w:tc>
        <w:tc>
          <w:tcPr>
            <w:tcW w:w="1140" w:type="dxa"/>
            <w:vAlign w:val="bottom"/>
          </w:tcPr>
          <w:p>
            <w:pPr>
              <w:jc w:val="right"/>
              <w:ind w:right="418"/>
              <w:spacing w:after="0"/>
              <w:rPr>
                <w:sz w:val="20"/>
                <w:szCs w:val="20"/>
                <w:color w:val="auto"/>
              </w:rPr>
            </w:pPr>
            <w:r>
              <w:rPr>
                <w:rFonts w:ascii="Arial" w:cs="Arial" w:eastAsia="Arial" w:hAnsi="Arial"/>
                <w:sz w:val="18"/>
                <w:szCs w:val="18"/>
                <w:color w:val="auto"/>
              </w:rPr>
              <w:t>33.0%</w:t>
            </w:r>
          </w:p>
        </w:tc>
        <w:tc>
          <w:tcPr>
            <w:tcW w:w="580" w:type="dxa"/>
            <w:vAlign w:val="bottom"/>
          </w:tcPr>
          <w:p>
            <w:pPr>
              <w:spacing w:after="0"/>
              <w:rPr>
                <w:sz w:val="19"/>
                <w:szCs w:val="19"/>
                <w:color w:val="auto"/>
              </w:rPr>
            </w:pP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33.3%</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w w:val="87"/>
              </w:rPr>
              <w:t>64,840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83"/>
              </w:rPr>
              <w:t>62,274</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19"/>
                <w:szCs w:val="19"/>
                <w:color w:val="auto"/>
              </w:rPr>
            </w:pPr>
          </w:p>
        </w:tc>
        <w:tc>
          <w:tcPr>
            <w:tcW w:w="1140" w:type="dxa"/>
            <w:vAlign w:val="bottom"/>
          </w:tcPr>
          <w:p>
            <w:pPr>
              <w:jc w:val="right"/>
              <w:ind w:right="418"/>
              <w:spacing w:after="0"/>
              <w:rPr>
                <w:sz w:val="20"/>
                <w:szCs w:val="20"/>
                <w:color w:val="auto"/>
              </w:rPr>
            </w:pPr>
            <w:r>
              <w:rPr>
                <w:rFonts w:ascii="Arial" w:cs="Arial" w:eastAsia="Arial" w:hAnsi="Arial"/>
                <w:sz w:val="18"/>
                <w:szCs w:val="18"/>
                <w:color w:val="auto"/>
              </w:rPr>
              <w:t>38.0%</w:t>
            </w:r>
          </w:p>
        </w:tc>
        <w:tc>
          <w:tcPr>
            <w:tcW w:w="580" w:type="dxa"/>
            <w:vAlign w:val="bottom"/>
          </w:tcPr>
          <w:p>
            <w:pPr>
              <w:spacing w:after="0"/>
              <w:rPr>
                <w:sz w:val="19"/>
                <w:szCs w:val="19"/>
                <w:color w:val="auto"/>
              </w:rPr>
            </w:pP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38.2%</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111" w:lineRule="exact"/>
        <w:rPr>
          <w:sz w:val="20"/>
          <w:szCs w:val="20"/>
          <w:color w:val="auto"/>
        </w:rPr>
      </w:pPr>
    </w:p>
    <w:p>
      <w:pPr>
        <w:ind w:right="380"/>
        <w:spacing w:after="0" w:line="330" w:lineRule="auto"/>
        <w:rPr>
          <w:sz w:val="20"/>
          <w:szCs w:val="20"/>
          <w:color w:val="auto"/>
        </w:rPr>
      </w:pPr>
      <w:r>
        <w:rPr>
          <w:rFonts w:ascii="Arial" w:cs="Arial" w:eastAsia="Arial" w:hAnsi="Arial"/>
          <w:sz w:val="15"/>
          <w:szCs w:val="15"/>
          <w:color w:val="auto"/>
        </w:rPr>
        <w:t>Research, development and engineering expenses increased 8.7% for the first three months of fiscal year 2012 as compared to the same period of fiscal year 2011. The increase was primarily related to the general increase in development programs in support of long-term product plans, including increased expenditures for development of our automated whole blood collection system and increased funding of our blood-typing prototype.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1"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During the first three months of fiscal year 2012, selling, general and administrative expenses increased 3.5% compared to the same period of fiscal year 2011. Foreign exchange resulted in an increase in selling, general and administrative expenses of 0.6% during fiscal year 2012. Excluding the impact of foreign exchange, selling, general and administrative expense increased 2.9% for the first quarter, which was attributable to increased investment in our worldwide selling organization. These increases were partly offset by cost reductions from planned savings from the integration of Global Med into our software business and lower expense associated with cash bonus compensation this fiscal year as the Company’s financial results were lower than the financial targets established.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For the three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520"/>
              <w:spacing w:after="0" w:line="117" w:lineRule="exact"/>
              <w:rPr>
                <w:sz w:val="20"/>
                <w:szCs w:val="20"/>
                <w:color w:val="auto"/>
              </w:rPr>
            </w:pPr>
            <w:r>
              <w:rPr>
                <w:rFonts w:ascii="Arial" w:cs="Arial" w:eastAsia="Arial" w:hAnsi="Arial"/>
                <w:sz w:val="13"/>
                <w:szCs w:val="13"/>
                <w:b w:val="1"/>
                <w:bCs w:val="1"/>
                <w:color w:val="auto"/>
              </w:rPr>
              <w:t>July 2,</w:t>
            </w: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58"/>
              <w:spacing w:after="0" w:line="117" w:lineRule="exact"/>
              <w:rPr>
                <w:sz w:val="20"/>
                <w:szCs w:val="20"/>
                <w:color w:val="auto"/>
              </w:rPr>
            </w:pPr>
            <w:r>
              <w:rPr>
                <w:rFonts w:ascii="Arial" w:cs="Arial" w:eastAsia="Arial" w:hAnsi="Arial"/>
                <w:sz w:val="13"/>
                <w:szCs w:val="13"/>
                <w:b w:val="1"/>
                <w:bCs w:val="1"/>
                <w:color w:val="auto"/>
                <w:w w:val="98"/>
              </w:rPr>
              <w:t>July 3,</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080" w:type="dxa"/>
            <w:vAlign w:val="bottom"/>
            <w:gridSpan w:val="3"/>
          </w:tcPr>
          <w:p>
            <w:pPr>
              <w:ind w:left="30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9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(106)</w:t>
            </w:r>
          </w:p>
        </w:tc>
        <w:tc>
          <w:tcPr>
            <w:tcW w:w="4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Total other (expense), income net</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Total other income, net declined for first three months of fiscal year 2012 as compared to the same period of fiscal year 2011, primarily due to an increase in foreign exchange transaction losses on foreign currency denominated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2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17"/>
        </w:trPr>
        <w:tc>
          <w:tcPr>
            <w:tcW w:w="7460" w:type="dxa"/>
            <w:vAlign w:val="bottom"/>
          </w:tcPr>
          <w:p>
            <w:pPr>
              <w:spacing w:after="0"/>
              <w:rPr>
                <w:sz w:val="10"/>
                <w:szCs w:val="10"/>
                <w:color w:val="auto"/>
              </w:rPr>
            </w:pPr>
          </w:p>
        </w:tc>
        <w:tc>
          <w:tcPr>
            <w:tcW w:w="980" w:type="dxa"/>
            <w:vAlign w:val="bottom"/>
          </w:tcPr>
          <w:p>
            <w:pPr>
              <w:ind w:left="280"/>
              <w:spacing w:after="0" w:line="117" w:lineRule="exact"/>
              <w:rPr>
                <w:sz w:val="20"/>
                <w:szCs w:val="20"/>
                <w:color w:val="auto"/>
              </w:rPr>
            </w:pPr>
            <w:r>
              <w:rPr>
                <w:rFonts w:ascii="Arial" w:cs="Arial" w:eastAsia="Arial" w:hAnsi="Arial"/>
                <w:sz w:val="13"/>
                <w:szCs w:val="13"/>
                <w:b w:val="1"/>
                <w:bCs w:val="1"/>
                <w:color w:val="auto"/>
              </w:rPr>
              <w:t>July 2,</w:t>
            </w:r>
          </w:p>
        </w:tc>
        <w:tc>
          <w:tcPr>
            <w:tcW w:w="560" w:type="dxa"/>
            <w:vAlign w:val="bottom"/>
          </w:tcPr>
          <w:p>
            <w:pPr>
              <w:spacing w:after="0"/>
              <w:rPr>
                <w:sz w:val="10"/>
                <w:szCs w:val="10"/>
                <w:color w:val="auto"/>
              </w:rPr>
            </w:pPr>
          </w:p>
        </w:tc>
        <w:tc>
          <w:tcPr>
            <w:tcW w:w="980" w:type="dxa"/>
            <w:vAlign w:val="bottom"/>
          </w:tcPr>
          <w:p>
            <w:pPr>
              <w:ind w:left="300"/>
              <w:spacing w:after="0" w:line="117" w:lineRule="exact"/>
              <w:rPr>
                <w:sz w:val="20"/>
                <w:szCs w:val="20"/>
                <w:color w:val="auto"/>
              </w:rPr>
            </w:pPr>
            <w:r>
              <w:rPr>
                <w:rFonts w:ascii="Arial" w:cs="Arial" w:eastAsia="Arial" w:hAnsi="Arial"/>
                <w:sz w:val="13"/>
                <w:szCs w:val="13"/>
                <w:b w:val="1"/>
                <w:bCs w:val="1"/>
                <w:color w:val="auto"/>
              </w:rPr>
              <w:t>July 3,</w:t>
            </w: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8"/>
        </w:trPr>
        <w:tc>
          <w:tcPr>
            <w:tcW w:w="7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rPr>
              <w:t>2011</w:t>
            </w:r>
          </w:p>
        </w:tc>
        <w:tc>
          <w:tcPr>
            <w:tcW w:w="1540" w:type="dxa"/>
            <w:vAlign w:val="bottom"/>
            <w:gridSpan w:val="2"/>
          </w:tcPr>
          <w:p>
            <w:pPr>
              <w:ind w:left="920"/>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4"/>
                <w:szCs w:val="14"/>
                <w:b w:val="1"/>
                <w:bCs w:val="1"/>
                <w:color w:val="auto"/>
              </w:rPr>
              <w:t>% Increase</w:t>
            </w:r>
          </w:p>
        </w:tc>
      </w:tr>
      <w:tr>
        <w:trPr>
          <w:trHeight w:val="217"/>
        </w:trPr>
        <w:tc>
          <w:tcPr>
            <w:tcW w:w="7460" w:type="dxa"/>
            <w:vAlign w:val="bottom"/>
          </w:tcPr>
          <w:p>
            <w:pPr>
              <w:spacing w:after="0" w:line="204" w:lineRule="exact"/>
              <w:rPr>
                <w:sz w:val="20"/>
                <w:szCs w:val="20"/>
                <w:color w:val="auto"/>
              </w:rPr>
            </w:pPr>
            <w:r>
              <w:rPr>
                <w:rFonts w:ascii="Arial" w:cs="Arial" w:eastAsia="Arial" w:hAnsi="Arial"/>
                <w:sz w:val="18"/>
                <w:szCs w:val="18"/>
                <w:color w:val="auto"/>
              </w:rPr>
              <w:t>Reported income tax rate</w:t>
            </w:r>
          </w:p>
        </w:tc>
        <w:tc>
          <w:tcPr>
            <w:tcW w:w="9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28.5%</w:t>
            </w:r>
          </w:p>
        </w:tc>
        <w:tc>
          <w:tcPr>
            <w:tcW w:w="560" w:type="dxa"/>
            <w:vAlign w:val="bottom"/>
          </w:tcPr>
          <w:p>
            <w:pPr>
              <w:spacing w:after="0"/>
              <w:rPr>
                <w:sz w:val="18"/>
                <w:szCs w:val="18"/>
                <w:color w:val="auto"/>
              </w:rPr>
            </w:pPr>
          </w:p>
        </w:tc>
        <w:tc>
          <w:tcPr>
            <w:tcW w:w="9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26.5%</w:t>
            </w:r>
          </w:p>
        </w:tc>
        <w:tc>
          <w:tcPr>
            <w:tcW w:w="560" w:type="dxa"/>
            <w:vAlign w:val="bottom"/>
          </w:tcPr>
          <w:p>
            <w:pPr>
              <w:spacing w:after="0"/>
              <w:rPr>
                <w:sz w:val="18"/>
                <w:szCs w:val="18"/>
                <w:color w:val="auto"/>
              </w:rPr>
            </w:pPr>
          </w:p>
        </w:tc>
        <w:tc>
          <w:tcPr>
            <w:tcW w:w="880" w:type="dxa"/>
            <w:vAlign w:val="bottom"/>
            <w:tcBorders>
              <w:top w:val="single" w:sz="8" w:color="auto"/>
            </w:tcBorders>
          </w:tcPr>
          <w:p>
            <w:pPr>
              <w:jc w:val="right"/>
              <w:ind w:right="100"/>
              <w:spacing w:after="0"/>
              <w:rPr>
                <w:sz w:val="20"/>
                <w:szCs w:val="20"/>
                <w:color w:val="auto"/>
              </w:rPr>
            </w:pPr>
            <w:r>
              <w:rPr>
                <w:rFonts w:ascii="Arial" w:cs="Arial" w:eastAsia="Arial" w:hAnsi="Arial"/>
                <w:sz w:val="18"/>
                <w:szCs w:val="18"/>
                <w:color w:val="auto"/>
              </w:rPr>
              <w:t>2.0%</w:t>
            </w:r>
          </w:p>
        </w:tc>
      </w:tr>
    </w:tbl>
    <w:p>
      <w:pPr>
        <w:spacing w:after="0" w:line="82"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Company’s reported tax rate was 28.5% for the three month period ended July 2, 2011, and 26.5% for the three month period ended July 3, 2010. Our reported tax rate is lower than the federal statutory tax rate in both periods reported primarily due to lower foreign tax rates, including tax benefits associated with our Swiss operations. The reported tax rate was higher for the three months ended July 2, 2011 as compared to the prior year primarily due to a $0.8 million benefit recorded during the three months ended July 3, 2010 from the release of a foreign reserve as a result of a jurisdictional ruling.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July 2, 2011</w:t>
            </w:r>
          </w:p>
        </w:tc>
        <w:tc>
          <w:tcPr>
            <w:tcW w:w="540" w:type="dxa"/>
            <w:vAlign w:val="bottom"/>
          </w:tcPr>
          <w:p>
            <w:pPr>
              <w:spacing w:after="0"/>
              <w:rPr>
                <w:sz w:val="14"/>
                <w:szCs w:val="14"/>
                <w:color w:val="auto"/>
              </w:rPr>
            </w:pPr>
          </w:p>
        </w:tc>
        <w:tc>
          <w:tcPr>
            <w:tcW w:w="12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April 2, 2011</w:t>
            </w:r>
          </w:p>
        </w:tc>
      </w:tr>
      <w:tr>
        <w:trPr>
          <w:trHeight w:val="205"/>
        </w:trPr>
        <w:tc>
          <w:tcPr>
            <w:tcW w:w="8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&amp; cash equivalents</w:t>
            </w:r>
          </w:p>
        </w:tc>
        <w:tc>
          <w:tcPr>
            <w:tcW w:w="1200" w:type="dxa"/>
            <w:vAlign w:val="bottom"/>
            <w:shd w:val="clear" w:color="auto" w:fill="CCEEFF"/>
          </w:tcPr>
          <w:p>
            <w:pPr>
              <w:jc w:val="right"/>
              <w:ind w:right="214"/>
              <w:spacing w:after="0" w:line="206" w:lineRule="exact"/>
              <w:rPr>
                <w:sz w:val="20"/>
                <w:szCs w:val="20"/>
                <w:color w:val="auto"/>
              </w:rPr>
            </w:pPr>
            <w:r>
              <w:rPr>
                <w:rFonts w:ascii="Arial" w:cs="Arial" w:eastAsia="Arial" w:hAnsi="Arial"/>
                <w:sz w:val="18"/>
                <w:szCs w:val="18"/>
                <w:color w:val="auto"/>
              </w:rPr>
              <w:t>$216,891</w:t>
            </w:r>
          </w:p>
        </w:tc>
        <w:tc>
          <w:tcPr>
            <w:tcW w:w="1780" w:type="dxa"/>
            <w:vAlign w:val="bottom"/>
            <w:gridSpan w:val="2"/>
            <w:shd w:val="clear" w:color="auto" w:fill="CCEEFF"/>
          </w:tcPr>
          <w:p>
            <w:pPr>
              <w:jc w:val="right"/>
              <w:ind w:right="249"/>
              <w:spacing w:after="0" w:line="206" w:lineRule="exact"/>
              <w:rPr>
                <w:sz w:val="20"/>
                <w:szCs w:val="20"/>
                <w:color w:val="auto"/>
              </w:rPr>
            </w:pPr>
            <w:r>
              <w:rPr>
                <w:rFonts w:ascii="Arial" w:cs="Arial" w:eastAsia="Arial" w:hAnsi="Arial"/>
                <w:sz w:val="18"/>
                <w:szCs w:val="18"/>
                <w:color w:val="auto"/>
              </w:rPr>
              <w:t>$196,707</w:t>
            </w:r>
          </w:p>
        </w:tc>
      </w:tr>
      <w:tr>
        <w:trPr>
          <w:trHeight w:val="212"/>
        </w:trPr>
        <w:tc>
          <w:tcPr>
            <w:tcW w:w="8440" w:type="dxa"/>
            <w:vAlign w:val="bottom"/>
          </w:tcPr>
          <w:p>
            <w:pPr>
              <w:spacing w:after="0"/>
              <w:rPr>
                <w:sz w:val="20"/>
                <w:szCs w:val="20"/>
                <w:color w:val="auto"/>
              </w:rPr>
            </w:pPr>
            <w:r>
              <w:rPr>
                <w:rFonts w:ascii="Arial" w:cs="Arial" w:eastAsia="Arial" w:hAnsi="Arial"/>
                <w:sz w:val="18"/>
                <w:szCs w:val="18"/>
                <w:color w:val="auto"/>
              </w:rPr>
              <w:t>Working capital</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$365,250</w:t>
            </w:r>
          </w:p>
        </w:tc>
        <w:tc>
          <w:tcPr>
            <w:tcW w:w="1780" w:type="dxa"/>
            <w:vAlign w:val="bottom"/>
            <w:gridSpan w:val="2"/>
          </w:tcPr>
          <w:p>
            <w:pPr>
              <w:jc w:val="right"/>
              <w:ind w:right="249"/>
              <w:spacing w:after="0"/>
              <w:rPr>
                <w:sz w:val="20"/>
                <w:szCs w:val="20"/>
                <w:color w:val="auto"/>
              </w:rPr>
            </w:pPr>
            <w:r>
              <w:rPr>
                <w:rFonts w:ascii="Arial" w:cs="Arial" w:eastAsia="Arial" w:hAnsi="Arial"/>
                <w:sz w:val="18"/>
                <w:szCs w:val="18"/>
                <w:color w:val="auto"/>
              </w:rPr>
              <w:t>$340,160</w:t>
            </w: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4.5</w:t>
            </w:r>
          </w:p>
        </w:tc>
        <w:tc>
          <w:tcPr>
            <w:tcW w:w="17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4.1</w:t>
            </w:r>
          </w:p>
        </w:tc>
      </w:tr>
      <w:tr>
        <w:trPr>
          <w:trHeight w:val="212"/>
        </w:trPr>
        <w:tc>
          <w:tcPr>
            <w:tcW w:w="8440" w:type="dxa"/>
            <w:vAlign w:val="bottom"/>
          </w:tcPr>
          <w:p>
            <w:pPr>
              <w:spacing w:after="0"/>
              <w:rPr>
                <w:sz w:val="20"/>
                <w:szCs w:val="20"/>
                <w:color w:val="auto"/>
              </w:rPr>
            </w:pPr>
            <w:r>
              <w:rPr>
                <w:rFonts w:ascii="Arial" w:cs="Arial" w:eastAsia="Arial" w:hAnsi="Arial"/>
                <w:sz w:val="18"/>
                <w:szCs w:val="18"/>
                <w:color w:val="auto"/>
              </w:rPr>
              <w:t>Net cash position (1)</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$212,379</w:t>
            </w:r>
          </w:p>
        </w:tc>
        <w:tc>
          <w:tcPr>
            <w:tcW w:w="1780" w:type="dxa"/>
            <w:vAlign w:val="bottom"/>
            <w:gridSpan w:val="2"/>
          </w:tcPr>
          <w:p>
            <w:pPr>
              <w:jc w:val="right"/>
              <w:ind w:right="249"/>
              <w:spacing w:after="0"/>
              <w:rPr>
                <w:sz w:val="20"/>
                <w:szCs w:val="20"/>
                <w:color w:val="auto"/>
              </w:rPr>
            </w:pPr>
            <w:r>
              <w:rPr>
                <w:rFonts w:ascii="Arial" w:cs="Arial" w:eastAsia="Arial" w:hAnsi="Arial"/>
                <w:sz w:val="18"/>
                <w:szCs w:val="18"/>
                <w:color w:val="auto"/>
              </w:rPr>
              <w:t>$191,828</w:t>
            </w: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64</w:t>
            </w:r>
          </w:p>
        </w:tc>
        <w:tc>
          <w:tcPr>
            <w:tcW w:w="17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68</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6.1</w:t>
            </w:r>
          </w:p>
        </w:tc>
        <w:tc>
          <w:tcPr>
            <w:tcW w:w="1780" w:type="dxa"/>
            <w:vAlign w:val="bottom"/>
            <w:gridSpan w:val="2"/>
          </w:tcPr>
          <w:p>
            <w:pPr>
              <w:jc w:val="right"/>
              <w:ind w:right="249"/>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80" w:hanging="47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position is the sum of cash and cash equivalents less total debt.</w:t>
      </w:r>
    </w:p>
    <w:p>
      <w:pPr>
        <w:spacing w:after="0" w:line="111"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and option exercises. We believe these sources are sufficient to fund our cash requirements over the next twelve months, which are primarily capital expenditures, share repurchases under the $50.0 million share repurchase program authorized by the Board of Directors in May 2011, and business development activities.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For the 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July 2, 2011</w:t>
            </w: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rPr>
              <w:t>July 3, 2010</w:t>
            </w:r>
          </w:p>
        </w:tc>
        <w:tc>
          <w:tcPr>
            <w:tcW w:w="3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cash provided by (used in):</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27,131</w:t>
            </w:r>
          </w:p>
        </w:tc>
        <w:tc>
          <w:tcPr>
            <w:tcW w:w="36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13,526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13,605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(11,782)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(15,113)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(54,937)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59,404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20,184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(58,095)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78,279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80" w:right="560" w:hanging="474"/>
        <w:spacing w:after="0" w:line="366"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Net cash provided by operating activities increased by $13.6 million in the first three months of fiscal year 2012 as compared to the first three months of fiscal year 2011, primarily due to lower payments for annual bonuses and restructuring and transformation costs. Payments related to transformation activities also were higher in the prior year due to the timing of our Global Med acquisition, which closed at the end of fiscal year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1"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Net cash used in investing activities decreased by $3.3 million during the first three months of fiscal year 2012 as compared to the first three months of 2011 due to a $3.4 million decrease in capital expenditures on property, plant, and equipment.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In the first three months of fiscal year 2012, financing activities resulted in a use of cash versus generating financing cash flows in fiscal year 2011, resulting in a net change of $59.4 million primarily due to:</w:t>
      </w:r>
    </w:p>
    <w:p>
      <w:pPr>
        <w:spacing w:after="0" w:line="73" w:lineRule="exact"/>
        <w:rPr>
          <w:sz w:val="20"/>
          <w:szCs w:val="20"/>
          <w:color w:val="auto"/>
        </w:rPr>
      </w:pPr>
    </w:p>
    <w:p>
      <w:pPr>
        <w:ind w:left="660" w:right="60" w:hanging="429"/>
        <w:spacing w:after="0" w:line="265"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$50.0 million decrease in cash paid out relating to share repurchases as we completed this share repurchase during the first quarter of the prior year and did not purchase any shares under a new $50.0 million share repurchase in the first quarter of this year; and</w:t>
      </w:r>
    </w:p>
    <w:p>
      <w:pPr>
        <w:spacing w:after="0" w:line="73" w:lineRule="exact"/>
        <w:rPr>
          <w:rFonts w:ascii="Arial" w:cs="Arial" w:eastAsia="Arial" w:hAnsi="Arial"/>
          <w:sz w:val="18"/>
          <w:szCs w:val="18"/>
          <w:b w:val="1"/>
          <w:bCs w:val="1"/>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$9.9 million decrease in net borrowings under short-term revolving credit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1"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During the first three months of fiscal year 2012, approximately 49%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affect on our results of operations and, conversely, whenever the U.S. dollar weakens relative to the Yen or Euro, there is a positive effect on our results of operations. For the Swiss Franc, the British Pound, and the Canadian Dollar,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4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4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85"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Presented below are the spot rates for our Euro, Japanese Yen, Canadian Dollar, British Pound, and Swiss Franc cash flow hedges that settled during fiscal years 2010, 2011, and 2012 or are presently outstanding. These hedges cover our long foreign currency positions that result from our sales designated in Euros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Arial" w:cs="Arial" w:eastAsia="Arial" w:hAnsi="Arial"/>
                <w:sz w:val="14"/>
                <w:szCs w:val="14"/>
                <w:color w:val="auto"/>
              </w:rPr>
              <w:t>First</w:t>
            </w:r>
          </w:p>
        </w:tc>
        <w:tc>
          <w:tcPr>
            <w:tcW w:w="920" w:type="dxa"/>
            <w:vAlign w:val="bottom"/>
          </w:tcPr>
          <w:p>
            <w:pPr>
              <w:jc w:val="right"/>
              <w:ind w:right="114"/>
              <w:spacing w:after="0"/>
              <w:rPr>
                <w:sz w:val="20"/>
                <w:szCs w:val="20"/>
                <w:color w:val="auto"/>
              </w:rPr>
            </w:pPr>
            <w:r>
              <w:rPr>
                <w:rFonts w:ascii="Arial" w:cs="Arial" w:eastAsia="Arial" w:hAnsi="Arial"/>
                <w:sz w:val="14"/>
                <w:szCs w:val="14"/>
                <w:color w:val="auto"/>
                <w:w w:val="99"/>
              </w:rPr>
              <w:t>Favorable /</w:t>
            </w:r>
          </w:p>
        </w:tc>
        <w:tc>
          <w:tcPr>
            <w:tcW w:w="240" w:type="dxa"/>
            <w:vAlign w:val="bottom"/>
          </w:tcPr>
          <w:p>
            <w:pPr>
              <w:spacing w:after="0"/>
              <w:rPr>
                <w:sz w:val="14"/>
                <w:szCs w:val="14"/>
                <w:color w:val="auto"/>
              </w:rPr>
            </w:pPr>
          </w:p>
        </w:tc>
        <w:tc>
          <w:tcPr>
            <w:tcW w:w="980" w:type="dxa"/>
            <w:vAlign w:val="bottom"/>
          </w:tcPr>
          <w:p>
            <w:pPr>
              <w:jc w:val="right"/>
              <w:ind w:right="209"/>
              <w:spacing w:after="0"/>
              <w:rPr>
                <w:sz w:val="20"/>
                <w:szCs w:val="20"/>
                <w:color w:val="auto"/>
              </w:rPr>
            </w:pPr>
            <w:r>
              <w:rPr>
                <w:rFonts w:ascii="Arial" w:cs="Arial" w:eastAsia="Arial" w:hAnsi="Arial"/>
                <w:sz w:val="14"/>
                <w:szCs w:val="14"/>
                <w:color w:val="auto"/>
              </w:rPr>
              <w:t>Second</w:t>
            </w:r>
          </w:p>
        </w:tc>
        <w:tc>
          <w:tcPr>
            <w:tcW w:w="24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Favorable /</w:t>
            </w:r>
          </w:p>
        </w:tc>
        <w:tc>
          <w:tcPr>
            <w:tcW w:w="24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Favorable /</w:t>
            </w:r>
          </w:p>
        </w:tc>
        <w:tc>
          <w:tcPr>
            <w:tcW w:w="24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auto"/>
              </w:rPr>
              <w:t>Fourth</w:t>
            </w:r>
          </w:p>
        </w:tc>
        <w:tc>
          <w:tcPr>
            <w:tcW w:w="24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Favorable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Quarter</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1"/>
              </w:rPr>
              <w:t>(Unfavorable)</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(Unfavorable)</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(Unfavorable)</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(Unfavorable)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4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b w:val="1"/>
                <w:bCs w:val="1"/>
                <w:color w:val="auto"/>
                <w:w w:val="90"/>
              </w:rPr>
              <w:t>Euro — Hedge Spot Rate (US$ per Euro)</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FY10</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gridSpan w:val="2"/>
          </w:tcPr>
          <w:p>
            <w:pPr>
              <w:jc w:val="right"/>
              <w:ind w:right="169"/>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gridSpan w:val="2"/>
          </w:tcPr>
          <w:p>
            <w:pPr>
              <w:jc w:val="right"/>
              <w:ind w:right="149"/>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gridSpan w:val="2"/>
          </w:tcPr>
          <w:p>
            <w:pPr>
              <w:jc w:val="right"/>
              <w:ind w:right="169"/>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2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1.41</w:t>
            </w:r>
          </w:p>
        </w:tc>
        <w:tc>
          <w:tcPr>
            <w:tcW w:w="13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(5.0)%</w:t>
            </w: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1.43</w:t>
            </w:r>
          </w:p>
        </w:tc>
        <w:tc>
          <w:tcPr>
            <w:tcW w:w="13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8.6%</w:t>
            </w:r>
          </w:p>
        </w:tc>
        <w:tc>
          <w:tcPr>
            <w:tcW w:w="11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1.35</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FY12</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220" w:type="dxa"/>
            <w:vAlign w:val="bottom"/>
            <w:gridSpan w:val="2"/>
          </w:tcPr>
          <w:p>
            <w:pPr>
              <w:jc w:val="right"/>
              <w:ind w:right="169"/>
              <w:spacing w:after="0"/>
              <w:rPr>
                <w:sz w:val="20"/>
                <w:szCs w:val="20"/>
                <w:color w:val="auto"/>
              </w:rPr>
            </w:pPr>
            <w:r>
              <w:rPr>
                <w:rFonts w:ascii="Arial" w:cs="Arial" w:eastAsia="Arial" w:hAnsi="Arial"/>
                <w:sz w:val="18"/>
                <w:szCs w:val="18"/>
                <w:color w:val="auto"/>
              </w:rPr>
              <w:t>1.30</w:t>
            </w:r>
          </w:p>
        </w:tc>
        <w:tc>
          <w:tcPr>
            <w:tcW w:w="1300" w:type="dxa"/>
            <w:vAlign w:val="bottom"/>
            <w:gridSpan w:val="2"/>
          </w:tcPr>
          <w:p>
            <w:pPr>
              <w:jc w:val="right"/>
              <w:ind w:right="69"/>
              <w:spacing w:after="0"/>
              <w:rPr>
                <w:sz w:val="20"/>
                <w:szCs w:val="20"/>
                <w:color w:val="auto"/>
              </w:rPr>
            </w:pPr>
            <w:r>
              <w:rPr>
                <w:rFonts w:ascii="Arial" w:cs="Arial" w:eastAsia="Arial" w:hAnsi="Arial"/>
                <w:sz w:val="18"/>
                <w:szCs w:val="18"/>
                <w:color w:val="auto"/>
              </w:rPr>
              <w:t>(8.0)%</w:t>
            </w:r>
          </w:p>
        </w:tc>
        <w:tc>
          <w:tcPr>
            <w:tcW w:w="1100" w:type="dxa"/>
            <w:vAlign w:val="bottom"/>
            <w:gridSpan w:val="2"/>
          </w:tcPr>
          <w:p>
            <w:pPr>
              <w:jc w:val="right"/>
              <w:ind w:right="149"/>
              <w:spacing w:after="0"/>
              <w:rPr>
                <w:sz w:val="20"/>
                <w:szCs w:val="20"/>
                <w:color w:val="auto"/>
              </w:rPr>
            </w:pPr>
            <w:r>
              <w:rPr>
                <w:rFonts w:ascii="Arial" w:cs="Arial" w:eastAsia="Arial" w:hAnsi="Arial"/>
                <w:sz w:val="18"/>
                <w:szCs w:val="18"/>
                <w:color w:val="auto"/>
              </w:rPr>
              <w:t>1.36</w:t>
            </w:r>
          </w:p>
        </w:tc>
        <w:tc>
          <w:tcPr>
            <w:tcW w:w="1300" w:type="dxa"/>
            <w:vAlign w:val="bottom"/>
            <w:gridSpan w:val="2"/>
          </w:tcPr>
          <w:p>
            <w:pPr>
              <w:jc w:val="right"/>
              <w:ind w:right="49"/>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169"/>
              <w:spacing w:after="0"/>
              <w:rPr>
                <w:sz w:val="20"/>
                <w:szCs w:val="20"/>
                <w:color w:val="auto"/>
              </w:rPr>
            </w:pPr>
            <w:r>
              <w:rPr>
                <w:rFonts w:ascii="Arial" w:cs="Arial" w:eastAsia="Arial" w:hAnsi="Arial"/>
                <w:sz w:val="18"/>
                <w:szCs w:val="18"/>
                <w:color w:val="auto"/>
              </w:rPr>
              <w:t>1.35</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FY13</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080" w:type="dxa"/>
            <w:vAlign w:val="bottom"/>
            <w:gridSpan w:val="6"/>
          </w:tcPr>
          <w:p>
            <w:pPr>
              <w:spacing w:after="0"/>
              <w:rPr>
                <w:sz w:val="20"/>
                <w:szCs w:val="20"/>
                <w:color w:val="auto"/>
              </w:rPr>
            </w:pPr>
            <w:r>
              <w:rPr>
                <w:rFonts w:ascii="Arial" w:cs="Arial" w:eastAsia="Arial" w:hAnsi="Arial"/>
                <w:sz w:val="18"/>
                <w:szCs w:val="18"/>
                <w:b w:val="1"/>
                <w:bCs w:val="1"/>
                <w:color w:val="auto"/>
                <w:w w:val="97"/>
              </w:rPr>
              <w:t>Japanese Yen — Hedge Spot Rate (JPY per US$)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105.28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105.11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96.38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93.50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FY11</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98.17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jc w:val="right"/>
              <w:ind w:right="169"/>
              <w:spacing w:after="0"/>
              <w:rPr>
                <w:sz w:val="20"/>
                <w:szCs w:val="20"/>
                <w:color w:val="auto"/>
              </w:rPr>
            </w:pPr>
            <w:r>
              <w:rPr>
                <w:rFonts w:ascii="Arial" w:cs="Arial" w:eastAsia="Arial" w:hAnsi="Arial"/>
                <w:sz w:val="18"/>
                <w:szCs w:val="18"/>
                <w:color w:val="auto"/>
              </w:rPr>
              <w:t>94.91</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9.7%</w:t>
            </w:r>
          </w:p>
        </w:tc>
        <w:tc>
          <w:tcPr>
            <w:tcW w:w="1100" w:type="dxa"/>
            <w:vAlign w:val="bottom"/>
            <w:gridSpan w:val="2"/>
          </w:tcPr>
          <w:p>
            <w:pPr>
              <w:jc w:val="right"/>
              <w:ind w:right="149"/>
              <w:spacing w:after="0"/>
              <w:rPr>
                <w:sz w:val="20"/>
                <w:szCs w:val="20"/>
                <w:color w:val="auto"/>
              </w:rPr>
            </w:pPr>
            <w:r>
              <w:rPr>
                <w:rFonts w:ascii="Arial" w:cs="Arial" w:eastAsia="Arial" w:hAnsi="Arial"/>
                <w:sz w:val="18"/>
                <w:szCs w:val="18"/>
                <w:color w:val="auto"/>
              </w:rPr>
              <w:t>89.13</w:t>
            </w:r>
          </w:p>
        </w:tc>
        <w:tc>
          <w:tcPr>
            <w:tcW w:w="1300" w:type="dxa"/>
            <w:vAlign w:val="bottom"/>
            <w:gridSpan w:val="2"/>
          </w:tcPr>
          <w:p>
            <w:pPr>
              <w:jc w:val="right"/>
              <w:ind w:right="109"/>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169"/>
              <w:spacing w:after="0"/>
              <w:rPr>
                <w:sz w:val="20"/>
                <w:szCs w:val="20"/>
                <w:color w:val="auto"/>
              </w:rPr>
            </w:pPr>
            <w:r>
              <w:rPr>
                <w:rFonts w:ascii="Arial" w:cs="Arial" w:eastAsia="Arial" w:hAnsi="Arial"/>
                <w:sz w:val="18"/>
                <w:szCs w:val="18"/>
                <w:color w:val="auto"/>
              </w:rPr>
              <w:t>89.78</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88.99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9.4%</w:t>
            </w:r>
          </w:p>
        </w:tc>
        <w:tc>
          <w:tcPr>
            <w:tcW w:w="12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85.65</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9.8%</w:t>
            </w: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81.73</w:t>
            </w:r>
          </w:p>
        </w:tc>
        <w:tc>
          <w:tcPr>
            <w:tcW w:w="13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8.3%</w:t>
            </w:r>
          </w:p>
        </w:tc>
        <w:tc>
          <w:tcPr>
            <w:tcW w:w="11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82.45</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FY13</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81.13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2"/>
              </w:rPr>
              <w:t>Canadian Dollar — Hedge Spot Rate (CAD per US$)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FY10</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gridSpan w:val="2"/>
          </w:tcPr>
          <w:p>
            <w:pPr>
              <w:jc w:val="right"/>
              <w:ind w:right="169"/>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gridSpan w:val="2"/>
          </w:tcPr>
          <w:p>
            <w:pPr>
              <w:jc w:val="right"/>
              <w:ind w:right="149"/>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gridSpan w:val="2"/>
          </w:tcPr>
          <w:p>
            <w:pPr>
              <w:jc w:val="right"/>
              <w:ind w:right="169"/>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2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1.09</w:t>
            </w:r>
          </w:p>
        </w:tc>
        <w:tc>
          <w:tcPr>
            <w:tcW w:w="13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(3.0)%</w:t>
            </w: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1.07</w:t>
            </w:r>
          </w:p>
        </w:tc>
        <w:tc>
          <w:tcPr>
            <w:tcW w:w="13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1.03</w:t>
            </w:r>
          </w:p>
        </w:tc>
        <w:tc>
          <w:tcPr>
            <w:tcW w:w="13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FY12</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169"/>
              <w:spacing w:after="0"/>
              <w:rPr>
                <w:sz w:val="20"/>
                <w:szCs w:val="20"/>
                <w:color w:val="auto"/>
              </w:rPr>
            </w:pPr>
            <w:r>
              <w:rPr>
                <w:rFonts w:ascii="Arial" w:cs="Arial" w:eastAsia="Arial" w:hAnsi="Arial"/>
                <w:sz w:val="18"/>
                <w:szCs w:val="18"/>
                <w:color w:val="auto"/>
              </w:rPr>
              <w:t>1.03</w:t>
            </w:r>
          </w:p>
        </w:tc>
        <w:tc>
          <w:tcPr>
            <w:tcW w:w="1300" w:type="dxa"/>
            <w:vAlign w:val="bottom"/>
            <w:gridSpan w:val="2"/>
          </w:tcPr>
          <w:p>
            <w:pPr>
              <w:jc w:val="right"/>
              <w:ind w:right="69"/>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jc w:val="right"/>
              <w:ind w:right="149"/>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49"/>
              <w:spacing w:after="0"/>
              <w:rPr>
                <w:sz w:val="20"/>
                <w:szCs w:val="20"/>
                <w:color w:val="auto"/>
              </w:rPr>
            </w:pPr>
            <w:r>
              <w:rPr>
                <w:rFonts w:ascii="Arial" w:cs="Arial" w:eastAsia="Arial" w:hAnsi="Arial"/>
                <w:sz w:val="18"/>
                <w:szCs w:val="18"/>
                <w:color w:val="auto"/>
              </w:rPr>
              <w:t>(5.8)%</w:t>
            </w:r>
          </w:p>
        </w:tc>
        <w:tc>
          <w:tcPr>
            <w:tcW w:w="1120" w:type="dxa"/>
            <w:vAlign w:val="bottom"/>
            <w:gridSpan w:val="2"/>
          </w:tcPr>
          <w:p>
            <w:pPr>
              <w:jc w:val="right"/>
              <w:ind w:right="169"/>
              <w:spacing w:after="0"/>
              <w:rPr>
                <w:sz w:val="20"/>
                <w:szCs w:val="20"/>
                <w:color w:val="auto"/>
              </w:rPr>
            </w:pPr>
            <w:r>
              <w:rPr>
                <w:rFonts w:ascii="Arial" w:cs="Arial" w:eastAsia="Arial" w:hAnsi="Arial"/>
                <w:sz w:val="18"/>
                <w:szCs w:val="18"/>
                <w:color w:val="auto"/>
              </w:rPr>
              <w:t>0.99</w:t>
            </w:r>
          </w:p>
        </w:tc>
        <w:tc>
          <w:tcPr>
            <w:tcW w:w="1300" w:type="dxa"/>
            <w:vAlign w:val="bottom"/>
            <w:gridSpan w:val="2"/>
          </w:tcPr>
          <w:p>
            <w:pPr>
              <w:jc w:val="right"/>
              <w:ind w:right="6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FY13</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080" w:type="dxa"/>
            <w:vAlign w:val="bottom"/>
            <w:gridSpan w:val="6"/>
          </w:tcPr>
          <w:p>
            <w:pPr>
              <w:spacing w:after="0"/>
              <w:rPr>
                <w:sz w:val="20"/>
                <w:szCs w:val="20"/>
                <w:color w:val="auto"/>
              </w:rPr>
            </w:pPr>
            <w:r>
              <w:rPr>
                <w:rFonts w:ascii="Arial" w:cs="Arial" w:eastAsia="Arial" w:hAnsi="Arial"/>
                <w:sz w:val="18"/>
                <w:szCs w:val="18"/>
                <w:b w:val="1"/>
                <w:bCs w:val="1"/>
                <w:color w:val="auto"/>
                <w:w w:val="96"/>
              </w:rPr>
              <w:t>British Pound — Hedge Spot Rate (US$ per GBP)</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FY11</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20" w:type="dxa"/>
            <w:vAlign w:val="bottom"/>
            <w:gridSpan w:val="2"/>
          </w:tcPr>
          <w:p>
            <w:pPr>
              <w:jc w:val="right"/>
              <w:ind w:right="169"/>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69"/>
              <w:spacing w:after="0"/>
              <w:rPr>
                <w:sz w:val="20"/>
                <w:szCs w:val="20"/>
                <w:color w:val="auto"/>
              </w:rPr>
            </w:pPr>
            <w:r>
              <w:rPr>
                <w:rFonts w:ascii="Arial" w:cs="Arial" w:eastAsia="Arial" w:hAnsi="Arial"/>
                <w:sz w:val="18"/>
                <w:szCs w:val="18"/>
                <w:color w:val="auto"/>
              </w:rPr>
              <w:t>(14.5)%</w:t>
            </w:r>
          </w:p>
        </w:tc>
        <w:tc>
          <w:tcPr>
            <w:tcW w:w="1100" w:type="dxa"/>
            <w:vAlign w:val="bottom"/>
            <w:gridSpan w:val="2"/>
          </w:tcPr>
          <w:p>
            <w:pPr>
              <w:jc w:val="right"/>
              <w:ind w:right="149"/>
              <w:spacing w:after="0"/>
              <w:rPr>
                <w:sz w:val="20"/>
                <w:szCs w:val="20"/>
                <w:color w:val="auto"/>
              </w:rPr>
            </w:pPr>
            <w:r>
              <w:rPr>
                <w:rFonts w:ascii="Arial" w:cs="Arial" w:eastAsia="Arial" w:hAnsi="Arial"/>
                <w:sz w:val="18"/>
                <w:szCs w:val="18"/>
                <w:color w:val="auto"/>
              </w:rPr>
              <w:t>1.63</w:t>
            </w:r>
          </w:p>
        </w:tc>
        <w:tc>
          <w:tcPr>
            <w:tcW w:w="1300" w:type="dxa"/>
            <w:vAlign w:val="bottom"/>
            <w:gridSpan w:val="2"/>
          </w:tcPr>
          <w:p>
            <w:pPr>
              <w:jc w:val="right"/>
              <w:ind w:right="49"/>
              <w:spacing w:after="0"/>
              <w:rPr>
                <w:sz w:val="20"/>
                <w:szCs w:val="20"/>
                <w:color w:val="auto"/>
              </w:rPr>
            </w:pPr>
            <w:r>
              <w:rPr>
                <w:rFonts w:ascii="Arial" w:cs="Arial" w:eastAsia="Arial" w:hAnsi="Arial"/>
                <w:sz w:val="18"/>
                <w:szCs w:val="18"/>
                <w:color w:val="auto"/>
              </w:rPr>
              <w:t>(14.7)%</w:t>
            </w:r>
          </w:p>
        </w:tc>
        <w:tc>
          <w:tcPr>
            <w:tcW w:w="1120" w:type="dxa"/>
            <w:vAlign w:val="bottom"/>
            <w:gridSpan w:val="2"/>
          </w:tcPr>
          <w:p>
            <w:pPr>
              <w:jc w:val="right"/>
              <w:ind w:right="169"/>
              <w:spacing w:after="0"/>
              <w:rPr>
                <w:sz w:val="20"/>
                <w:szCs w:val="20"/>
                <w:color w:val="auto"/>
              </w:rPr>
            </w:pPr>
            <w:r>
              <w:rPr>
                <w:rFonts w:ascii="Arial" w:cs="Arial" w:eastAsia="Arial" w:hAnsi="Arial"/>
                <w:sz w:val="18"/>
                <w:szCs w:val="18"/>
                <w:color w:val="auto"/>
              </w:rPr>
              <w:t>1.59</w:t>
            </w:r>
          </w:p>
        </w:tc>
        <w:tc>
          <w:tcPr>
            <w:tcW w:w="1300" w:type="dxa"/>
            <w:vAlign w:val="bottom"/>
            <w:gridSpan w:val="2"/>
          </w:tcPr>
          <w:p>
            <w:pPr>
              <w:jc w:val="right"/>
              <w:ind w:right="69"/>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1.54</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6.8%</w:t>
            </w: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1.57</w:t>
            </w:r>
          </w:p>
        </w:tc>
        <w:tc>
          <w:tcPr>
            <w:tcW w:w="13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3.6%</w:t>
            </w:r>
          </w:p>
        </w:tc>
        <w:tc>
          <w:tcPr>
            <w:tcW w:w="11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1.54</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FY13</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9"/>
              </w:rPr>
              <w:t>Swiss Franc — Hedge Spot Rate (CHF per US$)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gridSpan w:val="2"/>
          </w:tcPr>
          <w:p>
            <w:pPr>
              <w:jc w:val="right"/>
              <w:ind w:right="169"/>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gridSpan w:val="2"/>
          </w:tcPr>
          <w:p>
            <w:pPr>
              <w:jc w:val="right"/>
              <w:ind w:right="149"/>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gridSpan w:val="2"/>
          </w:tcPr>
          <w:p>
            <w:pPr>
              <w:jc w:val="right"/>
              <w:ind w:right="169"/>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1.01</w:t>
            </w:r>
          </w:p>
        </w:tc>
        <w:tc>
          <w:tcPr>
            <w:tcW w:w="13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(3.6)%</w:t>
            </w: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0.96</w:t>
            </w:r>
          </w:p>
        </w:tc>
        <w:tc>
          <w:tcPr>
            <w:tcW w:w="13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0.92</w:t>
            </w:r>
          </w:p>
        </w:tc>
        <w:tc>
          <w:tcPr>
            <w:tcW w:w="13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FY13</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80" w:hanging="474"/>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 xml:space="preserve">In May 2011, the FASB issued Accounting Standards Update No. 2011-04, </w:t>
      </w:r>
      <w:r>
        <w:rPr>
          <w:rFonts w:ascii="Arial" w:cs="Arial" w:eastAsia="Arial" w:hAnsi="Arial"/>
          <w:sz w:val="17"/>
          <w:szCs w:val="17"/>
          <w:i w:val="1"/>
          <w:iCs w:val="1"/>
          <w:color w:val="auto"/>
        </w:rPr>
        <w:t>Fair Value Measurement (Topic 820): Amendments to Achieve Common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and Disclosure Requirements in U.S. GAAP and IFRSs. </w:t>
      </w:r>
      <w:r>
        <w:rPr>
          <w:rFonts w:ascii="Arial" w:cs="Arial" w:eastAsia="Arial" w:hAnsi="Arial"/>
          <w:sz w:val="17"/>
          <w:szCs w:val="17"/>
          <w:color w:val="auto"/>
        </w:rPr>
        <w:t>Update No. 2011-04 updates the accounting guidance related to fair value measurements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that results in a consistent definition of fair value and common requirements for measurement of and disclosure about fair value between U.S. GAAP and International Financial Reporting Standards (IFRS). The updated guidance is effective for interim and annual periods beginning after December 15, 2011. Early application is not permitted. We are currently evaluating the potential impact of Update No. 2011-04 on our consolidated financial statements. This statement is effective for our fourth quarter of fiscal year 2012.</w:t>
      </w:r>
    </w:p>
    <w:p>
      <w:pPr>
        <w:spacing w:after="0" w:line="7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Comprehensive Income (Topic 220): Presentation of Comprehensive Income</w:t>
      </w:r>
      <w:r>
        <w:rPr>
          <w:rFonts w:ascii="Arial" w:cs="Arial" w:eastAsia="Arial" w:hAnsi="Arial"/>
          <w:sz w:val="17"/>
          <w:szCs w:val="17"/>
          <w:color w:val="auto"/>
        </w:rPr>
        <w:t>. Update No. 2011-05 updates the disclosure requirements for comprehensive income to include total of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This statement is effective in our first quarter of fiscal year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1"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 xml:space="preserve">In October 2009, the FASB issued Accounting Standards Update No. 2009-13, </w:t>
      </w:r>
      <w:r>
        <w:rPr>
          <w:rFonts w:ascii="Arial" w:cs="Arial" w:eastAsia="Arial" w:hAnsi="Arial"/>
          <w:sz w:val="15"/>
          <w:szCs w:val="15"/>
          <w:i w:val="1"/>
          <w:iCs w:val="1"/>
          <w:color w:val="auto"/>
        </w:rPr>
        <w:t>Revenue Recognition (Topic 605): Multiple-Deliverable Revenue Arrangements</w:t>
      </w:r>
      <w:r>
        <w:rPr>
          <w:rFonts w:ascii="Arial" w:cs="Arial" w:eastAsia="Arial" w:hAnsi="Arial"/>
          <w:sz w:val="15"/>
          <w:szCs w:val="15"/>
          <w:color w:val="auto"/>
        </w:rPr>
        <w:t xml:space="preserve">, and Accounting Standards Update No. 2009-14, </w:t>
      </w:r>
      <w:r>
        <w:rPr>
          <w:rFonts w:ascii="Arial" w:cs="Arial" w:eastAsia="Arial" w:hAnsi="Arial"/>
          <w:sz w:val="15"/>
          <w:szCs w:val="15"/>
          <w:i w:val="1"/>
          <w:iCs w:val="1"/>
          <w:color w:val="auto"/>
        </w:rPr>
        <w:t>Software (Topic 985): Certain Revenue Arrangements That Include Software</w:t>
      </w:r>
      <w:r>
        <w:rPr>
          <w:rFonts w:ascii="Arial" w:cs="Arial" w:eastAsia="Arial" w:hAnsi="Arial"/>
          <w:sz w:val="15"/>
          <w:szCs w:val="15"/>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also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allocate arrangement consideration using the relative selling price method. The Updates also include new disclosure requirements on how the application of the relative selling price method affects the timing and amount of revenue recognition. On April 3, 2011, the Company adopted this guidance, which did not have a material impact on our financial position and results of operations.</w:t>
      </w:r>
    </w:p>
    <w:p>
      <w:pPr>
        <w:spacing w:after="0" w:line="268"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 xml:space="preserve">In December 2010, the FASB issued Accounting Standards Update No. 2010-29, </w:t>
      </w:r>
      <w:r>
        <w:rPr>
          <w:rFonts w:ascii="Arial" w:cs="Arial" w:eastAsia="Arial" w:hAnsi="Arial"/>
          <w:sz w:val="17"/>
          <w:szCs w:val="17"/>
          <w:i w:val="1"/>
          <w:iCs w:val="1"/>
          <w:color w:val="auto"/>
        </w:rPr>
        <w:t>Business Combinations (Topic 805): Disclosure of Supplementary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for Business Combinations</w:t>
      </w:r>
      <w:r>
        <w:rPr>
          <w:rFonts w:ascii="Arial" w:cs="Arial" w:eastAsia="Arial" w:hAnsi="Arial"/>
          <w:sz w:val="17"/>
          <w:szCs w:val="17"/>
          <w:color w:val="auto"/>
        </w:rPr>
        <w:t>. Update No. 2010-29 clarifies paragraph 805-10-50-2(h) to require public entities that enter into 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material on an individual or aggregate basis to disclose pro forma information for such business combinations that occurred in the current reporting period, including pro forma revenue and earnings of the combined entity as though the acquisition date had been as of the beginning of the comparable prior annual reporting period only. We did not complete any material business acquisitions during the three months ended July 2, 2011 thus the disclosure requirements were not applicable for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17"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w:t>
      </w:r>
    </w:p>
    <w:p>
      <w:pPr>
        <w:sectPr>
          <w:pgSz w:w="11900" w:h="16838" w:orient="portrait"/>
          <w:cols w:equalWidth="0" w:num="1">
            <w:col w:w="11420"/>
          </w:cols>
          <w:pgMar w:left="240" w:top="413" w:right="239" w:bottom="0" w:gutter="0" w:footer="0" w:header="0"/>
        </w:sectPr>
      </w:pPr>
    </w:p>
    <w:bookmarkStart w:id="24" w:name="page25"/>
    <w:bookmarkEnd w:id="24"/>
    <w:p>
      <w:pPr>
        <w:spacing w:after="0" w:line="302" w:lineRule="auto"/>
        <w:rPr>
          <w:sz w:val="20"/>
          <w:szCs w:val="20"/>
          <w:color w:val="auto"/>
        </w:rPr>
      </w:pPr>
      <w:r>
        <w:rPr>
          <w:rFonts w:ascii="Arial" w:cs="Arial" w:eastAsia="Arial" w:hAnsi="Arial"/>
          <w:sz w:val="15"/>
          <w:szCs w:val="15"/>
          <w:color w:val="auto"/>
        </w:rPr>
        <w:t>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 See the “Risk Factors” and “Management’s Discussion and Analysis of Financial Condition and Results of Operations” sections contained elsewhere in this report, as well as our Annual Report on Form 10-K for the fiscal year ended April 2, 2011.</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w:t>
      </w:r>
      <w:r>
        <w:rPr>
          <w:rFonts w:ascii="Arial" w:cs="Arial" w:eastAsia="Arial" w:hAnsi="Arial"/>
          <w:sz w:val="11"/>
          <w:szCs w:val="11"/>
          <w:b w:val="1"/>
          <w:bCs w:val="1"/>
          <w:color w:val="auto"/>
        </w:rPr>
        <w:t>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1"/>
          <w:szCs w:val="11"/>
          <w:b w:val="1"/>
          <w:bCs w:val="1"/>
          <w:i w:val="1"/>
          <w:iCs w:val="1"/>
          <w:color w:val="auto"/>
        </w:rPr>
        <w:t>OREIGN EXCHANGE RISK</w:t>
      </w:r>
    </w:p>
    <w:p>
      <w:pPr>
        <w:spacing w:after="0" w:line="11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July 2, 2011, we had the following significant foreign exchange contracts to hedge the anticipated cash flows from forecasted foreign currency denominated sales outstanding. The contracts have been organized into maturity groups and the related quarter that we expect the hedge contract to affect our earnings.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Hedged</w:t>
            </w:r>
          </w:p>
        </w:tc>
        <w:tc>
          <w:tcPr>
            <w:tcW w:w="160" w:type="dxa"/>
            <w:vAlign w:val="bottom"/>
          </w:tcPr>
          <w:p>
            <w:pPr>
              <w:spacing w:after="0"/>
              <w:rPr>
                <w:sz w:val="12"/>
                <w:szCs w:val="12"/>
                <w:color w:val="auto"/>
              </w:rPr>
            </w:pPr>
          </w:p>
        </w:tc>
        <w:tc>
          <w:tcPr>
            <w:tcW w:w="212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(BUY) / SELL</w:t>
            </w:r>
          </w:p>
        </w:tc>
        <w:tc>
          <w:tcPr>
            <w:tcW w:w="15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Weighted Spot</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32"/>
              <w:spacing w:after="0"/>
              <w:rPr>
                <w:sz w:val="20"/>
                <w:szCs w:val="20"/>
                <w:color w:val="auto"/>
              </w:rPr>
            </w:pPr>
            <w:r>
              <w:rPr>
                <w:rFonts w:ascii="Arial" w:cs="Arial" w:eastAsia="Arial" w:hAnsi="Arial"/>
                <w:sz w:val="14"/>
                <w:szCs w:val="14"/>
                <w:b w:val="1"/>
                <w:bCs w:val="1"/>
                <w:color w:val="auto"/>
                <w:w w:val="94"/>
              </w:rPr>
              <w:t>Weighted Forward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gridSpan w:val="3"/>
          </w:tcPr>
          <w:p>
            <w:pPr>
              <w:jc w:val="center"/>
              <w:ind w:right="80"/>
              <w:spacing w:after="0" w:line="146"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Maturity</w:t>
            </w:r>
          </w:p>
        </w:tc>
        <w:tc>
          <w:tcPr>
            <w:tcW w:w="9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Local Currency</w:t>
            </w:r>
          </w:p>
        </w:tc>
        <w:tc>
          <w:tcPr>
            <w:tcW w:w="660" w:type="dxa"/>
            <w:vAlign w:val="bottom"/>
          </w:tcPr>
          <w:p>
            <w:pPr>
              <w:spacing w:after="0"/>
              <w:rPr>
                <w:sz w:val="14"/>
                <w:szCs w:val="14"/>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Contract Rate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93"/>
              </w:rPr>
              <w:t>Contract Rate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Gain / (Loss)</w:t>
            </w:r>
          </w:p>
        </w:tc>
        <w:tc>
          <w:tcPr>
            <w:tcW w:w="64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Euro</w:t>
            </w:r>
          </w:p>
        </w:tc>
        <w:tc>
          <w:tcPr>
            <w:tcW w:w="16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7,443,400</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1.307</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3"/>
              <w:spacing w:after="0" w:line="206" w:lineRule="exact"/>
              <w:rPr>
                <w:sz w:val="20"/>
                <w:szCs w:val="20"/>
                <w:color w:val="auto"/>
              </w:rPr>
            </w:pPr>
            <w:r>
              <w:rPr>
                <w:rFonts w:ascii="Arial" w:cs="Arial" w:eastAsia="Arial" w:hAnsi="Arial"/>
                <w:sz w:val="18"/>
                <w:szCs w:val="18"/>
                <w:color w:val="auto"/>
              </w:rPr>
              <w:t>1.305</w:t>
            </w:r>
          </w:p>
        </w:tc>
        <w:tc>
          <w:tcPr>
            <w:tcW w:w="6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580"/>
              <w:spacing w:after="0" w:line="206" w:lineRule="exact"/>
              <w:rPr>
                <w:sz w:val="20"/>
                <w:szCs w:val="20"/>
                <w:color w:val="auto"/>
              </w:rPr>
            </w:pPr>
            <w:r>
              <w:rPr>
                <w:rFonts w:ascii="Arial" w:cs="Arial" w:eastAsia="Arial" w:hAnsi="Arial"/>
                <w:sz w:val="18"/>
                <w:szCs w:val="18"/>
                <w:color w:val="auto"/>
              </w:rPr>
              <w:t>(1,003,403)</w:t>
            </w:r>
          </w:p>
        </w:tc>
        <w:tc>
          <w:tcPr>
            <w:tcW w:w="1920" w:type="dxa"/>
            <w:vAlign w:val="bottom"/>
            <w:gridSpan w:val="2"/>
            <w:shd w:val="clear" w:color="auto" w:fill="CCEEFF"/>
          </w:tcPr>
          <w:p>
            <w:pPr>
              <w:jc w:val="center"/>
              <w:spacing w:after="0" w:line="206" w:lineRule="exact"/>
              <w:rPr>
                <w:sz w:val="20"/>
                <w:szCs w:val="20"/>
                <w:color w:val="auto"/>
              </w:rPr>
            </w:pPr>
            <w:r>
              <w:rPr>
                <w:rFonts w:ascii="Arial" w:cs="Arial" w:eastAsia="Arial" w:hAnsi="Arial"/>
                <w:sz w:val="18"/>
                <w:szCs w:val="18"/>
                <w:color w:val="auto"/>
                <w:w w:val="88"/>
              </w:rPr>
              <w:t>Jun 2011 - Aug 2011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80"/>
              <w:spacing w:after="0" w:line="206" w:lineRule="exact"/>
              <w:rPr>
                <w:sz w:val="20"/>
                <w:szCs w:val="20"/>
                <w:color w:val="auto"/>
              </w:rPr>
            </w:pPr>
            <w:r>
              <w:rPr>
                <w:rFonts w:ascii="Arial" w:cs="Arial" w:eastAsia="Arial" w:hAnsi="Arial"/>
                <w:sz w:val="18"/>
                <w:szCs w:val="18"/>
                <w:color w:val="auto"/>
                <w:w w:val="99"/>
              </w:rPr>
              <w:t>Q2 FY12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Euro</w:t>
            </w:r>
          </w:p>
        </w:tc>
        <w:tc>
          <w:tcPr>
            <w:tcW w:w="2280" w:type="dxa"/>
            <w:vAlign w:val="bottom"/>
            <w:gridSpan w:val="3"/>
          </w:tcPr>
          <w:p>
            <w:pPr>
              <w:jc w:val="right"/>
              <w:ind w:right="660"/>
              <w:spacing w:after="0"/>
              <w:rPr>
                <w:sz w:val="20"/>
                <w:szCs w:val="20"/>
                <w:color w:val="auto"/>
              </w:rPr>
            </w:pPr>
            <w:r>
              <w:rPr>
                <w:rFonts w:ascii="Arial" w:cs="Arial" w:eastAsia="Arial" w:hAnsi="Arial"/>
                <w:sz w:val="18"/>
                <w:szCs w:val="18"/>
                <w:color w:val="auto"/>
              </w:rPr>
              <w:t>10,267,000</w:t>
            </w:r>
          </w:p>
        </w:tc>
        <w:tc>
          <w:tcPr>
            <w:tcW w:w="740" w:type="dxa"/>
            <w:vAlign w:val="bottom"/>
          </w:tcPr>
          <w:p>
            <w:pPr>
              <w:jc w:val="right"/>
              <w:spacing w:after="0"/>
              <w:rPr>
                <w:sz w:val="20"/>
                <w:szCs w:val="20"/>
                <w:color w:val="auto"/>
              </w:rPr>
            </w:pPr>
            <w:r>
              <w:rPr>
                <w:rFonts w:ascii="Arial" w:cs="Arial" w:eastAsia="Arial" w:hAnsi="Arial"/>
                <w:sz w:val="18"/>
                <w:szCs w:val="18"/>
                <w:color w:val="auto"/>
              </w:rPr>
              <w:t>1.362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1.356</w:t>
            </w:r>
          </w:p>
        </w:tc>
        <w:tc>
          <w:tcPr>
            <w:tcW w:w="6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(812,445)</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6"/>
              </w:rPr>
              <w:t>Sep 2011 - Nov 2011</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Q3 FY12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10,732,156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1.361</w:t>
            </w: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(736,573)</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Dec 2011 - Feb 2012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Q4 FY12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Euro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6,252,000</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1.417</w:t>
            </w:r>
          </w:p>
        </w:tc>
        <w:tc>
          <w:tcPr>
            <w:tcW w:w="6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(70,839)</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Mar 2012 - Apr 2012</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Q1 FY13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1,060,013,000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84.896</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per 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84.464</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(572,915)</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Jun 2011 - Aug 2011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Q2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2"/>
          </w:tcPr>
          <w:p>
            <w:pPr>
              <w:jc w:val="center"/>
              <w:ind w:right="60"/>
              <w:spacing w:after="0" w:line="200" w:lineRule="exact"/>
              <w:rPr>
                <w:sz w:val="20"/>
                <w:szCs w:val="20"/>
                <w:color w:val="auto"/>
              </w:rPr>
            </w:pPr>
            <w:r>
              <w:rPr>
                <w:rFonts w:ascii="Arial" w:cs="Arial" w:eastAsia="Arial" w:hAnsi="Arial"/>
                <w:sz w:val="18"/>
                <w:szCs w:val="18"/>
                <w:color w:val="auto"/>
                <w:w w:val="84"/>
              </w:rPr>
              <w:t>per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20" w:type="dxa"/>
            <w:vAlign w:val="bottom"/>
            <w:gridSpan w:val="2"/>
          </w:tcPr>
          <w:p>
            <w:pPr>
              <w:spacing w:after="0"/>
              <w:rPr>
                <w:sz w:val="20"/>
                <w:szCs w:val="20"/>
                <w:color w:val="auto"/>
              </w:rPr>
            </w:pPr>
            <w:r>
              <w:rPr>
                <w:rFonts w:ascii="Arial" w:cs="Arial" w:eastAsia="Arial" w:hAnsi="Arial"/>
                <w:sz w:val="18"/>
                <w:szCs w:val="18"/>
                <w:color w:val="auto"/>
              </w:rPr>
              <w:t>Japanese Yen</w:t>
            </w:r>
          </w:p>
        </w:tc>
        <w:tc>
          <w:tcPr>
            <w:tcW w:w="2280" w:type="dxa"/>
            <w:vAlign w:val="bottom"/>
            <w:gridSpan w:val="3"/>
          </w:tcPr>
          <w:p>
            <w:pPr>
              <w:jc w:val="right"/>
              <w:ind w:right="660"/>
              <w:spacing w:after="0"/>
              <w:rPr>
                <w:sz w:val="20"/>
                <w:szCs w:val="20"/>
                <w:color w:val="auto"/>
              </w:rPr>
            </w:pPr>
            <w:r>
              <w:rPr>
                <w:rFonts w:ascii="Arial" w:cs="Arial" w:eastAsia="Arial" w:hAnsi="Arial"/>
                <w:sz w:val="18"/>
                <w:szCs w:val="18"/>
                <w:color w:val="auto"/>
              </w:rPr>
              <w:t>1,490,748,302</w:t>
            </w:r>
          </w:p>
        </w:tc>
        <w:tc>
          <w:tcPr>
            <w:tcW w:w="740" w:type="dxa"/>
            <w:vAlign w:val="bottom"/>
          </w:tcPr>
          <w:p>
            <w:pPr>
              <w:jc w:val="right"/>
              <w:spacing w:after="0"/>
              <w:rPr>
                <w:sz w:val="20"/>
                <w:szCs w:val="20"/>
                <w:color w:val="auto"/>
              </w:rPr>
            </w:pPr>
            <w:r>
              <w:rPr>
                <w:rFonts w:ascii="Arial" w:cs="Arial" w:eastAsia="Arial" w:hAnsi="Arial"/>
                <w:sz w:val="18"/>
                <w:szCs w:val="18"/>
                <w:color w:val="auto"/>
              </w:rPr>
              <w:t>81.733</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81.298</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(130,787)</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6"/>
              </w:rPr>
              <w:t>Sep 2011 - Nov 2011</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Q3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4"/>
              </w:rPr>
              <w:t>per</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1,238,150,398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82.454</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82.054</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(257,288)</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Dec 2011 - Feb 2012</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Q4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2"/>
          </w:tcPr>
          <w:p>
            <w:pPr>
              <w:jc w:val="center"/>
              <w:ind w:right="60"/>
              <w:spacing w:after="0" w:line="200" w:lineRule="exact"/>
              <w:rPr>
                <w:sz w:val="20"/>
                <w:szCs w:val="20"/>
                <w:color w:val="auto"/>
              </w:rPr>
            </w:pPr>
            <w:r>
              <w:rPr>
                <w:rFonts w:ascii="Arial" w:cs="Arial" w:eastAsia="Arial" w:hAnsi="Arial"/>
                <w:sz w:val="18"/>
                <w:szCs w:val="18"/>
                <w:color w:val="auto"/>
                <w:w w:val="84"/>
              </w:rPr>
              <w:t>per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gridSpan w:val="2"/>
          </w:tcPr>
          <w:p>
            <w:pPr>
              <w:spacing w:after="0"/>
              <w:rPr>
                <w:sz w:val="20"/>
                <w:szCs w:val="20"/>
                <w:color w:val="auto"/>
              </w:rPr>
            </w:pPr>
            <w:r>
              <w:rPr>
                <w:rFonts w:ascii="Arial" w:cs="Arial" w:eastAsia="Arial" w:hAnsi="Arial"/>
                <w:sz w:val="18"/>
                <w:szCs w:val="18"/>
                <w:color w:val="auto"/>
              </w:rPr>
              <w:t>Japanese Yen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829,948,000</w:t>
            </w: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81.125</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80.901</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(43,932)</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Mar 2012 - Apr 2012</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Q1 FY13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2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(824,502)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1.591</w:t>
            </w: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11,425</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May 2011 - July 2011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Q2 FY12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GBP</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(2,679,632)</w:t>
            </w:r>
          </w:p>
        </w:tc>
        <w:tc>
          <w:tcPr>
            <w:tcW w:w="740" w:type="dxa"/>
            <w:vAlign w:val="bottom"/>
          </w:tcPr>
          <w:p>
            <w:pPr>
              <w:jc w:val="right"/>
              <w:spacing w:after="0"/>
              <w:rPr>
                <w:sz w:val="20"/>
                <w:szCs w:val="20"/>
                <w:color w:val="auto"/>
              </w:rPr>
            </w:pPr>
            <w:r>
              <w:rPr>
                <w:rFonts w:ascii="Arial" w:cs="Arial" w:eastAsia="Arial" w:hAnsi="Arial"/>
                <w:sz w:val="18"/>
                <w:szCs w:val="18"/>
                <w:color w:val="auto"/>
              </w:rPr>
              <w:t>1.574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1.569</w:t>
            </w:r>
          </w:p>
        </w:tc>
        <w:tc>
          <w:tcPr>
            <w:tcW w:w="6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92,426</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9"/>
              </w:rPr>
              <w:t>Aug 2011 - Oct 2011</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Q3 FY12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2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(2,679,632)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1.574</w:t>
            </w: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74,463</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Nov 2011 - Jan 2012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Q4 FY12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GBP</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(2,183,685)</w:t>
            </w:r>
          </w:p>
        </w:tc>
        <w:tc>
          <w:tcPr>
            <w:tcW w:w="740" w:type="dxa"/>
            <w:vAlign w:val="bottom"/>
          </w:tcPr>
          <w:p>
            <w:pPr>
              <w:jc w:val="right"/>
              <w:spacing w:after="0"/>
              <w:rPr>
                <w:sz w:val="20"/>
                <w:szCs w:val="20"/>
                <w:color w:val="auto"/>
              </w:rPr>
            </w:pPr>
            <w:r>
              <w:rPr>
                <w:rFonts w:ascii="Arial" w:cs="Arial" w:eastAsia="Arial" w:hAnsi="Arial"/>
                <w:sz w:val="18"/>
                <w:szCs w:val="18"/>
                <w:color w:val="auto"/>
              </w:rPr>
              <w:t>1.621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1.612</w:t>
            </w:r>
          </w:p>
        </w:tc>
        <w:tc>
          <w:tcPr>
            <w:tcW w:w="6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(24,170)</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9"/>
              </w:rPr>
              <w:t>Feb 2012 - Apr 2012</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Q1 FY13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2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(642,000)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1.632</w:t>
            </w: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(20,052)</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May 2012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Q2 FY13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2"/>
          </w:tcPr>
          <w:p>
            <w:pPr>
              <w:jc w:val="center"/>
              <w:ind w:right="60"/>
              <w:spacing w:after="0" w:line="200" w:lineRule="exact"/>
              <w:rPr>
                <w:sz w:val="20"/>
                <w:szCs w:val="20"/>
                <w:color w:val="auto"/>
              </w:rPr>
            </w:pPr>
            <w:r>
              <w:rPr>
                <w:rFonts w:ascii="Arial" w:cs="Arial" w:eastAsia="Arial" w:hAnsi="Arial"/>
                <w:sz w:val="18"/>
                <w:szCs w:val="18"/>
                <w:color w:val="auto"/>
                <w:w w:val="84"/>
              </w:rPr>
              <w:t>per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20" w:type="dxa"/>
            <w:vAlign w:val="bottom"/>
            <w:gridSpan w:val="2"/>
          </w:tcPr>
          <w:p>
            <w:pPr>
              <w:spacing w:after="0"/>
              <w:rPr>
                <w:sz w:val="20"/>
                <w:szCs w:val="20"/>
                <w:color w:val="auto"/>
              </w:rPr>
            </w:pPr>
            <w:r>
              <w:rPr>
                <w:rFonts w:ascii="Arial" w:cs="Arial" w:eastAsia="Arial" w:hAnsi="Arial"/>
                <w:sz w:val="18"/>
                <w:szCs w:val="18"/>
                <w:color w:val="auto"/>
              </w:rPr>
              <w:t>CAD</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(4,148,622)</w:t>
            </w:r>
          </w:p>
        </w:tc>
        <w:tc>
          <w:tcPr>
            <w:tcW w:w="740" w:type="dxa"/>
            <w:vAlign w:val="bottom"/>
          </w:tcPr>
          <w:p>
            <w:pPr>
              <w:jc w:val="right"/>
              <w:spacing w:after="0"/>
              <w:rPr>
                <w:sz w:val="20"/>
                <w:szCs w:val="20"/>
                <w:color w:val="auto"/>
              </w:rPr>
            </w:pPr>
            <w:r>
              <w:rPr>
                <w:rFonts w:ascii="Arial" w:cs="Arial" w:eastAsia="Arial" w:hAnsi="Arial"/>
                <w:sz w:val="18"/>
                <w:szCs w:val="18"/>
                <w:color w:val="auto"/>
              </w:rPr>
              <w:t>1.032</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1.040</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276,277</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6"/>
              </w:rPr>
              <w:t>Jul 2011 - Sep 2011</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Q2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4"/>
              </w:rPr>
              <w:t>per</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CAD</w:t>
            </w:r>
          </w:p>
        </w:tc>
        <w:tc>
          <w:tcPr>
            <w:tcW w:w="2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(2,680,000)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1.012</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101,414</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Oct 2011 - Dec 2011</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Q3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2"/>
          </w:tcPr>
          <w:p>
            <w:pPr>
              <w:jc w:val="center"/>
              <w:ind w:right="60"/>
              <w:spacing w:after="0" w:line="200" w:lineRule="exact"/>
              <w:rPr>
                <w:sz w:val="20"/>
                <w:szCs w:val="20"/>
                <w:color w:val="auto"/>
              </w:rPr>
            </w:pPr>
            <w:r>
              <w:rPr>
                <w:rFonts w:ascii="Arial" w:cs="Arial" w:eastAsia="Arial" w:hAnsi="Arial"/>
                <w:sz w:val="18"/>
                <w:szCs w:val="18"/>
                <w:color w:val="auto"/>
                <w:w w:val="84"/>
              </w:rPr>
              <w:t>per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20" w:type="dxa"/>
            <w:vAlign w:val="bottom"/>
            <w:gridSpan w:val="2"/>
          </w:tcPr>
          <w:p>
            <w:pPr>
              <w:spacing w:after="0"/>
              <w:rPr>
                <w:sz w:val="20"/>
                <w:szCs w:val="20"/>
                <w:color w:val="auto"/>
              </w:rPr>
            </w:pPr>
            <w:r>
              <w:rPr>
                <w:rFonts w:ascii="Arial" w:cs="Arial" w:eastAsia="Arial" w:hAnsi="Arial"/>
                <w:sz w:val="18"/>
                <w:szCs w:val="18"/>
                <w:color w:val="auto"/>
              </w:rPr>
              <w:t>CAD</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(2,938,832)</w:t>
            </w:r>
          </w:p>
        </w:tc>
        <w:tc>
          <w:tcPr>
            <w:tcW w:w="740" w:type="dxa"/>
            <w:vAlign w:val="bottom"/>
          </w:tcPr>
          <w:p>
            <w:pPr>
              <w:jc w:val="right"/>
              <w:spacing w:after="0"/>
              <w:rPr>
                <w:sz w:val="20"/>
                <w:szCs w:val="20"/>
                <w:color w:val="auto"/>
              </w:rPr>
            </w:pPr>
            <w:r>
              <w:rPr>
                <w:rFonts w:ascii="Arial" w:cs="Arial" w:eastAsia="Arial" w:hAnsi="Arial"/>
                <w:sz w:val="18"/>
                <w:szCs w:val="18"/>
                <w:color w:val="auto"/>
              </w:rPr>
              <w:t>0.975</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0.981</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12,527</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9"/>
              </w:rPr>
              <w:t>Jan 2012 - Mar 2012</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Q4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4"/>
              </w:rPr>
              <w:t>per</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CAD</w:t>
            </w:r>
          </w:p>
        </w:tc>
        <w:tc>
          <w:tcPr>
            <w:tcW w:w="2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(1,778,238)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0.978</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0.986</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11,728</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Apr 2012 - May 2012</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Q1 FY13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2"/>
          </w:tcPr>
          <w:p>
            <w:pPr>
              <w:jc w:val="center"/>
              <w:ind w:right="60"/>
              <w:spacing w:after="0" w:line="200" w:lineRule="exact"/>
              <w:rPr>
                <w:sz w:val="20"/>
                <w:szCs w:val="20"/>
                <w:color w:val="auto"/>
              </w:rPr>
            </w:pPr>
            <w:r>
              <w:rPr>
                <w:rFonts w:ascii="Arial" w:cs="Arial" w:eastAsia="Arial" w:hAnsi="Arial"/>
                <w:sz w:val="18"/>
                <w:szCs w:val="18"/>
                <w:color w:val="auto"/>
                <w:w w:val="84"/>
              </w:rPr>
              <w:t>per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20" w:type="dxa"/>
            <w:vAlign w:val="bottom"/>
            <w:gridSpan w:val="2"/>
          </w:tcPr>
          <w:p>
            <w:pPr>
              <w:spacing w:after="0"/>
              <w:rPr>
                <w:sz w:val="20"/>
                <w:szCs w:val="20"/>
                <w:color w:val="auto"/>
              </w:rPr>
            </w:pPr>
            <w:r>
              <w:rPr>
                <w:rFonts w:ascii="Arial" w:cs="Arial" w:eastAsia="Arial" w:hAnsi="Arial"/>
                <w:sz w:val="18"/>
                <w:szCs w:val="18"/>
                <w:color w:val="auto"/>
              </w:rPr>
              <w:t>CHF</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(3,924,000)</w:t>
            </w:r>
          </w:p>
        </w:tc>
        <w:tc>
          <w:tcPr>
            <w:tcW w:w="740" w:type="dxa"/>
            <w:vAlign w:val="bottom"/>
          </w:tcPr>
          <w:p>
            <w:pPr>
              <w:jc w:val="right"/>
              <w:spacing w:after="0"/>
              <w:rPr>
                <w:sz w:val="20"/>
                <w:szCs w:val="20"/>
                <w:color w:val="auto"/>
              </w:rPr>
            </w:pPr>
            <w:r>
              <w:rPr>
                <w:rFonts w:ascii="Arial" w:cs="Arial" w:eastAsia="Arial" w:hAnsi="Arial"/>
                <w:sz w:val="18"/>
                <w:szCs w:val="18"/>
                <w:color w:val="auto"/>
              </w:rPr>
              <w:t>1.011</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1.007</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799,209</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6"/>
              </w:rPr>
              <w:t>Jul 2011 - Sep 2011</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Q2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4"/>
              </w:rPr>
              <w:t>per</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CHF</w:t>
            </w:r>
          </w:p>
        </w:tc>
        <w:tc>
          <w:tcPr>
            <w:tcW w:w="2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(3,893,500)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0.957</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0.953</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571,224</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Oct 2011 - Dec 2011</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Q3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2"/>
          </w:tcPr>
          <w:p>
            <w:pPr>
              <w:jc w:val="center"/>
              <w:ind w:right="60"/>
              <w:spacing w:after="0" w:line="200" w:lineRule="exact"/>
              <w:rPr>
                <w:sz w:val="20"/>
                <w:szCs w:val="20"/>
                <w:color w:val="auto"/>
              </w:rPr>
            </w:pPr>
            <w:r>
              <w:rPr>
                <w:rFonts w:ascii="Arial" w:cs="Arial" w:eastAsia="Arial" w:hAnsi="Arial"/>
                <w:sz w:val="18"/>
                <w:szCs w:val="18"/>
                <w:color w:val="auto"/>
                <w:w w:val="84"/>
              </w:rPr>
              <w:t>per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20" w:type="dxa"/>
            <w:vAlign w:val="bottom"/>
            <w:gridSpan w:val="2"/>
          </w:tcPr>
          <w:p>
            <w:pPr>
              <w:spacing w:after="0"/>
              <w:rPr>
                <w:sz w:val="20"/>
                <w:szCs w:val="20"/>
                <w:color w:val="auto"/>
              </w:rPr>
            </w:pPr>
            <w:r>
              <w:rPr>
                <w:rFonts w:ascii="Arial" w:cs="Arial" w:eastAsia="Arial" w:hAnsi="Arial"/>
                <w:sz w:val="18"/>
                <w:szCs w:val="18"/>
                <w:color w:val="auto"/>
              </w:rPr>
              <w:t>CHF</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(3,893,500)</w:t>
            </w:r>
          </w:p>
        </w:tc>
        <w:tc>
          <w:tcPr>
            <w:tcW w:w="740" w:type="dxa"/>
            <w:vAlign w:val="bottom"/>
          </w:tcPr>
          <w:p>
            <w:pPr>
              <w:jc w:val="right"/>
              <w:spacing w:after="0"/>
              <w:rPr>
                <w:sz w:val="20"/>
                <w:szCs w:val="20"/>
                <w:color w:val="auto"/>
              </w:rPr>
            </w:pPr>
            <w:r>
              <w:rPr>
                <w:rFonts w:ascii="Arial" w:cs="Arial" w:eastAsia="Arial" w:hAnsi="Arial"/>
                <w:sz w:val="18"/>
                <w:szCs w:val="18"/>
                <w:color w:val="auto"/>
              </w:rPr>
              <w:t>0.917</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0.915</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403,293</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9"/>
              </w:rPr>
              <w:t>Jan 2012 - Mar 2012</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9"/>
              </w:rPr>
              <w:t>Q4 FY12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4"/>
              </w:rPr>
              <w:t>per</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CHF</w:t>
            </w:r>
          </w:p>
        </w:tc>
        <w:tc>
          <w:tcPr>
            <w:tcW w:w="2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(2,548,000)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0.860</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0.858</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86,115</w:t>
            </w:r>
          </w:p>
        </w:tc>
        <w:tc>
          <w:tcPr>
            <w:tcW w:w="6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Apr 2012 - May 2012</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Q1 FY13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(1,232,303)</w:t>
            </w: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$9.0 million increase in the fair value of the forward contracts; whereas a 10% weakening of the US dollar would result in a $10.5 million decrease in the fair value of the forward contracts.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1"/>
          <w:szCs w:val="11"/>
          <w:b w:val="1"/>
          <w:bCs w:val="1"/>
          <w:i w:val="1"/>
          <w:iCs w:val="1"/>
          <w:color w:val="auto"/>
        </w:rPr>
        <w:t>NTEREST</w:t>
      </w:r>
      <w:r>
        <w:rPr>
          <w:rFonts w:ascii="Arial" w:cs="Arial" w:eastAsia="Arial" w:hAnsi="Arial"/>
          <w:sz w:val="18"/>
          <w:szCs w:val="18"/>
          <w:b w:val="1"/>
          <w:bCs w:val="1"/>
          <w:i w:val="1"/>
          <w:iCs w:val="1"/>
          <w:color w:val="auto"/>
        </w:rPr>
        <w:t xml:space="preserve"> R</w:t>
      </w:r>
      <w:r>
        <w:rPr>
          <w:rFonts w:ascii="Arial" w:cs="Arial" w:eastAsia="Arial" w:hAnsi="Arial"/>
          <w:sz w:val="11"/>
          <w:szCs w:val="11"/>
          <w:b w:val="1"/>
          <w:bCs w:val="1"/>
          <w:i w:val="1"/>
          <w:iCs w:val="1"/>
          <w:color w:val="auto"/>
        </w:rPr>
        <w:t>ATE</w:t>
      </w:r>
      <w:r>
        <w:rPr>
          <w:rFonts w:ascii="Arial" w:cs="Arial" w:eastAsia="Arial" w:hAnsi="Arial"/>
          <w:sz w:val="18"/>
          <w:szCs w:val="18"/>
          <w:b w:val="1"/>
          <w:bCs w:val="1"/>
          <w:i w:val="1"/>
          <w:iCs w:val="1"/>
          <w:color w:val="auto"/>
        </w:rPr>
        <w:t xml:space="preserve"> R</w:t>
      </w:r>
      <w:r>
        <w:rPr>
          <w:rFonts w:ascii="Arial" w:cs="Arial" w:eastAsia="Arial" w:hAnsi="Arial"/>
          <w:sz w:val="11"/>
          <w:szCs w:val="11"/>
          <w:b w:val="1"/>
          <w:bCs w:val="1"/>
          <w:i w:val="1"/>
          <w:iCs w:val="1"/>
          <w:color w:val="auto"/>
        </w:rPr>
        <w:t>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All of our long-term debt is at fixed rates. Accordingly, we do not have any material exposure to interest rate changes.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w:t>
      </w:r>
      <w:r>
        <w:rPr>
          <w:rFonts w:ascii="Arial" w:cs="Arial" w:eastAsia="Arial" w:hAnsi="Arial"/>
          <w:sz w:val="11"/>
          <w:szCs w:val="11"/>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1"/>
          <w:szCs w:val="11"/>
          <w:b w:val="1"/>
          <w:bCs w:val="1"/>
          <w:color w:val="auto"/>
        </w:rPr>
        <w:t>ROCEDURES</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conducted an evaluation, as of July 2, 2011,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 as of July 2, 2011.</w:t>
      </w:r>
    </w:p>
    <w:p>
      <w:pPr>
        <w:spacing w:after="0" w:line="40"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July 2, 2011 that materially affected, or is reasonably likely to materially affect, the Company’s internal control over financial reporting.</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April 2008, our subsidiary Haemonetics Italia, Srl. and two of its employees were found guilty by a court in Milan, Italy of charges arising from allegedly improper payments made under a consulting contract with a local physician and in pricing products under a tender from a public hospital. The two employees found guilty in this matter are no longer employed by the Company. This matter dates to 2004 and involved other unrelated companies and individuals. On June 14, 2011, the final level appeals court affirmed these verdicts. There are no further appeals available and the convictions are now final. When the matters first arose, our Board of Directors commissioned independent legal counsel to conduct investigations on its behalf. Based upon its evaluation of counsel’s report, the Board concluded that no disciplinary action was warranted in either case. Neither the original ruling nor its final affirmation has impacted the Company’s business in Italy to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2, 2011,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1"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In a May 2, 2011 press release, the Company announced that its Board of Directors approved the repurchase of up to $50.0 million worth of Company shares during fiscal year 2012. Through July 2, 2011, the Company did not repurchase any shares of its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Item 4. [</w:t>
      </w:r>
      <w:r>
        <w:rPr>
          <w:rFonts w:ascii="Arial" w:cs="Arial" w:eastAsia="Arial" w:hAnsi="Arial"/>
          <w:sz w:val="18"/>
          <w:szCs w:val="18"/>
          <w:i w:val="1"/>
          <w:iCs w:val="1"/>
          <w:color w:val="auto"/>
        </w:rPr>
        <w:t>Removed and Reserved</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31.1  Certification pursuant to Section 302 of Sarbanes-Oxley Act of 2002, of Brian Concannon, President and Chief Executive Officer of the Company</w:t>
      </w:r>
    </w:p>
    <w:p>
      <w:pPr>
        <w:spacing w:after="0" w:line="123" w:lineRule="exact"/>
        <w:rPr>
          <w:sz w:val="20"/>
          <w:szCs w:val="20"/>
          <w:color w:val="auto"/>
        </w:rPr>
      </w:pPr>
    </w:p>
    <w:p>
      <w:pPr>
        <w:ind w:left="440" w:right="940" w:hanging="437"/>
        <w:spacing w:after="0" w:line="265" w:lineRule="auto"/>
        <w:rPr>
          <w:sz w:val="20"/>
          <w:szCs w:val="20"/>
          <w:color w:val="auto"/>
        </w:rPr>
      </w:pPr>
      <w:r>
        <w:rPr>
          <w:rFonts w:ascii="Arial" w:cs="Arial" w:eastAsia="Arial" w:hAnsi="Arial"/>
          <w:sz w:val="18"/>
          <w:szCs w:val="18"/>
          <w:color w:val="auto"/>
        </w:rPr>
        <w:t>31.2 Certification pursuant to Section 302 of Sarbanes-Oxley of 2002, of Christopher Lindop, Chief Financial Officer and Vice President Business Development of the Company</w:t>
      </w:r>
    </w:p>
    <w:p>
      <w:pPr>
        <w:spacing w:after="0" w:line="73" w:lineRule="exact"/>
        <w:rPr>
          <w:sz w:val="20"/>
          <w:szCs w:val="20"/>
          <w:color w:val="auto"/>
        </w:rPr>
      </w:pPr>
    </w:p>
    <w:p>
      <w:pPr>
        <w:ind w:left="440" w:right="860" w:hanging="437"/>
        <w:spacing w:after="0" w:line="265" w:lineRule="auto"/>
        <w:rPr>
          <w:sz w:val="20"/>
          <w:szCs w:val="20"/>
          <w:color w:val="auto"/>
        </w:rPr>
      </w:pPr>
      <w:r>
        <w:rPr>
          <w:rFonts w:ascii="Arial" w:cs="Arial" w:eastAsia="Arial" w:hAnsi="Arial"/>
          <w:sz w:val="18"/>
          <w:szCs w:val="18"/>
          <w:color w:val="auto"/>
        </w:rPr>
        <w:t>32.1 Certification Pursuant to 18 United States Code Section 1350, as adopted Pursuant to Section 906 of the Sarbanes-Oxley Act of 2002, of Brian Concannon, President and Chief Executive Officer of the Company</w:t>
      </w:r>
    </w:p>
    <w:p>
      <w:pPr>
        <w:spacing w:after="0" w:line="73" w:lineRule="exact"/>
        <w:rPr>
          <w:sz w:val="20"/>
          <w:szCs w:val="20"/>
          <w:color w:val="auto"/>
        </w:rPr>
      </w:pPr>
    </w:p>
    <w:p>
      <w:pPr>
        <w:ind w:left="440" w:right="420" w:hanging="437"/>
        <w:spacing w:after="0" w:line="265" w:lineRule="auto"/>
        <w:rPr>
          <w:sz w:val="20"/>
          <w:szCs w:val="20"/>
          <w:color w:val="auto"/>
        </w:rPr>
      </w:pPr>
      <w:r>
        <w:rPr>
          <w:rFonts w:ascii="Arial" w:cs="Arial" w:eastAsia="Arial" w:hAnsi="Arial"/>
          <w:sz w:val="18"/>
          <w:szCs w:val="18"/>
          <w:color w:val="auto"/>
        </w:rPr>
        <w:t>32.2 Certification Pursuant to 18 United States Code Section 1350, as adopted Pursuant to Section 906 of the Sarbanes-Oxley Act of 2002, of Christopher Lindop, Chief Financial Officer and Vice President Business Development of the Company</w:t>
      </w:r>
    </w:p>
    <w:p>
      <w:pPr>
        <w:spacing w:after="0" w:line="73" w:lineRule="exact"/>
        <w:rPr>
          <w:sz w:val="20"/>
          <w:szCs w:val="20"/>
          <w:color w:val="auto"/>
        </w:rPr>
      </w:pPr>
    </w:p>
    <w:p>
      <w:pPr>
        <w:ind w:left="480" w:right="60" w:hanging="479"/>
        <w:spacing w:after="0" w:line="255" w:lineRule="auto"/>
        <w:tabs>
          <w:tab w:leader="none" w:pos="460" w:val="left"/>
        </w:tabs>
        <w:rPr>
          <w:sz w:val="20"/>
          <w:szCs w:val="20"/>
          <w:color w:val="auto"/>
        </w:rPr>
      </w:pPr>
      <w:r>
        <w:rPr>
          <w:rFonts w:ascii="Arial" w:cs="Arial" w:eastAsia="Arial" w:hAnsi="Arial"/>
          <w:sz w:val="18"/>
          <w:szCs w:val="18"/>
          <w:color w:val="auto"/>
        </w:rPr>
        <w:t>101*</w:t>
        <w:tab/>
        <w:t>The following materials from Haemonetics Corporation on Form 10-Q for the quarter ended July 2, 2011, formatted in Extensible Business Reporting Language (XBRL); (i) Consolidated Statements of Income, (ii) Consolidated Balance Sheets, (iii) Consolidated Statements of Cash Flows, and (iv) Notes to Consolidated Financial Statements.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384810</wp:posOffset>
            </wp:positionV>
            <wp:extent cx="1304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hanging="474"/>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4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19"/>
                <w:szCs w:val="19"/>
                <w:color w:val="auto"/>
              </w:rPr>
            </w:pPr>
          </w:p>
        </w:tc>
        <w:tc>
          <w:tcPr>
            <w:tcW w:w="6300" w:type="dxa"/>
            <w:vAlign w:val="bottom"/>
            <w:gridSpan w:val="2"/>
          </w:tcPr>
          <w:p>
            <w:pPr>
              <w:ind w:left="1840"/>
              <w:spacing w:after="0"/>
              <w:rPr>
                <w:sz w:val="20"/>
                <w:szCs w:val="20"/>
                <w:color w:val="auto"/>
              </w:rPr>
            </w:pPr>
            <w:r>
              <w:rPr>
                <w:rFonts w:ascii="Arial" w:cs="Arial" w:eastAsia="Arial" w:hAnsi="Arial"/>
                <w:sz w:val="18"/>
                <w:szCs w:val="18"/>
                <w:color w:val="auto"/>
              </w:rPr>
              <w:t>HAEMONETICS CORPORATION</w:t>
            </w:r>
          </w:p>
        </w:tc>
      </w:tr>
      <w:tr>
        <w:trPr>
          <w:trHeight w:val="425"/>
        </w:trPr>
        <w:tc>
          <w:tcPr>
            <w:tcW w:w="3460" w:type="dxa"/>
            <w:vAlign w:val="bottom"/>
          </w:tcPr>
          <w:p>
            <w:pPr>
              <w:spacing w:after="0"/>
              <w:rPr>
                <w:sz w:val="20"/>
                <w:szCs w:val="20"/>
                <w:color w:val="auto"/>
              </w:rPr>
            </w:pPr>
            <w:r>
              <w:rPr>
                <w:rFonts w:ascii="Arial" w:cs="Arial" w:eastAsia="Arial" w:hAnsi="Arial"/>
                <w:sz w:val="18"/>
                <w:szCs w:val="18"/>
                <w:color w:val="auto"/>
              </w:rPr>
              <w:t>Date: August 10, 2011</w:t>
            </w:r>
          </w:p>
        </w:tc>
        <w:tc>
          <w:tcPr>
            <w:tcW w:w="6300" w:type="dxa"/>
            <w:vAlign w:val="bottom"/>
            <w:gridSpan w:val="2"/>
          </w:tcPr>
          <w:p>
            <w:pPr>
              <w:ind w:left="1840"/>
              <w:spacing w:after="0"/>
              <w:rPr>
                <w:sz w:val="20"/>
                <w:szCs w:val="20"/>
                <w:color w:val="auto"/>
              </w:rPr>
            </w:pPr>
            <w:r>
              <w:rPr>
                <w:rFonts w:ascii="Arial" w:cs="Arial" w:eastAsia="Arial" w:hAnsi="Arial"/>
                <w:sz w:val="18"/>
                <w:szCs w:val="18"/>
                <w:color w:val="auto"/>
              </w:rPr>
              <w:t>By: /s/ Brian Concannon</w:t>
            </w:r>
          </w:p>
        </w:tc>
      </w:tr>
      <w:tr>
        <w:trPr>
          <w:trHeight w:val="194"/>
        </w:trPr>
        <w:tc>
          <w:tcPr>
            <w:tcW w:w="3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1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1"/>
              </w:rPr>
              <w:t>Brian Concannon, President and Chief Executive Officer</w:t>
            </w:r>
          </w:p>
        </w:tc>
      </w:tr>
      <w:tr>
        <w:trPr>
          <w:trHeight w:val="223"/>
        </w:trPr>
        <w:tc>
          <w:tcPr>
            <w:tcW w:w="3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7"/>
        </w:trPr>
        <w:tc>
          <w:tcPr>
            <w:tcW w:w="3460" w:type="dxa"/>
            <w:vAlign w:val="bottom"/>
          </w:tcPr>
          <w:p>
            <w:pPr>
              <w:spacing w:after="0"/>
              <w:rPr>
                <w:sz w:val="20"/>
                <w:szCs w:val="20"/>
                <w:color w:val="auto"/>
              </w:rPr>
            </w:pPr>
            <w:r>
              <w:rPr>
                <w:rFonts w:ascii="Arial" w:cs="Arial" w:eastAsia="Arial" w:hAnsi="Arial"/>
                <w:sz w:val="18"/>
                <w:szCs w:val="18"/>
                <w:color w:val="auto"/>
              </w:rPr>
              <w:t>Date: August 10, 2011</w:t>
            </w:r>
          </w:p>
        </w:tc>
        <w:tc>
          <w:tcPr>
            <w:tcW w:w="6300" w:type="dxa"/>
            <w:vAlign w:val="bottom"/>
            <w:gridSpan w:val="2"/>
          </w:tcPr>
          <w:p>
            <w:pPr>
              <w:ind w:left="1840"/>
              <w:spacing w:after="0"/>
              <w:rPr>
                <w:sz w:val="20"/>
                <w:szCs w:val="20"/>
                <w:color w:val="auto"/>
              </w:rPr>
            </w:pPr>
            <w:r>
              <w:rPr>
                <w:rFonts w:ascii="Arial" w:cs="Arial" w:eastAsia="Arial" w:hAnsi="Arial"/>
                <w:sz w:val="18"/>
                <w:szCs w:val="18"/>
                <w:color w:val="auto"/>
              </w:rPr>
              <w:t>By: /s/ Christopher Lindop</w:t>
            </w:r>
          </w:p>
        </w:tc>
      </w:tr>
      <w:tr>
        <w:trPr>
          <w:trHeight w:val="194"/>
        </w:trPr>
        <w:tc>
          <w:tcPr>
            <w:tcW w:w="3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1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8"/>
              </w:rPr>
              <w:t>Christopher Lindop, Chief Financial Officer and Vice</w:t>
            </w:r>
          </w:p>
        </w:tc>
      </w:tr>
      <w:tr>
        <w:trPr>
          <w:trHeight w:val="212"/>
        </w:trPr>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Business Development</w:t>
            </w:r>
          </w:p>
        </w:tc>
      </w:tr>
      <w:tr>
        <w:trPr>
          <w:trHeight w:val="223"/>
        </w:trPr>
        <w:tc>
          <w:tcPr>
            <w:tcW w:w="3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10"/>
        </w:trPr>
        <w:tc>
          <w:tcPr>
            <w:tcW w:w="3460" w:type="dxa"/>
            <w:vAlign w:val="bottom"/>
          </w:tcPr>
          <w:p>
            <w:pPr>
              <w:spacing w:after="0"/>
              <w:rPr>
                <w:sz w:val="24"/>
                <w:szCs w:val="24"/>
                <w:color w:val="auto"/>
              </w:rPr>
            </w:pPr>
          </w:p>
        </w:tc>
        <w:tc>
          <w:tcPr>
            <w:tcW w:w="6300" w:type="dxa"/>
            <w:vAlign w:val="bottom"/>
            <w:gridSpan w:val="2"/>
          </w:tcPr>
          <w:p>
            <w:pPr>
              <w:jc w:val="right"/>
              <w:ind w:right="3872"/>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060"/>
          </w:cols>
          <w:pgMar w:left="240" w:top="413" w:right="5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1" w:lineRule="exact"/>
        <w:rPr>
          <w:sz w:val="20"/>
          <w:szCs w:val="20"/>
          <w:color w:val="auto"/>
        </w:rPr>
      </w:pPr>
    </w:p>
    <w:p>
      <w:pPr>
        <w:ind w:left="440" w:hanging="43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1" w:lineRule="exact"/>
        <w:rPr>
          <w:rFonts w:ascii="Arial" w:cs="Arial" w:eastAsia="Arial" w:hAnsi="Arial"/>
          <w:sz w:val="18"/>
          <w:szCs w:val="18"/>
          <w:color w:val="auto"/>
        </w:rPr>
      </w:pPr>
    </w:p>
    <w:p>
      <w:pPr>
        <w:ind w:left="440" w:right="200" w:hanging="434"/>
        <w:spacing w:after="0" w:line="366"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440" w:hanging="434"/>
        <w:spacing w:after="0" w:line="265"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40" w:right="140" w:hanging="434"/>
        <w:spacing w:after="0" w:line="255"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120" w:right="280" w:hanging="438"/>
        <w:spacing w:after="0" w:line="255"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1120" w:right="580" w:hanging="438"/>
        <w:spacing w:after="0" w:line="255"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1120" w:right="780" w:hanging="438"/>
        <w:spacing w:after="0" w:line="366" w:lineRule="auto"/>
        <w:tabs>
          <w:tab w:leader="none" w:pos="112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1120" w:right="260" w:hanging="438"/>
        <w:spacing w:after="0" w:line="255"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40" w:right="580" w:hanging="434"/>
        <w:spacing w:after="0" w:line="366"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1120" w:right="180" w:hanging="438"/>
        <w:spacing w:after="0" w:line="294" w:lineRule="auto"/>
        <w:tabs>
          <w:tab w:leader="none" w:pos="11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7"/>
          <w:szCs w:val="17"/>
          <w:color w:val="auto"/>
        </w:rPr>
      </w:pPr>
    </w:p>
    <w:p>
      <w:pPr>
        <w:ind w:left="1120" w:right="140" w:hanging="438"/>
        <w:spacing w:after="0" w:line="265"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 President and Chief Executive Officer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1" w:lineRule="exact"/>
        <w:rPr>
          <w:sz w:val="20"/>
          <w:szCs w:val="20"/>
          <w:color w:val="auto"/>
        </w:rPr>
      </w:pPr>
    </w:p>
    <w:p>
      <w:pPr>
        <w:ind w:left="440" w:hanging="43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1" w:lineRule="exact"/>
        <w:rPr>
          <w:rFonts w:ascii="Arial" w:cs="Arial" w:eastAsia="Arial" w:hAnsi="Arial"/>
          <w:sz w:val="18"/>
          <w:szCs w:val="18"/>
          <w:color w:val="auto"/>
        </w:rPr>
      </w:pPr>
    </w:p>
    <w:p>
      <w:pPr>
        <w:ind w:left="440" w:right="200" w:hanging="434"/>
        <w:spacing w:after="0" w:line="366" w:lineRule="auto"/>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440" w:hanging="434"/>
        <w:spacing w:after="0" w:line="265"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40" w:right="140" w:hanging="434"/>
        <w:spacing w:after="0" w:line="255"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120" w:right="280" w:hanging="438"/>
        <w:spacing w:after="0" w:line="255"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1120" w:right="580" w:hanging="438"/>
        <w:spacing w:after="0" w:line="255"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1120" w:right="780" w:hanging="438"/>
        <w:spacing w:after="0" w:line="366" w:lineRule="auto"/>
        <w:tabs>
          <w:tab w:leader="none" w:pos="11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1120" w:right="260" w:hanging="438"/>
        <w:spacing w:after="0" w:line="255"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40" w:right="580" w:hanging="434"/>
        <w:spacing w:after="0" w:line="366" w:lineRule="auto"/>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1120" w:right="180" w:hanging="438"/>
        <w:spacing w:after="0" w:line="294" w:lineRule="auto"/>
        <w:tabs>
          <w:tab w:leader="none" w:pos="11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120" w:right="140" w:hanging="438"/>
        <w:spacing w:after="0" w:line="265"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 Chief Financial Officer and</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Business Development</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0"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2, 2011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0"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2, 2011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Vice President</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Business Development</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2019-12-10T04:45:59Z</dcterms:created>
  <dcterms:modified xsi:type="dcterms:W3CDTF">2019-12-10T04:45:59Z</dcterms:modified>
</cp:coreProperties>
</file>