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December 31,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February 2, 2017: 52,004,300</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7"/>
          </w:tcPr>
          <w:p>
            <w:pPr>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6"/>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Unaudited Consolidated Statements of Income (Loss) and Comprehensive Income (Loss) - Three and Nine Months Ended December 31,</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2016 and December 26, 2015</w:t>
              </w:r>
            </w:hyperlink>
          </w:p>
        </w:tc>
        <w:tc>
          <w:tcPr>
            <w:tcW w:w="7720" w:type="dxa"/>
            <w:vAlign w:val="bottom"/>
            <w:tcBorders>
              <w:top w:val="single" w:sz="8" w:color="0000EE"/>
            </w:tcBorders>
            <w:gridSpan w:val="10"/>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84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Consolidated Balance Sheet - December 31, 2016 and Audited Consolidated Balance Sheet - April 2, 2016</w:t>
              </w:r>
            </w:hyperlink>
          </w:p>
        </w:tc>
        <w:tc>
          <w:tcPr>
            <w:tcW w:w="174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4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Cash Flows - Nine Months Ended December 31, 2016 and December 26, 2015</w:t>
              </w:r>
            </w:hyperlink>
          </w:p>
        </w:tc>
        <w:tc>
          <w:tcPr>
            <w:tcW w:w="174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Unaudited Consolidated Financial Statements</w:t>
              </w:r>
            </w:hyperlink>
          </w:p>
        </w:tc>
        <w:tc>
          <w:tcPr>
            <w:tcW w:w="6280" w:type="dxa"/>
            <w:vAlign w:val="bottom"/>
            <w:gridSpan w:val="5"/>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420" w:type="dxa"/>
            <w:vAlign w:val="bottom"/>
          </w:tcPr>
          <w:p>
            <w:pPr>
              <w:spacing w:after="0"/>
              <w:rPr>
                <w:sz w:val="21"/>
                <w:szCs w:val="2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w w:val="90"/>
              </w:rPr>
            </w:pPr>
            <w:hyperlink w:anchor="page19">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3"/>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19</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3"/>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w w:val="91"/>
              </w:rPr>
            </w:pPr>
            <w:hyperlink w:anchor="page33">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10"/>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1. Legal Proceedings</w:t>
              </w:r>
            </w:hyperlink>
          </w:p>
        </w:tc>
        <w:tc>
          <w:tcPr>
            <w:tcW w:w="760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5"/>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1"/>
          </w:tcPr>
          <w:p>
            <w:pPr>
              <w:spacing w:after="0"/>
              <w:rPr>
                <w:rFonts w:ascii="Arial" w:cs="Arial" w:eastAsia="Arial" w:hAnsi="Arial"/>
                <w:sz w:val="18"/>
                <w:szCs w:val="18"/>
                <w:b w:val="1"/>
                <w:bCs w:val="1"/>
                <w:color w:val="0000FF"/>
                <w:w w:val="90"/>
              </w:rPr>
            </w:pPr>
            <w:hyperlink w:anchor="page35">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8"/>
          </w:tcPr>
          <w:p>
            <w:pPr>
              <w:spacing w:after="0"/>
              <w:rPr>
                <w:rFonts w:ascii="Arial" w:cs="Arial" w:eastAsia="Arial" w:hAnsi="Arial"/>
                <w:sz w:val="18"/>
                <w:szCs w:val="18"/>
                <w:b w:val="1"/>
                <w:bCs w:val="1"/>
                <w:color w:val="0000FF"/>
                <w:w w:val="91"/>
              </w:rPr>
            </w:pPr>
            <w:hyperlink w:anchor="page35">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6"/>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5. (Removed and Reserved)</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7740" w:type="dxa"/>
            <w:vAlign w:val="bottom"/>
            <w:gridSpan w:val="8"/>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6. Exhibits</w:t>
              </w:r>
            </w:hyperlink>
          </w:p>
        </w:tc>
        <w:tc>
          <w:tcPr>
            <w:tcW w:w="774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160" w:type="dxa"/>
            <w:vAlign w:val="bottom"/>
            <w:gridSpan w:val="2"/>
          </w:tcPr>
          <w:p>
            <w:pPr>
              <w:spacing w:after="0"/>
              <w:rPr>
                <w:rFonts w:ascii="Arial" w:cs="Arial" w:eastAsia="Arial" w:hAnsi="Arial"/>
                <w:sz w:val="18"/>
                <w:szCs w:val="18"/>
                <w:b w:val="1"/>
                <w:bCs w:val="1"/>
                <w:color w:val="0000EE"/>
                <w:w w:val="96"/>
              </w:rPr>
            </w:pPr>
            <w:hyperlink w:anchor="page37">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2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2"/>
          </w:tcPr>
          <w:p>
            <w:pPr>
              <w:spacing w:after="0"/>
              <w:rPr>
                <w:sz w:val="24"/>
                <w:szCs w:val="24"/>
                <w:color w:val="auto"/>
              </w:rPr>
            </w:pPr>
          </w:p>
        </w:tc>
        <w:tc>
          <w:tcPr>
            <w:tcW w:w="6380" w:type="dxa"/>
            <w:vAlign w:val="bottom"/>
            <w:gridSpan w:val="12"/>
          </w:tcPr>
          <w:p>
            <w:pPr>
              <w:jc w:val="right"/>
              <w:ind w:right="182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INCOME (LOSS) AND COMPREHENSIVE INCOME (LOSS) (Unaudited in thousands,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26,</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227,841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658,050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666,490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126,762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124,529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361,667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349,799</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108,855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296,383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316,691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33,816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70,956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78,940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228,639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240,946</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85,048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Contingent consideration income</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(4,727)</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170,032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258,258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355,083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21,212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38,125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(38,392)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Income (loss) before provision (benefit) for income taxes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18,937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31,711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(45,148)</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1,696</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15,393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(59,440)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24,872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(46,844)</w:t>
            </w:r>
          </w:p>
        </w:tc>
      </w:tr>
      <w:tr>
        <w:trPr>
          <w:trHeight w:val="311"/>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(loss) per share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per share -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r>
      <w:tr>
        <w:trPr>
          <w:trHeight w:val="32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51,708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50,741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51,369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50,927</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50,927</w:t>
            </w:r>
          </w:p>
        </w:tc>
      </w:tr>
      <w:tr>
        <w:trPr>
          <w:trHeight w:val="32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20,888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(66,469)</w:t>
            </w: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4"/>
                <w:szCs w:val="14"/>
                <w:color w:val="auto"/>
              </w:rPr>
            </w:pPr>
          </w:p>
        </w:tc>
        <w:tc>
          <w:tcPr>
            <w:tcW w:w="1260" w:type="dxa"/>
            <w:vAlign w:val="bottom"/>
          </w:tcPr>
          <w:p>
            <w:pPr>
              <w:jc w:val="right"/>
              <w:ind w:right="500"/>
              <w:spacing w:after="0"/>
              <w:rPr>
                <w:sz w:val="20"/>
                <w:szCs w:val="20"/>
                <w:color w:val="auto"/>
              </w:rPr>
            </w:pPr>
            <w:r>
              <w:rPr>
                <w:rFonts w:ascii="Arial" w:cs="Arial" w:eastAsia="Arial" w:hAnsi="Arial"/>
                <w:sz w:val="14"/>
                <w:szCs w:val="14"/>
                <w:b w:val="1"/>
                <w:bCs w:val="1"/>
                <w:color w:val="auto"/>
              </w:rPr>
              <w:t>April 2,</w:t>
            </w:r>
          </w:p>
        </w:tc>
      </w:tr>
      <w:tr>
        <w:trPr>
          <w:trHeight w:val="192"/>
        </w:trPr>
        <w:tc>
          <w:tcPr>
            <w:tcW w:w="180" w:type="dxa"/>
            <w:vAlign w:val="bottom"/>
            <w:tcBorders>
              <w:bottom w:val="single" w:sz="8" w:color="CCEEFF"/>
            </w:tcBorders>
          </w:tcPr>
          <w:p>
            <w:pPr>
              <w:spacing w:after="0"/>
              <w:rPr>
                <w:sz w:val="16"/>
                <w:szCs w:val="16"/>
                <w:color w:val="auto"/>
              </w:rPr>
            </w:pPr>
          </w:p>
        </w:tc>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6"/>
        </w:trPr>
        <w:tc>
          <w:tcPr>
            <w:tcW w:w="180" w:type="dxa"/>
            <w:vAlign w:val="bottom"/>
            <w:shd w:val="clear" w:color="auto" w:fill="CCEEFF"/>
          </w:tcPr>
          <w:p>
            <w:pPr>
              <w:spacing w:after="0"/>
              <w:rPr>
                <w:sz w:val="22"/>
                <w:szCs w:val="22"/>
                <w:color w:val="auto"/>
              </w:rPr>
            </w:pPr>
          </w:p>
        </w:tc>
        <w:tc>
          <w:tcPr>
            <w:tcW w:w="7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7"/>
              </w:rPr>
              <w:t>(Unaudited)</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129,639</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115,123</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receivable, less allowance of $2,656 at December 31, 2016 and $2,253 at April 2, 2016</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150,557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157,093</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188,489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187,028</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28,842</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496,562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488,086</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335,957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337,634</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w w:val="97"/>
              </w:rPr>
              <w:t>Intangible assets, less accumulated amortization of $206,444 at December 31, 2016 and $190,816 at April 2, 2016</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185,427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204,458</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267,314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267,840</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Deferred tax asset, long-term</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7,575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7,055</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14,055</w:t>
            </w:r>
          </w:p>
        </w:tc>
      </w:tr>
      <w:tr>
        <w:trPr>
          <w:trHeight w:val="284"/>
        </w:trPr>
        <w:tc>
          <w:tcPr>
            <w:tcW w:w="180" w:type="dxa"/>
            <w:vAlign w:val="bottom"/>
            <w:tcBorders>
              <w:bottom w:val="single" w:sz="8" w:color="CCEEFF"/>
            </w:tcBorders>
          </w:tcPr>
          <w:p>
            <w:pPr>
              <w:spacing w:after="0"/>
              <w:rPr>
                <w:sz w:val="24"/>
                <w:szCs w:val="24"/>
                <w:color w:val="auto"/>
              </w:rPr>
            </w:pPr>
          </w:p>
        </w:tc>
        <w:tc>
          <w:tcPr>
            <w:tcW w:w="79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1,306,421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1,319,128</w:t>
            </w:r>
          </w:p>
        </w:tc>
      </w:tr>
      <w:tr>
        <w:trPr>
          <w:trHeight w:val="22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Notes payable and current maturities of long-term 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43,471</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48,848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39,674</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payroll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41,556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35,798</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59,546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66,608</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185,551</w:t>
            </w:r>
          </w:p>
        </w:tc>
      </w:tr>
      <w:tr>
        <w:trPr>
          <w:trHeight w:val="217"/>
        </w:trPr>
        <w:tc>
          <w:tcPr>
            <w:tcW w:w="1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269,997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364,529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liability, long-term</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21,377</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24,843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26,106</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0"/>
        </w:trPr>
        <w:tc>
          <w:tcPr>
            <w:tcW w:w="18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6"/>
                <w:szCs w:val="16"/>
                <w:color w:val="auto"/>
                <w:w w:val="95"/>
              </w:rPr>
              <w:t>Common stock, $0.01 par value; Authorized — 150,000,000 shares; Issued and outstanding — 51,825,961 shares at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18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December 31, 2016 and 50,932,348 shares at April 2, 2016</w:t>
            </w:r>
          </w:p>
        </w:tc>
        <w:tc>
          <w:tcPr>
            <w:tcW w:w="24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509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468,348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439,912</w:t>
            </w:r>
          </w:p>
        </w:tc>
      </w:tr>
      <w:tr>
        <w:trPr>
          <w:trHeight w:val="237"/>
        </w:trPr>
        <w:tc>
          <w:tcPr>
            <w:tcW w:w="180" w:type="dxa"/>
            <w:vAlign w:val="bottom"/>
          </w:tcPr>
          <w:p>
            <w:pPr>
              <w:spacing w:after="0"/>
              <w:rPr>
                <w:sz w:val="20"/>
                <w:szCs w:val="20"/>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341,056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316,184</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(35,040)</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770,897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721,565</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1,306,421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1,319,128</w:t>
            </w:r>
          </w:p>
        </w:tc>
      </w:tr>
      <w:tr>
        <w:trPr>
          <w:trHeight w:val="20"/>
        </w:trPr>
        <w:tc>
          <w:tcPr>
            <w:tcW w:w="1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340" w:type="dxa"/>
            <w:vAlign w:val="bottom"/>
          </w:tcPr>
          <w:p>
            <w:pPr>
              <w:jc w:val="right"/>
              <w:ind w:right="299"/>
              <w:spacing w:after="0" w:line="153" w:lineRule="exact"/>
              <w:rPr>
                <w:sz w:val="20"/>
                <w:szCs w:val="20"/>
                <w:color w:val="auto"/>
              </w:rPr>
            </w:pPr>
            <w:r>
              <w:rPr>
                <w:rFonts w:ascii="Arial" w:cs="Arial" w:eastAsia="Arial" w:hAnsi="Arial"/>
                <w:sz w:val="14"/>
                <w:szCs w:val="14"/>
                <w:b w:val="1"/>
                <w:bCs w:val="1"/>
                <w:color w:val="auto"/>
              </w:rPr>
              <w:t>December 26,</w:t>
            </w:r>
          </w:p>
        </w:tc>
      </w:tr>
      <w:tr>
        <w:trPr>
          <w:trHeight w:val="192"/>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24,872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(46,844)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(loss)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67,721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3,413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85,048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6,608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6,199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benefit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Unrealized loss (gain) from hedging activities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(2,867)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fair value of 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non-cash operating activities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862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receivable</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3,878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(4,186)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prepaid income taxes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997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20,333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(39,971)</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125,161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68,612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(73,871)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1,773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397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acquisitions and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(58,744)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(76,474)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(decrease) increase in short-term loans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(40,975)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7,143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term loan borrowings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3,560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4,340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Share repurchases</w:t>
            </w:r>
          </w:p>
        </w:tc>
        <w:tc>
          <w:tcPr>
            <w:tcW w:w="2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(60,984)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(49,964)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(46,971)</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14,516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(55,495)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115,123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160,662</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129,639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105,167</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6,058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6,206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5,081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9,259</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right="8980" w:firstLine="8"/>
        <w:spacing w:after="0" w:line="533" w:lineRule="auto"/>
        <w:tabs>
          <w:tab w:leader="none" w:pos="18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spacing w:after="0" w:line="284"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intercompany transactions have been eliminated. Operating results for the nine months ended December 31, 2016 are not necessarily indicative of the results that may be expected for the full fiscal year ending April 1, 2017, or any other interim period. Operating results for the nine months ended December 26, 2015 include the correction of an understatement of the provision for income taxes in fiscal 2015, as well as the correction of an overstated liability in fiscal 2014, both of which were determined to be immaterial to all periods impacted. Absent these corrections, our net income for the nine months ended December 26, 2015 would have been $1.1</w:t>
      </w:r>
    </w:p>
    <w:p>
      <w:pPr>
        <w:spacing w:after="0" w:line="1"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million lower than the amount included in the accompanying Consolidated Statements of Income (Loss) and Comprehensive Income (Loss). These unaudited consolidated financial statements should be read in conjunction with our audited consolidated financial statements and footnotes included in our annual report on Form 10-K for the fiscal year ended April 2, 2016.</w:t>
      </w:r>
    </w:p>
    <w:p>
      <w:pPr>
        <w:spacing w:after="0" w:line="19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 xml:space="preserve">We consider events or transactions that occur after the balance sheet date but prior to the issuance of the financial statements to provide additional evidence relative to certain estimates or to identify matters that require additional disclosure. Refer to Note 9, </w:t>
      </w:r>
      <w:r>
        <w:rPr>
          <w:rFonts w:ascii="Arial" w:cs="Arial" w:eastAsia="Arial" w:hAnsi="Arial"/>
          <w:sz w:val="16"/>
          <w:szCs w:val="16"/>
          <w:i w:val="1"/>
          <w:iCs w:val="1"/>
          <w:color w:val="auto"/>
        </w:rPr>
        <w:t>Debt</w:t>
      </w:r>
      <w:r>
        <w:rPr>
          <w:rFonts w:ascii="Arial" w:cs="Arial" w:eastAsia="Arial" w:hAnsi="Arial"/>
          <w:sz w:val="16"/>
          <w:szCs w:val="16"/>
          <w:color w:val="auto"/>
        </w:rPr>
        <w:t>, for information pertaining to a debt payment that was made after the balance sheet date but prior to the issuance of the financial statements. There were no other subsequent events identified.</w:t>
      </w:r>
    </w:p>
    <w:p>
      <w:pPr>
        <w:spacing w:after="0" w:line="359" w:lineRule="exact"/>
        <w:rPr>
          <w:sz w:val="20"/>
          <w:szCs w:val="20"/>
          <w:color w:val="auto"/>
        </w:rPr>
      </w:pPr>
    </w:p>
    <w:p>
      <w:pPr>
        <w:ind w:right="7340" w:firstLine="8"/>
        <w:spacing w:after="0" w:line="344"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u w:val="single" w:color="auto"/>
          <w:color w:val="auto"/>
        </w:rPr>
        <w:t>Standards Implemented</w:t>
      </w:r>
    </w:p>
    <w:p>
      <w:pPr>
        <w:spacing w:after="0" w:line="5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June 2014, the FASB issued ASU No. 2014-12, </w:t>
      </w:r>
      <w:r>
        <w:rPr>
          <w:rFonts w:ascii="Arial" w:cs="Arial" w:eastAsia="Arial" w:hAnsi="Arial"/>
          <w:sz w:val="16"/>
          <w:szCs w:val="16"/>
          <w:i w:val="1"/>
          <w:iCs w:val="1"/>
          <w:color w:val="auto"/>
        </w:rPr>
        <w:t>Compensation—Stock Compensation (Topic 718): Accounting for Share-Based Payments When the Terms</w:t>
      </w:r>
      <w:r>
        <w:rPr>
          <w:rFonts w:ascii="Arial" w:cs="Arial" w:eastAsia="Arial" w:hAnsi="Arial"/>
          <w:sz w:val="16"/>
          <w:szCs w:val="16"/>
          <w:color w:val="auto"/>
        </w:rPr>
        <w:t xml:space="preserve"> </w:t>
      </w:r>
      <w:r>
        <w:rPr>
          <w:rFonts w:ascii="Arial" w:cs="Arial" w:eastAsia="Arial" w:hAnsi="Arial"/>
          <w:sz w:val="16"/>
          <w:szCs w:val="16"/>
          <w:i w:val="1"/>
          <w:iCs w:val="1"/>
          <w:color w:val="auto"/>
        </w:rPr>
        <w:t>of an Award Provide That a Performance Target Could Be Achieved after the Requisite Service Period</w:t>
      </w:r>
      <w:r>
        <w:rPr>
          <w:rFonts w:ascii="Arial" w:cs="Arial" w:eastAsia="Arial" w:hAnsi="Arial"/>
          <w:sz w:val="16"/>
          <w:szCs w:val="16"/>
          <w:color w:val="auto"/>
        </w:rPr>
        <w:t>. ASU No. 2014-12 requires that a performance target</w:t>
      </w:r>
      <w:r>
        <w:rPr>
          <w:rFonts w:ascii="Arial" w:cs="Arial" w:eastAsia="Arial" w:hAnsi="Arial"/>
          <w:sz w:val="16"/>
          <w:szCs w:val="16"/>
          <w:i w:val="1"/>
          <w:iCs w:val="1"/>
          <w:color w:val="auto"/>
        </w:rPr>
        <w:t xml:space="preserve"> </w:t>
      </w:r>
      <w:r>
        <w:rPr>
          <w:rFonts w:ascii="Arial" w:cs="Arial" w:eastAsia="Arial" w:hAnsi="Arial"/>
          <w:sz w:val="16"/>
          <w:szCs w:val="16"/>
          <w:color w:val="auto"/>
        </w:rPr>
        <w:t>that affects vesting and could be achieved after the requisite service period be treated as a performance condition. A reporting entity should apply existing guidance in ASC 718, Compensation—Stock Compensation, as it relates to such awards. We adopted ASU No. 2014-12 in our first quarter of fiscal 2017 using the prospective method. The adoption of ASU No. 2014-12 did not have a material effect on our financial position or results of operations.</w:t>
      </w:r>
    </w:p>
    <w:p>
      <w:pPr>
        <w:spacing w:after="0" w:line="15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In August 2015, the FASB issued ASU No. 2015-12, </w:t>
      </w:r>
      <w:r>
        <w:rPr>
          <w:rFonts w:ascii="Arial" w:cs="Arial" w:eastAsia="Arial" w:hAnsi="Arial"/>
          <w:sz w:val="18"/>
          <w:szCs w:val="18"/>
          <w:i w:val="1"/>
          <w:iCs w:val="1"/>
          <w:color w:val="auto"/>
        </w:rPr>
        <w:t>Plan Accounting: Defined Benefit Pension Plans (Topic 960), Defined Contribution Pension Plans</w:t>
      </w:r>
      <w:r>
        <w:rPr>
          <w:rFonts w:ascii="Arial" w:cs="Arial" w:eastAsia="Arial" w:hAnsi="Arial"/>
          <w:sz w:val="18"/>
          <w:szCs w:val="18"/>
          <w:color w:val="auto"/>
        </w:rPr>
        <w:t xml:space="preserve"> </w:t>
      </w:r>
      <w:r>
        <w:rPr>
          <w:rFonts w:ascii="Arial" w:cs="Arial" w:eastAsia="Arial" w:hAnsi="Arial"/>
          <w:sz w:val="18"/>
          <w:szCs w:val="18"/>
          <w:i w:val="1"/>
          <w:iCs w:val="1"/>
          <w:color w:val="auto"/>
        </w:rPr>
        <w:t>(Topic 962), Health and Welfare Benefit Plans (Topic 965): (Part I) Fully Benefit-Responsive Investment Contracts, (Part II) Plan Investment Disclosures, (Part III) Measurement Date Practical Expedient</w:t>
      </w:r>
      <w:r>
        <w:rPr>
          <w:rFonts w:ascii="Arial" w:cs="Arial" w:eastAsia="Arial" w:hAnsi="Arial"/>
          <w:sz w:val="18"/>
          <w:szCs w:val="18"/>
          <w:color w:val="auto"/>
        </w:rPr>
        <w:t>. Part I of ASU No. 2015-12 designates contract value as the only required measure for fully benefit-responsive investment contracts. Part II simplifies the investment disclosure requirements under Topics 820, 960, 962, and 965 for employee benefits plans and Part III provides a measurement date practical expedient for fiscal periods that do not coincide with a month-end date. ASU No. 2015-12 was effective for fiscal years beginning after December 15, 2015 with early adoption permitted. The adoption of ASU No. 2015-12 did not have a material effect on our financial position or results of operations.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3.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26,</w:t>
            </w:r>
          </w:p>
        </w:tc>
      </w:tr>
      <w:tr>
        <w:trPr>
          <w:trHeight w:val="192"/>
        </w:trPr>
        <w:tc>
          <w:tcPr>
            <w:tcW w:w="596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15,393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(59,440)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24,872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(46,844)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50,741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51,369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50,927</w:t>
            </w:r>
          </w:p>
        </w:tc>
      </w:tr>
      <w:tr>
        <w:trPr>
          <w:trHeight w:val="297"/>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 income (loss)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0.30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0.48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(0.92)</w:t>
            </w: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15,393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(59,440)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24,872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(46,844)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50,927</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effect of common stock equivalents</w:t>
            </w: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52,103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50,741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51,671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50,927</w:t>
            </w: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Diluted income (loss)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0.30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0.48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(0.92)</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Basic earnings per share is calculated using our weighted-average outstanding common shares. Diluted earnings per share is calculated using our weighted-average outstanding common shares including the dilutive effect of stock awards as determined under the treasury stock method. For the three and nine months ended December 31, 2016, weighted average shares outstanding, assuming dilution, excludes the impact of 1.1 million and 1.7 million anti-dilutive shares, respectively. For the three and nine months ended December 26, 2015, we recognized a net loss; therefore we excluded the impact of outstanding stock awards from the diluted loss per share calculation as their inclusion would have an anti-dilutive effect.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PRODUCT WARRANTIES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provide warranty on parts and labor for one year after the sale and installation of each device. We also warrant our disposables products through their use or expiration. We estimate our potential warranty expense based on our historical warranty experience and periodically assess the adequacy of our warranty accrual, making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36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December 26,</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532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362</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260" w:type="dxa"/>
            <w:vAlign w:val="bottom"/>
          </w:tcPr>
          <w:p>
            <w:pPr>
              <w:jc w:val="right"/>
              <w:ind w:right="496"/>
              <w:spacing w:after="0"/>
              <w:rPr>
                <w:sz w:val="20"/>
                <w:szCs w:val="20"/>
                <w:color w:val="auto"/>
              </w:rPr>
            </w:pPr>
            <w:r>
              <w:rPr>
                <w:rFonts w:ascii="Arial" w:cs="Arial" w:eastAsia="Arial" w:hAnsi="Arial"/>
                <w:sz w:val="14"/>
                <w:szCs w:val="14"/>
                <w:b w:val="1"/>
                <w:bCs w:val="1"/>
                <w:color w:val="auto"/>
              </w:rPr>
              <w:t>April 2,</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56,729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62,062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10,202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13,180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121,558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111,786</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188,489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187,028</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Inventories include specific charges and reserves of $4.5 million and $9.0 million for the three and nine months ended December 31, 2016, respectively, primarily related to the impact of the whole blood product recall and changes in demand for Blood Center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fiscal 2016, as a result of an interim impairment test, we determined that the estimated fair value of all of our reporting units exceeded their respective carrying values, with the exception of Europe, Middle East and Africa (collectively "EMEA"), for which we recorded a goodwill impairment charge of $66.3 million during the third quarter of fiscal 2016. As of that test date, the reporting unit that was most at risk of impairment in future periods was the Americas Blood Center and Hospital, which had an excess fair value over carrying value of approximately 25.8% and allocated goodwill of $175.9 million. We believe that our assumptions used to determine the fair value of the Americas Blood Center and Hospital reporting unit were reasonable. If different assumptions were to be used, particularly with respect to estimating future cash flows, or if actual operating results and cash flows of the Americas Blood Center and Hospital differ from the estimated operating results and related cash flows, there is the potential that an impairment charge could result in future periods. Additionally, changes to the discount rate or the long-term growth rate could also give rise to an impairment in future periods. During the third quarter of fiscal 2017, there were no new or additional impairment indicators associated with this reporting unit. We will complete our annual impairment testing during the fourth quarter of fiscal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Impairment</w:t>
      </w:r>
    </w:p>
    <w:p>
      <w:pPr>
        <w:spacing w:after="0" w:line="13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April 2013, we acquired a patented red cell storage solution, referred to as SOLX, from Hemerus Medical, LLC for cash consideration plus an agreement to make certain future payments accounted for as contingent consideration. During the third quarter of fiscal 2016, we received U.S. Food and Drug Administration clearance for the SOLX solution with a Haemonetics whole blood filter. At that time, the vast majority of the U.S. market utilized a red cell filter, not a whole blood filter, for whole blood collection procedures as they seek to optimize blood component yield from each collection. To bring SOLX to market with a red cell filter would have required substantial additional investment. Accordingly, we conducted a final market review prior to proceeding with this investment, which indicated customers would not pay a price for a SOLX collection kit sufficient to recover the cost to produce it, or to provide an adequate return on the additional investment. As result, during the third quarter of fiscal 2016, we suspended further investment in the SOLX technology and recorded an impairment charge of $18.7 million to write down the carrying value of the SOLX intangible assets. In addition, we reversed the $4.9 million of contingent consideration liability we had recorded, as we do not expect to achieve the conditions that called for its payment. Refer to Note 10, </w:t>
      </w:r>
      <w:r>
        <w:rPr>
          <w:rFonts w:ascii="Arial" w:cs="Arial" w:eastAsia="Arial" w:hAnsi="Arial"/>
          <w:sz w:val="17"/>
          <w:szCs w:val="17"/>
          <w:i w:val="1"/>
          <w:iCs w:val="1"/>
          <w:color w:val="auto"/>
        </w:rPr>
        <w:t>Commitments</w:t>
      </w:r>
      <w:r>
        <w:rPr>
          <w:rFonts w:ascii="Arial" w:cs="Arial" w:eastAsia="Arial" w:hAnsi="Arial"/>
          <w:sz w:val="17"/>
          <w:szCs w:val="17"/>
          <w:color w:val="auto"/>
        </w:rPr>
        <w:t xml:space="preserve"> </w:t>
      </w:r>
      <w:r>
        <w:rPr>
          <w:rFonts w:ascii="Arial" w:cs="Arial" w:eastAsia="Arial" w:hAnsi="Arial"/>
          <w:sz w:val="17"/>
          <w:szCs w:val="17"/>
          <w:i w:val="1"/>
          <w:iCs w:val="1"/>
          <w:color w:val="auto"/>
        </w:rPr>
        <w:t>and Contingencies</w:t>
      </w:r>
      <w:r>
        <w:rPr>
          <w:rFonts w:ascii="Arial" w:cs="Arial" w:eastAsia="Arial" w:hAnsi="Arial"/>
          <w:sz w:val="17"/>
          <w:szCs w:val="17"/>
          <w:color w:val="auto"/>
        </w:rPr>
        <w:t>, for further discussion of the arbitration resulting from a dispute over the payment of this contingent consideration as well as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royalty payments.</w:t>
      </w:r>
    </w:p>
    <w:p>
      <w:pPr>
        <w:spacing w:after="0" w:line="18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Intangible asset impairment charges during the three and nine months ended December 31, 2016 were $0.4 million and $1.9 million, respectively, and primarily related to the impairment of certain capitalized software as discussed in Note 13, </w:t>
      </w:r>
      <w:r>
        <w:rPr>
          <w:rFonts w:ascii="Arial" w:cs="Arial" w:eastAsia="Arial" w:hAnsi="Arial"/>
          <w:sz w:val="18"/>
          <w:szCs w:val="18"/>
          <w:i w:val="1"/>
          <w:iCs w:val="1"/>
          <w:color w:val="auto"/>
        </w:rPr>
        <w:t>Capitalization of Software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FAIR VALUE MEASUREMENTS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manufacture, market and sell our products globally. For the nine months ended December 31, 2016, 40.0% of our sales were generated outside the U.S. in local currencies. We also incur certain manufacturing, marketing and selling costs in international markets in local currency.</w:t>
      </w:r>
    </w:p>
    <w:p>
      <w:pPr>
        <w:spacing w:after="0" w:line="170"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but because we generally enter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All of our designated foreign currency hedge contracts as of December 31, 2016 and April 2, 2016 were cash flow hedges under ASC Topic 815,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w:t>
      </w:r>
      <w:r>
        <w:rPr>
          <w:rFonts w:ascii="Arial" w:cs="Arial" w:eastAsia="Arial" w:hAnsi="Arial"/>
          <w:sz w:val="18"/>
          <w:szCs w:val="18"/>
          <w:color w:val="auto"/>
        </w:rPr>
        <w:t>. We record the effective portion of any change in the fair value of designated foreign currency hedge contracts in Other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until the related third-party transaction occurs. Once the related third-party transaction occurs, we reclassify the effective portion of any related gain or loss on the designated</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580"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$99.0 million as of December 31, 2016 and $107.4 million as of April 2, 2016. At December 31, 2016, gains of $1.2 million, net of tax, will be reclassified to earnings within the next twelve months. Substantially all currency cash flow hedges outstanding as of December 31, 2016 mature within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$49.7 million as of December 31, 2016 and $48.8 million as of April 2,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21, 2012, we entered into two interest rate swap agreements (the "Swaps") on a total notional amount of $250.0 million of debt. The Swaps are amortizing and mature on August 1, 2017. We designated the Swaps as cash flow hedges of variable interest rate risk associated with $250.0 million of indebtedness. As of December 31, 2016, the notional amount of these Swaps was $150.0 million. For three and nine months ended December 31, 2016 and December 26, 2015, we recorded nominal activity in Accumulated Other Comprehensive Loss to recognize the effective portion of the fair value of interest rate swaps that qualify as cash flow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ASC Topic 815 in our consolidated statements of income (loss) and comprehensive income (loss) for the nine months ended December 31,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ind w:right="41"/>
              <w:spacing w:after="0"/>
              <w:rPr>
                <w:sz w:val="20"/>
                <w:szCs w:val="20"/>
                <w:color w:val="auto"/>
              </w:rPr>
            </w:pPr>
            <w:r>
              <w:rPr>
                <w:rFonts w:ascii="Arial" w:cs="Arial" w:eastAsia="Arial" w:hAnsi="Arial"/>
                <w:sz w:val="14"/>
                <w:szCs w:val="14"/>
                <w:color w:val="auto"/>
                <w:w w:val="97"/>
              </w:rPr>
              <w:t>Amount of (Loss) Gain</w:t>
            </w:r>
          </w:p>
        </w:tc>
        <w:tc>
          <w:tcPr>
            <w:tcW w:w="220" w:type="dxa"/>
            <w:vAlign w:val="bottom"/>
          </w:tcPr>
          <w:p>
            <w:pPr>
              <w:spacing w:after="0"/>
              <w:rPr>
                <w:sz w:val="14"/>
                <w:szCs w:val="14"/>
                <w:color w:val="auto"/>
              </w:rPr>
            </w:pPr>
          </w:p>
        </w:tc>
        <w:tc>
          <w:tcPr>
            <w:tcW w:w="1520" w:type="dxa"/>
            <w:vAlign w:val="bottom"/>
          </w:tcPr>
          <w:p>
            <w:pPr>
              <w:jc w:val="center"/>
              <w:ind w:right="79"/>
              <w:spacing w:after="0"/>
              <w:rPr>
                <w:sz w:val="20"/>
                <w:szCs w:val="20"/>
                <w:color w:val="auto"/>
              </w:rPr>
            </w:pPr>
            <w:r>
              <w:rPr>
                <w:rFonts w:ascii="Arial" w:cs="Arial" w:eastAsia="Arial" w:hAnsi="Arial"/>
                <w:sz w:val="14"/>
                <w:szCs w:val="14"/>
                <w:color w:val="auto"/>
                <w:w w:val="97"/>
              </w:rPr>
              <w:t>Amount of (Loss) Gain</w:t>
            </w:r>
          </w:p>
        </w:tc>
        <w:tc>
          <w:tcPr>
            <w:tcW w:w="204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220" w:type="dxa"/>
            <w:vAlign w:val="bottom"/>
          </w:tcPr>
          <w:p>
            <w:pPr>
              <w:spacing w:after="0"/>
              <w:rPr>
                <w:sz w:val="14"/>
                <w:szCs w:val="14"/>
                <w:color w:val="auto"/>
              </w:rPr>
            </w:pPr>
          </w:p>
        </w:tc>
        <w:tc>
          <w:tcPr>
            <w:tcW w:w="1260" w:type="dxa"/>
            <w:vAlign w:val="bottom"/>
            <w:vMerge w:val="restart"/>
          </w:tcPr>
          <w:p>
            <w:pPr>
              <w:jc w:val="center"/>
              <w:ind w:right="119"/>
              <w:spacing w:after="0"/>
              <w:rPr>
                <w:sz w:val="20"/>
                <w:szCs w:val="20"/>
                <w:color w:val="auto"/>
              </w:rPr>
            </w:pPr>
            <w:r>
              <w:rPr>
                <w:rFonts w:ascii="Arial" w:cs="Arial" w:eastAsia="Arial" w:hAnsi="Arial"/>
                <w:sz w:val="14"/>
                <w:szCs w:val="14"/>
                <w:color w:val="auto"/>
                <w:w w:val="96"/>
              </w:rPr>
              <w:t>Amount of Gain</w:t>
            </w: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vMerge w:val="restart"/>
          </w:tcPr>
          <w:p>
            <w:pPr>
              <w:jc w:val="center"/>
              <w:ind w:right="41"/>
              <w:spacing w:after="0" w:line="149" w:lineRule="exact"/>
              <w:rPr>
                <w:sz w:val="20"/>
                <w:szCs w:val="20"/>
                <w:color w:val="auto"/>
              </w:rPr>
            </w:pPr>
            <w:r>
              <w:rPr>
                <w:rFonts w:ascii="Arial" w:cs="Arial" w:eastAsia="Arial" w:hAnsi="Arial"/>
                <w:sz w:val="14"/>
                <w:szCs w:val="14"/>
                <w:color w:val="auto"/>
                <w:w w:val="91"/>
              </w:rPr>
              <w:t>Recognized</w:t>
            </w:r>
          </w:p>
        </w:tc>
        <w:tc>
          <w:tcPr>
            <w:tcW w:w="220" w:type="dxa"/>
            <w:vAlign w:val="bottom"/>
          </w:tcPr>
          <w:p>
            <w:pPr>
              <w:spacing w:after="0"/>
              <w:rPr>
                <w:sz w:val="5"/>
                <w:szCs w:val="5"/>
                <w:color w:val="auto"/>
              </w:rPr>
            </w:pPr>
          </w:p>
        </w:tc>
        <w:tc>
          <w:tcPr>
            <w:tcW w:w="1520" w:type="dxa"/>
            <w:vAlign w:val="bottom"/>
            <w:vMerge w:val="restart"/>
          </w:tcPr>
          <w:p>
            <w:pPr>
              <w:jc w:val="center"/>
              <w:ind w:right="79"/>
              <w:spacing w:after="0" w:line="149" w:lineRule="exact"/>
              <w:rPr>
                <w:sz w:val="20"/>
                <w:szCs w:val="20"/>
                <w:color w:val="auto"/>
              </w:rPr>
            </w:pPr>
            <w:r>
              <w:rPr>
                <w:rFonts w:ascii="Arial" w:cs="Arial" w:eastAsia="Arial" w:hAnsi="Arial"/>
                <w:sz w:val="14"/>
                <w:szCs w:val="14"/>
                <w:color w:val="auto"/>
                <w:w w:val="95"/>
              </w:rPr>
              <w:t>Reclassified</w:t>
            </w:r>
          </w:p>
        </w:tc>
        <w:tc>
          <w:tcPr>
            <w:tcW w:w="20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14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5"/>
              </w:rPr>
              <w:t>(Loss) Excluded from</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vMerge w:val="restart"/>
          </w:tcPr>
          <w:p>
            <w:pPr>
              <w:jc w:val="center"/>
              <w:ind w:right="41"/>
              <w:spacing w:after="0" w:line="149" w:lineRule="exact"/>
              <w:rPr>
                <w:sz w:val="20"/>
                <w:szCs w:val="20"/>
                <w:color w:val="auto"/>
              </w:rPr>
            </w:pPr>
            <w:r>
              <w:rPr>
                <w:rFonts w:ascii="Arial" w:cs="Arial" w:eastAsia="Arial" w:hAnsi="Arial"/>
                <w:sz w:val="14"/>
                <w:szCs w:val="14"/>
                <w:color w:val="auto"/>
                <w:w w:val="95"/>
              </w:rPr>
              <w:t>in Accumulated Other</w:t>
            </w:r>
          </w:p>
        </w:tc>
        <w:tc>
          <w:tcPr>
            <w:tcW w:w="1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4"/>
              </w:rPr>
              <w:t>from Accumulated Other</w:t>
            </w:r>
          </w:p>
        </w:tc>
        <w:tc>
          <w:tcPr>
            <w:tcW w:w="2040" w:type="dxa"/>
            <w:vAlign w:val="bottom"/>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3"/>
              </w:rPr>
              <w:t>Income (Loss) and</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0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3"/>
              </w:rPr>
              <w:t>Income (Loss) and</w:t>
            </w:r>
          </w:p>
        </w:tc>
        <w:tc>
          <w:tcPr>
            <w:tcW w:w="220" w:type="dxa"/>
            <w:vAlign w:val="bottom"/>
          </w:tcPr>
          <w:p>
            <w:pPr>
              <w:spacing w:after="0"/>
              <w:rPr>
                <w:sz w:val="7"/>
                <w:szCs w:val="7"/>
                <w:color w:val="auto"/>
              </w:rPr>
            </w:pPr>
          </w:p>
        </w:tc>
        <w:tc>
          <w:tcPr>
            <w:tcW w:w="1260" w:type="dxa"/>
            <w:vAlign w:val="bottom"/>
            <w:vMerge w:val="restart"/>
          </w:tcPr>
          <w:p>
            <w:pPr>
              <w:jc w:val="center"/>
              <w:ind w:right="119"/>
              <w:spacing w:after="0" w:line="149" w:lineRule="exact"/>
              <w:rPr>
                <w:sz w:val="20"/>
                <w:szCs w:val="20"/>
                <w:color w:val="auto"/>
              </w:rPr>
            </w:pPr>
            <w:r>
              <w:rPr>
                <w:rFonts w:ascii="Arial" w:cs="Arial" w:eastAsia="Arial" w:hAnsi="Arial"/>
                <w:sz w:val="14"/>
                <w:szCs w:val="14"/>
                <w:color w:val="auto"/>
                <w:w w:val="93"/>
              </w:rPr>
              <w:t>Effectiveness</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vMerge w:val="restart"/>
          </w:tcPr>
          <w:p>
            <w:pPr>
              <w:jc w:val="center"/>
              <w:ind w:right="41"/>
              <w:spacing w:after="0" w:line="149" w:lineRule="exact"/>
              <w:rPr>
                <w:sz w:val="20"/>
                <w:szCs w:val="20"/>
                <w:color w:val="auto"/>
              </w:rPr>
            </w:pPr>
            <w:r>
              <w:rPr>
                <w:rFonts w:ascii="Arial" w:cs="Arial" w:eastAsia="Arial" w:hAnsi="Arial"/>
                <w:sz w:val="14"/>
                <w:szCs w:val="14"/>
                <w:color w:val="auto"/>
                <w:w w:val="91"/>
              </w:rPr>
              <w:t>Comprehensive Income</w:t>
            </w:r>
          </w:p>
        </w:tc>
        <w:tc>
          <w:tcPr>
            <w:tcW w:w="1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3"/>
              </w:rPr>
              <w:t>Comprehensive Loss into</w:t>
            </w:r>
          </w:p>
        </w:tc>
        <w:tc>
          <w:tcPr>
            <w:tcW w:w="20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3"/>
              </w:rPr>
              <w:t>Comprehensive Income</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color w:val="auto"/>
                <w:w w:val="93"/>
              </w:rPr>
              <w:t>Comprehensive Income (Loss)</w:t>
            </w:r>
          </w:p>
        </w:tc>
        <w:tc>
          <w:tcPr>
            <w:tcW w:w="220" w:type="dxa"/>
            <w:vAlign w:val="bottom"/>
          </w:tcPr>
          <w:p>
            <w:pPr>
              <w:spacing w:after="0"/>
              <w:rPr>
                <w:sz w:val="7"/>
                <w:szCs w:val="7"/>
                <w:color w:val="auto"/>
              </w:rPr>
            </w:pPr>
          </w:p>
        </w:tc>
        <w:tc>
          <w:tcPr>
            <w:tcW w:w="1260" w:type="dxa"/>
            <w:vAlign w:val="bottom"/>
            <w:vMerge w:val="restart"/>
          </w:tcPr>
          <w:p>
            <w:pPr>
              <w:jc w:val="center"/>
              <w:ind w:right="119"/>
              <w:spacing w:after="0"/>
              <w:rPr>
                <w:sz w:val="20"/>
                <w:szCs w:val="20"/>
                <w:color w:val="auto"/>
              </w:rPr>
            </w:pPr>
            <w:r>
              <w:rPr>
                <w:rFonts w:ascii="Arial" w:cs="Arial" w:eastAsia="Arial" w:hAnsi="Arial"/>
                <w:sz w:val="14"/>
                <w:szCs w:val="14"/>
                <w:color w:val="auto"/>
                <w:w w:val="97"/>
              </w:rPr>
              <w:t>Testing *</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5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8"/>
                <w:szCs w:val="8"/>
                <w:color w:val="auto"/>
              </w:rPr>
            </w:pPr>
          </w:p>
        </w:tc>
        <w:tc>
          <w:tcPr>
            <w:tcW w:w="1520" w:type="dxa"/>
            <w:vAlign w:val="bottom"/>
            <w:vMerge w:val="restart"/>
          </w:tcPr>
          <w:p>
            <w:pPr>
              <w:jc w:val="center"/>
              <w:ind w:right="41"/>
              <w:spacing w:after="0"/>
              <w:rPr>
                <w:sz w:val="20"/>
                <w:szCs w:val="20"/>
                <w:color w:val="auto"/>
              </w:rPr>
            </w:pPr>
            <w:r>
              <w:rPr>
                <w:rFonts w:ascii="Arial" w:cs="Arial" w:eastAsia="Arial" w:hAnsi="Arial"/>
                <w:sz w:val="14"/>
                <w:szCs w:val="14"/>
                <w:color w:val="auto"/>
                <w:w w:val="92"/>
              </w:rPr>
              <w:t>(Loss)</w:t>
            </w:r>
          </w:p>
        </w:tc>
        <w:tc>
          <w:tcPr>
            <w:tcW w:w="220" w:type="dxa"/>
            <w:vAlign w:val="bottom"/>
          </w:tcPr>
          <w:p>
            <w:pPr>
              <w:spacing w:after="0"/>
              <w:rPr>
                <w:sz w:val="8"/>
                <w:szCs w:val="8"/>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color w:val="auto"/>
                <w:w w:val="94"/>
              </w:rPr>
              <w:t>Earnings</w:t>
            </w:r>
          </w:p>
        </w:tc>
        <w:tc>
          <w:tcPr>
            <w:tcW w:w="2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color w:val="auto"/>
                <w:w w:val="97"/>
              </w:rPr>
              <w:t>(Loss)</w:t>
            </w:r>
          </w:p>
        </w:tc>
        <w:tc>
          <w:tcPr>
            <w:tcW w:w="0" w:type="dxa"/>
            <w:vAlign w:val="bottom"/>
          </w:tcPr>
          <w:p>
            <w:pPr>
              <w:spacing w:after="0"/>
              <w:rPr>
                <w:sz w:val="1"/>
                <w:szCs w:val="1"/>
                <w:color w:val="auto"/>
              </w:rPr>
            </w:pPr>
          </w:p>
        </w:tc>
      </w:tr>
      <w:tr>
        <w:trPr>
          <w:trHeight w:val="87"/>
        </w:trPr>
        <w:tc>
          <w:tcPr>
            <w:tcW w:w="2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Net revenues, COGS, and</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1,517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(4,678)</w:t>
            </w:r>
          </w:p>
        </w:tc>
        <w:tc>
          <w:tcPr>
            <w:tcW w:w="2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SG&amp;A</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388</w:t>
            </w:r>
          </w:p>
        </w:tc>
        <w:tc>
          <w:tcPr>
            <w:tcW w:w="1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w w:val="94"/>
              </w:rPr>
              <w:t>Non-designated foreign currency</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hedge contracts</w:t>
            </w:r>
          </w:p>
        </w:tc>
        <w:tc>
          <w:tcPr>
            <w:tcW w:w="220" w:type="dxa"/>
            <w:vAlign w:val="bottom"/>
          </w:tcPr>
          <w:p>
            <w:pPr>
              <w:spacing w:after="0"/>
              <w:rPr>
                <w:sz w:val="20"/>
                <w:szCs w:val="20"/>
                <w:color w:val="auto"/>
              </w:rPr>
            </w:pPr>
          </w:p>
        </w:tc>
        <w:tc>
          <w:tcPr>
            <w:tcW w:w="15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8"/>
                <w:szCs w:val="18"/>
                <w:color w:val="auto"/>
              </w:rPr>
              <w:t>1,031</w:t>
            </w:r>
          </w:p>
        </w:tc>
        <w:tc>
          <w:tcPr>
            <w:tcW w:w="1880" w:type="dxa"/>
            <w:vAlign w:val="bottom"/>
          </w:tcPr>
          <w:p>
            <w:pPr>
              <w:ind w:left="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Designated interest rate swaps,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and other</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 net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We exclude the difference between the spot rate and hedge forward rate from our effectiveness testing.</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did not have fair value hedges or net investment hedges outstanding as of December 31, 2016 or April 2, 2016. As of December 31, 2016, no deferred tax assets were recognized for designated foreign currency hedges.</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ASC Topic 815 requires all derivative instruments to be recognized at their fair value as either assets or liabilities on the balance sheet. We determine the fair value of our derivative instruments using the framework prescribed by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31, 2016, we have classified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derivative assets and liabilities within Level 2 of the fair value hierarchy prescribed by ASC 815, as discussed below, because these observable inputs are available for substantially the full term of our derivative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of our derivative instruments as they appear in our consolidated balance sheets as of December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 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ind w:left="940"/>
              <w:spacing w:after="0"/>
              <w:rPr>
                <w:sz w:val="20"/>
                <w:szCs w:val="20"/>
                <w:color w:val="auto"/>
              </w:rPr>
            </w:pPr>
            <w:r>
              <w:rPr>
                <w:rFonts w:ascii="Arial" w:cs="Arial" w:eastAsia="Arial" w:hAnsi="Arial"/>
                <w:sz w:val="14"/>
                <w:szCs w:val="14"/>
                <w:color w:val="auto"/>
              </w:rPr>
              <w:t>Location in</w:t>
            </w:r>
          </w:p>
        </w:tc>
        <w:tc>
          <w:tcPr>
            <w:tcW w:w="280" w:type="dxa"/>
            <w:vAlign w:val="bottom"/>
          </w:tcPr>
          <w:p>
            <w:pPr>
              <w:spacing w:after="0"/>
              <w:rPr>
                <w:sz w:val="14"/>
                <w:szCs w:val="14"/>
                <w:color w:val="auto"/>
              </w:rPr>
            </w:pPr>
          </w:p>
        </w:tc>
        <w:tc>
          <w:tcPr>
            <w:tcW w:w="1880" w:type="dxa"/>
            <w:vAlign w:val="bottom"/>
            <w:gridSpan w:val="2"/>
          </w:tcPr>
          <w:p>
            <w:pPr>
              <w:ind w:left="60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580" w:type="dxa"/>
            <w:vAlign w:val="bottom"/>
          </w:tcPr>
          <w:p>
            <w:pPr>
              <w:jc w:val="right"/>
              <w:ind w:right="714"/>
              <w:spacing w:after="0"/>
              <w:rPr>
                <w:sz w:val="20"/>
                <w:szCs w:val="20"/>
                <w:color w:val="auto"/>
              </w:rPr>
            </w:pPr>
            <w:r>
              <w:rPr>
                <w:rFonts w:ascii="Arial" w:cs="Arial" w:eastAsia="Arial" w:hAnsi="Arial"/>
                <w:sz w:val="14"/>
                <w:szCs w:val="14"/>
                <w:b w:val="1"/>
                <w:bCs w:val="1"/>
                <w:color w:val="auto"/>
              </w:rPr>
              <w:t>As of</w:t>
            </w: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Balance Sheet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3,255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427</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3,324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427</w:t>
            </w:r>
          </w:p>
        </w:tc>
      </w:tr>
      <w:tr>
        <w:trPr>
          <w:trHeight w:val="67"/>
        </w:trPr>
        <w:tc>
          <w:tcPr>
            <w:tcW w:w="4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4,056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4,210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310" w:lineRule="exact"/>
        <w:rPr>
          <w:sz w:val="20"/>
          <w:szCs w:val="20"/>
          <w:color w:val="auto"/>
        </w:rPr>
      </w:pPr>
    </w:p>
    <w:p>
      <w:pPr>
        <w:ind w:right="80"/>
        <w:spacing w:after="0" w:line="334"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December 31, 2016 and April 2,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514"/>
              <w:spacing w:after="0"/>
              <w:rPr>
                <w:sz w:val="20"/>
                <w:szCs w:val="20"/>
                <w:color w:val="auto"/>
              </w:rPr>
            </w:pPr>
            <w:r>
              <w:rPr>
                <w:rFonts w:ascii="Arial" w:cs="Arial" w:eastAsia="Arial" w:hAnsi="Arial"/>
                <w:sz w:val="14"/>
                <w:szCs w:val="14"/>
                <w:b w:val="1"/>
                <w:bCs w:val="1"/>
                <w:color w:val="auto"/>
                <w:w w:val="92"/>
              </w:rPr>
              <w:t>As of December 31, 2016</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79,452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79,452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79,452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3,324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82,776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1,916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1,916</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April 2, 2016</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Level 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72,491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72,491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72,491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427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72,918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4,210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4,210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nine months ended December 31, 2016, non-designated foreign currency hedge contracts were not significant and are not disclosed separately in the above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generally lower than the U.S. federal statutory rate as the income tax rates in the foreign jurisdictions in which we operate are generally lower than the U.S. statutory tax rate.</w:t>
      </w:r>
    </w:p>
    <w:p>
      <w:pPr>
        <w:spacing w:after="0" w:line="18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During the three months ended December 31, 2016 and December 26, 2015, we reported an income tax provision of $3.5 million and an income tax benefit of $3.9 million, respectively, representing effective tax rates of 18.7% and 6.1%, respectively. For the nine months ended December 31, 2016 and December 26, 2015 we reported an income tax provision of $6.8 million and $1.7 million, respectively, representing effective tax rates of 21.6% and (3.8)%, respectively.</w:t>
      </w:r>
    </w:p>
    <w:p>
      <w:pPr>
        <w:spacing w:after="0" w:line="14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increase in our income tax provision for both the three and nine months ended December 31, 2016, as compared to the prior year periods, was primarily due to the impact of impairment charges recorded during the three months ended December 26, 2015 and changes in the jurisdictional mix of earnings. During the three and nine months ended December 26, 2015, we recorded goodwill impairment charges of $66.3 million and intangible asset impairment charges of $18.7 million with a corresponding $7.1 million benefit to income taxes. The income tax provision for the nine months ended December 26,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ind w:right="140"/>
        <w:spacing w:after="0" w:line="277" w:lineRule="auto"/>
        <w:rPr>
          <w:sz w:val="20"/>
          <w:szCs w:val="20"/>
          <w:color w:val="auto"/>
        </w:rPr>
      </w:pPr>
      <w:r>
        <w:rPr>
          <w:rFonts w:ascii="Arial" w:cs="Arial" w:eastAsia="Arial" w:hAnsi="Arial"/>
          <w:sz w:val="18"/>
          <w:szCs w:val="18"/>
          <w:color w:val="auto"/>
        </w:rPr>
        <w:t>includes a discrete tax provision of $1.0 million to increase the deferred tax liability related to amortizable goodwill as a result of the statutory capital gains tax rate in Puerto Rico increasing from 15% to 20%.</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nine months ended December 31, 2016, the income tax provision includes a discrete tax provision of $1.4 million for an uncertain tax position that was triggered by a reduction in workforce in one of our foreign subsidiaries during the first quarter of fiscal 2017. This discrete tax provision is inclusive of an insignificant amount of interest. We had previously negotiated a tax holiday under which we were required to maintain certain levels of headcount for a multi-year period. During the first quarter of fiscal 2017, as a result of a reduction in workforce, we were unable to satisfy the required headcount levels and became subject to a potential tax assessment related to historical tax years. The tax provision associated with this tax reserve establishment was partially offset by a tax benefit of $0.5 million for the release of tax reserves due to the expiration of statutes of limitations during the second and third quarters of fiscal 2017.</w:t>
      </w:r>
    </w:p>
    <w:p>
      <w:pPr>
        <w:spacing w:after="0" w:line="18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are in a three year cumulative loss position in the U.S. and, accordingly, maintain a valuation allowance against our U.S. deferred tax assets. We also maintain a valuation allowance against certain foreign deferred tax assets which we have concluded are not more-likely-than-not realizable.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Unrecognized tax benefits represent uncertain tax positions for which reserves have been established. As of December 31, 2016 we had $3.4 million of unrecognized tax benefits, of which $1.5 million would impact the effective tax rate, if recognized. As of April 2, 2016, we had $2.5 million of unrecognized tax benefits, of which $0.6 million would impact the effective tax rate, if recognized.</w:t>
      </w:r>
    </w:p>
    <w:p>
      <w:pPr>
        <w:spacing w:after="0" w:line="1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December 31, 2016, our unrecognized tax benefits were increased by $1.3 million due to the establishment of a tax reserve for the potential tax assessment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our gross unrecognized tax benefits for the fiscal periods ended December 31, 2016 and April 2, 2016:</w:t>
      </w:r>
    </w:p>
    <w:p>
      <w:pPr>
        <w:spacing w:after="0" w:line="349"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4"/>
                <w:szCs w:val="14"/>
                <w:color w:val="auto"/>
              </w:rPr>
            </w:pPr>
          </w:p>
        </w:tc>
        <w:tc>
          <w:tcPr>
            <w:tcW w:w="1340" w:type="dxa"/>
            <w:vAlign w:val="bottom"/>
          </w:tcPr>
          <w:p>
            <w:pPr>
              <w:jc w:val="right"/>
              <w:ind w:right="355"/>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7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Pr>
          <w:p>
            <w:pPr>
              <w:spacing w:after="0"/>
              <w:rPr>
                <w:sz w:val="16"/>
                <w:szCs w:val="16"/>
                <w:color w:val="auto"/>
              </w:rPr>
            </w:pPr>
          </w:p>
        </w:tc>
        <w:tc>
          <w:tcPr>
            <w:tcW w:w="1340" w:type="dxa"/>
            <w:vAlign w:val="bottom"/>
          </w:tcPr>
          <w:p>
            <w:pPr>
              <w:jc w:val="right"/>
              <w:ind w:right="315"/>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7,070</w:t>
            </w: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14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340</w:t>
            </w:r>
          </w:p>
        </w:tc>
      </w:tr>
      <w:tr>
        <w:trPr>
          <w:trHeight w:val="27"/>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Reductions of tax positions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Closure of statute of limitations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7"/>
        </w:trPr>
        <w:tc>
          <w:tcPr>
            <w:tcW w:w="7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3,380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2,523</w:t>
            </w:r>
          </w:p>
        </w:tc>
      </w:tr>
      <w:tr>
        <w:trPr>
          <w:trHeight w:val="20"/>
        </w:trPr>
        <w:tc>
          <w:tcPr>
            <w:tcW w:w="7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2016, we anticipate that the liability for unrecognized tax benefits for uncertain tax positions could change by up to $1.3 million in the next twelve months, as a result of closure of various statutes of limitations or settlements.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historic practice has been and continues to be to recognize interest and penalties related to Federal, state and foreign income tax matters in income tax expense. Approximately $0.4 million of gross interest and penalties were accrued at December 31, 2016 and April 2, 2016 and is not included in the amounts above. Tax expense associated with accrued interest and penalties was insignificant for the nine months ended December 31, 2016.</w:t>
      </w:r>
    </w:p>
    <w:p>
      <w:pPr>
        <w:spacing w:after="0" w:line="14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conduct business globally and, as a result, file consolidated and separate Federal, state and foreign income tax returns in multiple jurisdictions. In the normal course of business, we are subject to examination by taxing authorities throughout the world. With a few exceptions, we are no longer subject to U.S. federal, state, or local income tax examinations for years before 2012 and foreign income tax examinations for years before 2011.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August 1, 2012,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 on August 1, 2017. Interest was based on the Adjusted LIBOR plus a range of 1.125% to 1.500% depending on achievement of leverage ratios and customary credit terms which included financial and negative covenants.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368" w:right="319" w:bottom="1440" w:gutter="0" w:footer="0" w:header="0"/>
        </w:sectPr>
      </w:pPr>
    </w:p>
    <w:bookmarkStart w:id="12" w:name="page13"/>
    <w:bookmarkEnd w:id="12"/>
    <w:p>
      <w:pPr>
        <w:ind w:right="140"/>
        <w:spacing w:after="0" w:line="270" w:lineRule="auto"/>
        <w:rPr>
          <w:sz w:val="20"/>
          <w:szCs w:val="20"/>
          <w:color w:val="auto"/>
        </w:rPr>
      </w:pPr>
      <w:r>
        <w:rPr>
          <w:rFonts w:ascii="Arial" w:cs="Arial" w:eastAsia="Arial" w:hAnsi="Arial"/>
          <w:sz w:val="17"/>
          <w:szCs w:val="17"/>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No additional amounts were borrowed as a result of this modification. The fair value of debt approximates its current value of $337.2 million as of December 31, 2016. During the three and nine months ended December 31, 2016, we paid $11.9 million and $30.8 million in principal repayments, respectively, for the Term Loan. During the three and nine months ended December 31, 2016, we reduced our borrowings on the Revolving Credit Facility by $40.0 million as part of our normal cash management process. In addition, on January 31, 2017, we reduced our borrowings on the Revolving Credit Facility by the remaining $10.0 million that was outstanding. We were in compliance with the leverage and interest coverage ratios specified in the Credit Agreement as well as all other bank covenants as of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are presently engaged in various legal actions, and although the total liability cannot be determined at the present time, based on consultation with counsel, we believe that any such liability will not materially affect our consolidated financial position or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Employment Litigation</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their working clothes at the beginning and end of each shift.</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alleging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total amount of damages claimed by the plaintiffs in these matters is approximately $4.3 million. At this point in the proceedings, we believe the losses are unlikely and therefore no amounts have been accrued. In the future, we may receive other similar claims or adverse rulings from the courts which changes our judgment on these cases.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SOLX Arbitration</w:t>
      </w:r>
    </w:p>
    <w:p>
      <w:pPr>
        <w:spacing w:after="0" w:line="36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July 2016, H2 Equity, LLC, formerly known as Hemerus Corporation, filed an arbitration claim for $17 million in milestone and royalty payments allegedly owed as part of our acquisition of the filter and storage solution business from Hemerus Medical, LLC ("Hemerus") in fiscal 2014. The acquired storage solution is referred to as SOLX.</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the closing in April 2013, Haemonetics paid Hemerus a total of $24 million and agreed to a $3 million milestone payment due when the U.S. Food and Drug Administration ("FDA") approved a new indication for SOLX (the “24-Hour Approval”), using a filter acquired from Hemerus. We also agreed to make future royalty payments up to a cumulative maximum of $14 million based on the sale of products incorporating SOLX over a ten year period.</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Due to performance issues with the Hemerus filter, Haemonetics filed for, and received, the 24-Hour Approval using a Haemonetics filter. Accordingly, Haemonetics did not pay Hemerus the $3 million milestone payment because the 24-Hour Approval was obtained using a Haemonetics filter, not a Hemerus filter. In addition, we have not paid any royalties to date as we have not made any commercial sales of products incorporating SOLX.</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13" w:name="page14"/>
    <w:bookmarkEnd w:id="13"/>
    <w:p>
      <w:pPr>
        <w:ind w:right="120"/>
        <w:spacing w:after="0" w:line="264" w:lineRule="auto"/>
        <w:rPr>
          <w:sz w:val="20"/>
          <w:szCs w:val="20"/>
          <w:color w:val="auto"/>
        </w:rPr>
      </w:pPr>
      <w:r>
        <w:rPr>
          <w:rFonts w:ascii="Arial" w:cs="Arial" w:eastAsia="Arial" w:hAnsi="Arial"/>
          <w:sz w:val="18"/>
          <w:szCs w:val="18"/>
          <w:color w:val="auto"/>
        </w:rPr>
        <w:t>H2 Equity claims, in part, that we owe them $3 million for the receipt of the 24-Hour Approval despite the use of a Haemonetics filter to obtain the approval and that we have failed to make commercially reasonable efforts to market and sell products incorporating SOLX. We believe that we have meritorious defenses to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It is not possible to accurately evaluate the likelihood or amount of any potential losses related to this claim and therefore no amounts have been accrued.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Recall</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June 2016, we issued a voluntary recall of certain whole blood collection kits sold to our Blood Center customers in the United States. The recall resulted from some collection sets' filters failing to adequately remove leukocytes from collected blood. Because most U.S. hospitals prefer to transfuse leukoreduced blood, our blood center customers may have conducted further tests to confirm the blood was adequately leukoreduced, sold the blood as non-leukoreduced at a lower price or discarded the blood collected using the defective sets. As a result of the recall, we have recorded total charges of $4.3 million during the nine months ended December 31, 2016, which consists of $3.7 million of charges associated with customer returns and inventory reserves and $0.6 million of charges associated with customer claims, as discussed below. We may record incremental charges in future periods.</w:t>
      </w:r>
    </w:p>
    <w:p>
      <w:pPr>
        <w:spacing w:after="0" w:line="124"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We determined that the affected sets were distributed between April and June 2016; credits have been issued to customers who returned affected sets purchased during this period. During the nine months ended December 31, 2016, we recorded charges of $3.7 million, which consisted of $2.5 million of estimated sales returns, $1.1 million of net inventory reserves for the affected collection sets on-hand that had not yet been shipped to customers and $0.1 million of freight expenses. Our estimate of sales returns was based on preliminary returns data received to date, however, actual customer returns are not expected to conclude until the fourth quarter of fiscal 2017.</w:t>
      </w:r>
    </w:p>
    <w:p>
      <w:pPr>
        <w:spacing w:after="0" w:line="202" w:lineRule="exact"/>
        <w:rPr>
          <w:sz w:val="20"/>
          <w:szCs w:val="20"/>
          <w:color w:val="auto"/>
        </w:rPr>
      </w:pPr>
    </w:p>
    <w:p>
      <w:pPr>
        <w:ind w:right="100"/>
        <w:spacing w:after="0" w:line="307" w:lineRule="auto"/>
        <w:rPr>
          <w:sz w:val="20"/>
          <w:szCs w:val="20"/>
          <w:color w:val="auto"/>
        </w:rPr>
      </w:pPr>
      <w:r>
        <w:rPr>
          <w:rFonts w:ascii="Arial" w:cs="Arial" w:eastAsia="Arial" w:hAnsi="Arial"/>
          <w:sz w:val="16"/>
          <w:szCs w:val="16"/>
          <w:color w:val="auto"/>
        </w:rPr>
        <w:t xml:space="preserve">Additionally, we received claims from customers which comprised substantially all the affected units. These claims seek reimbursement for losses sustained as a result of the recall and total $14.6 million. </w:t>
      </w:r>
      <w:r>
        <w:rPr>
          <w:rFonts w:ascii="Arial" w:cs="Arial" w:eastAsia="Arial" w:hAnsi="Arial"/>
          <w:sz w:val="17"/>
          <w:szCs w:val="17"/>
          <w:color w:val="auto"/>
        </w:rPr>
        <w:t>W</w:t>
      </w:r>
      <w:r>
        <w:rPr>
          <w:rFonts w:ascii="Arial" w:cs="Arial" w:eastAsia="Arial" w:hAnsi="Arial"/>
          <w:sz w:val="16"/>
          <w:szCs w:val="16"/>
          <w:color w:val="auto"/>
        </w:rPr>
        <w:t>e believe it is probable that we will incur expenses as a result of these claims and that our range of loss is $0.6 million to $14.6 million, however, we do not have sufficient information to develop a best estimate within this range. Accordingly, we have recorded a liability of $0.6 million, which represents the low end of the range. Incremental charges may be recorded in future periods as additional customer returns and claims data becomes available. We have insurance policies in place which may provide coverage for certain types of potential claims. We will assess the potential for insurance recoveries as we receive more information about customer claims in future reporting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ENTERPRISE-WIDE INFORMATION</w:t>
      </w:r>
    </w:p>
    <w:p>
      <w:pPr>
        <w:spacing w:after="0" w:line="13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determine our reportable segments by first identifying our operating segments, and then by assessing whether any components of these segments constitute a business for which discrete financial information is available and where segment management regularly reviews the operating results of that component. Our operating segments are based primarily on geography. North America Plasma is a separate operating segment with dedicated segment management due the size and scale of the plasma business. We aggregate components within an operating segment that have similar economic characteristics.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Europe, Middle East and Africa (collectively “EMEA”)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aggregated the following two operating segments into the All Other reportable segment based upon their similar operational and economic characteristics, including similarity of operating margin:</w:t>
      </w:r>
    </w:p>
    <w:p>
      <w:pPr>
        <w:spacing w:after="0" w:line="7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Americas Blood Center and Hospital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Asia - Pacific</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periods prior to the fourth quarter of fiscal 2016, we believed a single reportable segment was consistent with its basic organizational structure and believed aggregation was consistent with its primary basis for decision making. As a result, prior year segment information has been restated to conform to the current reportable segments.</w:t>
      </w:r>
    </w:p>
    <w:p>
      <w:pPr>
        <w:spacing w:after="0" w:line="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During the first quarter of fiscal 2017, management reorganized its operating segments such that certain components of All Other are now reported as components of EMEA. Accordingly, the prior year numbers have been updated to reflect this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ind w:right="400"/>
        <w:spacing w:after="0" w:line="277" w:lineRule="auto"/>
        <w:rPr>
          <w:sz w:val="20"/>
          <w:szCs w:val="20"/>
          <w:color w:val="auto"/>
        </w:rPr>
      </w:pPr>
      <w:r>
        <w:rPr>
          <w:rFonts w:ascii="Arial" w:cs="Arial" w:eastAsia="Arial" w:hAnsi="Arial"/>
          <w:sz w:val="18"/>
          <w:szCs w:val="18"/>
          <w:color w:val="auto"/>
        </w:rPr>
        <w:t>reclassification as well as other changes within the cost reporting structure that occurred in the first quarter of fiscal 2017. These changes did not have an impact on our ability to aggregate Americas Blood Center and Hospital with Asia - Pacific.</w:t>
      </w:r>
    </w:p>
    <w:p>
      <w:pPr>
        <w:spacing w:after="0" w:line="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and asset impairments.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business segment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26,</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3"/>
                <w:szCs w:val="13"/>
                <w:color w:val="auto"/>
              </w:rPr>
            </w:pPr>
          </w:p>
        </w:tc>
        <w:tc>
          <w:tcPr>
            <w:tcW w:w="110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2"/>
              </w:rPr>
              <w:t>December 26,</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Japan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20,173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22,709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53,730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60,212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150,267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83,324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73,378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235,091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206,427</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85,218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236,315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248,217</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revenues before foreign exchange impact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233,238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234,563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666,667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665,123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227,841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233,384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658,050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666,490</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08"/>
        </w:trPr>
        <w:tc>
          <w:tcPr>
            <w:tcW w:w="6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26,</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3"/>
                <w:szCs w:val="13"/>
                <w:color w:val="auto"/>
              </w:rPr>
            </w:pPr>
          </w:p>
        </w:tc>
        <w:tc>
          <w:tcPr>
            <w:tcW w:w="110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2"/>
              </w:rPr>
              <w:t>December 26,</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Japan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9,331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10,013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24,335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26,643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35,292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24,660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28,445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80,209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81,909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82,406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88,156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73,548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81,420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220,816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232,000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(142,007)</w:t>
            </w: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Effect of exchange rates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3,875</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turnaround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Deal amortization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(22,193)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(85,048)</w:t>
            </w: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Contingent consideration income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4,727</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21,212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38,125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(38,392)</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global strategic review of our business portfolio, we organized our current products into four franchises for purposes of evaluating their growth potential: Plasma, Blood Center, Cell Processing and Hemostasis Management. Management reviews revenue trends based on these franchises, however, no other financial information is currently available on this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9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Net revenues by franchise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26,</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2016</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26, 2015</w:t>
            </w:r>
          </w:p>
        </w:tc>
        <w:tc>
          <w:tcPr>
            <w:tcW w:w="0" w:type="dxa"/>
            <w:vAlign w:val="bottom"/>
          </w:tcPr>
          <w:p>
            <w:pPr>
              <w:spacing w:after="0"/>
              <w:rPr>
                <w:sz w:val="1"/>
                <w:szCs w:val="1"/>
                <w:color w:val="auto"/>
              </w:rPr>
            </w:pPr>
          </w:p>
        </w:tc>
      </w:tr>
      <w:tr>
        <w:trPr>
          <w:trHeight w:val="192"/>
        </w:trPr>
        <w:tc>
          <w:tcPr>
            <w:tcW w:w="60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108,655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309,868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282,141</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76,354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90,418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221,567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257,736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Cell Processing</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25,918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27,741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77,949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83,659</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Hemostasis Management</w:t>
            </w: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16,914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14,647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48,666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42,954</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227,841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233,384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658,050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666,490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Net revenues generated in our principle operating regions on a reported basis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26,</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393,302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379,390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Japan</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22,319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19,482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58,949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50,406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38,892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150,610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Asia</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27,749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27,755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83,125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79,878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6,206</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227,841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233,384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658,050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666,490</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first quarter of fiscal 2017, in connection with our global strategic review, we launched a restructuring program designed to reposition our organization and improve our cost structure. This program includes both a reduction of headcount and operating costs as well as projects to simplify product lines. We may also take steps to modify our manufacturing operations to align with our strategic direction.</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initially expected to incur approximately $26 million of restructuring and turnaround related costs, comprised of $17 million in termination benefits and $9 million in other related exit costs. Savings from this program were initially estimated to be approximately $40 million in fiscal 2017. During the three and nine months ended December 31, 2016, we incurred $4.1 million and $22.9 million, respectively, of restructuring and turnaround charges under this program. Additionally, during the three and nine months ended December 31, 2016, we recorded $2.6 million and $4.2 million, respectively, of restructuring and turnaround charges under a prior program. The Company continues to evaluate non-performing assets and business units as part of its turnaround, which has resulted in additional charges and benefits during fiscal 2017.</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9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summarizes the restructuring activity for the nine months ended December 31,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Severance and Other</w:t>
            </w:r>
          </w:p>
        </w:tc>
        <w:tc>
          <w:tcPr>
            <w:tcW w:w="240" w:type="dxa"/>
            <w:vAlign w:val="bottom"/>
          </w:tcPr>
          <w:p>
            <w:pPr>
              <w:spacing w:after="0"/>
              <w:rPr>
                <w:sz w:val="14"/>
                <w:szCs w:val="14"/>
                <w:color w:val="auto"/>
              </w:rPr>
            </w:pPr>
          </w:p>
        </w:tc>
        <w:tc>
          <w:tcPr>
            <w:tcW w:w="12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Other Costs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4"/>
                <w:szCs w:val="14"/>
                <w:color w:val="auto"/>
              </w:rPr>
            </w:pPr>
          </w:p>
        </w:tc>
        <w:tc>
          <w:tcPr>
            <w:tcW w:w="13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2"/>
              </w:rPr>
              <w:t>Total Restructuring</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5"/>
              </w:rPr>
              <w:t>Employee Costs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Write Down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2,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16,680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18,064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9,131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Substantially all of the restructuring expenses have been included as a component of selling, general and administrative expenses in the accompanying consolidated statements of income (loss). As of December 31, 2016, we had a restructuring liability of $9.5 million, of which approximately $9.2 million is payable within the next twelve months.</w:t>
      </w:r>
    </w:p>
    <w:p>
      <w:pPr>
        <w:spacing w:after="0" w:line="18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addition to the restructuring expenses included in the table above, during the nine months ended December 31, 2016, we also incurred $9.1 million of costs that do not constitute as restructuring under ASC 420, which we refer to as turnaround costs. These costs consist primarily of expenditures directly related to our restructuring initiative and include program management, implementation of the global strategic review initiatives and accelerated depreciation.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Restructuring costs</w:t>
            </w: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6"/>
              </w:rPr>
              <w:t>Nine Months Ended</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2016</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26, 2015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26, 2015</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EMEA</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3,209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3,829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13,722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18,085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18,064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18,249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Turnaround costs</w:t>
            </w: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6"/>
              </w:rPr>
              <w:t>Nine Months Ended</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2016</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26, 2015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26, 2015</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EMEA</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4,674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4,295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10,769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4,706</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4,520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9,087</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11,605</w:t>
            </w:r>
          </w:p>
        </w:tc>
        <w:tc>
          <w:tcPr>
            <w:tcW w:w="0" w:type="dxa"/>
            <w:vAlign w:val="bottom"/>
          </w:tcPr>
          <w:p>
            <w:pPr>
              <w:spacing w:after="0"/>
              <w:rPr>
                <w:sz w:val="1"/>
                <w:szCs w:val="1"/>
                <w:color w:val="auto"/>
              </w:rPr>
            </w:pPr>
          </w:p>
        </w:tc>
      </w:tr>
      <w:tr>
        <w:trPr>
          <w:trHeight w:val="318"/>
        </w:trPr>
        <w:tc>
          <w:tcPr>
            <w:tcW w:w="606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restructuring and turnaround costs</w:t>
            </w: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6,738</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8,386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27,151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4"/>
              </w:rPr>
              <w:t>29,854</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13. CAPITALIZATION OF SOFTWARE DEVELOPMENT COSTS</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we apply the provisions of ASC 985-20, </w:t>
      </w:r>
      <w:r>
        <w:rPr>
          <w:rFonts w:ascii="Arial" w:cs="Arial" w:eastAsia="Arial" w:hAnsi="Arial"/>
          <w:sz w:val="18"/>
          <w:szCs w:val="18"/>
          <w:i w:val="1"/>
          <w:iCs w:val="1"/>
          <w:color w:val="auto"/>
        </w:rPr>
        <w:t>Software - Costs</w:t>
      </w:r>
      <w:r>
        <w:rPr>
          <w:rFonts w:ascii="Arial" w:cs="Arial" w:eastAsia="Arial" w:hAnsi="Arial"/>
          <w:sz w:val="18"/>
          <w:szCs w:val="18"/>
          <w:color w:val="auto"/>
        </w:rPr>
        <w:t xml:space="preserve"> </w:t>
      </w:r>
      <w:r>
        <w:rPr>
          <w:rFonts w:ascii="Arial" w:cs="Arial" w:eastAsia="Arial" w:hAnsi="Arial"/>
          <w:sz w:val="18"/>
          <w:szCs w:val="18"/>
          <w:i w:val="1"/>
          <w:iCs w:val="1"/>
          <w:color w:val="auto"/>
        </w:rPr>
        <w:t>of Software to be Sold, Leased or Marketed</w:t>
      </w:r>
      <w:r>
        <w:rPr>
          <w:rFonts w:ascii="Arial" w:cs="Arial" w:eastAsia="Arial" w:hAnsi="Arial"/>
          <w:sz w:val="18"/>
          <w:szCs w:val="18"/>
          <w:color w:val="auto"/>
        </w:rPr>
        <w:t>, which specifies that costs incurred internally in researching and developing a computer software product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capitalized $8.3 million and $12.9 million in software development costs for ongoing initiatives during the nine months ended December 31, 2016 and December 26, 2015, respectively. At December 31, 2016 and April 2, 2016, we have a total of $61.9 million and $54.9 million of capitalized software costs, respectively, of which $16.9 million and $14.4 million are related to in-process software development initiatives, respectively. During the nine months ended December 31, 2016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ind w:right="160"/>
        <w:spacing w:after="0" w:line="259" w:lineRule="auto"/>
        <w:rPr>
          <w:sz w:val="20"/>
          <w:szCs w:val="20"/>
          <w:color w:val="auto"/>
        </w:rPr>
      </w:pPr>
      <w:r>
        <w:rPr>
          <w:rFonts w:ascii="Arial" w:cs="Arial" w:eastAsia="Arial" w:hAnsi="Arial"/>
          <w:sz w:val="18"/>
          <w:szCs w:val="18"/>
          <w:color w:val="auto"/>
        </w:rPr>
        <w:t>December 26, 2015, $4.5 million and $6.4 million of capitalized costs were placed into service, respectively. The costs capitalized for each project are included in intangible assets in the consolidated financial statements. We review these assets for impairment at least annually. During the nine months ended December 31, 2016, we impaired $1.3 million of capitalized software. The impairment charge is classified within cost of goods sold on our consolidated statements of income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Net Unrealized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Defined Benefit Plans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April 2,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(22,499)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(35,040)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w w:val="94"/>
              </w:rPr>
              <w:t>Other comprehensive (loss) income before reclassifications</w:t>
            </w:r>
            <w:r>
              <w:rPr>
                <w:rFonts w:ascii="Arial" w:cs="Arial" w:eastAsia="Arial" w:hAnsi="Arial"/>
                <w:sz w:val="25"/>
                <w:szCs w:val="25"/>
                <w:color w:val="auto"/>
                <w:w w:val="94"/>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rPr>
              <w:t>Comprehensive Loss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4,678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December 31,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(39,025)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Presented net of income taxes, the amounts of which are insignificant.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2016 Annual Report on Form 10-K filed with the Securities and Exchange Commission (the “SEC”) on June 1, 2016. The following discussion may contain forward-looking statements and should be read in conjunction with the “Cautionary Statement Regarding Forward-Looking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Haemonetics is a global healthcare company dedicated to providing innovative products to customers involved in the processing, handling and analysis of blood. We offer a comprehensive portfolio of integrated devices and information management with the goal of helping improve clinical outcomes and reduce costs for blood and plasma collectors, hospitals, and patients around the world.</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Blood and its components (plasma, platelets, and red cells)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Haemonetics develops and markets a wide range of devices and solutions to serve our customers in the blood industry. We provide plasma collection systems and software to enable plasma fractionators to make pharmaceuticals that improve patients’ lives. We provide analytical devices for measuring blood characteristics such as hemostasis that enable healthcare providers to better understand their patients’ condition before beginning medical procedures. Haemonetics makes blood processing systems and software to help blood donation enterprises more efficiently collect and track life giving blood components such as red blood cells and platelets. Finally, Haemonetics supplies systems and software that facilitate blood transfusions and cell processing.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recently undertook a global strategic review of our business portfolio to identify which end markets and product franchises have the strongest growth opportunities. As a result of that review, we organized our current products into four franchises for purposes of evaluating their growth potential: Plasma, Blood Center, Cell Processing and Hemostasis Management. “Plasma” includes plasma collection devices and disposables, plasma donor management software and anticoagulant and saline sold to plasma customers. “Blood Center” includes blood collection and processing devices and disposables for red cells, platelets and whole blood as well as related donor management software. “Cell Processing” includes surgical blood salvage systems, specialized blood cell processing systems, disposables and blood transfusion management software. “Hemostasis Management” includes devices and methodologies for measuring coagulation characteristics of blood, such as our TEG® Hemostasis Analyzer.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portfolio of products and services is designed to support multiple facets of plasma collector operations. We have a long-standing commitment to understanding our customers' collection and fractionation processes. As a result, we deliver product quality and reliability; design equipment that is durable, dependable, and easy to use; comprehensive training and support, and strong business continuity practices.</w:t>
      </w:r>
    </w:p>
    <w:p>
      <w:pPr>
        <w:spacing w:after="0" w:line="71"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We offer “one stop shopping” to our plasma collection customers, enabling them to source from us the full range of products necessary for plasma collection and storage, including PCS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plasma collection equipment and disposables, plasma collection containers, and intravenous solutions, including saline. We also offer a robust portfolio of integrated information technology platforms for plasma customers to manage their donors, operations, and supply chain. Our products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react quickly to business changes, and identify opportunities to reduce costs.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Center</w:t>
      </w:r>
    </w:p>
    <w:p>
      <w:pPr>
        <w:spacing w:after="0" w:line="225"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We offer automated blood component and manual whole blood collection systems to blood collection centers to collect blood products efficiently and cost effectively. We offer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(Multicomponent Collection System) brand apheresis equipment which is designed to collect specific blood components integrated from the donor. Utilizing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automated platelet collection protocols, blood centers collect one or more therapeutic “doses” of platelets during a single donation.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two-unit protocol or double red cell collection device helps blood collectors optimize the collection of red cells by automating the blood separation function, eliminating the need for laboratory processing, and enabling the collection of two units of red cells from a single donor thus maximizing the amount of red cells collected per eligible donor and helping to mitigate red cell shortages in countries where this problem exists. Blood collectors can also use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to collect one unit of red cells and a "jumbo" (double) unit of plasma, or one unit of red cells and one unit of platelets from a single donor.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plasma protocol, which provides the possibility of collecting 600-800ml of plasma for either transfusion to patients or for use by the pharmaceutical industry, completes the comprehensive portfolio of different blood component collection options on this device.</w:t>
      </w:r>
    </w:p>
    <w:p>
      <w:pPr>
        <w:spacing w:after="0" w:line="11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also offer products for manual whole blood collection and processing. Our disposable whole blood collection and component storage sets offer flexibility in collecting a unit of whole blood and the subsequent production and storage of the red blood cell, platelet, plasma products, including options for in-line or dockable filters for leukoreduction of any blood component.</w:t>
      </w:r>
    </w:p>
    <w:p>
      <w:pPr>
        <w:spacing w:after="0" w:line="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Blood Center software solutions improve efficiencies and help ensure donor safety. This includes solutions for blood drive planning, donor recruitment and retention, blood collection, component manufacturing and distribution. Combined, our solutions help blood collectors improve the safety, regulatory compliance, and efficiency of blood collection and supply.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Cell Processing</w:t>
      </w:r>
    </w:p>
    <w:p>
      <w:pPr>
        <w:spacing w:after="0" w:line="23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offer a range of solutions that significantly improve a hospital's systems for acquiring blood, storing it in the hospital, and dispensing it efficiently and correctly. Over the last few years, hospitals have become increasingly aware of their need to control costs and improve patient safety by managing blood more effectively. Our products and integrated solution platforms help hospitals optimize performance of blood acquisition, storage, and distribution.</w:t>
      </w:r>
    </w:p>
    <w:p>
      <w:pPr>
        <w:spacing w:after="0" w:line="52" w:lineRule="exact"/>
        <w:rPr>
          <w:sz w:val="20"/>
          <w:szCs w:val="20"/>
          <w:color w:val="auto"/>
        </w:rPr>
      </w:pPr>
    </w:p>
    <w:p>
      <w:pPr>
        <w:ind w:right="400"/>
        <w:spacing w:after="0" w:line="216" w:lineRule="auto"/>
        <w:rPr>
          <w:sz w:val="20"/>
          <w:szCs w:val="20"/>
          <w:color w:val="auto"/>
        </w:rPr>
      </w:pPr>
      <w:r>
        <w:rPr>
          <w:rFonts w:ascii="Arial" w:cs="Arial" w:eastAsia="Arial" w:hAnsi="Arial"/>
          <w:sz w:val="18"/>
          <w:szCs w:val="18"/>
          <w:color w:val="auto"/>
        </w:rPr>
        <w:t>The Cell Saver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is a surgical blood salvage system targeted to procedures that involve medium to high-volume blood loss, such as cardiovascular surgeries. It has become the standard of care for high blood-loss surgeries.</w:t>
      </w:r>
    </w:p>
    <w:p>
      <w:pPr>
        <w:spacing w:after="0" w:line="109" w:lineRule="exact"/>
        <w:rPr>
          <w:sz w:val="20"/>
          <w:szCs w:val="20"/>
          <w:color w:val="auto"/>
        </w:rPr>
      </w:pPr>
    </w:p>
    <w:p>
      <w:pPr>
        <w:jc w:val="both"/>
        <w:ind w:right="160"/>
        <w:spacing w:after="0" w:line="226" w:lineRule="auto"/>
        <w:rPr>
          <w:sz w:val="20"/>
          <w:szCs w:val="20"/>
          <w:color w:val="auto"/>
        </w:rPr>
      </w:pPr>
      <w:r>
        <w:rPr>
          <w:rFonts w:ascii="Arial" w:cs="Arial" w:eastAsia="Arial" w:hAnsi="Arial"/>
          <w:sz w:val="18"/>
          <w:szCs w:val="18"/>
          <w:color w:val="auto"/>
        </w:rPr>
        <w:t>The OrthoPAT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surgical blood salvage system is targeted to orthopedic procedures, such as hip and knee replacements, which involve slower, lower volume blood loss that often occurs well after surgery. The system is designed to remain with the patient following surgery, to recover blood and produce a washed red cell product for autotransfusion.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With the ACP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(Automated Cell Processor) brand, we offer a solution to automate the washing and freezing of red cell components. The automated red cell</w:t>
      </w:r>
    </w:p>
    <w:p>
      <w:pPr>
        <w:spacing w:after="0"/>
        <w:rPr>
          <w:sz w:val="20"/>
          <w:szCs w:val="20"/>
          <w:color w:val="auto"/>
        </w:rPr>
      </w:pPr>
      <w:r>
        <w:rPr>
          <w:rFonts w:ascii="Arial" w:cs="Arial" w:eastAsia="Arial" w:hAnsi="Arial"/>
          <w:sz w:val="16"/>
          <w:szCs w:val="16"/>
          <w:color w:val="auto"/>
        </w:rPr>
        <w:t>washing procedure removes plasma proteins within the red cell units to provide a safer product for transfusion to frequently transfused patients, neonates, 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patients with a history of transfusion reactions. The automated glycerolization and deglycerolization steps are required to prepare red cells for frozen storage.</w:t>
      </w:r>
    </w:p>
    <w:p>
      <w:pPr>
        <w:spacing w:after="0" w:line="13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Our Cell Processing software products help hospitals track and safely deliver stored blood products.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our software solution that helps manage blood product inventory, perform patient cross-matching, and manage transfusions. In addition, our BloodTrack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suite of solutions manages tracking and control of blood products from the hospital blood center through to transfusion to the patient. “Smart” blood storage devices located in or near operating suites, emergency rooms, and other parts of the hospital dispense blood units with secure control and automated traceability for efficient documentation. With our more comprehensive offerings, hospitals are better able to manage processes across the blood supply chain and identify increased opportunities to reduce costs and enhance processes.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Hemostasis Management</w:t>
      </w:r>
    </w:p>
    <w:p>
      <w:pPr>
        <w:spacing w:after="0" w:line="131"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Our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Thrombelastograph Hemostasis Analyzer system is a blood diagnostic instrument that measures a patient's hemostasis or the ability to form and maintain blood clots. By understanding a patient’s clotting ability, clinicians can better plan for the patient’s care, deciding in advance whether to start or discontinue use of certain drugs or, determine the likelihood of the patient's need for a transfusion and which blood components will be most effective in stopping bleeding. Such planning supports better care, which can lead to lower hospital costs through a reduction in unnecessary donor blood transfusions, reduced adverse transfusion reactions, and shorter intensive care unit and hospital stays.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Initiative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first quarter of fiscal 2017, in connection with our global strategic review, we launched a restructuring program designed to reposition our organization and improve our cost structure. This program includes both a reduction of headcount and operating costs as well as projects to simplify product lines. We may also take steps to modify our manufacturing operations to align with our strategic direction.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initially expected to incur approximately $26 million of restructuring and turnaround charges, comprised of $17 million in termination benefits and $9 million in other related exit costs. Savings from this program were initially estimated to be approximately $40 million in fiscal 2017. During the three and nine months ended December 31, 2016, we incurred $4.1 million and $22.9 million, respectively, of restructuring and turnaround charges under this program. Additionally, during the three and nine months ended December 31, 2016, we recorded $2.6 million and $4.2 million, respectively, of restructuring and turnaround charges under a prior program. The Company continues to evaluate non-performing assets and business units as part of its turnaround, which has resulted in additional charges and benefits during fiscal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June 2016, we issued a voluntary recall of certain whole blood collection kits sold to our Blood Center customers in the United States. The recall resulted from some collection sets' filters failing to adequately remove leukocytes from collected blood. Because most U.S. hospitals prefer to transfuse leukoreduced blood, our blood center customers may have conducted further tests to confirm the blood was adequately leukoreduced, sold the blood as non-leukoreduced at a lower price or discarded the blood collected using the defective sets. As a result of the recall, we have recorded total charges of $4.3 million during the nine months ended December 31, 2016, which consists of $3.7 million of charges associated with customer returns and inventory reserves and $0.6 million of charges associated with customer claims, as discussed below. We may record incremental charges in future periods.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During the nine months ended December 31, 2016, we recorded charges of $3.7 million, which consisted of $2.5 million of sales returns, $1.1 million of net inventory reserves for the affected sets on-hand that had not yet been shipped to customers and $0.1 million of freight expenses. Our estimate of sales returns was based on preliminary returns data received to date, however, actual customer returns are not expected to conclude until the fourth quarter of fiscal 2017.</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Additionally, we received claims from customers which comprised substantially all the affected units. These claims seek reimbursement for losses sustained as a result of the recall and total $14.6 million. During the nine months ended December 31, 2016, we have recorded a liability of $0.6 million for these claims. Incremental charges may be recorded in future periods as additional customer returns and claims data becomes available. We have insurance policies in place which may provide coverage for certain types of potential claims. We will assess the potential for insurance recoveries as we receive more information about customer claims in future reporting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Declines in U.S. Blood Center Collections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demand for whole blood disposable products in the U.S. decreased in fiscal 2016 and 2015 due to a decline in transfusion rates and actions taken by hospitals to improve blood management techniques and protocols.</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response to this trend, U.S. blood center collection groups now prefer single source vendors for their whole blood collection products and are primarily focused on obtaining the lowest average selling prices. While we began to see a moderation in the rate of market decline in the second quarter of fiscal 2017, we expect to see continued declines in transfusion rates and the market to remain price-focused and highly competitive for the foreseeable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Apheresis Red Cell Collection Arrangements</w:t>
      </w:r>
    </w:p>
    <w:p>
      <w:pPr>
        <w:spacing w:after="0" w:line="22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During fiscal 2016, the American Red Cross and two group purchasing organizations representing other U.S. blood collectors ("Blood Center GPOs") pursued arrangements for apheresis red cell collections. The resulting American Red Cross contract and the recommendations by both Blood Center GPOs that their members use our competitor's technology continue to negatively affect red cell revenues and gross margins. The American Red Cross contract is expected to result in our gaining 100% share of their apheresis red cell collection business and higher sales volumes, but at lower prices. The impact of the price concessions began in the third quarter of fiscal 2016, while the transition to a higher share of the American Red Cross' business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is ongoing. The negative impact on fiscal 2017 operating income as a result of the American Red Cross contract and market share losses among members of the Blood Center GPOs is now expected to be approximately $9 million, down from our earlier estimate of $12 million, as we now expect this negative impact to continue in the first half of fiscal 2018. We anticipate stabilization in the second half of fiscal 2018 upon annualization of the price concessions. Red cell disposable revenues in the U.S. totaled $19.7 million and $25.8 million during the nine months ended December 31, 2016 and December 26,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Declines in Platelet Collections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While we market our platelet products globally, the dynamics of each market are significantly different. Despite modest increases in the demand for platelets in Europe and Japan, improved collection efficiencies that increase the yield of platelets per collection and more efficient use of collected platelets have resulted in flat markets for platelet usage and related disposables in these regions.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Within these flat markets, the use of "double dose" collection methods and other alternative collection procedures in Europe and Japan has increased. Double dose collections involve collecting two therapeutic platelet doses from one donor. Competition in double dose collection technology is intense and has negatively impacted our sales in a number of markets where these collections are prevalent. In Japan, usage of double dose collections has nearly doubled in the last twelve months and comprised approximately half of all platelets collected.</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steady increases in the use of double dose collections continued in the third quarter of fiscal 2017 and have negatively impacted our revenue and gross profit from platelet collection disposables in both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420" w:type="dxa"/>
            <w:vAlign w:val="bottom"/>
            <w:tcBorders>
              <w:bottom w:val="single" w:sz="8" w:color="auto"/>
            </w:tcBorders>
          </w:tcPr>
          <w:p>
            <w:pPr>
              <w:spacing w:after="0"/>
              <w:rPr>
                <w:sz w:val="16"/>
                <w:szCs w:val="16"/>
                <w:color w:val="auto"/>
              </w:rPr>
            </w:pPr>
          </w:p>
        </w:tc>
      </w:tr>
      <w:tr>
        <w:trPr>
          <w:trHeight w:val="152"/>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15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0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4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26,</w:t>
            </w:r>
          </w:p>
        </w:tc>
        <w:tc>
          <w:tcPr>
            <w:tcW w:w="14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w w:val="96"/>
              </w:rPr>
              <w:t>(In thousands, except per share data)</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227,841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233,384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658,050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666,490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101,079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108,855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296,383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316,691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46.6 %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47.5 %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79,867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170,032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258,258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355,083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(61,177)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i w:val="1"/>
                <w:iCs w:val="1"/>
                <w:color w:val="auto"/>
              </w:rPr>
              <w:t>n/m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(38,392)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n/m</w:t>
            </w:r>
          </w:p>
        </w:tc>
      </w:tr>
      <w:tr>
        <w:trPr>
          <w:trHeight w:val="243"/>
        </w:trPr>
        <w:tc>
          <w:tcPr>
            <w:tcW w:w="240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(26.2)%</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(5.8)%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Interest and other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(6,756)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2400" w:type="dxa"/>
            <w:vAlign w:val="bottom"/>
            <w:gridSpan w:val="2"/>
          </w:tcPr>
          <w:p>
            <w:pPr>
              <w:ind w:left="40"/>
              <w:spacing w:after="0"/>
              <w:rPr>
                <w:sz w:val="20"/>
                <w:szCs w:val="20"/>
                <w:color w:val="auto"/>
              </w:rPr>
            </w:pPr>
            <w:r>
              <w:rPr>
                <w:rFonts w:ascii="Arial" w:cs="Arial" w:eastAsia="Arial" w:hAnsi="Arial"/>
                <w:sz w:val="18"/>
                <w:szCs w:val="18"/>
                <w:color w:val="auto"/>
                <w:w w:val="97"/>
              </w:rPr>
              <w:t>Income (loss) before provision</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(benefit)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18,937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(63,318)</w:t>
            </w:r>
          </w:p>
        </w:tc>
        <w:tc>
          <w:tcPr>
            <w:tcW w:w="100" w:type="dxa"/>
            <w:vAlign w:val="bottom"/>
          </w:tcPr>
          <w:p>
            <w:pPr>
              <w:spacing w:after="0"/>
              <w:rPr>
                <w:sz w:val="20"/>
                <w:szCs w:val="20"/>
                <w:color w:val="auto"/>
              </w:rPr>
            </w:pPr>
          </w:p>
        </w:tc>
        <w:tc>
          <w:tcPr>
            <w:tcW w:w="1520" w:type="dxa"/>
            <w:vAlign w:val="bottom"/>
            <w:gridSpan w:val="2"/>
          </w:tcPr>
          <w:p>
            <w:pPr>
              <w:ind w:left="900"/>
              <w:spacing w:after="0"/>
              <w:rPr>
                <w:sz w:val="20"/>
                <w:szCs w:val="20"/>
                <w:color w:val="auto"/>
              </w:rPr>
            </w:pPr>
            <w:r>
              <w:rPr>
                <w:rFonts w:ascii="Arial" w:cs="Arial" w:eastAsia="Arial" w:hAnsi="Arial"/>
                <w:sz w:val="18"/>
                <w:szCs w:val="18"/>
                <w:i w:val="1"/>
                <w:iCs w:val="1"/>
                <w:color w:val="auto"/>
              </w:rPr>
              <w:t>n/m</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31,711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(45,148)</w:t>
            </w:r>
          </w:p>
        </w:tc>
        <w:tc>
          <w:tcPr>
            <w:tcW w:w="100" w:type="dxa"/>
            <w:vAlign w:val="bottom"/>
          </w:tcPr>
          <w:p>
            <w:pPr>
              <w:spacing w:after="0"/>
              <w:rPr>
                <w:sz w:val="20"/>
                <w:szCs w:val="20"/>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i w:val="1"/>
                <w:iCs w:val="1"/>
                <w:color w:val="auto"/>
              </w:rPr>
              <w:t>n/m</w:t>
            </w: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Provision (benefit) for income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i w:val="1"/>
                <w:iCs w:val="1"/>
                <w:color w:val="auto"/>
              </w:rPr>
              <w:t>n/m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n/m</w:t>
            </w:r>
          </w:p>
        </w:tc>
      </w:tr>
      <w:tr>
        <w:trPr>
          <w:trHeight w:val="243"/>
        </w:trPr>
        <w:tc>
          <w:tcPr>
            <w:tcW w:w="240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pre-tax income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6.1 %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(59,440)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i w:val="1"/>
                <w:iCs w:val="1"/>
                <w:color w:val="auto"/>
              </w:rPr>
              <w:t>n/m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(46,844)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n/m</w:t>
            </w:r>
          </w:p>
        </w:tc>
      </w:tr>
      <w:tr>
        <w:trPr>
          <w:trHeight w:val="243"/>
        </w:trPr>
        <w:tc>
          <w:tcPr>
            <w:tcW w:w="240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(25.5)%</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(7.0)%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900"/>
              <w:spacing w:after="0"/>
              <w:rPr>
                <w:sz w:val="20"/>
                <w:szCs w:val="20"/>
                <w:color w:val="auto"/>
              </w:rPr>
            </w:pPr>
            <w:r>
              <w:rPr>
                <w:rFonts w:ascii="Arial" w:cs="Arial" w:eastAsia="Arial" w:hAnsi="Arial"/>
                <w:sz w:val="18"/>
                <w:szCs w:val="18"/>
                <w:i w:val="1"/>
                <w:iCs w:val="1"/>
                <w:color w:val="auto"/>
              </w:rPr>
              <w:t>n/m</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n/m</w:t>
            </w:r>
          </w:p>
        </w:tc>
      </w:tr>
      <w:tr>
        <w:trPr>
          <w:trHeight w:val="27"/>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revenues decreased 2.4% and 1.3% for the three and nine months ended December 31, 2016, as compared to the same periods of fiscal 2016. Without the effect of foreign exchange, net revenues decreased 0.6% and increased 0.2% for the three and nine months ended December 31, 2016, as compared to the same periods of fiscal 2016. Revenue increases in Plasma and Hemostasis Management were partially offset by declines in our Blood Center and Cell Processing franchises during the three and nine months ended December 31, 2016.</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recorded operating income for the three and nine months ended December 31, 2016, as compared to operating losses in the same periods of fiscal 2016, primarily as a result of goodwill and intangible asset impairment charges recognized during the third quarter of fiscal 2016, and savings realized from cost reduction initiatives in the current year periods. These savings were partially offset by the negative impact of product mix, primarily due to the relative sales growth of our lower margin plasma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liquid solutions, an increase in inventory reserves and an overall decrease in research and development spend during the current year periods.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Management uses Non-GAAP financial measures, in addition to financial measures in accordance with accounting principles generally accepted in the United States of America (U.S. GAAP), to evaluate our operating results. These non-GAAP financial measures should be considered supplemental to, and not a substitute for, our reported financial results prepared in accordance with U.S. GAAP. Constant currency growth, a non-GAAP financial measure, measures the change in sales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6"/>
              </w:rPr>
              <w:t>December 26,</w:t>
            </w:r>
          </w:p>
        </w:tc>
        <w:tc>
          <w:tcPr>
            <w:tcW w:w="100" w:type="dxa"/>
            <w:vAlign w:val="bottom"/>
          </w:tcPr>
          <w:p>
            <w:pPr>
              <w:spacing w:after="0"/>
              <w:rPr>
                <w:sz w:val="13"/>
                <w:szCs w:val="13"/>
                <w:color w:val="auto"/>
              </w:rPr>
            </w:pPr>
          </w:p>
        </w:tc>
        <w:tc>
          <w:tcPr>
            <w:tcW w:w="15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131,664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91,082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101,720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227,841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233,384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260" w:firstLine="8"/>
        <w:spacing w:after="0" w:line="273" w:lineRule="auto"/>
        <w:tabs>
          <w:tab w:leader="none" w:pos="127" w:val="left"/>
        </w:tabs>
        <w:numPr>
          <w:ilvl w:val="0"/>
          <w:numId w:val="7"/>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-228600</wp:posOffset>
            </wp:positionV>
            <wp:extent cx="17837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6"/>
              </w:rPr>
              <w:t>December 26,</w:t>
            </w:r>
          </w:p>
        </w:tc>
        <w:tc>
          <w:tcPr>
            <w:tcW w:w="100" w:type="dxa"/>
            <w:vAlign w:val="bottom"/>
          </w:tcPr>
          <w:p>
            <w:pPr>
              <w:spacing w:after="0"/>
              <w:rPr>
                <w:sz w:val="13"/>
                <w:szCs w:val="13"/>
                <w:color w:val="auto"/>
              </w:rPr>
            </w:pPr>
          </w:p>
        </w:tc>
        <w:tc>
          <w:tcPr>
            <w:tcW w:w="15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393,302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379,390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264,748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287,100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658,050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666,490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260" w:firstLine="8"/>
        <w:spacing w:after="0" w:line="273" w:lineRule="auto"/>
        <w:tabs>
          <w:tab w:leader="none" w:pos="127" w:val="left"/>
        </w:tabs>
        <w:numPr>
          <w:ilvl w:val="0"/>
          <w:numId w:val="8"/>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-228600</wp:posOffset>
            </wp:positionV>
            <wp:extent cx="17837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approximately 100 countries around the world through a combination of our direct sales force, independent distributors and agents. Our revenue generated outside the U.S. was 40.0% and 40.2% of total net revenues for the three and nine months ended December 31, 2016, respectively. International sales are generally conducted in local currencies, primarily Japanese Yen, Euro, Chinese Yuan and Australian Dollars. Our revenue was negatively impacted by changes in the value of these currencies relative to the U.S. Dollar.</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placed foreign currency hedges to mitigate our exposure to foreign currency fluctuations. Relative weakness in the Japanese Yen and Euro to the U.S. Dollar is expected to negatively impact revenue and operating income during fiscal 2017.</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Franchise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6"/>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26,</w:t>
            </w:r>
          </w:p>
        </w:tc>
        <w:tc>
          <w:tcPr>
            <w:tcW w:w="100" w:type="dxa"/>
            <w:vAlign w:val="bottom"/>
          </w:tcPr>
          <w:p>
            <w:pPr>
              <w:spacing w:after="0"/>
              <w:rPr>
                <w:sz w:val="13"/>
                <w:szCs w:val="13"/>
                <w:color w:val="auto"/>
              </w:rPr>
            </w:pPr>
          </w:p>
        </w:tc>
        <w:tc>
          <w:tcPr>
            <w:tcW w:w="156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4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Currency impact</w:t>
            </w:r>
          </w:p>
        </w:tc>
        <w:tc>
          <w:tcPr>
            <w:tcW w:w="120" w:type="dxa"/>
            <w:vAlign w:val="bottom"/>
            <w:vMerge w:val="restart"/>
          </w:tcPr>
          <w:p>
            <w:pPr>
              <w:spacing w:after="0"/>
              <w:rPr>
                <w:sz w:val="13"/>
                <w:szCs w:val="13"/>
                <w:color w:val="auto"/>
              </w:rPr>
            </w:pPr>
          </w:p>
        </w:tc>
        <w:tc>
          <w:tcPr>
            <w:tcW w:w="144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100,578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76,354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90,418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Cell Processing</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25,918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27,741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Hemostasis Management</w:t>
            </w: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16,914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14,647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227,841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233,384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260" w:firstLine="8"/>
        <w:spacing w:after="0" w:line="273" w:lineRule="auto"/>
        <w:tabs>
          <w:tab w:leader="none" w:pos="127" w:val="left"/>
        </w:tabs>
        <w:numPr>
          <w:ilvl w:val="0"/>
          <w:numId w:val="9"/>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-228600</wp:posOffset>
            </wp:positionV>
            <wp:extent cx="1783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99"/>
              </w:rPr>
              <w:t>Nine Months Ended</w:t>
            </w: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26,</w:t>
            </w:r>
          </w:p>
        </w:tc>
        <w:tc>
          <w:tcPr>
            <w:tcW w:w="100" w:type="dxa"/>
            <w:vAlign w:val="bottom"/>
          </w:tcPr>
          <w:p>
            <w:pPr>
              <w:spacing w:after="0"/>
              <w:rPr>
                <w:sz w:val="13"/>
                <w:szCs w:val="13"/>
                <w:color w:val="auto"/>
              </w:rPr>
            </w:pPr>
          </w:p>
        </w:tc>
        <w:tc>
          <w:tcPr>
            <w:tcW w:w="156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4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Currency impact</w:t>
            </w:r>
          </w:p>
        </w:tc>
        <w:tc>
          <w:tcPr>
            <w:tcW w:w="120" w:type="dxa"/>
            <w:vAlign w:val="bottom"/>
            <w:vMerge w:val="restart"/>
          </w:tcPr>
          <w:p>
            <w:pPr>
              <w:spacing w:after="0"/>
              <w:rPr>
                <w:sz w:val="13"/>
                <w:szCs w:val="13"/>
                <w:color w:val="auto"/>
              </w:rPr>
            </w:pPr>
          </w:p>
        </w:tc>
        <w:tc>
          <w:tcPr>
            <w:tcW w:w="144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309,868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282,141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221,567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257,736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Cell Processing</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77,949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83,659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Hemostasis Management</w:t>
            </w: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48,666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42,954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658,050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666,490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260" w:firstLine="8"/>
        <w:spacing w:after="0" w:line="273" w:lineRule="auto"/>
        <w:tabs>
          <w:tab w:leader="none" w:pos="127" w:val="left"/>
        </w:tabs>
        <w:numPr>
          <w:ilvl w:val="0"/>
          <w:numId w:val="10"/>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-228600</wp:posOffset>
            </wp:positionV>
            <wp:extent cx="1783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Plasma revenue increased 8.0% and 9.8% for the three and nine months ended December 31, 2016, as compared to the same periods of fiscal 2016. Without the effect of foreign exchange, plasma revenue increased 9.2% and 11.1% for the three and nine months ended December 31, 2016, as compared to the same periods of fiscal 2016. The revenue growth was primarily driven by an increase in sales of Plasma disposables during the three and nine months ended December 31, 2016. This growth was the result of continued strong performance in the U.S. and includes the impact of increased sales of plasma liquid solutions, which contributed approximately $5 million and $16 million to the growth during the three and nine months ended December 31,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Platelet</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Platelet revenue declined by 23.1% and 15.6% for the three and nine months ended December 31, 2016, as compared to the same periods of fiscal 2016. Without the effect of foreign exchange, platelet revenue decreased 20.9% and 14.4% for the three and nine months ended December 31, 2016, as compared to the same periods of fiscal 2016. The decrease during both the three and nine months ended December 31, 2016, excluding the impact of foreign exchange, was primarily the result of the continued market shift toward double dose collection techniques in Japan. During the three months ended December 31, 2016 delays in order timing in China and lower volumes and order timing in the Middle East and Russia also contributed to the decline. The decrease in the nine months ended December 31, 2016 was partially offset by overall growth in China.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 Cell and Whole Blood</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Red cell revenue decreased 19.3% and 21.8% for the three and nine months ended December 31, 2016, as compared to the same periods of fiscal 2016. Without the effect of foreign exchange, red cell revenue decreased 18.6% and 21.2% for the three and nine months ended December 31, 2016, as compared to the same periods of fiscal 2016. The decrease during the three and nine months ended December 31, 2016 was driven by price reductions in our principle red cell market in the U.S. which was largely attributable to the contract we entered into with the American Red Cross during the second quarter of fiscal 2016 slightly offset by increased volumes with the American Red Cross, as well as the selection of competitive technologies by Blood Center GPOs, as discussed above. We continue to expect revenue and operating income to decline as a result of these factors.</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Whole blood revenue decreased 3.2% and 11.5% for the three and nine months ended December 31, 2016, as compared to the same periods of fiscal 2016. Without the effect of foreign exchange, whole blood revenue decreased 2.2% and 10.3% for the three and nine months ended December 31, 2016, as compared to the same periods of fiscal 2016. While whole blood revenue decreased as compared to the prior year periods, we began to see a moderation in the rate of decline of this market during the second quarter of fiscal 2017. We expect to see continued declines in transfusion rates and the market to remain price-focused and highly competitive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Equipment and Other</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Blood Center software, equipment and other revenue decreased 19.5% and 9.2% for the three and nine months ended December 31, 2016, as compared to the same periods of fiscal 2016. Without the effect of foreign exchange, software, equipment and other revenue decreased 18.7% and 9.4% for the three and nine months ended December 31, 2016, as compared to the same periods of fiscal 2016. These decreases were largely attributable to the expiration and non-renewal of a U.S. government software contract.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Cell Processing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 Salvage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Cell Salvage revenues consist primarily of the Cell Saver and OrthoPAT products. Revenues from OrthoPAT decreased 4.4% and 18.7% for the three and nine months ended December 31, 2016, as compared to the same periods of fiscal 2016. Without the effect of foreign exchange, OrthoPAT disposables revenue remained flat for the three months ended December 31, 2016, primarily due to a supply chain interruption in the prior year period, and decreased 15.9% for the nine months ended December 31, 2016, as compared to the same periods of fiscal 2016. Better blood management has reduced orthopedic blood loss and continues to impact demand for OrthoPAT. Recent trends in blood management, particularly the adoption of tranexamic acid to treat and prevent orthopedic post-operative blood loss, continue to lessen hospital use of OrthoPAT. Cell Saver revenue during the three and nine months ended December 31, 2016 declined 12.6% and 6.3% as compared to the same periods of fiscal 2016. Without the effect of foreign exchange, Cell Saver revenue decreased 8.7% and 3.2% for the three and nine months ended December 31, 2016, as compared with the same periods of fiscal 2016. This decrease was due to declines in Western Europe, partially offset by growth in China.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17"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Cell Processing software revenue includes BloodTrack®, SafeTrace Tx® and other hospital software. Revenue of Cell Processing software for the three and nine months ended December 31, 2016 increased 4.1% and 1.9% compared to the same periods of fiscal 2016. Without the effect of foreign exchange, Cell Processing software revenue increased by 7.4% and 4.1% for the three and nine months ended December 31, 2016 compared to the same periods of fiscal 2016, due to SafeTrace Tx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growth in the U.S. and BloodTrack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growth in the global markets.</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Hemostasis Management</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Revenue from our Hemostasis Management products increased 15.5% and 13.3% for the three and nine months ended December 31, 2016, as compared to the same periods of fiscal 2016. Without the effect of foreign exchange, Hemostasis Management revenues increased 19.4% and 16.2% for the three and nine months ended December 31, 2016, as compared to the same periods of fiscal 2016. The revenue increase was primarily attributable to the growth of TEG disposables, principally in the U.S. and China. We have now moved into full market release of the TEG 6s device in Australia, Europe and Japan, and are continuing our limited market release in the U.S. The release of TEG 6s has significantly contributed to the overall growth in Hemostasis Management in these countries. Full market release in the U.S. is expected in fiscal 2018, concurrent with additional regulatory clearances.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440" w:type="dxa"/>
            <w:vAlign w:val="bottom"/>
            <w:tcBorders>
              <w:bottom w:val="single" w:sz="8" w:color="auto"/>
            </w:tcBorders>
          </w:tcPr>
          <w:p>
            <w:pPr>
              <w:spacing w:after="0"/>
              <w:rPr>
                <w:sz w:val="16"/>
                <w:szCs w:val="16"/>
                <w:color w:val="auto"/>
              </w:rPr>
            </w:pPr>
          </w:p>
        </w:tc>
      </w:tr>
      <w:tr>
        <w:trPr>
          <w:trHeight w:val="152"/>
        </w:trPr>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17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 Increase/</w:t>
            </w: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26,</w:t>
            </w: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2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101,079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108,855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  $</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296,383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316,691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2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Gross profit decreased 7.1% and 6.4% for the three and nine months ended December 31, 2016, as compared to the same periods of fiscal 2016. Without the effect of foreign exchange, gross profit decreased 6.7% and 4.7% for the three and nine months ended December 31, 2016, as compared to the same periods of fiscal 2016. The gross profit margin decreased by 220 and 250 basis points for the three and nine months ended December 31, 2016, as compared to the same periods of fiscal 2016. The decrease in the gross profit margin during the three months ended December 31, 2016 was primarily due to inventory reserves recorded during the period as well as the relative sales growth of our lower margin plasma liquid solutions and price reductions in our Blood Center business. These factors, in addition to the effect of the Whole Blood filter recall and an impairment charge related to capitalized software, contributed to the decrease in gross profit margin during the nine months ended December 31, 2016. These declines were partially offset by cost savings initiatives and a reduction in restructuring and turnaround costs. Gross profit margin continues to be impacted by the inefficiency of underutilized productive capacity.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1420" w:type="dxa"/>
            <w:vAlign w:val="bottom"/>
            <w:tcBorders>
              <w:bottom w:val="single" w:sz="8" w:color="auto"/>
            </w:tcBorders>
          </w:tcPr>
          <w:p>
            <w:pPr>
              <w:spacing w:after="0"/>
              <w:rPr>
                <w:sz w:val="16"/>
                <w:szCs w:val="16"/>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26,</w:t>
            </w:r>
          </w:p>
        </w:tc>
        <w:tc>
          <w:tcPr>
            <w:tcW w:w="15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 Increase/</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4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26,</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10,942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33,816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70,956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78,940</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228,639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240,946</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33.8 %</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85,048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85,048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36.4 %</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(4,898)</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3"/>
              </w:rPr>
              <w:t>n/m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6"/>
              </w:rPr>
              <w:t>n/m</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79,867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170,032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258,258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355,083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72.9 %</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53.3 %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702"/>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97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Research and development expenses decreased 22.7% and 16.5% for the three and nine months ended December 31, 2016, as compared to the same periods of fiscal 2016. Without the effect of foreign exchange, research and development expenses decreased 22.5% and 16.9% for the three and nine months ended December 31, 2016, as compared to the same periods of fiscal 2016. The decrease, on a constant currency basis, for the three and nine months ended December 31, 2016 was primarily driven by reduced spending on several projects in our Blood Center franchise to better align with our long-term product plans and global strategic review. In addition, changes in the timing of spending also contributed to the decline in the three and nine months ended December 31, 2016. While we expect a slight increase in spending in the last quarter of fiscal 2017, much of these costs will be incurred during fiscal 2018. This decrease was partially offset by increased restructuring and turnaround costs for the nine months ended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Selling, general and administrative expenses decreased 10.1% and 5.1% for the three and nine months ended December 31, 2016, as compared to the same periods of fiscal 2016. Without the effect of foreign exchange, selling, general, and administrative expenses decreased 4.0% and 3.9% for the three and nine months ended December 31, 2016, as compared to the same periods of fiscal 2016. The decrease for the three and nine months ended December 31, 2016 was primarily the result of cost reduction initiatives and a reduction in restructuring and turnaround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expense from our term loan borrowings constitutes the majority of expense reported in both periods. The net increase of 6.3% during the three months ended December 31, 2016 as compared to the same period of fiscal 2016, was primarily due to an increase in the effective interest rate. Interest and other expense, net decreased 5.1% for the nine months ended December 31, 2016, as compared to the same period of fiscal 2016 due to reductions in the Term Loan balance as a result of principal payments and a reduction in our borrowings on the Revolving Credit Facility. The effective interest rate on total debt outstanding as of December 31, 2016 was 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generally lower than the U.S. federal statutory rate as the income tax rates in the foreign jurisdictions in which we operate are generally lower than the U.S. statutory tax rate.</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effective tax rate for the three months ended December 31, 2016 and December 26, 2015 was 18.7% and 6.1%, respectively. The effective tax rate for the nine months ended December 31, 2016 was 21.6%, as compared to (3.8)% for the nine months ended December 26, 2015.</w:t>
      </w:r>
    </w:p>
    <w:p>
      <w:pPr>
        <w:spacing w:after="0" w:line="14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increase in our income tax provision for both the three and nine months ended December 31, 2016, as compared to the prior year periods, was primarily due to the impact of impairment charges recorded during the three months ended December 26, 2015 and changes in the jurisdictional mix of earnings. During the three and nine months ended December 26, 2015, we recorded goodwill impairment charges of $66.3 million and intangible asset impairment charges of $18.7 million with a corresponding $7.1 million benefit to income taxes. During the nine months ended December 26, 2015, we recorded a tax expense of $1.7 million which included a tax provision recorded on year-to-date income as well as a discrete tax provision of $1.0 million to increase the deferred tax liability related to amortizable goodwill as a result of the statutory capital gains tax rate in Puerto Rico increasing from 15% to 20%.</w:t>
      </w:r>
    </w:p>
    <w:p>
      <w:pPr>
        <w:spacing w:after="0" w:line="16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During the nine months ended December 31, 2016, we recorded a $6.8 million tax provision, which includes a tax provision recorded on year-to-date income as well as a $1.4 million discrete tax provision associated with the establishment of a tax reserve, partially offset by a tax benefit of $0.5 million for the release of tax reserves due to the expiration of statute of limitations during the second and third quarters of fiscal 2017.</w:t>
      </w:r>
    </w:p>
    <w:p>
      <w:pPr>
        <w:spacing w:after="0" w:line="16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are in a three year cumulative loss position in the U.S. and, accordingly, maintain a valuation allowance against our U.S. deferred tax assets. We also maintain a valuation allowance against certain foreign deferred tax assets which we have concluded are not more-likely-than-not realizable.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260" w:type="dxa"/>
            <w:vAlign w:val="bottom"/>
          </w:tcPr>
          <w:p>
            <w:pPr>
              <w:jc w:val="right"/>
              <w:ind w:right="494"/>
              <w:spacing w:after="0"/>
              <w:rPr>
                <w:sz w:val="20"/>
                <w:szCs w:val="20"/>
                <w:color w:val="auto"/>
              </w:rPr>
            </w:pPr>
            <w:r>
              <w:rPr>
                <w:rFonts w:ascii="Arial" w:cs="Arial" w:eastAsia="Arial" w:hAnsi="Arial"/>
                <w:sz w:val="14"/>
                <w:szCs w:val="14"/>
                <w:b w:val="1"/>
                <w:bCs w:val="1"/>
                <w:color w:val="auto"/>
              </w:rPr>
              <w:t>April 2,</w:t>
            </w:r>
          </w:p>
        </w:tc>
      </w:t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129,639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115,123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280,341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302,535</w:t>
            </w: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r>
      <w:tr>
        <w:trPr>
          <w:trHeight w:val="270"/>
        </w:trPr>
        <w:tc>
          <w:tcPr>
            <w:tcW w:w="8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Net debt</w:t>
            </w:r>
            <w:r>
              <w:rPr>
                <w:rFonts w:ascii="Arial" w:cs="Arial" w:eastAsia="Arial" w:hAnsi="Arial"/>
                <w:sz w:val="25"/>
                <w:szCs w:val="25"/>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(206,629)</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(292,877)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4.6</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Net debt position is the sum of cash and cash equivalents less total debt.</w:t>
      </w:r>
    </w:p>
    <w:p>
      <w:pPr>
        <w:spacing w:after="0" w:line="1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fiscal 2017, we launched a restructuring program designed to reposition our organization and improve our cost structure. We initially expected to incur approximately $26 million of restructuring and turnaround related costs. Savings from this program were initially estimated to be approximately $40 million in fiscal 2017. During the three and nine months ended December 31, 2016, we incurred $4.1 million and $22.9 million, respectively, of restructuring and turnaround charges under this program. The Company continues to evaluate non-performing assets and business units as part of its turnaround, which has resulted in additional charges and benefits during fiscal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August 1, 2012,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 on August 1, 2017. Interest was based on the Adjusted LIBOR plus a range of 1.125% to 1.500% depending on achievement of leverage ratios and customary credit terms which included financial and negative covenants.</w:t>
      </w:r>
    </w:p>
    <w:p>
      <w:pPr>
        <w:spacing w:after="0" w:line="17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No additional amounts were borrowed as a result of this modification. The fair value of debt approximates its current value of $337.2 million as of December 31, 2016. During the three and nine months ended December 31, 2016, we paid $11.9 million and $30.8 million in principal repayments, respectively, for the Term Loan. We have scheduled principal payments of $11.9 million and $61.7 million required during the remainder of fiscal 2017 and in fiscal 2018, respectively. During the three and nine months ended December 31, 2016, we also reduced our borrowings on the Revolving Credit Facility by $40.0 million as part of our normal cash management process. In addition, on January 31, 2017, we reduced our borrowings on the Revolving Credit Facility by the remaining $10.0 million that was outstanding. We were in compliance with the leverage and interest coverage ratios specified in the Credit Agreement as well as all other bank covenants as of December 31, 2016.</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2"/>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4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December 26,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125,161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68,612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56,549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17,730</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(46,971)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14,516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120"/>
        <w:spacing w:after="0" w:line="22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Net cash provided by operating activities increased by $56.5 million during the nine months ended December 31, 2016, as compared to the nine months ended December 26, 2015. Cash provided by operating activities increased due to an increase in accounts payable and accrued expenses, most notably accrued payroll. The increase in accrued payroll was driven largely by an increase in variable compensation and restructuring reserves. Also contributing to the cash inflow was a decrease in accounts receivable, primarily in Japan and Europe, as compared to the prior year period. This cash inflow was partially offset by an increase in inventories primarily within our Plasma franchise.</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Net cash used in investing activities decreased by $17.7 million during the nine months ended December 31, 2016, as compared to the nine months ended December 26, 2015. The decrease in cash used in investing activities was primarily the result of a reduction in capital expenditures during the nine months ended December 31, 2016 as compared to the same period in the prior fiscal year. Acquisition costs of $3.0 million incurred in the prior year period also contributed to the decrease.</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Net cash used in financing activities increased by $3.0 million during the nine months ended December 31, 2016, as compared to the nine months ended December 26, 2015, primarily due to a reduction in borrowings on our Revolving Credit Facility of $40.0 million and principal repayments on our Term Loan of $30.8 million during the nine months ended December 31, 2016. These payments were partially offset by an increase in the exercise of stock options during the nine months ended December 31, 2016 and $61.0 million of cash used to repurchase shares during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nine months ended December 31, 2016, approximately 40%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(Topic 606)</w:t>
      </w:r>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No. 2014-09 will be effective for annual reporting periods beginning after December 15, 2017, including interim periods within those reporting periods. Early adoption is permitted for annual reporting periods beginning after December 15, 2016, including interim reporting periods within that reporting period. The impact of adopting ASU No.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2014-09 on our financial position and results of operations is being assessed by management.</w:t>
      </w:r>
    </w:p>
    <w:p>
      <w:pPr>
        <w:spacing w:after="0" w:line="11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March 2016, the FASB issued ASU No.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Gross versus Net)</w:t>
      </w:r>
      <w:r>
        <w:rPr>
          <w:rFonts w:ascii="Arial" w:cs="Arial" w:eastAsia="Arial" w:hAnsi="Arial"/>
          <w:sz w:val="17"/>
          <w:szCs w:val="17"/>
          <w:color w:val="auto"/>
        </w:rPr>
        <w:t>. The purpose of ASU No. 2016-08 is to clarify the guidance on principal versus agent considerations. It includes indicators that</w:t>
      </w:r>
      <w:r>
        <w:rPr>
          <w:rFonts w:ascii="Arial" w:cs="Arial" w:eastAsia="Arial" w:hAnsi="Arial"/>
          <w:sz w:val="17"/>
          <w:szCs w:val="17"/>
          <w:i w:val="1"/>
          <w:iCs w:val="1"/>
          <w:color w:val="auto"/>
        </w:rPr>
        <w:t xml:space="preserve"> </w:t>
      </w:r>
      <w:r>
        <w:rPr>
          <w:rFonts w:ascii="Arial" w:cs="Arial" w:eastAsia="Arial" w:hAnsi="Arial"/>
          <w:sz w:val="17"/>
          <w:szCs w:val="17"/>
          <w:color w:val="auto"/>
        </w:rPr>
        <w:t>help to determine whether an entity controls the specified good or service before it is transferred to the customer and to assist in determining when the entity satisfied the performance obligation and as such, whether to recognize a gross or a net amount of consideration in their consolidated statement of operations. The effective date and transition requirements are consistent with ASU No. 2014-09. The impact of adopting ASU No. 2016-08 on our financial position and results of operations is being assessed by management.</w:t>
      </w:r>
    </w:p>
    <w:p>
      <w:pPr>
        <w:spacing w:after="0" w:line="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April 2016, the FASB issued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The guidance clarifies that entities are not required to assess whether promised goods or services are performance obligations if they are immaterial in the context of the contract. ASU No. 2016-10 also addresses how to determine whether promised goods or services are separately identifiable and permits entities to make a policy election to treat shipping and handling costs as fulfillment activities. In addition, it clarifies key provisions in Topic 606 related to licensing. The effective date and transition requirements are consistent with ASU No. 2014-09. The impact of adopting ASU No. 2016-10 on our financial position and results of operations is being assessed by management.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ASU No. 2014-15 defines management's responsibility to assess an entity's ability to continue as a</w:t>
      </w:r>
      <w:r>
        <w:rPr>
          <w:rFonts w:ascii="Arial" w:cs="Arial" w:eastAsia="Arial" w:hAnsi="Arial"/>
          <w:sz w:val="18"/>
          <w:szCs w:val="18"/>
          <w:i w:val="1"/>
          <w:iCs w:val="1"/>
          <w:color w:val="auto"/>
        </w:rPr>
        <w:t xml:space="preserve"> </w:t>
      </w:r>
      <w:r>
        <w:rPr>
          <w:rFonts w:ascii="Arial" w:cs="Arial" w:eastAsia="Arial" w:hAnsi="Arial"/>
          <w:sz w:val="18"/>
          <w:szCs w:val="18"/>
          <w:color w:val="auto"/>
        </w:rPr>
        <w:t>going concern, and to provide related footnote disclosures in certain circumstances. This guidance will be effective for all entities in the first annual period ending after December 15, 2016; however, early adoption is permitted. Management does not believe that the adoption of ASU No. 2014-15 will have a material effect on our financial position or results of operations.</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Financial Liabilities</w:t>
      </w:r>
      <w:r>
        <w:rPr>
          <w:rFonts w:ascii="Arial" w:cs="Arial" w:eastAsia="Arial" w:hAnsi="Arial"/>
          <w:sz w:val="16"/>
          <w:szCs w:val="16"/>
          <w:color w:val="auto"/>
        </w:rPr>
        <w:t>. ASU No. 2016-01 requires entities to measure equity investments that do not result in consolidation and are not accounted for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method at fair value with changes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It also simplifies the impairment assessment of equity investments without readily determinable fair values by requiring a qualitative assessment to identify impairment. ASU No. 2016-01 also requires separate presentation of financial assets and financial liabilities by measurement category and form of financial asset and liability. ASU No. 2016-01 is effective for fiscal years beginning after December 15, 2017, including interim periods within those fiscal years. Early adoption of certain provisions is permitted. Management does not believe that the adoption of ASU No. 2016-01 will have a material effect on our financial position or results of operations.</w:t>
      </w:r>
    </w:p>
    <w:p>
      <w:pPr>
        <w:spacing w:after="0" w:line="7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No. 2016-02 is intended to increase the transparency and comparability among organizations by recognizing lease asset and lease liabilities on the balance sheet, including those previously classified as operating leases under current U.S. GAAP, and disclosing key information about leasing arrangements. ASU No. 2016-02 is effective for fiscal years beginning after December 15, 2018, including interim periods within those fiscal years. Earlier adoption is permitted. The impact of adopting ASU No. 2016-02 on our financial position and results of operations is being assessed by management.</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purpose of the update is to simplify several areas of the accounting for share-based payment transactions, including the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classification of awards as either equity or liabilities, and classification on the statement of cash flows. ASU No. 2016-09 is effective for annual reporting periods after December 15, 2016, including interim periods within those fiscal periods. Early adoption is permitted. The impact of adopting ASU No. 2016-09 on our financial position and results of operations is being assessed by management.</w:t>
      </w:r>
    </w:p>
    <w:p>
      <w:pPr>
        <w:spacing w:after="0" w:line="7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The guidance requires that financial assets measured at amortized cost be presented at the net amount expected to be collected. The allowance for credit losses is a valuation account that is deducted from the amortized cost basis. The income statement reflects the measurement of credit losses for newly recognized financial assets, as well as the expected credit losses during the period. The measurement of expected credit losses is based upon historical experience, current conditions, and reasonable and supportable forecasts that affect the collectability of the reported amount. Credit losses relating to available-for-sale debt securities will be recorded through an allowance for credit losses rather than as a direct write-down to the security. The updated guidance is effective for annual periods beginning after December 15, 2019, and is applicable to the Company in fiscal 2021. Early adoption is permitted. The impact of adopting ASU No. 2016-13 on our financial position and results of operations is being assessed by management.</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 (Topic 230)</w:t>
      </w:r>
      <w:r>
        <w:rPr>
          <w:rFonts w:ascii="Arial" w:cs="Arial" w:eastAsia="Arial" w:hAnsi="Arial"/>
          <w:sz w:val="18"/>
          <w:szCs w:val="18"/>
          <w:color w:val="auto"/>
        </w:rPr>
        <w:t>. The guidance reduces diversity in how certain cash receipts and cash payments are presented and classified in the Statements of Cash Flows. The guidance is effective for annual periods beginning after December 15, 2017, and is applicable to us in fiscal 2019. Early adoption is permitted. The adoption of ASU 2016-15 is not expected to have a material effect on our consolidated financial statements.</w:t>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The guidance requires companies to recognize the income tax effects of intercompany sales and transfers of assets, other than inventory, in the income statement as income tax expense (or benefit) in the period in which the transfer occurs. The guidance is effective for annual periods beginning after December 15, 2017, and is applicable to us in fiscal 2019. Early adoption is permitted for all entities as of the beginning of an annual reporting period. The impact of adopting ASU No. 2016-16 on our financial position and results of operations is being assessed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These forward-looking statements, like any forward-looking statements, involve risks and uncertainties that could cause actual results to differ materially from those projected or anticipated, including: demand for whole blood and blood components, changes in executive management, changes in operations from restructuring and turnaround plans, asset revaluations to reflect current business conditions, technological advances in the medical field and standards for transfusion medicine and our ability to successfully implement products that incorporate such advances and standards, product quality, market acceptance, regulatory uncertainties, including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other risks detailed under Item 1A. Risk Factors included in this report. The foregoing list should not be construed as exhaustive.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mitigate, for a period of time, the unforeseen impact on our financial results of fluctuations in foreign exchange rates by using derivative financial instruments known as forward contracts to hedge anticipated cash flows from forecasted foreign currency denominated sales and expenses. We do not use the financial instruments for speculative purposes. 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$4.3 million increase in the fair value of the forward contracts; whereas a 10% weakening of the U.S. Dollar would result in a $4.0 million decrease in the fair value of the forward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Our exposure to changes in interest rates is associated with borrowings on our credit facility, all of which is variable rate debt. All other long-term debt is at fixed rates. Total outstanding debt under our credit facility as of December 31, 2016 was $337.2 million with an interest rate of 2.0% based on prevailing LIBOR rates. An increase of 100 basis points in LIBOR rates would result in additional annual interest expense of $3.4 million. On December 21, 2012, we entered into interest rate swap agreements to effectively convert $250.0 million of borrowings from a variable rate to a fixed rate. The interest rate swaps qualify for hedge accounting treatment as cash flow hedges. The major risks from interest rate swaps include changes in the interest rates affecting the fair value of such instruments, potential increases in interest expense due to market increases in floating interest rates and the creditworthiness of the counterparties in such transactions. We continuously monitor the creditworthiness of our counterparties.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an evaluation, as of December 31, 2016,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Because the material weakness in our internal control over financial reporting related to accounting for income taxes that existed as of April 2, 2016 has not yet been fully remediated, the Chief Executive Officer and Chief Financial Officer concluded that our disclosure controls and procedures are not effective as of December 31, 2016. We have advised our audit committee of this deficiency in our internal control over financial reporting, and the fact that this deficiency constitutes a "material weakness."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material weakness in internal control over financial reporting is a deficiency, or a combination of deficiencies, in internal control over financial reporting, such that there is a reasonable possibility that a material misstatement of our annual or interim financial statements will not be prevented or detected on a timely basis by our internal controls.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such a material weakness was determined to exist, we performed additional procedures to ensure our consolidated financial statements included in this quarterly report on Form 10-Q are presented fairly, in all material respects, our financial position, results of operations and cash flows for the periods presented in conformity with accounting principles generally accepted in the United States.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we continue to evaluate and work to improve our internal control over financial reporting, management may determine that it is necessary to take additional measures to address control deficiencies or may determine that it is necessary to modify the remediation plan described below. The operation of the control change will need to be observed for a period of time before management is able to conclude that the material weakness has been remediated. If not remediated, this material weakness could result in a material misstatement to our consolidated financial statements. Management continues to monitor implementation of its remediation plan and timetable and believes the efforts described below will effectively remediate the material weaknesses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We are undertaking steps to strengthen our controls over accounting for income taxes, including:</w:t>
      </w:r>
    </w:p>
    <w:p>
      <w:pPr>
        <w:spacing w:after="0" w:line="13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oversight by our management in the calculation and reporting of certain tax balances of our non-U.S.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Enhancing policies and procedures relating to account reconciliation and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Augmenting our tax accounting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communication to information providers for tax jurisdiction specific information;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Strengthening communication and information flows between the tax department and the controllers group.</w:t>
      </w:r>
    </w:p>
    <w:p>
      <w:pPr>
        <w:spacing w:after="0" w:line="33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Except as noted in the preceding paragraphs, there has not been any change in our system of internal control over financial reporting during the quarter ended December 31, 2016 that has materially affected, or is reasonably likely to materially affect, internal control over financial reporting.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Employment Litigation</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their working clothes at the beginning and end of each shift.</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alleging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December 31, 2016, the total amount of damages claimed by the plaintiffs in these matters is approximately $4.3 million. At this point in the proceedings, we believe the losses are unlikely and therefore no amounts have been accrued. In the future, we may receive other similar claims or adverse rulings from the courts which changes our judgment on these cases.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SOLX Arbitration</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July 2016, H2 Equity, LLC, formerly known as Hemerus Corporation, filed an arbitration claim for $17 million in milestone and royalty payments allegedly owed as part of our acquisition of the filter and storage solution business from Hemerus Medical, LLC ("Hemerus") in fiscal 2014. The acquired storage solution is referred to as SOLX.</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the closing in April 2013, Haemonetics paid Hemerus a total of $24 million and agreed to a $3 million milestone payment due when the U.S. Food and Drug Administration ("FDA") approved a new indication for SOLX (the “24-Hour Approval”), using a filter acquired from Hemerus. We also agreed to make future royalty payments up to a cumulative maximum of $14 million based on the sale of products incorporating SOLX over a ten year period.</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Due to performance issues with the Hemerus filter, Haemonetics filed for, and received, the 24-Hour Approval using a Haemonetics filter. Accordingly, Haemonetics did not pay Hemerus the $3 million milestone payment because the 24-Hour Approval was obtained using a Haemonetics filter, not a Hemerus filter. In addition, we have not paid any royalties to date as we have not made any commercial sales of products incorporating SOLX.</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H2 Equity claims, in part, that we owe them $3 million for the receipt of the 24-Hour Approval despite the use of a Haemonetics filter to obtain the approval and that we have failed to make commercially reasonable efforts to market and sell products incorporating SOLX. We believe that we have meritorious defenses to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It is not possible to accurately evaluate the likelihood or amount of any potential losses related to this claim and therefore no amounts have been accrued.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April 2, 2016, which could materially affect the Company's business, financial condition or future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72"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[Removed and 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58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10100" w:type="dxa"/>
            <w:vAlign w:val="bottom"/>
          </w:tcPr>
          <w:p>
            <w:pPr>
              <w:spacing w:after="0"/>
              <w:rPr>
                <w:sz w:val="17"/>
                <w:szCs w:val="17"/>
                <w:color w:val="auto"/>
              </w:rPr>
            </w:pPr>
          </w:p>
        </w:tc>
      </w:tr>
      <w:tr>
        <w:trPr>
          <w:trHeight w:val="384"/>
        </w:trPr>
        <w:tc>
          <w:tcPr>
            <w:tcW w:w="600" w:type="dxa"/>
            <w:vAlign w:val="bottom"/>
          </w:tcPr>
          <w:p>
            <w:pPr>
              <w:ind w:left="40"/>
              <w:spacing w:after="0"/>
              <w:rPr>
                <w:sz w:val="20"/>
                <w:szCs w:val="20"/>
                <w:color w:val="auto"/>
              </w:rPr>
            </w:pPr>
            <w:r>
              <w:rPr>
                <w:rFonts w:ascii="Arial" w:cs="Arial" w:eastAsia="Arial" w:hAnsi="Arial"/>
                <w:sz w:val="18"/>
                <w:szCs w:val="18"/>
                <w:color w:val="auto"/>
              </w:rPr>
              <w:t>31.1</w:t>
            </w:r>
          </w:p>
        </w:tc>
        <w:tc>
          <w:tcPr>
            <w:tcW w:w="640" w:type="dxa"/>
            <w:vAlign w:val="bottom"/>
            <w:tcBorders>
              <w:top w:val="single" w:sz="8" w:color="auto"/>
            </w:tcBorders>
          </w:tcPr>
          <w:p>
            <w:pPr>
              <w:spacing w:after="0"/>
              <w:rPr>
                <w:sz w:val="24"/>
                <w:szCs w:val="24"/>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w w:val="92"/>
              </w:rPr>
              <w:t>Certification pursuant to Section 302 of Sarbanes-Oxley Act of 2002, of Christopher Simon, President and Chief Executive Officer of the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w w:val="94"/>
              </w:rPr>
              <w:t>Certification pursuant to Section 302 of Sarbanes-Oxley of 2002, of William Burke, Executive Vice President, Chief Financial Officer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rPr>
              <w:t>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w w:val="91"/>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rPr>
              <w:t>Christopher Simon, President and Chief Executive Officer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32.2</w:t>
            </w:r>
          </w:p>
        </w:tc>
        <w:tc>
          <w:tcPr>
            <w:tcW w:w="640" w:type="dxa"/>
            <w:vAlign w:val="bottom"/>
          </w:tcPr>
          <w:p>
            <w:pPr>
              <w:spacing w:after="0"/>
              <w:rPr>
                <w:sz w:val="24"/>
                <w:szCs w:val="24"/>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w w:val="91"/>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rPr>
              <w:t>William Burke, Executive Vice President, Chief Financial Officer of the Company</w:t>
            </w:r>
          </w:p>
        </w:tc>
      </w:tr>
      <w:tr>
        <w:trPr>
          <w:trHeight w:val="580"/>
        </w:trPr>
        <w:tc>
          <w:tcPr>
            <w:tcW w:w="600" w:type="dxa"/>
            <w:vAlign w:val="bottom"/>
          </w:tcPr>
          <w:p>
            <w:pPr>
              <w:ind w:left="40"/>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w w:val="92"/>
              </w:rPr>
              <w:t>The following materials from Haemonetics Corporation on Form 10-Q for the quarter ended December 31, 2016, formatted in Extensible</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w w:val="90"/>
              </w:rPr>
              <w:t>Business Reporting Language (XBRL); (i) Consolidated Statements of Income (Loss) and Comprehensive Income (Loss), (ii) Consolidated</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00" w:type="dxa"/>
            <w:vAlign w:val="bottom"/>
          </w:tcPr>
          <w:p>
            <w:pPr>
              <w:ind w:left="60"/>
              <w:spacing w:after="0"/>
              <w:rPr>
                <w:sz w:val="20"/>
                <w:szCs w:val="20"/>
                <w:color w:val="auto"/>
              </w:rPr>
            </w:pPr>
            <w:r>
              <w:rPr>
                <w:rFonts w:ascii="Arial" w:cs="Arial" w:eastAsia="Arial" w:hAnsi="Arial"/>
                <w:sz w:val="18"/>
                <w:szCs w:val="18"/>
                <w:color w:val="auto"/>
              </w:rPr>
              <w:t>Balance Sheets, (iii) Consolidated Statements of Cash Flows, and (iv) Notes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right="40" w:hanging="685"/>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351" w:right="319" w:bottom="1440" w:gutter="0" w:footer="0" w:header="0"/>
        </w:sectPr>
      </w:pPr>
    </w:p>
    <w:bookmarkStart w:id="36" w:name="page37"/>
    <w:bookmarkEnd w:id="36"/>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2/6/2017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Christopher Simon,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2/6/2017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William Burke, Executive Vice President, Chief Financial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80"/>
          </w:cols>
          <w:pgMar w:left="240" w:top="364" w:right="3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Simon, certify that:</w:t>
      </w:r>
    </w:p>
    <w:p>
      <w:pPr>
        <w:spacing w:after="0" w:line="11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2/6/2017</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Simon,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2/6/2017</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31, 2016 as filed with the Securities and Exchange Commission on the date hereof (the “Report”), I, Christopher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2/6/2017</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31, 2016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2/6/2017</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Burke,</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2019-12-29T08:52:26Z</dcterms:created>
  <dcterms:modified xsi:type="dcterms:W3CDTF">2019-12-29T08:52:26Z</dcterms:modified>
</cp:coreProperties>
</file>