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For the quarter ended: </w:t>
      </w:r>
      <w:r>
        <w:rPr>
          <w:rFonts w:ascii="Arial" w:cs="Arial" w:eastAsia="Arial" w:hAnsi="Arial"/>
          <w:sz w:val="18"/>
          <w:szCs w:val="18"/>
          <w:b w:val="1"/>
          <w:bCs w:val="1"/>
          <w:u w:val="single" w:color="auto"/>
          <w:color w:val="auto"/>
        </w:rPr>
        <w:t>October 2, 2010</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1-14041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42"/>
          <w:szCs w:val="42"/>
          <w:b w:val="1"/>
          <w:bCs w:val="1"/>
          <w:color w:val="auto"/>
        </w:rPr>
        <w:t>HAEMONETICS CORPORATION</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122" w:right="279" w:bottom="1440" w:gutter="0" w:footer="0" w:header="0"/>
        </w:sectPr>
      </w:pPr>
    </w:p>
    <w:p>
      <w:pPr>
        <w:spacing w:after="0" w:line="19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Massachusetts</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(State or other jurisdiction</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04-2882273</w:t>
      </w:r>
    </w:p>
    <w:p>
      <w:pPr>
        <w:spacing w:after="0" w:line="22" w:lineRule="exact"/>
        <w:rPr>
          <w:sz w:val="20"/>
          <w:szCs w:val="20"/>
          <w:color w:val="auto"/>
        </w:rPr>
      </w:pPr>
    </w:p>
    <w:p>
      <w:pPr>
        <w:jc w:val="center"/>
        <w:ind w:right="1400"/>
        <w:spacing w:after="0"/>
        <w:rPr>
          <w:sz w:val="20"/>
          <w:szCs w:val="20"/>
          <w:color w:val="auto"/>
        </w:rPr>
      </w:pPr>
      <w:r>
        <w:rPr>
          <w:rFonts w:ascii="Arial" w:cs="Arial" w:eastAsia="Arial" w:hAnsi="Arial"/>
          <w:sz w:val="15"/>
          <w:szCs w:val="15"/>
          <w:color w:val="auto"/>
        </w:rPr>
        <w:t>(I.R.S. Employer Identification No.)</w:t>
      </w:r>
    </w:p>
    <w:p>
      <w:pPr>
        <w:spacing w:after="0" w:line="412" w:lineRule="exact"/>
        <w:rPr>
          <w:sz w:val="20"/>
          <w:szCs w:val="20"/>
          <w:color w:val="auto"/>
        </w:rPr>
      </w:pPr>
    </w:p>
    <w:p>
      <w:pPr>
        <w:sectPr>
          <w:pgSz w:w="11900" w:h="16838" w:orient="portrait"/>
          <w:cols w:equalWidth="0" w:num="2">
            <w:col w:w="6700" w:space="720"/>
            <w:col w:w="3960"/>
          </w:cols>
          <w:pgMar w:left="240" w:top="122" w:right="279" w:bottom="1440" w:gutter="0" w:footer="0" w:header="0"/>
          <w:type w:val="continuous"/>
        </w:sectPr>
      </w:pPr>
    </w:p>
    <w:p>
      <w:pPr>
        <w:spacing w:after="0" w:line="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400 Wood Road, Braintree, MA 02184</w:t>
      </w:r>
    </w:p>
    <w:p>
      <w:pPr>
        <w:spacing w:after="0" w:line="57"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(Address of principal executive offices)</w:t>
      </w:r>
    </w:p>
    <w:p>
      <w:pPr>
        <w:sectPr>
          <w:pgSz w:w="11900" w:h="16838" w:orient="portrait"/>
          <w:cols w:equalWidth="0" w:num="1">
            <w:col w:w="11380"/>
          </w:cols>
          <w:pgMar w:left="240" w:top="122" w:right="279" w:bottom="1440" w:gutter="0" w:footer="0" w:header="0"/>
          <w:type w:val="continuous"/>
        </w:sect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154"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54"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6" w:lineRule="exact"/>
        <w:rPr>
          <w:sz w:val="20"/>
          <w:szCs w:val="20"/>
          <w:color w:val="auto"/>
        </w:rPr>
      </w:pPr>
    </w:p>
    <w:p>
      <w:pPr>
        <w:ind w:right="560"/>
        <w:spacing w:after="0" w:line="36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type w:val="continuous"/>
        </w:sectPr>
      </w:pPr>
    </w:p>
    <w:p>
      <w:pPr>
        <w:spacing w:after="0" w:line="116" w:lineRule="exact"/>
        <w:rPr>
          <w:sz w:val="20"/>
          <w:szCs w:val="20"/>
          <w:color w:val="auto"/>
        </w:rPr>
      </w:pPr>
    </w:p>
    <w:p>
      <w:pPr>
        <w:ind w:left="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Accelerated filer 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Non-accelerated filer o</w:t>
      </w:r>
    </w:p>
    <w:p>
      <w:pPr>
        <w:spacing w:after="0" w:line="16"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97" w:lineRule="exact"/>
        <w:rPr>
          <w:sz w:val="20"/>
          <w:szCs w:val="20"/>
          <w:color w:val="auto"/>
        </w:rPr>
      </w:pPr>
    </w:p>
    <w:p>
      <w:pPr>
        <w:sectPr>
          <w:pgSz w:w="11900" w:h="16838" w:orient="portrait"/>
          <w:cols w:equalWidth="0" w:num="4">
            <w:col w:w="1940" w:space="720"/>
            <w:col w:w="1420" w:space="720"/>
            <w:col w:w="3800" w:space="720"/>
            <w:col w:w="2060"/>
          </w:cols>
          <w:pgMar w:left="240" w:top="122" w:right="27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94"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number of shares of $.01 par value common stock outstanding as of October 2, 2010:</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24,746,788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4916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HAEMONETICS CORPORATION</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64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4"/>
        </w:trPr>
        <w:tc>
          <w:tcPr>
            <w:tcW w:w="10640" w:type="dxa"/>
            <w:vAlign w:val="bottom"/>
            <w:gridSpan w:val="22"/>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1064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 — Three and Six Months Ended October 2, 2010 and September 26, 2009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Consolidated Balance Sheets — October 2, 2010 and April 3, 2010</w:t>
              </w:r>
            </w:hyperlink>
          </w:p>
        </w:tc>
        <w:tc>
          <w:tcPr>
            <w:tcW w:w="3040" w:type="dxa"/>
            <w:vAlign w:val="bottom"/>
            <w:tcBorders>
              <w:top w:val="single" w:sz="8" w:color="0000EE"/>
            </w:tcBorders>
            <w:gridSpan w:val="4"/>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 Six Months Ended October 2, 2010</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Consolidated Statements of Cash Flows — Six Months Ended October 2, 2010 and September 26, 2009</w:t>
              </w:r>
            </w:hyperlink>
          </w:p>
        </w:tc>
        <w:tc>
          <w:tcPr>
            <w:tcW w:w="23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Consolidated Financial Statements</w:t>
              </w:r>
            </w:hyperlink>
          </w:p>
        </w:tc>
        <w:tc>
          <w:tcPr>
            <w:tcW w:w="656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4"/>
        </w:trPr>
        <w:tc>
          <w:tcPr>
            <w:tcW w:w="10640" w:type="dxa"/>
            <w:vAlign w:val="bottom"/>
            <w:gridSpan w:val="2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4"/>
        </w:trPr>
        <w:tc>
          <w:tcPr>
            <w:tcW w:w="740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3. Quantitative and Qualitative Disclosures about Market Risk</w:t>
              </w:r>
            </w:hyperlink>
          </w:p>
        </w:tc>
        <w:tc>
          <w:tcPr>
            <w:tcW w:w="32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4"/>
        </w:trPr>
        <w:tc>
          <w:tcPr>
            <w:tcW w:w="258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0"/>
              </w:rPr>
            </w:pPr>
            <w:hyperlink w:anchor="page38">
              <w:r>
                <w:rPr>
                  <w:rFonts w:ascii="Arial" w:cs="Arial" w:eastAsia="Arial" w:hAnsi="Arial"/>
                  <w:sz w:val="18"/>
                  <w:szCs w:val="18"/>
                  <w:b w:val="1"/>
                  <w:bCs w:val="1"/>
                  <w:color w:val="0000EE"/>
                  <w:w w:val="90"/>
                </w:rPr>
                <w:t>ITEM 4. Controls and Procedures</w:t>
              </w:r>
            </w:hyperlink>
          </w:p>
        </w:tc>
        <w:tc>
          <w:tcPr>
            <w:tcW w:w="2660" w:type="dxa"/>
            <w:vAlign w:val="bottom"/>
            <w:tcBorders>
              <w:top w:val="single" w:sz="8" w:color="0000EE"/>
            </w:tcBorders>
            <w:gridSpan w:val="6"/>
          </w:tcPr>
          <w:p>
            <w:pPr>
              <w:spacing w:after="0"/>
              <w:rPr>
                <w:sz w:val="24"/>
                <w:szCs w:val="24"/>
                <w:color w:val="auto"/>
              </w:rPr>
            </w:pPr>
          </w:p>
        </w:tc>
        <w:tc>
          <w:tcPr>
            <w:tcW w:w="54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4"/>
        </w:trPr>
        <w:tc>
          <w:tcPr>
            <w:tcW w:w="10640" w:type="dxa"/>
            <w:vAlign w:val="bottom"/>
            <w:gridSpan w:val="2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04"/>
        </w:trPr>
        <w:tc>
          <w:tcPr>
            <w:tcW w:w="208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0"/>
              </w:rPr>
            </w:pPr>
            <w:hyperlink w:anchor="page39">
              <w:r>
                <w:rPr>
                  <w:rFonts w:ascii="Arial" w:cs="Arial" w:eastAsia="Arial" w:hAnsi="Arial"/>
                  <w:sz w:val="18"/>
                  <w:szCs w:val="18"/>
                  <w:b w:val="1"/>
                  <w:bCs w:val="1"/>
                  <w:color w:val="0000EE"/>
                  <w:w w:val="90"/>
                </w:rPr>
                <w:t>ITEM 1. Legal Proceedings</w:t>
              </w:r>
            </w:hyperlink>
          </w:p>
        </w:tc>
        <w:tc>
          <w:tcPr>
            <w:tcW w:w="640" w:type="dxa"/>
            <w:vAlign w:val="bottom"/>
            <w:tcBorders>
              <w:top w:val="single" w:sz="8" w:color="0000EE"/>
            </w:tcBorders>
            <w:gridSpan w:val="5"/>
          </w:tcPr>
          <w:p>
            <w:pPr>
              <w:spacing w:after="0"/>
              <w:rPr>
                <w:sz w:val="24"/>
                <w:szCs w:val="24"/>
                <w:color w:val="auto"/>
              </w:rPr>
            </w:pPr>
          </w:p>
        </w:tc>
        <w:tc>
          <w:tcPr>
            <w:tcW w:w="792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04"/>
        </w:trPr>
        <w:tc>
          <w:tcPr>
            <w:tcW w:w="10640" w:type="dxa"/>
            <w:vAlign w:val="bottom"/>
            <w:gridSpan w:val="2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1A. 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640" w:type="dxa"/>
            <w:vAlign w:val="bottom"/>
            <w:gridSpan w:val="2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2. 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04"/>
        </w:trPr>
        <w:tc>
          <w:tcPr>
            <w:tcW w:w="518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3. Defaults upon Senior Securities</w:t>
              </w:r>
            </w:hyperlink>
          </w:p>
        </w:tc>
        <w:tc>
          <w:tcPr>
            <w:tcW w:w="54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4"/>
        </w:trPr>
        <w:tc>
          <w:tcPr>
            <w:tcW w:w="260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90"/>
              </w:rPr>
            </w:pPr>
            <w:hyperlink w:anchor="page40">
              <w:r>
                <w:rPr>
                  <w:rFonts w:ascii="Arial" w:cs="Arial" w:eastAsia="Arial" w:hAnsi="Arial"/>
                  <w:sz w:val="18"/>
                  <w:szCs w:val="18"/>
                  <w:b w:val="1"/>
                  <w:bCs w:val="1"/>
                  <w:color w:val="0000EE"/>
                  <w:w w:val="90"/>
                </w:rPr>
                <w:t>ITEM 4. (Removed and Reserved)</w:t>
              </w:r>
            </w:hyperlink>
          </w:p>
        </w:tc>
        <w:tc>
          <w:tcPr>
            <w:tcW w:w="460" w:type="dxa"/>
            <w:vAlign w:val="bottom"/>
            <w:tcBorders>
              <w:top w:val="single" w:sz="8" w:color="0000EE"/>
            </w:tcBorders>
            <w:gridSpan w:val="2"/>
          </w:tcPr>
          <w:p>
            <w:pPr>
              <w:spacing w:after="0"/>
              <w:rPr>
                <w:sz w:val="24"/>
                <w:szCs w:val="24"/>
                <w:color w:val="auto"/>
              </w:rPr>
            </w:pPr>
          </w:p>
        </w:tc>
        <w:tc>
          <w:tcPr>
            <w:tcW w:w="75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4"/>
        </w:trPr>
        <w:tc>
          <w:tcPr>
            <w:tcW w:w="2120" w:type="dxa"/>
            <w:vAlign w:val="bottom"/>
            <w:tcBorders>
              <w:bottom w:val="single" w:sz="8" w:color="0000EE"/>
            </w:tcBorders>
            <w:gridSpan w:val="8"/>
          </w:tcPr>
          <w:p>
            <w:pPr>
              <w:spacing w:after="0"/>
              <w:rPr>
                <w:rFonts w:ascii="Arial" w:cs="Arial" w:eastAsia="Arial" w:hAnsi="Arial"/>
                <w:sz w:val="18"/>
                <w:szCs w:val="18"/>
                <w:b w:val="1"/>
                <w:bCs w:val="1"/>
                <w:color w:val="0000EE"/>
                <w:w w:val="95"/>
              </w:rPr>
            </w:pPr>
            <w:hyperlink w:anchor="page40">
              <w:r>
                <w:rPr>
                  <w:rFonts w:ascii="Arial" w:cs="Arial" w:eastAsia="Arial" w:hAnsi="Arial"/>
                  <w:sz w:val="18"/>
                  <w:szCs w:val="18"/>
                  <w:b w:val="1"/>
                  <w:bCs w:val="1"/>
                  <w:color w:val="0000EE"/>
                  <w:w w:val="95"/>
                </w:rPr>
                <w:t>ITEM 5. Other Information</w:t>
              </w:r>
            </w:hyperlink>
          </w:p>
        </w:tc>
        <w:tc>
          <w:tcPr>
            <w:tcW w:w="852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4"/>
        </w:trPr>
        <w:tc>
          <w:tcPr>
            <w:tcW w:w="10640" w:type="dxa"/>
            <w:vAlign w:val="bottom"/>
            <w:gridSpan w:val="22"/>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6. 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4"/>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Signatures</w:t>
              </w:r>
            </w:hyperlink>
          </w:p>
        </w:tc>
        <w:tc>
          <w:tcPr>
            <w:tcW w:w="360" w:type="dxa"/>
            <w:vAlign w:val="bottom"/>
            <w:tcBorders>
              <w:top w:val="single" w:sz="8" w:color="0000EE"/>
            </w:tcBorders>
          </w:tcPr>
          <w:p>
            <w:pPr>
              <w:spacing w:after="0"/>
              <w:rPr>
                <w:sz w:val="24"/>
                <w:szCs w:val="24"/>
                <w:color w:val="auto"/>
              </w:rPr>
            </w:pPr>
          </w:p>
        </w:tc>
        <w:tc>
          <w:tcPr>
            <w:tcW w:w="932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 w:type="dxa"/>
            <w:vAlign w:val="bottom"/>
            <w:tcBorders>
              <w:bottom w:val="single" w:sz="8" w:color="0000EE"/>
            </w:tcBorders>
            <w:gridSpan w:val="2"/>
          </w:tcPr>
          <w:p>
            <w:pPr>
              <w:spacing w:after="0" w:line="192" w:lineRule="exact"/>
              <w:rPr>
                <w:sz w:val="20"/>
                <w:szCs w:val="20"/>
                <w:color w:val="auto"/>
              </w:rPr>
            </w:pPr>
            <w:r>
              <w:rPr>
                <w:rFonts w:ascii="Arial" w:cs="Arial" w:eastAsia="Arial" w:hAnsi="Arial"/>
                <w:sz w:val="17"/>
                <w:szCs w:val="17"/>
                <w:color w:val="0000EE"/>
                <w:w w:val="94"/>
              </w:rPr>
              <w:t>EX-31.1</w:t>
            </w:r>
          </w:p>
        </w:tc>
        <w:tc>
          <w:tcPr>
            <w:tcW w:w="10000" w:type="dxa"/>
            <w:vAlign w:val="bottom"/>
            <w:gridSpan w:val="19"/>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 w:type="dxa"/>
            <w:vAlign w:val="bottom"/>
            <w:tcBorders>
              <w:bottom w:val="single" w:sz="8" w:color="0000EE"/>
            </w:tcBorders>
            <w:gridSpan w:val="2"/>
          </w:tcPr>
          <w:p>
            <w:pPr>
              <w:spacing w:after="0" w:line="192" w:lineRule="exact"/>
              <w:rPr>
                <w:sz w:val="20"/>
                <w:szCs w:val="20"/>
                <w:color w:val="auto"/>
              </w:rPr>
            </w:pPr>
            <w:r>
              <w:rPr>
                <w:rFonts w:ascii="Arial" w:cs="Arial" w:eastAsia="Arial" w:hAnsi="Arial"/>
                <w:sz w:val="17"/>
                <w:szCs w:val="17"/>
                <w:color w:val="0000EE"/>
                <w:w w:val="94"/>
              </w:rPr>
              <w:t>EX-31.2</w:t>
            </w:r>
          </w:p>
        </w:tc>
        <w:tc>
          <w:tcPr>
            <w:tcW w:w="10000" w:type="dxa"/>
            <w:vAlign w:val="bottom"/>
            <w:gridSpan w:val="19"/>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EX-32.1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EX-32.2</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INSTANCE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SCHEMA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CALCULATION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LABELS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PRESENTATION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DEFINITION LINKBASE DOCUMENT</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43"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60"/>
              <w:spacing w:after="0" w:line="117" w:lineRule="exact"/>
              <w:rPr>
                <w:sz w:val="20"/>
                <w:szCs w:val="20"/>
                <w:color w:val="auto"/>
              </w:rPr>
            </w:pPr>
            <w:r>
              <w:rPr>
                <w:rFonts w:ascii="Arial" w:cs="Arial" w:eastAsia="Arial" w:hAnsi="Arial"/>
                <w:sz w:val="13"/>
                <w:szCs w:val="13"/>
                <w:b w:val="1"/>
                <w:bCs w:val="1"/>
                <w:color w:val="auto"/>
                <w:w w:val="99"/>
              </w:rPr>
              <w:t>October 2,</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680"/>
              <w:spacing w:after="0" w:line="117" w:lineRule="exact"/>
              <w:rPr>
                <w:sz w:val="20"/>
                <w:szCs w:val="20"/>
                <w:color w:val="auto"/>
              </w:rPr>
            </w:pPr>
            <w:r>
              <w:rPr>
                <w:rFonts w:ascii="Arial" w:cs="Arial" w:eastAsia="Arial" w:hAnsi="Arial"/>
                <w:sz w:val="13"/>
                <w:szCs w:val="13"/>
                <w:b w:val="1"/>
                <w:bCs w:val="1"/>
                <w:color w:val="auto"/>
                <w:w w:val="99"/>
              </w:rPr>
              <w:t>October 2,</w:t>
            </w:r>
          </w:p>
        </w:tc>
        <w:tc>
          <w:tcPr>
            <w:tcW w:w="88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166,833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157,070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329,872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79,078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76,103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155,655</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147,248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87,755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174,217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163,910</w:t>
            </w:r>
          </w:p>
        </w:tc>
        <w:tc>
          <w:tcPr>
            <w:tcW w:w="0" w:type="dxa"/>
            <w:vAlign w:val="bottom"/>
          </w:tcPr>
          <w:p>
            <w:pPr>
              <w:spacing w:after="0"/>
              <w:rPr>
                <w:sz w:val="1"/>
                <w:szCs w:val="1"/>
                <w:color w:val="auto"/>
              </w:rPr>
            </w:pPr>
          </w:p>
        </w:tc>
      </w:tr>
      <w:tr>
        <w:trPr>
          <w:trHeight w:val="430"/>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15,875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52,790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47,469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107,144</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97,308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58,850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53,944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121,125</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110,560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53,092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29,159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53,534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7,821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14,277</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15,882</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21,338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39,257</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2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2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24,913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25,228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26,321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25,459</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26,273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October 2, 2010</w:t>
            </w:r>
          </w:p>
        </w:tc>
        <w:tc>
          <w:tcPr>
            <w:tcW w:w="118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2010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115,049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Accounts receivable, less allowance of $2,068 at October 2, 2010 and $2,554 at April 3, 2010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121,767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118,684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Deferred tax asset,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13,880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362,222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386,143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Land, building and building improvements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50,969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Plant equipment and machinery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126,351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113,534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Office equipment and information technology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80,824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75,235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Haemonetics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211,355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206,267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80"/>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469,499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444,328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(312,202)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(289,803)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Net property, plant and equipment</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157,297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154,525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Intangible assets, less amortization of $38,977 at October 2, 2010 and $32,693 at April 3, 2010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94,544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112,383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110,261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Deferred tax asset, long term</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other assets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218,218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217,995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737,737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758,663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5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11,702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30,330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39,046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44,281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113,751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134,630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12,681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423"/>
        </w:trPr>
        <w:tc>
          <w:tcPr>
            <w:tcW w:w="85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60" w:type="dxa"/>
            <w:vAlign w:val="bottom"/>
          </w:tcPr>
          <w:p>
            <w:pPr>
              <w:spacing w:after="0" w:line="200" w:lineRule="exact"/>
              <w:rPr>
                <w:sz w:val="20"/>
                <w:szCs w:val="20"/>
                <w:color w:val="auto"/>
              </w:rPr>
            </w:pPr>
            <w:r>
              <w:rPr>
                <w:rFonts w:ascii="Arial" w:cs="Arial" w:eastAsia="Arial" w:hAnsi="Arial"/>
                <w:sz w:val="18"/>
                <w:szCs w:val="18"/>
                <w:color w:val="auto"/>
                <w:w w:val="91"/>
              </w:rPr>
              <w:t>Common stock, $0.01 par value; Authorized — 150,000,000 shares; Issued and outstanding — 24,746,788 shares at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October 2, 2010 and 25,440,856 shares at April 3, 2010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256,071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252,323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332,907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334,641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594,392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593,124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737,737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758,663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3"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left="260" w:right="1360"/>
        <w:spacing w:after="0" w:line="265" w:lineRule="auto"/>
        <w:rPr>
          <w:sz w:val="20"/>
          <w:szCs w:val="20"/>
          <w:color w:val="auto"/>
        </w:rPr>
      </w:pPr>
      <w:r>
        <w:rPr>
          <w:rFonts w:ascii="Arial" w:cs="Arial" w:eastAsia="Arial" w:hAnsi="Arial"/>
          <w:sz w:val="18"/>
          <w:szCs w:val="18"/>
          <w:b w:val="1"/>
          <w:bCs w:val="1"/>
          <w:color w:val="auto"/>
        </w:rPr>
        <w:t>HAEMONETICS CORPORATION AND SUBSIDIARIES CONSOLIDATED STATEMENT OF STOCKHOLDERS’ EQUITY AND OTHER COMPREHENSIVE INCOME (Unaudited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Additional</w:t>
            </w:r>
          </w:p>
        </w:tc>
        <w:tc>
          <w:tcPr>
            <w:tcW w:w="1220" w:type="dxa"/>
            <w:vAlign w:val="bottom"/>
          </w:tcPr>
          <w:p>
            <w:pPr>
              <w:spacing w:after="0"/>
              <w:rPr>
                <w:sz w:val="14"/>
                <w:szCs w:val="14"/>
                <w:color w:val="auto"/>
              </w:rPr>
            </w:pPr>
          </w:p>
        </w:tc>
        <w:tc>
          <w:tcPr>
            <w:tcW w:w="154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593"/>
              <w:spacing w:after="0" w:line="15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Paid-in</w:t>
            </w:r>
          </w:p>
        </w:tc>
        <w:tc>
          <w:tcPr>
            <w:tcW w:w="122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Retained</w:t>
            </w:r>
          </w:p>
        </w:tc>
        <w:tc>
          <w:tcPr>
            <w:tcW w:w="15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Comprehensive</w:t>
            </w:r>
          </w:p>
        </w:tc>
        <w:tc>
          <w:tcPr>
            <w:tcW w:w="10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w w:val="99"/>
              </w:rPr>
              <w:t>Stockholders’</w:t>
            </w:r>
          </w:p>
        </w:tc>
        <w:tc>
          <w:tcPr>
            <w:tcW w:w="400" w:type="dxa"/>
            <w:vAlign w:val="bottom"/>
          </w:tcPr>
          <w:p>
            <w:pPr>
              <w:spacing w:after="0"/>
              <w:rPr>
                <w:sz w:val="13"/>
                <w:szCs w:val="13"/>
                <w:color w:val="auto"/>
              </w:rPr>
            </w:pPr>
          </w:p>
        </w:tc>
        <w:tc>
          <w:tcPr>
            <w:tcW w:w="1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bottom w:val="single" w:sz="8" w:color="auto"/>
            </w:tcBorders>
          </w:tcPr>
          <w:p>
            <w:pPr>
              <w:jc w:val="right"/>
              <w:ind w:right="335"/>
              <w:spacing w:after="0" w:line="139"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3"/>
              <w:spacing w:after="0" w:line="139" w:lineRule="exact"/>
              <w:rPr>
                <w:sz w:val="20"/>
                <w:szCs w:val="20"/>
                <w:color w:val="auto"/>
              </w:rPr>
            </w:pPr>
            <w:r>
              <w:rPr>
                <w:rFonts w:ascii="Arial" w:cs="Arial" w:eastAsia="Arial" w:hAnsi="Arial"/>
                <w:sz w:val="14"/>
                <w:szCs w:val="14"/>
                <w:b w:val="1"/>
                <w:bCs w:val="1"/>
                <w:color w:val="auto"/>
                <w:w w:val="81"/>
              </w:rPr>
              <w:t>$’s</w:t>
            </w: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15"/>
              <w:spacing w:after="0" w:line="139" w:lineRule="exact"/>
              <w:rPr>
                <w:sz w:val="20"/>
                <w:szCs w:val="20"/>
                <w:color w:val="auto"/>
              </w:rPr>
            </w:pPr>
            <w:r>
              <w:rPr>
                <w:rFonts w:ascii="Arial" w:cs="Arial" w:eastAsia="Arial" w:hAnsi="Arial"/>
                <w:sz w:val="14"/>
                <w:szCs w:val="14"/>
                <w:b w:val="1"/>
                <w:bCs w:val="1"/>
                <w:color w:val="auto"/>
              </w:rPr>
              <w:t>Capital</w:t>
            </w:r>
          </w:p>
        </w:tc>
        <w:tc>
          <w:tcPr>
            <w:tcW w:w="1220" w:type="dxa"/>
            <w:vAlign w:val="bottom"/>
            <w:tcBorders>
              <w:bottom w:val="single" w:sz="8" w:color="auto"/>
            </w:tcBorders>
          </w:tcPr>
          <w:p>
            <w:pPr>
              <w:jc w:val="right"/>
              <w:ind w:right="274"/>
              <w:spacing w:after="0" w:line="139" w:lineRule="exact"/>
              <w:rPr>
                <w:sz w:val="20"/>
                <w:szCs w:val="20"/>
                <w:color w:val="auto"/>
              </w:rPr>
            </w:pPr>
            <w:r>
              <w:rPr>
                <w:rFonts w:ascii="Arial" w:cs="Arial" w:eastAsia="Arial" w:hAnsi="Arial"/>
                <w:sz w:val="14"/>
                <w:szCs w:val="14"/>
                <w:b w:val="1"/>
                <w:bCs w:val="1"/>
                <w:color w:val="auto"/>
              </w:rPr>
              <w:t>Earnings</w:t>
            </w:r>
          </w:p>
        </w:tc>
        <w:tc>
          <w:tcPr>
            <w:tcW w:w="1540" w:type="dxa"/>
            <w:vAlign w:val="bottom"/>
            <w:tcBorders>
              <w:bottom w:val="single" w:sz="8" w:color="auto"/>
            </w:tcBorders>
            <w:gridSpan w:val="2"/>
          </w:tcPr>
          <w:p>
            <w:pPr>
              <w:ind w:left="220"/>
              <w:spacing w:after="0" w:line="139" w:lineRule="exact"/>
              <w:rPr>
                <w:sz w:val="20"/>
                <w:szCs w:val="20"/>
                <w:color w:val="auto"/>
              </w:rPr>
            </w:pPr>
            <w:r>
              <w:rPr>
                <w:rFonts w:ascii="Arial" w:cs="Arial" w:eastAsia="Arial" w:hAnsi="Arial"/>
                <w:sz w:val="14"/>
                <w:szCs w:val="14"/>
                <w:b w:val="1"/>
                <w:bCs w:val="1"/>
                <w:color w:val="auto"/>
              </w:rPr>
              <w:t>Income / (Loss)</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39" w:lineRule="exact"/>
              <w:rPr>
                <w:sz w:val="20"/>
                <w:szCs w:val="20"/>
                <w:color w:val="auto"/>
              </w:rPr>
            </w:pPr>
            <w:r>
              <w:rPr>
                <w:rFonts w:ascii="Arial" w:cs="Arial" w:eastAsia="Arial" w:hAnsi="Arial"/>
                <w:sz w:val="14"/>
                <w:szCs w:val="14"/>
                <w:b w:val="1"/>
                <w:bCs w:val="1"/>
                <w:color w:val="auto"/>
              </w:rPr>
              <w:t>Equity</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40"/>
              <w:spacing w:after="0" w:line="13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 2010</w:t>
            </w:r>
          </w:p>
        </w:tc>
        <w:tc>
          <w:tcPr>
            <w:tcW w:w="3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25,441</w:t>
            </w: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2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$ 252,323</w:t>
            </w:r>
          </w:p>
        </w:tc>
        <w:tc>
          <w:tcPr>
            <w:tcW w:w="12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$ 334,641</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5,905</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593,124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w w:val="93"/>
              </w:rPr>
              <w:t>Employee stock purchase plan</w:t>
            </w:r>
          </w:p>
        </w:tc>
        <w:tc>
          <w:tcPr>
            <w:tcW w:w="1300" w:type="dxa"/>
            <w:vAlign w:val="bottom"/>
            <w:gridSpan w:val="2"/>
          </w:tcPr>
          <w:p>
            <w:pPr>
              <w:jc w:val="right"/>
              <w:ind w:right="195"/>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1,645</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1,645</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Exercise of stock options and</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related tax benefit</w:t>
            </w:r>
          </w:p>
        </w:tc>
        <w:tc>
          <w:tcPr>
            <w:tcW w:w="130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7,014</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7,016</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Shares repurchased</w:t>
            </w:r>
          </w:p>
        </w:tc>
        <w:tc>
          <w:tcPr>
            <w:tcW w:w="1300" w:type="dxa"/>
            <w:vAlign w:val="bottom"/>
            <w:gridSpan w:val="2"/>
          </w:tcPr>
          <w:p>
            <w:pPr>
              <w:jc w:val="right"/>
              <w:ind w:right="135"/>
              <w:spacing w:after="0"/>
              <w:rPr>
                <w:sz w:val="20"/>
                <w:szCs w:val="20"/>
                <w:color w:val="auto"/>
              </w:rPr>
            </w:pPr>
            <w:r>
              <w:rPr>
                <w:rFonts w:ascii="Arial" w:cs="Arial" w:eastAsia="Arial" w:hAnsi="Arial"/>
                <w:sz w:val="18"/>
                <w:szCs w:val="18"/>
                <w:color w:val="auto"/>
              </w:rPr>
              <w:t>(907)</w:t>
            </w:r>
          </w:p>
        </w:tc>
        <w:tc>
          <w:tcPr>
            <w:tcW w:w="4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(9,000)</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(40,991)</w:t>
            </w:r>
          </w:p>
        </w:tc>
        <w:tc>
          <w:tcPr>
            <w:tcW w:w="40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w w:val="90"/>
              </w:rPr>
              <w:t>Issuance of restricted stock, net</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cancellations</w:t>
            </w:r>
          </w:p>
        </w:tc>
        <w:tc>
          <w:tcPr>
            <w:tcW w:w="130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w w:val="97"/>
              </w:rPr>
              <w:t>Stock compensation expense</w:t>
            </w:r>
          </w:p>
        </w:tc>
        <w:tc>
          <w:tcPr>
            <w:tcW w:w="3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4,089</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4,089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39,257</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39,257</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tcPr>
          <w:p>
            <w:pPr>
              <w:ind w:left="180"/>
              <w:spacing w:after="0" w:line="200" w:lineRule="exact"/>
              <w:rPr>
                <w:sz w:val="20"/>
                <w:szCs w:val="20"/>
                <w:color w:val="auto"/>
              </w:rPr>
            </w:pPr>
            <w:r>
              <w:rPr>
                <w:rFonts w:ascii="Arial" w:cs="Arial" w:eastAsia="Arial" w:hAnsi="Arial"/>
                <w:sz w:val="18"/>
                <w:szCs w:val="18"/>
                <w:color w:val="auto"/>
              </w:rPr>
              <w:t>Net change in minimum</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pension liability</w:t>
            </w:r>
          </w:p>
        </w:tc>
        <w:tc>
          <w:tcPr>
            <w:tcW w:w="340" w:type="dxa"/>
            <w:vAlign w:val="bottom"/>
          </w:tcPr>
          <w:p>
            <w:pPr>
              <w:spacing w:after="0"/>
              <w:rPr>
                <w:sz w:val="19"/>
                <w:szCs w:val="19"/>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3,234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3,234</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tcPr>
          <w:p>
            <w:pPr>
              <w:ind w:left="180"/>
              <w:spacing w:after="0" w:line="200" w:lineRule="exact"/>
              <w:rPr>
                <w:sz w:val="20"/>
                <w:szCs w:val="20"/>
                <w:color w:val="auto"/>
              </w:rPr>
            </w:pPr>
            <w:r>
              <w:rPr>
                <w:rFonts w:ascii="Arial" w:cs="Arial" w:eastAsia="Arial" w:hAnsi="Arial"/>
                <w:sz w:val="18"/>
                <w:szCs w:val="18"/>
                <w:color w:val="auto"/>
                <w:w w:val="93"/>
              </w:rPr>
              <w:t>Unrealized loss on hedges, net</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of tax</w:t>
            </w:r>
          </w:p>
        </w:tc>
        <w:tc>
          <w:tcPr>
            <w:tcW w:w="340" w:type="dxa"/>
            <w:vAlign w:val="bottom"/>
          </w:tcPr>
          <w:p>
            <w:pPr>
              <w:spacing w:after="0"/>
              <w:rPr>
                <w:sz w:val="19"/>
                <w:szCs w:val="19"/>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(4,069)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Reclassification of hedge gain</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 earnings, net of tax</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2, 2010</w:t>
            </w:r>
          </w:p>
        </w:tc>
        <w:tc>
          <w:tcPr>
            <w:tcW w:w="3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24,747</w:t>
            </w: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12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$ 256,071</w:t>
            </w:r>
          </w:p>
        </w:tc>
        <w:tc>
          <w:tcPr>
            <w:tcW w:w="12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$ 332,907</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5,166</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594,392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60" w:type="dxa"/>
            <w:vAlign w:val="bottom"/>
            <w:tcBorders>
              <w:bottom w:val="single" w:sz="8" w:color="auto"/>
            </w:tcBorders>
            <w:gridSpan w:val="8"/>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400" w:type="dxa"/>
            <w:vAlign w:val="bottom"/>
            <w:gridSpan w:val="9"/>
          </w:tcPr>
          <w:p>
            <w:pPr>
              <w:jc w:val="right"/>
              <w:ind w:right="33"/>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15"/>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October 2,</w:t>
            </w:r>
          </w:p>
        </w:tc>
        <w:tc>
          <w:tcPr>
            <w:tcW w:w="88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6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39,257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36,123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24,690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sales of property, plant and equipment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Unrealized loss/(gain) from hedging activities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income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(1,894)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(Reversal)/accretion of interest expense on contingent consideration</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Decrease in accounts receivable, net</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 in inventories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Decrease in prepaid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other assets and other long-term liabilities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(3,727)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(22,143)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44,286</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61,479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(24,088)</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(32,880)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Acquisition of SEBRA</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(12,845)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Neoteric</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Acquisition of Medicell</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(23,826)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Net (decrease)/increase in short-term loans</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13,578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Share repurchase</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(50,000)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in)/provided by financing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(47,301)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(26,513)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141,562</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115,049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178,322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180"/>
              <w:spacing w:after="0"/>
              <w:rPr>
                <w:sz w:val="20"/>
                <w:szCs w:val="20"/>
                <w:color w:val="auto"/>
              </w:rPr>
            </w:pPr>
            <w:r>
              <w:rPr>
                <w:rFonts w:ascii="Arial" w:cs="Arial" w:eastAsia="Arial" w:hAnsi="Arial"/>
                <w:sz w:val="18"/>
                <w:szCs w:val="18"/>
                <w:color w:val="auto"/>
              </w:rPr>
              <w:t>Income taxes paid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100" w:type="dxa"/>
            <w:vAlign w:val="bottom"/>
          </w:tcPr>
          <w:p>
            <w:pPr>
              <w:spacing w:after="0" w:line="205"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5" w:lineRule="exact"/>
              <w:rPr>
                <w:sz w:val="20"/>
                <w:szCs w:val="20"/>
                <w:color w:val="auto"/>
              </w:rPr>
            </w:pPr>
            <w:r>
              <w:rPr>
                <w:rFonts w:ascii="Arial" w:cs="Arial" w:eastAsia="Arial" w:hAnsi="Arial"/>
                <w:sz w:val="18"/>
                <w:szCs w:val="18"/>
                <w:color w:val="auto"/>
              </w:rPr>
              <w:t>6,941</w:t>
            </w:r>
          </w:p>
        </w:tc>
        <w:tc>
          <w:tcPr>
            <w:tcW w:w="680" w:type="dxa"/>
            <w:vAlign w:val="bottom"/>
          </w:tcPr>
          <w:p>
            <w:pPr>
              <w:spacing w:after="0"/>
              <w:rPr>
                <w:sz w:val="17"/>
                <w:szCs w:val="17"/>
                <w:color w:val="auto"/>
              </w:rPr>
            </w:pPr>
          </w:p>
        </w:tc>
        <w:tc>
          <w:tcPr>
            <w:tcW w:w="20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six months ended October 2, 2010. During the second quarter of fiscal year 2011, we received new information related to our Global Med acquisition which we have considered and estimated the effect on the carrying amount of certain assets and liabilities acquired. These adjustments are reflected accordingly in our financial information for the fiscal year ended April 3, 2010 and are discussed further in Note 9. Operating results for the six month period ended October 2, 2010 are not necessarily indicative of the results that may be expected for the full fiscal year ending April 2, 2011, or any other interim period. These unaudited consolidated financial statements should be read in conjunction with our audited consolidated financial statements and footnotes included in our annual report on Form 10-K for the fiscal year ended April 3, 2010.</w:t>
      </w:r>
    </w:p>
    <w:p>
      <w:pPr>
        <w:spacing w:after="0" w:line="83"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There were no material recognized subsequent events recorded in the October 2, 2010 consolidated financial statements.</w:t>
      </w:r>
    </w:p>
    <w:p>
      <w:pPr>
        <w:spacing w:after="0" w:line="4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Our fiscal year ends on the Saturday closest to the last day of March. Fiscal year 2011 includes 52 weeks with all four quarters each having 13 weeks. Fiscal year 2010 included 53 weeks with each of the first three quarters having 13 weeks and the fourth quarter having 14 weeks.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Our revenue recognition policy is to recognize revenues from product sales, software and services in accordance with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and ASC Topic 985-605, </w:t>
      </w:r>
      <w:r>
        <w:rPr>
          <w:rFonts w:ascii="Arial" w:cs="Arial" w:eastAsia="Arial" w:hAnsi="Arial"/>
          <w:sz w:val="15"/>
          <w:szCs w:val="15"/>
          <w:i w:val="1"/>
          <w:iCs w:val="1"/>
          <w:color w:val="auto"/>
        </w:rPr>
        <w:t>Software</w:t>
      </w:r>
      <w:r>
        <w:rPr>
          <w:rFonts w:ascii="Arial" w:cs="Arial" w:eastAsia="Arial" w:hAnsi="Arial"/>
          <w:sz w:val="15"/>
          <w:szCs w:val="15"/>
          <w:color w:val="auto"/>
        </w:rPr>
        <w:t>.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vendor specific objective evidenced under ASC Topic 985-605 or other objective evidence as defined in ASC Topic 605.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Revenues</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Our software solutions include software products and support for our plasma, blood bank, and hospital customers. For our blood bank customers, these products span blood center operations and automate and track operations from the recruitment of the blood donor to the disposition of the blood product. For plasma customers, we also provide information technology platforms for managing distribution of plasma from collection centers to plasma fractionation facilities. We offer products to our hospital customers that manage blood product inventory and support patient cross matching and transfusion management. We also offer an analytical tool that monitors and measures a hospital’s blood management practices. Software solution product offerings are sold both as a subscription, where license revenues are generally billed periodically, monthly, or quarterly, and recognized ratably over the term of the subscription, and as a perpetual license, which are billed up front. We recognize revenue from the sale of perpetual licenses when delivered, provided all other revenue recognition criteria are met and we have vendor specific objective evidence of fair value for undelivered elements sold with the license. Additionally, for certain software solutions products, we provide customized implementation services to our customer. For these arrangements, we recognize revenue on a percentage-of-completion basis.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In October 2009, the FASB issued Accounting Standards Update No.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an amendment to FASB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and Update No. 2009-14, </w:t>
      </w:r>
      <w:r>
        <w:rPr>
          <w:rFonts w:ascii="Arial" w:cs="Arial" w:eastAsia="Arial" w:hAnsi="Arial"/>
          <w:sz w:val="15"/>
          <w:szCs w:val="15"/>
          <w:i w:val="1"/>
          <w:iCs w:val="1"/>
          <w:color w:val="auto"/>
        </w:rPr>
        <w:t>Certain Revenue Arrangements That Include Software Elements</w:t>
      </w:r>
      <w:r>
        <w:rPr>
          <w:rFonts w:ascii="Arial" w:cs="Arial" w:eastAsia="Arial" w:hAnsi="Arial"/>
          <w:sz w:val="15"/>
          <w:szCs w:val="15"/>
          <w:color w:val="auto"/>
        </w:rPr>
        <w:t xml:space="preserve">, an amendment to FASB ASC subtopic 985-605, </w:t>
      </w:r>
      <w:r>
        <w:rPr>
          <w:rFonts w:ascii="Arial" w:cs="Arial" w:eastAsia="Arial" w:hAnsi="Arial"/>
          <w:sz w:val="15"/>
          <w:szCs w:val="15"/>
          <w:i w:val="1"/>
          <w:iCs w:val="1"/>
          <w:color w:val="auto"/>
        </w:rPr>
        <w:t>Software — Revenue Recognition</w:t>
      </w:r>
      <w:r>
        <w:rPr>
          <w:rFonts w:ascii="Arial" w:cs="Arial" w:eastAsia="Arial" w:hAnsi="Arial"/>
          <w:sz w:val="15"/>
          <w:szCs w:val="15"/>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will adopt the guidance on April 3, 2011, the first day of fiscal year 2012, and is currently assessing the possible impact of this guidance on its financial position and results of operations.</w:t>
      </w:r>
    </w:p>
    <w:p>
      <w:pPr>
        <w:spacing w:after="0" w:line="52"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 xml:space="preserve">In December 2009, the FASB issued Accounting Standards Update No. 2009-17, </w:t>
      </w:r>
      <w:r>
        <w:rPr>
          <w:rFonts w:ascii="Arial" w:cs="Arial" w:eastAsia="Arial" w:hAnsi="Arial"/>
          <w:sz w:val="15"/>
          <w:szCs w:val="15"/>
          <w:i w:val="1"/>
          <w:iCs w:val="1"/>
          <w:color w:val="auto"/>
        </w:rPr>
        <w:t>Improvements to Financial Reporting by Enterprises Involved with Variable</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 Entities</w:t>
      </w:r>
      <w:r>
        <w:rPr>
          <w:rFonts w:ascii="Arial" w:cs="Arial" w:eastAsia="Arial" w:hAnsi="Arial"/>
          <w:sz w:val="15"/>
          <w:szCs w:val="15"/>
          <w:color w:val="auto"/>
        </w:rPr>
        <w:t>, an amendment to FASB ASC Topic 810,</w:t>
      </w:r>
      <w:r>
        <w:rPr>
          <w:rFonts w:ascii="Arial" w:cs="Arial" w:eastAsia="Arial" w:hAnsi="Arial"/>
          <w:sz w:val="15"/>
          <w:szCs w:val="15"/>
          <w:i w:val="1"/>
          <w:iCs w:val="1"/>
          <w:color w:val="auto"/>
        </w:rPr>
        <w:t xml:space="preserve"> Consolidations</w:t>
      </w:r>
      <w:r>
        <w:rPr>
          <w:rFonts w:ascii="Arial" w:cs="Arial" w:eastAsia="Arial" w:hAnsi="Arial"/>
          <w:sz w:val="15"/>
          <w:szCs w:val="15"/>
          <w:color w:val="auto"/>
        </w:rPr>
        <w:t>. ASU No. 2009-17 requires an enterprise to perform an analysis to determine whether</w:t>
      </w:r>
      <w:r>
        <w:rPr>
          <w:rFonts w:ascii="Arial" w:cs="Arial" w:eastAsia="Arial" w:hAnsi="Arial"/>
          <w:sz w:val="15"/>
          <w:szCs w:val="15"/>
          <w:i w:val="1"/>
          <w:iCs w:val="1"/>
          <w:color w:val="auto"/>
        </w:rPr>
        <w:t xml:space="preserve"> </w:t>
      </w:r>
      <w:r>
        <w:rPr>
          <w:rFonts w:ascii="Arial" w:cs="Arial" w:eastAsia="Arial" w:hAnsi="Arial"/>
          <w:sz w:val="15"/>
          <w:szCs w:val="15"/>
          <w:color w:val="auto"/>
        </w:rPr>
        <w:t>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The update became effective for our fiscal year 2011 and there was no impact to our consolidated financial statements for the first six months ended October 2, 2010.</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17" w:lineRule="exact"/>
        <w:rPr>
          <w:sz w:val="20"/>
          <w:szCs w:val="20"/>
          <w:color w:val="auto"/>
        </w:rPr>
      </w:pPr>
    </w:p>
    <w:p>
      <w:pPr>
        <w:ind w:right="620"/>
        <w:spacing w:after="0" w:line="366" w:lineRule="auto"/>
        <w:rPr>
          <w:sz w:val="20"/>
          <w:szCs w:val="20"/>
          <w:color w:val="auto"/>
        </w:rPr>
      </w:pPr>
      <w:r>
        <w:rPr>
          <w:rFonts w:ascii="Arial" w:cs="Arial" w:eastAsia="Arial" w:hAnsi="Arial"/>
          <w:sz w:val="15"/>
          <w:szCs w:val="15"/>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left="275"/>
              <w:spacing w:after="0"/>
              <w:rPr>
                <w:sz w:val="20"/>
                <w:szCs w:val="20"/>
                <w:color w:val="auto"/>
              </w:rPr>
            </w:pPr>
            <w:r>
              <w:rPr>
                <w:rFonts w:ascii="Arial" w:cs="Arial" w:eastAsia="Arial" w:hAnsi="Arial"/>
                <w:sz w:val="14"/>
                <w:szCs w:val="14"/>
                <w:color w:val="auto"/>
                <w:w w:val="91"/>
              </w:rPr>
              <w:t>For the 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940" w:type="dxa"/>
            <w:vAlign w:val="bottom"/>
            <w:gridSpan w:val="4"/>
          </w:tcPr>
          <w:p>
            <w:pPr>
              <w:spacing w:after="0" w:line="139" w:lineRule="exact"/>
              <w:rPr>
                <w:sz w:val="20"/>
                <w:szCs w:val="20"/>
                <w:color w:val="auto"/>
              </w:rPr>
            </w:pPr>
            <w:r>
              <w:rPr>
                <w:rFonts w:ascii="Arial" w:cs="Arial" w:eastAsia="Arial" w:hAnsi="Arial"/>
                <w:sz w:val="14"/>
                <w:szCs w:val="14"/>
                <w:color w:val="auto"/>
                <w:w w:val="91"/>
              </w:rPr>
              <w:t>October 2, 2010</w:t>
            </w:r>
          </w:p>
        </w:tc>
        <w:tc>
          <w:tcPr>
            <w:tcW w:w="1840" w:type="dxa"/>
            <w:vAlign w:val="bottom"/>
            <w:gridSpan w:val="3"/>
          </w:tcPr>
          <w:p>
            <w:pPr>
              <w:ind w:left="70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80"/>
              <w:spacing w:after="0" w:line="139" w:lineRule="exact"/>
              <w:rPr>
                <w:sz w:val="20"/>
                <w:szCs w:val="20"/>
                <w:color w:val="auto"/>
              </w:rPr>
            </w:pPr>
            <w:r>
              <w:rPr>
                <w:rFonts w:ascii="Arial" w:cs="Arial" w:eastAsia="Arial" w:hAnsi="Arial"/>
                <w:sz w:val="14"/>
                <w:szCs w:val="14"/>
                <w:color w:val="auto"/>
                <w:w w:val="77"/>
              </w:rPr>
              <w:t>(in thousands,</w:t>
            </w:r>
          </w:p>
        </w:tc>
        <w:tc>
          <w:tcPr>
            <w:tcW w:w="700" w:type="dxa"/>
            <w:vAlign w:val="bottom"/>
          </w:tcPr>
          <w:p>
            <w:pPr>
              <w:ind w:left="120"/>
              <w:spacing w:after="0" w:line="139" w:lineRule="exact"/>
              <w:rPr>
                <w:sz w:val="20"/>
                <w:szCs w:val="20"/>
                <w:color w:val="auto"/>
              </w:rPr>
            </w:pPr>
            <w:r>
              <w:rPr>
                <w:rFonts w:ascii="Arial" w:cs="Arial" w:eastAsia="Arial" w:hAnsi="Arial"/>
                <w:sz w:val="14"/>
                <w:szCs w:val="14"/>
                <w:color w:val="auto"/>
                <w:w w:val="85"/>
              </w:rPr>
              <w:t>except per</w:t>
            </w:r>
          </w:p>
        </w:tc>
        <w:tc>
          <w:tcPr>
            <w:tcW w:w="1140" w:type="dxa"/>
            <w:vAlign w:val="bottom"/>
            <w:tcBorders>
              <w:top w:val="single" w:sz="8" w:color="auto"/>
            </w:tcBorders>
            <w:gridSpan w:val="2"/>
          </w:tcPr>
          <w:p>
            <w:pPr>
              <w:jc w:val="right"/>
              <w:ind w:right="152"/>
              <w:spacing w:after="0" w:line="139" w:lineRule="exact"/>
              <w:rPr>
                <w:sz w:val="20"/>
                <w:szCs w:val="20"/>
                <w:color w:val="auto"/>
              </w:rPr>
            </w:pPr>
            <w:r>
              <w:rPr>
                <w:rFonts w:ascii="Arial" w:cs="Arial" w:eastAsia="Arial" w:hAnsi="Arial"/>
                <w:sz w:val="14"/>
                <w:szCs w:val="14"/>
                <w:color w:val="auto"/>
                <w:w w:val="90"/>
              </w:rPr>
              <w:t>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21,338</w:t>
            </w:r>
          </w:p>
        </w:tc>
        <w:tc>
          <w:tcPr>
            <w:tcW w:w="20" w:type="dxa"/>
            <w:vAlign w:val="bottom"/>
          </w:tcPr>
          <w:p>
            <w:pPr>
              <w:spacing w:after="0"/>
              <w:rPr>
                <w:sz w:val="19"/>
                <w:szCs w:val="19"/>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18,050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21,338</w:t>
            </w:r>
          </w:p>
        </w:tc>
        <w:tc>
          <w:tcPr>
            <w:tcW w:w="20" w:type="dxa"/>
            <w:vAlign w:val="bottom"/>
          </w:tcPr>
          <w:p>
            <w:pPr>
              <w:spacing w:after="0"/>
              <w:rPr>
                <w:sz w:val="19"/>
                <w:szCs w:val="19"/>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18,050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24,686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25,685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25,228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26,321</w:t>
            </w:r>
          </w:p>
        </w:tc>
        <w:tc>
          <w:tcPr>
            <w:tcW w:w="0" w:type="dxa"/>
            <w:vAlign w:val="bottom"/>
          </w:tcPr>
          <w:p>
            <w:pPr>
              <w:spacing w:after="0"/>
              <w:rPr>
                <w:sz w:val="1"/>
                <w:szCs w:val="1"/>
                <w:color w:val="auto"/>
              </w:rPr>
            </w:pPr>
          </w:p>
        </w:tc>
      </w:tr>
      <w:tr>
        <w:trPr>
          <w:trHeight w:val="424"/>
        </w:trPr>
        <w:tc>
          <w:tcPr>
            <w:tcW w:w="854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left="275"/>
              <w:spacing w:after="0"/>
              <w:rPr>
                <w:sz w:val="20"/>
                <w:szCs w:val="20"/>
                <w:color w:val="auto"/>
              </w:rPr>
            </w:pPr>
            <w:r>
              <w:rPr>
                <w:rFonts w:ascii="Arial" w:cs="Arial" w:eastAsia="Arial" w:hAnsi="Arial"/>
                <w:sz w:val="14"/>
                <w:szCs w:val="14"/>
                <w:color w:val="auto"/>
                <w:w w:val="91"/>
              </w:rPr>
              <w:t>For the Six Months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940" w:type="dxa"/>
            <w:vAlign w:val="bottom"/>
            <w:gridSpan w:val="4"/>
          </w:tcPr>
          <w:p>
            <w:pPr>
              <w:spacing w:after="0" w:line="139" w:lineRule="exact"/>
              <w:rPr>
                <w:sz w:val="20"/>
                <w:szCs w:val="20"/>
                <w:color w:val="auto"/>
              </w:rPr>
            </w:pPr>
            <w:r>
              <w:rPr>
                <w:rFonts w:ascii="Arial" w:cs="Arial" w:eastAsia="Arial" w:hAnsi="Arial"/>
                <w:sz w:val="14"/>
                <w:szCs w:val="14"/>
                <w:color w:val="auto"/>
                <w:w w:val="91"/>
              </w:rPr>
              <w:t>October 2, 2010</w:t>
            </w:r>
          </w:p>
        </w:tc>
        <w:tc>
          <w:tcPr>
            <w:tcW w:w="1840" w:type="dxa"/>
            <w:vAlign w:val="bottom"/>
            <w:gridSpan w:val="3"/>
          </w:tcPr>
          <w:p>
            <w:pPr>
              <w:ind w:left="70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80"/>
              <w:spacing w:after="0" w:line="139" w:lineRule="exact"/>
              <w:rPr>
                <w:sz w:val="20"/>
                <w:szCs w:val="20"/>
                <w:color w:val="auto"/>
              </w:rPr>
            </w:pPr>
            <w:r>
              <w:rPr>
                <w:rFonts w:ascii="Arial" w:cs="Arial" w:eastAsia="Arial" w:hAnsi="Arial"/>
                <w:sz w:val="14"/>
                <w:szCs w:val="14"/>
                <w:color w:val="auto"/>
                <w:w w:val="77"/>
              </w:rPr>
              <w:t>(in thousands,</w:t>
            </w:r>
          </w:p>
        </w:tc>
        <w:tc>
          <w:tcPr>
            <w:tcW w:w="700" w:type="dxa"/>
            <w:vAlign w:val="bottom"/>
          </w:tcPr>
          <w:p>
            <w:pPr>
              <w:ind w:left="120"/>
              <w:spacing w:after="0" w:line="139" w:lineRule="exact"/>
              <w:rPr>
                <w:sz w:val="20"/>
                <w:szCs w:val="20"/>
                <w:color w:val="auto"/>
              </w:rPr>
            </w:pPr>
            <w:r>
              <w:rPr>
                <w:rFonts w:ascii="Arial" w:cs="Arial" w:eastAsia="Arial" w:hAnsi="Arial"/>
                <w:sz w:val="14"/>
                <w:szCs w:val="14"/>
                <w:color w:val="auto"/>
                <w:w w:val="85"/>
              </w:rPr>
              <w:t>except per</w:t>
            </w:r>
          </w:p>
        </w:tc>
        <w:tc>
          <w:tcPr>
            <w:tcW w:w="1140" w:type="dxa"/>
            <w:vAlign w:val="bottom"/>
            <w:tcBorders>
              <w:top w:val="single" w:sz="8" w:color="auto"/>
            </w:tcBorders>
            <w:gridSpan w:val="2"/>
          </w:tcPr>
          <w:p>
            <w:pPr>
              <w:jc w:val="right"/>
              <w:ind w:right="152"/>
              <w:spacing w:after="0" w:line="139" w:lineRule="exact"/>
              <w:rPr>
                <w:sz w:val="20"/>
                <w:szCs w:val="20"/>
                <w:color w:val="auto"/>
              </w:rPr>
            </w:pPr>
            <w:r>
              <w:rPr>
                <w:rFonts w:ascii="Arial" w:cs="Arial" w:eastAsia="Arial" w:hAnsi="Arial"/>
                <w:sz w:val="14"/>
                <w:szCs w:val="14"/>
                <w:color w:val="auto"/>
                <w:w w:val="90"/>
              </w:rPr>
              <w:t>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39,257</w:t>
            </w:r>
          </w:p>
        </w:tc>
        <w:tc>
          <w:tcPr>
            <w:tcW w:w="20" w:type="dxa"/>
            <w:vAlign w:val="bottom"/>
          </w:tcPr>
          <w:p>
            <w:pPr>
              <w:spacing w:after="0"/>
              <w:rPr>
                <w:sz w:val="19"/>
                <w:szCs w:val="19"/>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36,123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39,257</w:t>
            </w:r>
          </w:p>
        </w:tc>
        <w:tc>
          <w:tcPr>
            <w:tcW w:w="20" w:type="dxa"/>
            <w:vAlign w:val="bottom"/>
          </w:tcPr>
          <w:p>
            <w:pPr>
              <w:spacing w:after="0"/>
              <w:rPr>
                <w:sz w:val="19"/>
                <w:szCs w:val="19"/>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36,123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24,913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25,671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26,273</w:t>
            </w:r>
          </w:p>
        </w:tc>
        <w:tc>
          <w:tcPr>
            <w:tcW w:w="0" w:type="dxa"/>
            <w:vAlign w:val="bottom"/>
          </w:tcPr>
          <w:p>
            <w:pPr>
              <w:spacing w:after="0"/>
              <w:rPr>
                <w:sz w:val="1"/>
                <w:szCs w:val="1"/>
                <w:color w:val="auto"/>
              </w:rPr>
            </w:pPr>
          </w:p>
        </w:tc>
      </w:tr>
      <w:tr>
        <w:trPr>
          <w:trHeight w:val="424"/>
        </w:trPr>
        <w:tc>
          <w:tcPr>
            <w:tcW w:w="854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4"/>
                <w:szCs w:val="24"/>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Weighted average shares outstanding, assuming dilution, excludes the impact of 1.1 million stock options for both the second quarter and the first six months of fiscal year 2011 and 0.8 million stock options for both the second quarter and the first six months of fiscal year 2010 because these securities were anti-dilutive during the noted periods.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Stock-based compensation expense of $4.1 million and $5.0 million was recognized for the six months ended October 2, 2010 and September 26, 2009, respectively. The related income tax benefit recognized was $1.3 million and $1.5 million for the six months ended October 2, 2010 and September 26, 2009, respectively. We recognize stock-based compensation on a straight line basis.</w:t>
      </w:r>
    </w:p>
    <w:p>
      <w:pPr>
        <w:spacing w:after="0" w:line="8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a more detailed description of our stock-based compensation plans, see Note 11—Capital Stock to the Company’s consolidated financial statements included in our Annual Report on Form 10-K for the year ended April 3, 2010. Our stock-based compensation plans currently consist of stock options, restricted stock awards, restricted stock units and an employee stock purchase plan. Options become exercisable in the manner specified by the Compensation Committee of our Board of Directors. All options, restricted stock awards, and restricted stock units granted to employees in the six months ended October 2, 2010 vest over a four year period of time and the options expire not more than 7 years from the date of grant, except for options granted to two employees which vest over a five year period.</w:t>
      </w:r>
    </w:p>
    <w:p>
      <w:pPr>
        <w:spacing w:after="0" w:line="90"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Cash flows relating to the benefits of tax deductions in excess of compensation cost recognized are reported as a financing cash flow, rather than as an operating cash flow. This excess tax benefit was $0.6 million and $0.2 million for the three months ended October 2, 2010 and September 26, 2009, respectively.</w:t>
      </w:r>
    </w:p>
    <w:p>
      <w:pPr>
        <w:spacing w:after="0" w:line="4" w:lineRule="exact"/>
        <w:rPr>
          <w:sz w:val="20"/>
          <w:szCs w:val="20"/>
          <w:color w:val="auto"/>
        </w:rPr>
      </w:pPr>
    </w:p>
    <w:p>
      <w:pPr>
        <w:ind w:right="860"/>
        <w:spacing w:after="0" w:line="265" w:lineRule="auto"/>
        <w:rPr>
          <w:sz w:val="20"/>
          <w:szCs w:val="20"/>
          <w:color w:val="auto"/>
        </w:rPr>
      </w:pPr>
      <w:r>
        <w:rPr>
          <w:rFonts w:ascii="Arial" w:cs="Arial" w:eastAsia="Arial" w:hAnsi="Arial"/>
          <w:sz w:val="18"/>
          <w:szCs w:val="18"/>
          <w:color w:val="auto"/>
        </w:rPr>
        <w:t>The weighted average fair value for our options granted in the first six months of fiscal year 2011 and 2010 was $16.89 and $17.54, respectively. The assumptions utilized for estimating the fair value of option grants during the periods presented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8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929"/>
              <w:spacing w:after="0"/>
              <w:rPr>
                <w:sz w:val="20"/>
                <w:szCs w:val="20"/>
                <w:color w:val="auto"/>
              </w:rPr>
            </w:pPr>
            <w:r>
              <w:rPr>
                <w:rFonts w:ascii="Arial" w:cs="Arial" w:eastAsia="Arial" w:hAnsi="Arial"/>
                <w:sz w:val="14"/>
                <w:szCs w:val="14"/>
                <w:color w:val="auto"/>
              </w:rPr>
              <w:t>Six Months Ended</w:t>
            </w:r>
          </w:p>
        </w:tc>
      </w:tr>
      <w:tr>
        <w:trPr>
          <w:trHeight w:val="139"/>
        </w:trPr>
        <w:tc>
          <w:tcPr>
            <w:tcW w:w="8380" w:type="dxa"/>
            <w:vAlign w:val="bottom"/>
          </w:tcPr>
          <w:p>
            <w:pPr>
              <w:spacing w:after="0"/>
              <w:rPr>
                <w:sz w:val="12"/>
                <w:szCs w:val="12"/>
                <w:color w:val="auto"/>
              </w:rPr>
            </w:pPr>
          </w:p>
        </w:tc>
        <w:tc>
          <w:tcPr>
            <w:tcW w:w="1180" w:type="dxa"/>
            <w:vAlign w:val="bottom"/>
            <w:tcBorders>
              <w:bottom w:val="single" w:sz="8" w:color="auto"/>
            </w:tcBorders>
          </w:tcPr>
          <w:p>
            <w:pPr>
              <w:jc w:val="right"/>
              <w:ind w:right="58"/>
              <w:spacing w:after="0" w:line="139" w:lineRule="exact"/>
              <w:rPr>
                <w:sz w:val="20"/>
                <w:szCs w:val="20"/>
                <w:color w:val="auto"/>
              </w:rPr>
            </w:pPr>
            <w:r>
              <w:rPr>
                <w:rFonts w:ascii="Arial" w:cs="Arial" w:eastAsia="Arial" w:hAnsi="Arial"/>
                <w:sz w:val="14"/>
                <w:szCs w:val="14"/>
                <w:color w:val="auto"/>
              </w:rPr>
              <w:t>October 2, 2010</w:t>
            </w:r>
          </w:p>
        </w:tc>
        <w:tc>
          <w:tcPr>
            <w:tcW w:w="500" w:type="dxa"/>
            <w:vAlign w:val="bottom"/>
          </w:tcPr>
          <w:p>
            <w:pPr>
              <w:spacing w:after="0"/>
              <w:rPr>
                <w:sz w:val="12"/>
                <w:szCs w:val="12"/>
                <w:color w:val="auto"/>
              </w:rPr>
            </w:pPr>
          </w:p>
        </w:tc>
        <w:tc>
          <w:tcPr>
            <w:tcW w:w="136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w w:val="97"/>
              </w:rPr>
              <w:t>September 26, 2009</w:t>
            </w:r>
          </w:p>
        </w:tc>
      </w:tr>
      <w:tr>
        <w:trPr>
          <w:trHeight w:val="205"/>
        </w:trPr>
        <w:tc>
          <w:tcPr>
            <w:tcW w:w="8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Stock Options Black-Scholes assumptions (weighted average):</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2"/>
        </w:trPr>
        <w:tc>
          <w:tcPr>
            <w:tcW w:w="8380" w:type="dxa"/>
            <w:vAlign w:val="bottom"/>
          </w:tcPr>
          <w:p>
            <w:pPr>
              <w:ind w:left="200"/>
              <w:spacing w:after="0"/>
              <w:rPr>
                <w:sz w:val="20"/>
                <w:szCs w:val="20"/>
                <w:color w:val="auto"/>
              </w:rPr>
            </w:pPr>
            <w:r>
              <w:rPr>
                <w:rFonts w:ascii="Arial" w:cs="Arial" w:eastAsia="Arial" w:hAnsi="Arial"/>
                <w:sz w:val="18"/>
                <w:szCs w:val="18"/>
                <w:color w:val="auto"/>
              </w:rPr>
              <w:t>Volatility</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28.33%</w:t>
            </w:r>
          </w:p>
        </w:tc>
        <w:tc>
          <w:tcPr>
            <w:tcW w:w="1860" w:type="dxa"/>
            <w:vAlign w:val="bottom"/>
            <w:gridSpan w:val="2"/>
          </w:tcPr>
          <w:p>
            <w:pPr>
              <w:jc w:val="right"/>
              <w:ind w:right="249"/>
              <w:spacing w:after="0"/>
              <w:rPr>
                <w:sz w:val="20"/>
                <w:szCs w:val="20"/>
                <w:color w:val="auto"/>
              </w:rPr>
            </w:pPr>
            <w:r>
              <w:rPr>
                <w:rFonts w:ascii="Arial" w:cs="Arial" w:eastAsia="Arial" w:hAnsi="Arial"/>
                <w:sz w:val="18"/>
                <w:szCs w:val="18"/>
                <w:color w:val="auto"/>
              </w:rPr>
              <w:t>28.29%</w:t>
            </w:r>
          </w:p>
        </w:tc>
      </w:tr>
      <w:tr>
        <w:trPr>
          <w:trHeight w:val="212"/>
        </w:trPr>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4.9</w:t>
            </w:r>
          </w:p>
        </w:tc>
        <w:tc>
          <w:tcPr>
            <w:tcW w:w="186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4.9</w:t>
            </w:r>
          </w:p>
        </w:tc>
      </w:tr>
      <w:tr>
        <w:trPr>
          <w:trHeight w:val="212"/>
        </w:trPr>
        <w:tc>
          <w:tcPr>
            <w:tcW w:w="838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2.43%</w:t>
            </w:r>
          </w:p>
        </w:tc>
        <w:tc>
          <w:tcPr>
            <w:tcW w:w="1860" w:type="dxa"/>
            <w:vAlign w:val="bottom"/>
            <w:gridSpan w:val="2"/>
          </w:tcPr>
          <w:p>
            <w:pPr>
              <w:jc w:val="right"/>
              <w:ind w:right="249"/>
              <w:spacing w:after="0"/>
              <w:rPr>
                <w:sz w:val="20"/>
                <w:szCs w:val="20"/>
                <w:color w:val="auto"/>
              </w:rPr>
            </w:pPr>
            <w:r>
              <w:rPr>
                <w:rFonts w:ascii="Arial" w:cs="Arial" w:eastAsia="Arial" w:hAnsi="Arial"/>
                <w:sz w:val="18"/>
                <w:szCs w:val="18"/>
                <w:color w:val="auto"/>
              </w:rPr>
              <w:t>2.71%</w:t>
            </w:r>
          </w:p>
        </w:tc>
      </w:tr>
      <w:tr>
        <w:trPr>
          <w:trHeight w:val="212"/>
        </w:trPr>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0.00%</w:t>
            </w:r>
          </w:p>
        </w:tc>
        <w:tc>
          <w:tcPr>
            <w:tcW w:w="18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of October 2, 2010 and September 26, 2009, there was less than $0.1 million and $0.2 million, respectively, of total unrecognized compensation cost related to non vested restricted stock awards. That cost is expected to be recognized over a weighted average period of 0.6 years and 1.6 years, respectively. The total fair value of restricted stock awards vested was $0.1 million and less than $0.1 million for the six months ended October 2, 2010 and September 26, 2009, respectively.</w:t>
      </w:r>
    </w:p>
    <w:p>
      <w:pPr>
        <w:spacing w:after="0" w:line="8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As of October 2, 2010 and September 26, 2009, there was $3.6 million of total unrecognized compensation cost related to non vested restricted stock units. That cost is expected to be recognized over a weighted average period of 2.2 years and 2.3 years, respectively. The total fair value of shares fully vested was $0.2 million for the six months ended October 2, 2010 and for the same period ended September 26, 2009.</w:t>
      </w:r>
    </w:p>
    <w:p>
      <w:pPr>
        <w:spacing w:after="0" w:line="6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As of October 2, 2010 and September 26, 2009, there was less than $0.1 million of total unrecognized compensation expense, net of estimated forfeitures, related to the Employee Stock Purchase Plan (“ESPP”) shares. That cost is recognized over the remaining purchase period.</w:t>
      </w:r>
    </w:p>
    <w:p>
      <w:pPr>
        <w:spacing w:after="0" w:line="73"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During the six months ended October 2, 2010 and September 26, 2009, there were 35,992 and 33,183 shares, respectively, purchased under the ESPP. They were purchased at $45.70 and $43.89 per share, respectively, under the ESPP.</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Shipping and handling costs are included in cost of goods sold with the exception of $2.3 million and $4.6 million for the second quarter and six months ended October 2, 2010, respectively, and $2.9 million and $5.9 million for the same periods ended September 26, 2009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1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75"/>
              <w:spacing w:after="0"/>
              <w:rPr>
                <w:sz w:val="20"/>
                <w:szCs w:val="20"/>
                <w:color w:val="auto"/>
              </w:rPr>
            </w:pPr>
            <w:r>
              <w:rPr>
                <w:rFonts w:ascii="Arial" w:cs="Arial" w:eastAsia="Arial" w:hAnsi="Arial"/>
                <w:sz w:val="14"/>
                <w:szCs w:val="14"/>
                <w:b w:val="1"/>
                <w:bCs w:val="1"/>
                <w:color w:val="auto"/>
                <w:w w:val="90"/>
              </w:rPr>
              <w:t>For the 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60" w:type="dxa"/>
            <w:vAlign w:val="bottom"/>
            <w:tcBorders>
              <w:bottom w:val="single" w:sz="8" w:color="auto"/>
            </w:tcBorders>
            <w:gridSpan w:val="4"/>
          </w:tcPr>
          <w:p>
            <w:pPr>
              <w:spacing w:after="0" w:line="139" w:lineRule="exact"/>
              <w:rPr>
                <w:sz w:val="20"/>
                <w:szCs w:val="20"/>
                <w:color w:val="auto"/>
              </w:rPr>
            </w:pPr>
            <w:r>
              <w:rPr>
                <w:rFonts w:ascii="Arial" w:cs="Arial" w:eastAsia="Arial" w:hAnsi="Arial"/>
                <w:sz w:val="14"/>
                <w:szCs w:val="14"/>
                <w:color w:val="auto"/>
              </w:rPr>
              <w:t>October 2, 2010</w:t>
            </w:r>
          </w:p>
        </w:tc>
        <w:tc>
          <w:tcPr>
            <w:tcW w:w="1420" w:type="dxa"/>
            <w:vAlign w:val="bottom"/>
            <w:tcBorders>
              <w:bottom w:val="single" w:sz="8" w:color="auto"/>
            </w:tcBorders>
            <w:gridSpan w:val="3"/>
          </w:tcPr>
          <w:p>
            <w:pPr>
              <w:ind w:left="28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460"/>
              <w:spacing w:after="0" w:line="139" w:lineRule="exact"/>
              <w:rPr>
                <w:sz w:val="20"/>
                <w:szCs w:val="20"/>
                <w:color w:val="auto"/>
              </w:rPr>
            </w:pPr>
            <w:r>
              <w:rPr>
                <w:rFonts w:ascii="Arial" w:cs="Arial" w:eastAsia="Arial" w:hAnsi="Arial"/>
                <w:sz w:val="14"/>
                <w:szCs w:val="14"/>
                <w:color w:val="auto"/>
                <w:w w:val="90"/>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436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1,875</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color w:val="auto"/>
              </w:rPr>
              <w:t>Warranty provision</w:t>
            </w: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9"/>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Warranty accrual as of the end of the period</w:t>
            </w:r>
          </w:p>
        </w:tc>
        <w:tc>
          <w:tcPr>
            <w:tcW w:w="4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80" w:type="dxa"/>
            <w:vAlign w:val="bottom"/>
            <w:vMerge w:val="continue"/>
          </w:tcPr>
          <w:p>
            <w:pPr>
              <w:spacing w:after="0"/>
              <w:rPr>
                <w:sz w:val="18"/>
                <w:szCs w:val="18"/>
                <w:color w:val="auto"/>
              </w:rPr>
            </w:pPr>
          </w:p>
        </w:tc>
        <w:tc>
          <w:tcPr>
            <w:tcW w:w="4360" w:type="dxa"/>
            <w:vAlign w:val="bottom"/>
            <w:gridSpan w:val="2"/>
          </w:tcPr>
          <w:p>
            <w:pPr>
              <w:ind w:left="40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left="75"/>
              <w:spacing w:after="0"/>
              <w:rPr>
                <w:sz w:val="20"/>
                <w:szCs w:val="20"/>
                <w:color w:val="auto"/>
              </w:rPr>
            </w:pPr>
            <w:r>
              <w:rPr>
                <w:rFonts w:ascii="Arial" w:cs="Arial" w:eastAsia="Arial" w:hAnsi="Arial"/>
                <w:sz w:val="14"/>
                <w:szCs w:val="14"/>
                <w:b w:val="1"/>
                <w:bCs w:val="1"/>
                <w:color w:val="auto"/>
                <w:w w:val="89"/>
              </w:rPr>
              <w:t>For the six months ended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60" w:type="dxa"/>
            <w:vAlign w:val="bottom"/>
            <w:tcBorders>
              <w:bottom w:val="single" w:sz="8" w:color="auto"/>
            </w:tcBorders>
            <w:gridSpan w:val="4"/>
          </w:tcPr>
          <w:p>
            <w:pPr>
              <w:spacing w:after="0" w:line="139" w:lineRule="exact"/>
              <w:rPr>
                <w:sz w:val="20"/>
                <w:szCs w:val="20"/>
                <w:color w:val="auto"/>
              </w:rPr>
            </w:pPr>
            <w:r>
              <w:rPr>
                <w:rFonts w:ascii="Arial" w:cs="Arial" w:eastAsia="Arial" w:hAnsi="Arial"/>
                <w:sz w:val="14"/>
                <w:szCs w:val="14"/>
                <w:color w:val="auto"/>
              </w:rPr>
              <w:t>October 2, 2010</w:t>
            </w:r>
          </w:p>
        </w:tc>
        <w:tc>
          <w:tcPr>
            <w:tcW w:w="1420" w:type="dxa"/>
            <w:vAlign w:val="bottom"/>
            <w:tcBorders>
              <w:bottom w:val="single" w:sz="8" w:color="auto"/>
            </w:tcBorders>
            <w:gridSpan w:val="3"/>
          </w:tcPr>
          <w:p>
            <w:pPr>
              <w:ind w:left="28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460"/>
              <w:spacing w:after="0" w:line="139" w:lineRule="exact"/>
              <w:rPr>
                <w:sz w:val="20"/>
                <w:szCs w:val="20"/>
                <w:color w:val="auto"/>
              </w:rPr>
            </w:pPr>
            <w:r>
              <w:rPr>
                <w:rFonts w:ascii="Arial" w:cs="Arial" w:eastAsia="Arial" w:hAnsi="Arial"/>
                <w:sz w:val="14"/>
                <w:szCs w:val="14"/>
                <w:color w:val="auto"/>
                <w:w w:val="90"/>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436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1,835</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color w:val="auto"/>
              </w:rPr>
              <w:t>Warranty provision</w:t>
            </w: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9"/>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Warranty accrual as of the end of the period</w:t>
            </w:r>
          </w:p>
        </w:tc>
        <w:tc>
          <w:tcPr>
            <w:tcW w:w="4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80" w:type="dxa"/>
            <w:vAlign w:val="bottom"/>
            <w:vMerge w:val="continue"/>
          </w:tcPr>
          <w:p>
            <w:pPr>
              <w:spacing w:after="0"/>
              <w:rPr>
                <w:sz w:val="18"/>
                <w:szCs w:val="18"/>
                <w:color w:val="auto"/>
              </w:rPr>
            </w:pPr>
          </w:p>
        </w:tc>
        <w:tc>
          <w:tcPr>
            <w:tcW w:w="4360" w:type="dxa"/>
            <w:vAlign w:val="bottom"/>
            <w:gridSpan w:val="2"/>
          </w:tcPr>
          <w:p>
            <w:pPr>
              <w:ind w:left="40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60" w:type="dxa"/>
            <w:vAlign w:val="bottom"/>
            <w:vMerge w:val="restart"/>
          </w:tcPr>
          <w:p>
            <w:pPr>
              <w:ind w:left="104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45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90"/>
              </w:rPr>
              <w:t>For the 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540" w:type="dxa"/>
            <w:vAlign w:val="bottom"/>
            <w:gridSpan w:val="3"/>
            <w:vMerge w:val="continue"/>
          </w:tcPr>
          <w:p>
            <w:pPr>
              <w:spacing w:after="0"/>
              <w:rPr>
                <w:sz w:val="12"/>
                <w:szCs w:val="12"/>
                <w:color w:val="auto"/>
              </w:rPr>
            </w:pPr>
          </w:p>
        </w:tc>
        <w:tc>
          <w:tcPr>
            <w:tcW w:w="15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October 2, 2010</w:t>
            </w:r>
          </w:p>
        </w:tc>
        <w:tc>
          <w:tcPr>
            <w:tcW w:w="12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0"/>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line="206" w:lineRule="exact"/>
              <w:rPr>
                <w:sz w:val="20"/>
                <w:szCs w:val="20"/>
                <w:color w:val="auto"/>
              </w:rPr>
            </w:pPr>
            <w:r>
              <w:rPr>
                <w:rFonts w:ascii="Arial" w:cs="Arial" w:eastAsia="Arial" w:hAnsi="Arial"/>
                <w:sz w:val="18"/>
                <w:szCs w:val="18"/>
                <w:color w:val="auto"/>
              </w:rPr>
              <w:t>21,338</w:t>
            </w:r>
          </w:p>
        </w:tc>
        <w:tc>
          <w:tcPr>
            <w:tcW w:w="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0"/>
              </w:rPr>
              <w:t>18,050</w:t>
            </w:r>
          </w:p>
        </w:tc>
        <w:tc>
          <w:tcPr>
            <w:tcW w:w="0" w:type="dxa"/>
            <w:vAlign w:val="bottom"/>
          </w:tcPr>
          <w:p>
            <w:pPr>
              <w:spacing w:after="0"/>
              <w:rPr>
                <w:sz w:val="1"/>
                <w:szCs w:val="1"/>
                <w:color w:val="auto"/>
              </w:rPr>
            </w:pPr>
          </w:p>
        </w:tc>
      </w:tr>
      <w:tr>
        <w:trPr>
          <w:trHeight w:val="430"/>
        </w:trPr>
        <w:tc>
          <w:tcPr>
            <w:tcW w:w="854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minimum pension liability</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7,481</w:t>
            </w:r>
          </w:p>
        </w:tc>
        <w:tc>
          <w:tcPr>
            <w:tcW w:w="6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cash flow hedges, net of tax</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(4,519)</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149</w:t>
            </w:r>
          </w:p>
        </w:tc>
        <w:tc>
          <w:tcPr>
            <w:tcW w:w="6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24,476</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8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For the six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540" w:type="dxa"/>
            <w:vAlign w:val="bottom"/>
            <w:gridSpan w:val="3"/>
            <w:vMerge w:val="continue"/>
          </w:tcPr>
          <w:p>
            <w:pPr>
              <w:spacing w:after="0"/>
              <w:rPr>
                <w:sz w:val="12"/>
                <w:szCs w:val="12"/>
                <w:color w:val="auto"/>
              </w:rPr>
            </w:pPr>
          </w:p>
        </w:tc>
        <w:tc>
          <w:tcPr>
            <w:tcW w:w="15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October 2, 2010</w:t>
            </w:r>
          </w:p>
        </w:tc>
        <w:tc>
          <w:tcPr>
            <w:tcW w:w="12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0"/>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line="206" w:lineRule="exact"/>
              <w:rPr>
                <w:sz w:val="20"/>
                <w:szCs w:val="20"/>
                <w:color w:val="auto"/>
              </w:rPr>
            </w:pPr>
            <w:r>
              <w:rPr>
                <w:rFonts w:ascii="Arial" w:cs="Arial" w:eastAsia="Arial" w:hAnsi="Arial"/>
                <w:sz w:val="18"/>
                <w:szCs w:val="18"/>
                <w:color w:val="auto"/>
              </w:rPr>
              <w:t>39,257</w:t>
            </w:r>
          </w:p>
        </w:tc>
        <w:tc>
          <w:tcPr>
            <w:tcW w:w="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0"/>
              </w:rPr>
              <w:t>36,123</w:t>
            </w:r>
          </w:p>
        </w:tc>
        <w:tc>
          <w:tcPr>
            <w:tcW w:w="0" w:type="dxa"/>
            <w:vAlign w:val="bottom"/>
          </w:tcPr>
          <w:p>
            <w:pPr>
              <w:spacing w:after="0"/>
              <w:rPr>
                <w:sz w:val="1"/>
                <w:szCs w:val="1"/>
                <w:color w:val="auto"/>
              </w:rPr>
            </w:pPr>
          </w:p>
        </w:tc>
      </w:tr>
      <w:tr>
        <w:trPr>
          <w:trHeight w:val="430"/>
        </w:trPr>
        <w:tc>
          <w:tcPr>
            <w:tcW w:w="854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minimum pension liability</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3,234</w:t>
            </w:r>
          </w:p>
        </w:tc>
        <w:tc>
          <w:tcPr>
            <w:tcW w:w="6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cash flow hedges, net of tax</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(4,069)</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Reclassifications into earnings of cash flow hedge losses/(gains), net of tax</w:t>
            </w:r>
          </w:p>
        </w:tc>
        <w:tc>
          <w:tcPr>
            <w:tcW w:w="2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118</w:t>
            </w:r>
          </w:p>
        </w:tc>
        <w:tc>
          <w:tcPr>
            <w:tcW w:w="6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38,518</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36,901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17"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October 2, 2010</w:t>
            </w:r>
          </w:p>
        </w:tc>
        <w:tc>
          <w:tcPr>
            <w:tcW w:w="860" w:type="dxa"/>
            <w:vAlign w:val="bottom"/>
            <w:gridSpan w:val="3"/>
          </w:tcPr>
          <w:p>
            <w:pPr>
              <w:spacing w:after="0"/>
              <w:rPr>
                <w:sz w:val="20"/>
                <w:szCs w:val="20"/>
                <w:color w:val="auto"/>
              </w:rPr>
            </w:pPr>
            <w:r>
              <w:rPr>
                <w:rFonts w:ascii="Arial" w:cs="Arial" w:eastAsia="Arial" w:hAnsi="Arial"/>
                <w:sz w:val="14"/>
                <w:szCs w:val="14"/>
                <w:color w:val="auto"/>
              </w:rPr>
              <w:t>April 3, 2010</w:t>
            </w: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520"/>
              <w:spacing w:after="0" w:line="139" w:lineRule="exact"/>
              <w:rPr>
                <w:sz w:val="20"/>
                <w:szCs w:val="20"/>
                <w:color w:val="auto"/>
              </w:rPr>
            </w:pPr>
            <w:r>
              <w:rPr>
                <w:rFonts w:ascii="Arial" w:cs="Arial" w:eastAsia="Arial" w:hAnsi="Arial"/>
                <w:sz w:val="14"/>
                <w:szCs w:val="14"/>
                <w:color w:val="auto"/>
                <w:w w:val="87"/>
              </w:rPr>
              <w:t>(in thousands)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84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31,202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25,850</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20"/>
                <w:szCs w:val="20"/>
                <w:color w:val="auto"/>
              </w:rPr>
            </w:pPr>
            <w:r>
              <w:rPr>
                <w:rFonts w:ascii="Arial" w:cs="Arial" w:eastAsia="Arial" w:hAnsi="Arial"/>
                <w:sz w:val="18"/>
                <w:szCs w:val="18"/>
                <w:color w:val="auto"/>
              </w:rPr>
              <w:t>Work-in-process</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4,073</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50,734</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58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86,009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79,953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600" w:type="dxa"/>
            <w:vAlign w:val="bottom"/>
            <w:vMerge w:val="restart"/>
          </w:tcPr>
          <w:p>
            <w:pPr>
              <w:jc w:val="right"/>
              <w:ind w:right="3112"/>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4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5800" w:firstLine="6"/>
        <w:spacing w:after="0" w:line="372" w:lineRule="auto"/>
        <w:tabs>
          <w:tab w:leader="none" w:pos="17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OTHER INTANGIBLE ASSETS, AND ACQUISITIONS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our goodwill during the six months ended October 2, 2010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April 3, 2010</w:t>
            </w:r>
          </w:p>
        </w:tc>
        <w:tc>
          <w:tcPr>
            <w:tcW w:w="4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$ 110,261</w:t>
            </w: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SEBRA (a)</w:t>
            </w:r>
          </w:p>
        </w:tc>
        <w:tc>
          <w:tcPr>
            <w:tcW w:w="454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Altivation (b)</w:t>
            </w:r>
          </w:p>
        </w:tc>
        <w:tc>
          <w:tcPr>
            <w:tcW w:w="4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9"/>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Effect of change in rates used for translation</w:t>
            </w:r>
          </w:p>
        </w:tc>
        <w:tc>
          <w:tcPr>
            <w:tcW w:w="37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October 2, 2010</w:t>
            </w:r>
          </w:p>
        </w:tc>
        <w:tc>
          <w:tcPr>
            <w:tcW w:w="4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112,383</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1" w:lineRule="exact"/>
        <w:rPr>
          <w:sz w:val="20"/>
          <w:szCs w:val="20"/>
          <w:color w:val="auto"/>
        </w:rPr>
      </w:pPr>
    </w:p>
    <w:p>
      <w:pPr>
        <w:ind w:left="480" w:hanging="47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description of the acquisition of SEBRA</w:t>
      </w:r>
      <w:r>
        <w:rPr>
          <w:rFonts w:ascii="Arial" w:cs="Arial" w:eastAsia="Arial" w:hAnsi="Arial"/>
          <w:sz w:val="15"/>
          <w:szCs w:val="15"/>
          <w:color w:val="auto"/>
        </w:rPr>
        <w:t>®</w:t>
      </w:r>
      <w:r>
        <w:rPr>
          <w:rFonts w:ascii="Arial" w:cs="Arial" w:eastAsia="Arial" w:hAnsi="Arial"/>
          <w:sz w:val="18"/>
          <w:szCs w:val="18"/>
          <w:color w:val="auto"/>
        </w:rPr>
        <w:t>, which occurred on September 4, 2009, is included later in this footnote.</w:t>
      </w:r>
    </w:p>
    <w:p>
      <w:pPr>
        <w:spacing w:after="0" w:line="72" w:lineRule="exact"/>
        <w:rPr>
          <w:rFonts w:ascii="Arial" w:cs="Arial" w:eastAsia="Arial" w:hAnsi="Arial"/>
          <w:sz w:val="18"/>
          <w:szCs w:val="18"/>
          <w:color w:val="auto"/>
        </w:rPr>
      </w:pPr>
    </w:p>
    <w:p>
      <w:pPr>
        <w:ind w:left="480" w:right="80" w:hanging="474"/>
        <w:spacing w:after="0" w:line="265"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3, Acquisitions, in our fiscal year 2010 Form 10-K for a full description of the acquisition of Altivation Software (“Altivation”), which occurred on March 27, 2009.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Med Acquisition</w:t>
      </w:r>
    </w:p>
    <w:p>
      <w:pPr>
        <w:spacing w:after="0" w:line="11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On March 31, 2010 the Company completed its cash tender offer for the shares of Global Med Technologies, Inc. (“Global Med”). The total acquisition cost for the shares and outstanding warrants of Global Med was approximately $60.2 million.</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Goodwill was preliminarily determined by comparing the purchase price with the preliminarily determined fair value of the assets and liabilities acquired. Once the purchase price allocation is finalized, the preliminary carrying value of the related goodwill may be adjusted accordingly. At October 2, 2010, goodwill recorded after our preliminary purchase price allocation was $39.8 million and is not tax deductible. Global Med has an in-place workforce with extensive knowledge and experience in the development and support of blood management software. The acquisition was a unique strategic fit for the Company given our global presence and customer relationships in blood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Purchase Price Allocation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the preliminary purchase price allocation: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760" w:type="dxa"/>
            <w:vAlign w:val="bottom"/>
            <w:gridSpan w:val="4"/>
          </w:tcPr>
          <w:p>
            <w:pPr>
              <w:ind w:left="3800"/>
              <w:spacing w:after="0"/>
              <w:rPr>
                <w:sz w:val="20"/>
                <w:szCs w:val="20"/>
                <w:color w:val="auto"/>
              </w:rPr>
            </w:pPr>
            <w:r>
              <w:rPr>
                <w:rFonts w:ascii="Arial" w:cs="Arial" w:eastAsia="Arial" w:hAnsi="Arial"/>
                <w:sz w:val="14"/>
                <w:szCs w:val="14"/>
                <w:b w:val="1"/>
                <w:bCs w:val="1"/>
                <w:color w:val="auto"/>
                <w:w w:val="97"/>
              </w:rPr>
              <w:t>(in thousands)</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4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39,827</w:t>
            </w:r>
          </w:p>
        </w:tc>
      </w:tr>
      <w:tr>
        <w:trPr>
          <w:trHeight w:val="212"/>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37,019</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r>
      <w:tr>
        <w:trPr>
          <w:trHeight w:val="212"/>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assets</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10,240</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(8,957)</w:t>
            </w:r>
          </w:p>
        </w:tc>
      </w:tr>
      <w:tr>
        <w:trPr>
          <w:trHeight w:val="212"/>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Notes payable</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(7,701)</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(7,180)</w:t>
            </w:r>
          </w:p>
        </w:tc>
      </w:tr>
      <w:tr>
        <w:trPr>
          <w:trHeight w:val="219"/>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(8,325)</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is still in the process of obtaining and evaluating the information necessary to determine the allocation of fair value of the assets and liabilities acquired. The preliminary purchase price allocation will be finalized once the Company has received and completed this evaluation, which will occur not later than one year from the acquisition date. When finalized, the purchase price will be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more specifically allocated to identified intangible assets acquired, the value of tangible assets and liabilities acquired may be adjusted, and the value of the tax attributes acquired may change. Additionally, estimated intangible asset amortization expense recorded to date may also be adjusted. The impact of these adjustments may result in a change in the preliminary value attributed to goodwill. The results of Global Med’s operations are included in our consolidated financial statements for the second quarter and the first six months of fiscal year 2011.</w:t>
      </w:r>
    </w:p>
    <w:p>
      <w:pPr>
        <w:spacing w:after="0" w:line="85" w:lineRule="exact"/>
        <w:rPr>
          <w:sz w:val="20"/>
          <w:szCs w:val="20"/>
          <w:color w:val="auto"/>
        </w:rPr>
      </w:pPr>
    </w:p>
    <w:p>
      <w:pPr>
        <w:ind w:right="580"/>
        <w:spacing w:after="0" w:line="364" w:lineRule="auto"/>
        <w:rPr>
          <w:sz w:val="20"/>
          <w:szCs w:val="20"/>
          <w:color w:val="auto"/>
        </w:rPr>
      </w:pPr>
      <w:r>
        <w:rPr>
          <w:rFonts w:ascii="Arial" w:cs="Arial" w:eastAsia="Arial" w:hAnsi="Arial"/>
          <w:sz w:val="15"/>
          <w:szCs w:val="15"/>
          <w:color w:val="auto"/>
        </w:rPr>
        <w:t>After the April 3, 2010 financial statements were issued, we received new information related to the fair value of the assets and liabilities acquired. After considering this new information, we have estimated the effect on the carrying amount of certain assets and liabilities acquired as follows:</w:t>
      </w:r>
    </w:p>
    <w:p>
      <w:pPr>
        <w:spacing w:after="0" w:line="7" w:lineRule="exact"/>
        <w:rPr>
          <w:sz w:val="20"/>
          <w:szCs w:val="20"/>
          <w:color w:val="auto"/>
        </w:rPr>
      </w:pPr>
    </w:p>
    <w:p>
      <w:pPr>
        <w:ind w:left="660" w:hanging="429"/>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Increase of $11.1 million in intangible assets which resulted in a decrease in goodwill</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Increase of $3.9 million in deferred taxes resulting in an increase to goodwill</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$1.2 million increase in other assets resulting in a decrease in goodwill</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$1.9 million decrease in other liabilities which resulted in a decrease to goodwill.</w:t>
      </w:r>
    </w:p>
    <w:p>
      <w:pPr>
        <w:spacing w:after="0" w:line="111" w:lineRule="exact"/>
        <w:rPr>
          <w:sz w:val="20"/>
          <w:szCs w:val="20"/>
          <w:color w:val="auto"/>
        </w:rPr>
      </w:pPr>
    </w:p>
    <w:p>
      <w:pPr>
        <w:ind w:right="800"/>
        <w:spacing w:after="0" w:line="265" w:lineRule="auto"/>
        <w:rPr>
          <w:sz w:val="20"/>
          <w:szCs w:val="20"/>
          <w:color w:val="auto"/>
        </w:rPr>
      </w:pPr>
      <w:r>
        <w:rPr>
          <w:rFonts w:ascii="Arial" w:cs="Arial" w:eastAsia="Arial" w:hAnsi="Arial"/>
          <w:sz w:val="18"/>
          <w:szCs w:val="18"/>
          <w:color w:val="auto"/>
        </w:rPr>
        <w:t>The net effect of these estimated changes resulted in a corresponding net decrease to goodwill of $10.3 million. These estimated changes are reflected accordingly in the purchase price allocation table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Accordingly, amortization expense recorded reflects these revised fair value estimates and the present preliminary purchase price allocation.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SEBRA Acquisition</w:t>
      </w:r>
    </w:p>
    <w:p>
      <w:pPr>
        <w:spacing w:after="0" w:line="11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On September 4, 2009, Haemonetics acquired the assets of the blood collection and processing business unit (“SEBRA”) of Engineering and Research Associates, Inc., a leading provider of blood and medical manufacturing technologies. SEBRA products, which include tubing sealers, blood shakers, sterile connection systems, mobile lounges and ancillary products used in blood collection and processing, complement Haemonetics’ portfolio and add depth to Haemonetics’ blood bank and plasma product lines. The purchase price of $12.8 million was allocated to core technology of $2.0 million, customer relationships of $4.6 million, trade name intangible of $0.4 million, trade accounts receivables of $1.0 million, inventory of $1.1 million, and goodwill of $3.7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Neoteric Acquisition</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16, 2009, Haemonetics acquired the outstanding shares of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was $6.6 million plus contingent consideration of $5.0 million was allocated to other intangible assets of $5.0 million, deferred tax liabilities of $1.6 million, and goodwill of $8.2 million.</w:t>
      </w:r>
    </w:p>
    <w:p>
      <w:pPr>
        <w:spacing w:after="0" w:line="7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contingent consideration is based upon estimated annual revenue growth for the three years following the acquisition, at established profitability thresholds, and is not limited. Using projected revenues for fiscal years 2010, 2011, and 2012, an analysis was performed that probability weighted three performance outcomes for the noted years. The Company is required to reassess the fair value of contingent consideration on a periodic basis. During fiscal year 2010, the Company reassessed the fair value of the contingent consideration as performance outcomes for 2010 were not met, which resulted in a reduction in the estimated liability. During the first six months of fiscal year 2011, the Company continued to reassess the fair value of the contingent consideration and further reduced the estimated liability based upon performance to date and expected performance outcomes for fiscal year 2011. The ending liability balance is $1.9 million at October 2, 2010.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Amortized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of October 2, 2010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40" w:type="dxa"/>
            <w:vAlign w:val="bottom"/>
            <w:gridSpan w:val="3"/>
          </w:tcPr>
          <w:p>
            <w:pPr>
              <w:spacing w:after="0" w:line="146" w:lineRule="exact"/>
              <w:rPr>
                <w:sz w:val="20"/>
                <w:szCs w:val="20"/>
                <w:color w:val="auto"/>
              </w:rPr>
            </w:pPr>
            <w:r>
              <w:rPr>
                <w:rFonts w:ascii="Arial" w:cs="Arial" w:eastAsia="Arial" w:hAnsi="Arial"/>
                <w:sz w:val="14"/>
                <w:szCs w:val="14"/>
                <w:color w:val="auto"/>
              </w:rPr>
              <w:t>Gross Carrying</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Accumulated</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820"/>
              <w:spacing w:after="0" w:line="146" w:lineRule="exact"/>
              <w:rPr>
                <w:sz w:val="20"/>
                <w:szCs w:val="20"/>
                <w:color w:val="auto"/>
              </w:rPr>
            </w:pPr>
            <w:r>
              <w:rPr>
                <w:rFonts w:ascii="Arial" w:cs="Arial" w:eastAsia="Arial" w:hAnsi="Arial"/>
                <w:sz w:val="14"/>
                <w:szCs w:val="14"/>
                <w:color w:val="auto"/>
                <w:w w:val="99"/>
              </w:rPr>
              <w:t>Amount</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Amortization</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6"/>
              </w:rPr>
              <w:t>Useful Life</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5"/>
        </w:trPr>
        <w:tc>
          <w:tcPr>
            <w:tcW w:w="76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12,227</w:t>
            </w:r>
          </w:p>
        </w:tc>
        <w:tc>
          <w:tcPr>
            <w:tcW w:w="6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6,296</w:t>
            </w: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4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576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7640" w:type="dxa"/>
            <w:vAlign w:val="bottom"/>
            <w:gridSpan w:val="2"/>
          </w:tcPr>
          <w:p>
            <w:pPr>
              <w:spacing w:after="0"/>
              <w:rPr>
                <w:sz w:val="20"/>
                <w:szCs w:val="20"/>
                <w:color w:val="auto"/>
              </w:rPr>
            </w:pPr>
            <w:r>
              <w:rPr>
                <w:rFonts w:ascii="Arial" w:cs="Arial" w:eastAsia="Arial" w:hAnsi="Arial"/>
                <w:sz w:val="18"/>
                <w:szCs w:val="18"/>
                <w:color w:val="auto"/>
              </w:rPr>
              <w:t>Customer contracts and related relationships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59,827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13,827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764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133,520</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38,976</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As of April 3, 2010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380" w:type="dxa"/>
            <w:vAlign w:val="bottom"/>
            <w:tcBorders>
              <w:top w:val="single" w:sz="8" w:color="auto"/>
            </w:tcBorders>
          </w:tcPr>
          <w:p>
            <w:pPr>
              <w:spacing w:after="0"/>
              <w:rPr>
                <w:sz w:val="24"/>
                <w:szCs w:val="24"/>
                <w:color w:val="auto"/>
              </w:rPr>
            </w:pPr>
          </w:p>
        </w:tc>
        <w:tc>
          <w:tcPr>
            <w:tcW w:w="6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40" w:type="dxa"/>
            <w:vAlign w:val="bottom"/>
            <w:gridSpan w:val="3"/>
          </w:tcPr>
          <w:p>
            <w:pPr>
              <w:spacing w:after="0" w:line="146" w:lineRule="exact"/>
              <w:rPr>
                <w:sz w:val="20"/>
                <w:szCs w:val="20"/>
                <w:color w:val="auto"/>
              </w:rPr>
            </w:pPr>
            <w:r>
              <w:rPr>
                <w:rFonts w:ascii="Arial" w:cs="Arial" w:eastAsia="Arial" w:hAnsi="Arial"/>
                <w:sz w:val="14"/>
                <w:szCs w:val="14"/>
                <w:color w:val="auto"/>
              </w:rPr>
              <w:t>Gross Carrying</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Accumulated</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820"/>
              <w:spacing w:after="0" w:line="146" w:lineRule="exact"/>
              <w:rPr>
                <w:sz w:val="20"/>
                <w:szCs w:val="20"/>
                <w:color w:val="auto"/>
              </w:rPr>
            </w:pPr>
            <w:r>
              <w:rPr>
                <w:rFonts w:ascii="Arial" w:cs="Arial" w:eastAsia="Arial" w:hAnsi="Arial"/>
                <w:sz w:val="14"/>
                <w:szCs w:val="14"/>
                <w:color w:val="auto"/>
                <w:w w:val="99"/>
              </w:rPr>
              <w:t>Amount</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Amortization</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6"/>
              </w:rPr>
              <w:t>Useful Life</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5"/>
        </w:trPr>
        <w:tc>
          <w:tcPr>
            <w:tcW w:w="76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11,928</w:t>
            </w:r>
          </w:p>
        </w:tc>
        <w:tc>
          <w:tcPr>
            <w:tcW w:w="6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5,801</w:t>
            </w: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4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498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7640" w:type="dxa"/>
            <w:vAlign w:val="bottom"/>
            <w:gridSpan w:val="2"/>
          </w:tcPr>
          <w:p>
            <w:pPr>
              <w:spacing w:after="0"/>
              <w:rPr>
                <w:sz w:val="20"/>
                <w:szCs w:val="20"/>
                <w:color w:val="auto"/>
              </w:rPr>
            </w:pPr>
            <w:r>
              <w:rPr>
                <w:rFonts w:ascii="Arial" w:cs="Arial" w:eastAsia="Arial" w:hAnsi="Arial"/>
                <w:sz w:val="18"/>
                <w:szCs w:val="18"/>
                <w:color w:val="auto"/>
              </w:rPr>
              <w:t>Customer contracts and related relationships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11,549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764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129,853</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32,693</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Amortization expense for amortized intangible assets was $3.3 million and $1.8 million for the second quarter of fiscal year 2011 and 2010, respectively, and $6.5 million and $3.6 million for the six months ended October 2, 2010 and September 26, 2009, respectively. Annual amortization expense is expected to approximate $12.0 million for fiscal year 2011, $11.8 million for fiscal year 2012, $11.7 million for fiscal year 2013, $11.4 million for fiscal year 2014, and $10.2 million for fiscal year 2015.</w:t>
      </w:r>
    </w:p>
    <w:p>
      <w:pPr>
        <w:spacing w:after="0" w:line="85"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In addition to the acquisitions of SEBRA, Neoteric, and Global Med discussed above, changes to the net carrying value of our intangible assets from April 3, 2010 to October 2, 2010 reflect the capitalization of software costs associated with our devices and software products (see Note 16), amortization expense and the effect of exchange rate changes in the translation of our intangible assets held by our international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11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manufacture, market and sell our products globally. Approximately 52% of our sales are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8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1"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 xml:space="preserve">All of our designated foreign currency hedge contracts as of October 2, 2010 and April 3, 2010 were cash flow hedges under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We record the effective portion of any change in the fair value of designated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foreign currency hedge contracts in Other Comprehensive Income 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$165.0 million as of October 2, 2010 and $135.4 million as of April 3, 2010.</w:t>
      </w:r>
    </w:p>
    <w:p>
      <w:pPr>
        <w:spacing w:after="0" w:line="7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During the second quarter of fiscal year 2011, we recognized net losses of $1.1 million in earnings on our cash flow hedges. All currency cash flow hedges outstanding as of October 2, 2010 mature within twelve months. For the quarter ended October 2, 2010, $4.1 million of losses, net of tax, were recorded in Other Comprehensive Income to recognize the effective portion of the fair value of any designated foreign currency hedge contracts that are, or previously were, designated as foreign currency cash flow hedges, as compared to net losses of $4.3 million as of September 26, 2009. At October 2, 2010, gains of $0.1 million, net of tax, may be reclassified to earnings within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non-designated foreign currency hedge contracts under ASC Topic 815 outstanding in the contract amount of $31.4 million as of October 2, 2010 and $29.6 million as of April 3, 2010.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1"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six months ended October 2, 2010.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96"/>
              </w:rPr>
              <w:t>Amount of Gain</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2"/>
          </w:tcPr>
          <w:p>
            <w:pPr>
              <w:jc w:val="center"/>
              <w:ind w:right="179"/>
              <w:spacing w:after="0" w:line="146" w:lineRule="exact"/>
              <w:rPr>
                <w:sz w:val="20"/>
                <w:szCs w:val="20"/>
                <w:color w:val="auto"/>
              </w:rPr>
            </w:pPr>
            <w:r>
              <w:rPr>
                <w:rFonts w:ascii="Arial" w:cs="Arial" w:eastAsia="Arial" w:hAnsi="Arial"/>
                <w:sz w:val="14"/>
                <w:szCs w:val="14"/>
                <w:color w:val="auto"/>
                <w:w w:val="94"/>
              </w:rPr>
              <w:t>Amount of Loss</w:t>
            </w:r>
          </w:p>
        </w:tc>
        <w:tc>
          <w:tcPr>
            <w:tcW w:w="34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Arial" w:cs="Arial" w:eastAsia="Arial" w:hAnsi="Arial"/>
                <w:sz w:val="14"/>
                <w:szCs w:val="14"/>
                <w:color w:val="auto"/>
                <w:w w:val="92"/>
              </w:rPr>
              <w:t>Reclassified</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6" w:lineRule="exact"/>
              <w:rPr>
                <w:sz w:val="20"/>
                <w:szCs w:val="20"/>
                <w:color w:val="auto"/>
              </w:rPr>
            </w:pPr>
            <w:r>
              <w:rPr>
                <w:rFonts w:ascii="Arial" w:cs="Arial" w:eastAsia="Arial" w:hAnsi="Arial"/>
                <w:sz w:val="14"/>
                <w:szCs w:val="14"/>
                <w:color w:val="auto"/>
                <w:w w:val="95"/>
              </w:rPr>
              <w:t>Amount</w:t>
            </w: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319"/>
              <w:spacing w:after="0" w:line="146" w:lineRule="exact"/>
              <w:rPr>
                <w:sz w:val="20"/>
                <w:szCs w:val="20"/>
                <w:color w:val="auto"/>
              </w:rPr>
            </w:pPr>
            <w:r>
              <w:rPr>
                <w:rFonts w:ascii="Arial" w:cs="Arial" w:eastAsia="Arial" w:hAnsi="Arial"/>
                <w:sz w:val="14"/>
                <w:szCs w:val="14"/>
                <w:color w:val="auto"/>
                <w:w w:val="91"/>
              </w:rPr>
              <w:t>Recognized</w:t>
            </w:r>
          </w:p>
        </w:tc>
        <w:tc>
          <w:tcPr>
            <w:tcW w:w="34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Arial" w:cs="Arial" w:eastAsia="Arial" w:hAnsi="Arial"/>
                <w:sz w:val="14"/>
                <w:szCs w:val="14"/>
                <w:color w:val="auto"/>
                <w:w w:val="98"/>
              </w:rPr>
              <w:t>from OCI into</w:t>
            </w:r>
          </w:p>
        </w:tc>
        <w:tc>
          <w:tcPr>
            <w:tcW w:w="1660" w:type="dxa"/>
            <w:vAlign w:val="bottom"/>
          </w:tcPr>
          <w:p>
            <w:pPr>
              <w:jc w:val="center"/>
              <w:ind w:right="185"/>
              <w:spacing w:after="0" w:line="146" w:lineRule="exact"/>
              <w:rPr>
                <w:sz w:val="20"/>
                <w:szCs w:val="20"/>
                <w:color w:val="auto"/>
              </w:rPr>
            </w:pPr>
            <w:r>
              <w:rPr>
                <w:rFonts w:ascii="Arial" w:cs="Arial" w:eastAsia="Arial" w:hAnsi="Arial"/>
                <w:sz w:val="14"/>
                <w:szCs w:val="14"/>
                <w:color w:val="auto"/>
                <w:w w:val="94"/>
              </w:rPr>
              <w:t>Location in</w:t>
            </w:r>
          </w:p>
        </w:tc>
        <w:tc>
          <w:tcPr>
            <w:tcW w:w="1100" w:type="dxa"/>
            <w:vAlign w:val="bottom"/>
            <w:gridSpan w:val="3"/>
          </w:tcPr>
          <w:p>
            <w:pPr>
              <w:jc w:val="center"/>
              <w:ind w:right="240"/>
              <w:spacing w:after="0" w:line="146" w:lineRule="exact"/>
              <w:rPr>
                <w:sz w:val="20"/>
                <w:szCs w:val="20"/>
                <w:color w:val="auto"/>
              </w:rPr>
            </w:pPr>
            <w:r>
              <w:rPr>
                <w:rFonts w:ascii="Arial" w:cs="Arial" w:eastAsia="Arial" w:hAnsi="Arial"/>
                <w:sz w:val="14"/>
                <w:szCs w:val="14"/>
                <w:color w:val="auto"/>
                <w:w w:val="96"/>
              </w:rPr>
              <w:t>Excluded from</w:t>
            </w:r>
          </w:p>
        </w:tc>
        <w:tc>
          <w:tcPr>
            <w:tcW w:w="1220" w:type="dxa"/>
            <w:vAlign w:val="bottom"/>
            <w:gridSpan w:val="2"/>
          </w:tcPr>
          <w:p>
            <w:pPr>
              <w:jc w:val="center"/>
              <w:ind w:left="142"/>
              <w:spacing w:after="0" w:line="146" w:lineRule="exact"/>
              <w:rPr>
                <w:sz w:val="20"/>
                <w:szCs w:val="20"/>
                <w:color w:val="auto"/>
              </w:rPr>
            </w:pPr>
            <w:r>
              <w:rPr>
                <w:rFonts w:ascii="Arial" w:cs="Arial" w:eastAsia="Arial" w:hAnsi="Arial"/>
                <w:sz w:val="14"/>
                <w:szCs w:val="14"/>
                <w:color w:val="auto"/>
                <w:w w:val="94"/>
              </w:rPr>
              <w:t>Location in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319"/>
              <w:spacing w:after="0" w:line="146" w:lineRule="exact"/>
              <w:rPr>
                <w:sz w:val="20"/>
                <w:szCs w:val="20"/>
                <w:color w:val="auto"/>
              </w:rPr>
            </w:pPr>
            <w:r>
              <w:rPr>
                <w:rFonts w:ascii="Arial" w:cs="Arial" w:eastAsia="Arial" w:hAnsi="Arial"/>
                <w:sz w:val="14"/>
                <w:szCs w:val="14"/>
                <w:color w:val="auto"/>
              </w:rPr>
              <w:t>in OCI</w:t>
            </w:r>
          </w:p>
        </w:tc>
        <w:tc>
          <w:tcPr>
            <w:tcW w:w="34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Arial" w:cs="Arial" w:eastAsia="Arial" w:hAnsi="Arial"/>
                <w:sz w:val="14"/>
                <w:szCs w:val="14"/>
                <w:color w:val="auto"/>
                <w:w w:val="90"/>
              </w:rPr>
              <w:t>Earnings</w:t>
            </w:r>
          </w:p>
        </w:tc>
        <w:tc>
          <w:tcPr>
            <w:tcW w:w="1660" w:type="dxa"/>
            <w:vAlign w:val="bottom"/>
          </w:tcPr>
          <w:p>
            <w:pPr>
              <w:jc w:val="center"/>
              <w:ind w:right="185"/>
              <w:spacing w:after="0" w:line="146" w:lineRule="exact"/>
              <w:rPr>
                <w:sz w:val="20"/>
                <w:szCs w:val="20"/>
                <w:color w:val="auto"/>
              </w:rPr>
            </w:pPr>
            <w:r>
              <w:rPr>
                <w:rFonts w:ascii="Arial" w:cs="Arial" w:eastAsia="Arial" w:hAnsi="Arial"/>
                <w:sz w:val="14"/>
                <w:szCs w:val="14"/>
                <w:color w:val="auto"/>
                <w:w w:val="90"/>
              </w:rPr>
              <w:t>Statement of</w:t>
            </w:r>
          </w:p>
        </w:tc>
        <w:tc>
          <w:tcPr>
            <w:tcW w:w="1100" w:type="dxa"/>
            <w:vAlign w:val="bottom"/>
            <w:gridSpan w:val="3"/>
          </w:tcPr>
          <w:p>
            <w:pPr>
              <w:jc w:val="center"/>
              <w:ind w:right="260"/>
              <w:spacing w:after="0" w:line="146" w:lineRule="exact"/>
              <w:rPr>
                <w:sz w:val="20"/>
                <w:szCs w:val="20"/>
                <w:color w:val="auto"/>
              </w:rPr>
            </w:pPr>
            <w:r>
              <w:rPr>
                <w:rFonts w:ascii="Arial" w:cs="Arial" w:eastAsia="Arial" w:hAnsi="Arial"/>
                <w:sz w:val="14"/>
                <w:szCs w:val="14"/>
                <w:color w:val="auto"/>
                <w:w w:val="91"/>
              </w:rPr>
              <w:t>Effectiveness</w:t>
            </w:r>
          </w:p>
        </w:tc>
        <w:tc>
          <w:tcPr>
            <w:tcW w:w="1220" w:type="dxa"/>
            <w:vAlign w:val="bottom"/>
            <w:gridSpan w:val="2"/>
          </w:tcPr>
          <w:p>
            <w:pPr>
              <w:jc w:val="center"/>
              <w:ind w:left="142"/>
              <w:spacing w:after="0" w:line="146" w:lineRule="exact"/>
              <w:rPr>
                <w:sz w:val="20"/>
                <w:szCs w:val="20"/>
                <w:color w:val="auto"/>
              </w:rPr>
            </w:pPr>
            <w:r>
              <w:rPr>
                <w:rFonts w:ascii="Arial" w:cs="Arial" w:eastAsia="Arial" w:hAnsi="Arial"/>
                <w:sz w:val="14"/>
                <w:szCs w:val="14"/>
                <w:color w:val="auto"/>
                <w:w w:val="90"/>
              </w:rPr>
              <w:t>Statement of</w:t>
            </w:r>
          </w:p>
        </w:tc>
        <w:tc>
          <w:tcPr>
            <w:tcW w:w="0" w:type="dxa"/>
            <w:vAlign w:val="bottom"/>
          </w:tcPr>
          <w:p>
            <w:pPr>
              <w:spacing w:after="0"/>
              <w:rPr>
                <w:sz w:val="1"/>
                <w:szCs w:val="1"/>
                <w:color w:val="auto"/>
              </w:rPr>
            </w:pPr>
          </w:p>
        </w:tc>
      </w:tr>
      <w:tr>
        <w:trPr>
          <w:trHeight w:val="164"/>
        </w:trPr>
        <w:tc>
          <w:tcPr>
            <w:tcW w:w="4040" w:type="dxa"/>
            <w:vAlign w:val="bottom"/>
            <w:gridSpan w:val="2"/>
          </w:tcPr>
          <w:p>
            <w:pPr>
              <w:spacing w:after="0"/>
              <w:rPr>
                <w:sz w:val="20"/>
                <w:szCs w:val="20"/>
                <w:color w:val="auto"/>
              </w:rPr>
            </w:pPr>
            <w:r>
              <w:rPr>
                <w:rFonts w:ascii="Arial" w:cs="Arial" w:eastAsia="Arial" w:hAnsi="Arial"/>
                <w:sz w:val="14"/>
                <w:szCs w:val="14"/>
                <w:color w:val="auto"/>
              </w:rPr>
              <w:t>Derivative Instruments</w:t>
            </w:r>
          </w:p>
        </w:tc>
        <w:tc>
          <w:tcPr>
            <w:tcW w:w="1860" w:type="dxa"/>
            <w:vAlign w:val="bottom"/>
            <w:gridSpan w:val="3"/>
          </w:tcPr>
          <w:p>
            <w:pPr>
              <w:jc w:val="center"/>
              <w:ind w:left="238"/>
              <w:spacing w:after="0"/>
              <w:rPr>
                <w:sz w:val="20"/>
                <w:szCs w:val="20"/>
                <w:color w:val="auto"/>
              </w:rPr>
            </w:pPr>
            <w:r>
              <w:rPr>
                <w:rFonts w:ascii="Arial" w:cs="Arial" w:eastAsia="Arial" w:hAnsi="Arial"/>
                <w:sz w:val="14"/>
                <w:szCs w:val="14"/>
                <w:color w:val="auto"/>
                <w:w w:val="95"/>
              </w:rPr>
              <w:t>(Effective Portion)</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95"/>
              </w:rPr>
              <w:t>(Effective Portion)</w:t>
            </w:r>
          </w:p>
        </w:tc>
        <w:tc>
          <w:tcPr>
            <w:tcW w:w="1660" w:type="dxa"/>
            <w:vAlign w:val="bottom"/>
          </w:tcPr>
          <w:p>
            <w:pPr>
              <w:jc w:val="center"/>
              <w:ind w:right="165"/>
              <w:spacing w:after="0"/>
              <w:rPr>
                <w:sz w:val="20"/>
                <w:szCs w:val="20"/>
                <w:color w:val="auto"/>
              </w:rPr>
            </w:pPr>
            <w:r>
              <w:rPr>
                <w:rFonts w:ascii="Arial" w:cs="Arial" w:eastAsia="Arial" w:hAnsi="Arial"/>
                <w:sz w:val="14"/>
                <w:szCs w:val="14"/>
                <w:color w:val="auto"/>
                <w:w w:val="90"/>
              </w:rPr>
              <w:t>Operations</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Testing (*)</w:t>
            </w:r>
          </w:p>
        </w:tc>
        <w:tc>
          <w:tcPr>
            <w:tcW w:w="1220" w:type="dxa"/>
            <w:vAlign w:val="bottom"/>
            <w:gridSpan w:val="2"/>
          </w:tcPr>
          <w:p>
            <w:pPr>
              <w:jc w:val="center"/>
              <w:ind w:left="162"/>
              <w:spacing w:after="0"/>
              <w:rPr>
                <w:sz w:val="20"/>
                <w:szCs w:val="20"/>
                <w:color w:val="auto"/>
              </w:rPr>
            </w:pPr>
            <w:r>
              <w:rPr>
                <w:rFonts w:ascii="Arial" w:cs="Arial" w:eastAsia="Arial" w:hAnsi="Arial"/>
                <w:sz w:val="14"/>
                <w:szCs w:val="14"/>
                <w:color w:val="auto"/>
                <w:w w:val="90"/>
              </w:rPr>
              <w:t>Operations</w:t>
            </w:r>
          </w:p>
        </w:tc>
        <w:tc>
          <w:tcPr>
            <w:tcW w:w="0" w:type="dxa"/>
            <w:vAlign w:val="bottom"/>
          </w:tcPr>
          <w:p>
            <w:pPr>
              <w:spacing w:after="0"/>
              <w:rPr>
                <w:sz w:val="1"/>
                <w:szCs w:val="1"/>
                <w:color w:val="auto"/>
              </w:rPr>
            </w:pPr>
          </w:p>
        </w:tc>
      </w:tr>
      <w:tr>
        <w:trPr>
          <w:trHeight w:val="173"/>
        </w:trPr>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(4,069)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660" w:type="dxa"/>
            <w:vAlign w:val="bottom"/>
            <w:shd w:val="clear" w:color="auto" w:fill="CCEEFF"/>
          </w:tcPr>
          <w:p>
            <w:pPr>
              <w:jc w:val="center"/>
              <w:ind w:right="185"/>
              <w:spacing w:after="0"/>
              <w:rPr>
                <w:sz w:val="20"/>
                <w:szCs w:val="20"/>
                <w:color w:val="auto"/>
              </w:rPr>
            </w:pPr>
            <w:r>
              <w:rPr>
                <w:rFonts w:ascii="Arial" w:cs="Arial" w:eastAsia="Arial" w:hAnsi="Arial"/>
                <w:sz w:val="18"/>
                <w:szCs w:val="18"/>
                <w:color w:val="auto"/>
                <w:w w:val="85"/>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120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88"/>
              </w:rPr>
              <w:t>Other income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Non-designated foreign currency hedge contracts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1200" w:type="dxa"/>
            <w:vAlign w:val="bottom"/>
          </w:tcPr>
          <w:p>
            <w:pPr>
              <w:jc w:val="center"/>
              <w:ind w:left="182"/>
              <w:spacing w:after="0"/>
              <w:rPr>
                <w:sz w:val="20"/>
                <w:szCs w:val="20"/>
                <w:color w:val="auto"/>
              </w:rPr>
            </w:pPr>
            <w:r>
              <w:rPr>
                <w:rFonts w:ascii="Arial" w:cs="Arial" w:eastAsia="Arial" w:hAnsi="Arial"/>
                <w:sz w:val="18"/>
                <w:szCs w:val="18"/>
                <w:color w:val="auto"/>
                <w:w w:val="99"/>
              </w:rPr>
              <w:t>SG&amp;A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(4,069)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(612)</w:t>
            </w: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right="3560" w:firstLine="6"/>
        <w:spacing w:after="0" w:line="442" w:lineRule="auto"/>
        <w:tabs>
          <w:tab w:leader="none" w:pos="464"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exclude the difference between the spot rate and hedge forward rate from our effectiveness testing. We did not have fair value hedges or net investment hedges outstanding as of October 2, 2010 or April 3, 2010.</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October 2, 2010,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413"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October 2, 2010 by type of contract and whether it is a qualifying hedge under ASC Topic 815.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4"/>
              </w:rPr>
              <w:t>Location in</w:t>
            </w:r>
          </w:p>
        </w:tc>
        <w:tc>
          <w:tcPr>
            <w:tcW w:w="660" w:type="dxa"/>
            <w:vAlign w:val="bottom"/>
          </w:tcPr>
          <w:p>
            <w:pPr>
              <w:spacing w:after="0"/>
              <w:rPr>
                <w:sz w:val="14"/>
                <w:szCs w:val="14"/>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color w:val="auto"/>
              </w:rPr>
              <w:t>Balance as of</w:t>
            </w:r>
          </w:p>
        </w:tc>
        <w:tc>
          <w:tcPr>
            <w:tcW w:w="860" w:type="dxa"/>
            <w:vAlign w:val="bottom"/>
            <w:gridSpan w:val="3"/>
          </w:tcPr>
          <w:p>
            <w:pPr>
              <w:spacing w:after="0"/>
              <w:rPr>
                <w:sz w:val="20"/>
                <w:szCs w:val="20"/>
                <w:color w:val="auto"/>
              </w:rPr>
            </w:pPr>
            <w:r>
              <w:rPr>
                <w:rFonts w:ascii="Arial" w:cs="Arial" w:eastAsia="Arial" w:hAnsi="Arial"/>
                <w:sz w:val="14"/>
                <w:szCs w:val="14"/>
                <w:color w:val="auto"/>
                <w:w w:val="98"/>
              </w:rPr>
              <w:t>Balance as of</w:t>
            </w:r>
          </w:p>
        </w:tc>
        <w:tc>
          <w:tcPr>
            <w:tcW w:w="0" w:type="dxa"/>
            <w:vAlign w:val="bottom"/>
          </w:tcPr>
          <w:p>
            <w:pPr>
              <w:spacing w:after="0"/>
              <w:rPr>
                <w:sz w:val="1"/>
                <w:szCs w:val="1"/>
                <w:color w:val="auto"/>
              </w:rPr>
            </w:pPr>
          </w:p>
        </w:tc>
      </w:tr>
      <w:tr>
        <w:trPr>
          <w:trHeight w:val="164"/>
        </w:trPr>
        <w:tc>
          <w:tcPr>
            <w:tcW w:w="54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87"/>
              </w:rPr>
              <w:t>Balance Sheet</w:t>
            </w:r>
          </w:p>
        </w:tc>
        <w:tc>
          <w:tcPr>
            <w:tcW w:w="66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color w:val="auto"/>
              </w:rPr>
              <w:t>October 2, 2010</w:t>
            </w:r>
          </w:p>
        </w:tc>
        <w:tc>
          <w:tcPr>
            <w:tcW w:w="860" w:type="dxa"/>
            <w:vAlign w:val="bottom"/>
            <w:gridSpan w:val="3"/>
          </w:tcPr>
          <w:p>
            <w:pPr>
              <w:spacing w:after="0"/>
              <w:rPr>
                <w:sz w:val="20"/>
                <w:szCs w:val="20"/>
                <w:color w:val="auto"/>
              </w:rPr>
            </w:pPr>
            <w:r>
              <w:rPr>
                <w:rFonts w:ascii="Arial" w:cs="Arial" w:eastAsia="Arial" w:hAnsi="Arial"/>
                <w:sz w:val="14"/>
                <w:szCs w:val="14"/>
                <w:color w:val="auto"/>
              </w:rPr>
              <w:t>April 3, 2010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5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Designated foreign currency hedge contracts</w:t>
            </w:r>
          </w:p>
        </w:tc>
        <w:tc>
          <w:tcPr>
            <w:tcW w:w="560" w:type="dxa"/>
            <w:vAlign w:val="bottom"/>
          </w:tcPr>
          <w:p>
            <w:pPr>
              <w:spacing w:after="0"/>
              <w:rPr>
                <w:sz w:val="18"/>
                <w:szCs w:val="18"/>
                <w:color w:val="auto"/>
              </w:rPr>
            </w:pPr>
          </w:p>
        </w:tc>
        <w:tc>
          <w:tcPr>
            <w:tcW w:w="2360" w:type="dxa"/>
            <w:vAlign w:val="bottom"/>
          </w:tcPr>
          <w:p>
            <w:pPr>
              <w:jc w:val="center"/>
              <w:ind w:left="40"/>
              <w:spacing w:after="0"/>
              <w:rPr>
                <w:sz w:val="20"/>
                <w:szCs w:val="20"/>
                <w:color w:val="auto"/>
              </w:rPr>
            </w:pPr>
            <w:r>
              <w:rPr>
                <w:rFonts w:ascii="Arial" w:cs="Arial" w:eastAsia="Arial" w:hAnsi="Arial"/>
                <w:sz w:val="18"/>
                <w:szCs w:val="18"/>
                <w:color w:val="auto"/>
                <w:w w:val="85"/>
              </w:rPr>
              <w:t>Other current assets</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2,246</w:t>
            </w:r>
          </w:p>
        </w:tc>
        <w:tc>
          <w:tcPr>
            <w:tcW w:w="6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2,246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4,407</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4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560" w:type="dxa"/>
            <w:vAlign w:val="bottom"/>
            <w:shd w:val="clear" w:color="auto" w:fill="CCEEFF"/>
          </w:tcPr>
          <w:p>
            <w:pPr>
              <w:spacing w:after="0"/>
              <w:rPr>
                <w:sz w:val="18"/>
                <w:szCs w:val="18"/>
                <w:color w:val="auto"/>
              </w:rPr>
            </w:pPr>
          </w:p>
        </w:tc>
        <w:tc>
          <w:tcPr>
            <w:tcW w:w="2360" w:type="dxa"/>
            <w:vAlign w:val="bottom"/>
            <w:shd w:val="clear" w:color="auto" w:fill="CCEEFF"/>
          </w:tcPr>
          <w:p>
            <w:pPr>
              <w:jc w:val="center"/>
              <w:ind w:left="20"/>
              <w:spacing w:after="0"/>
              <w:rPr>
                <w:sz w:val="20"/>
                <w:szCs w:val="20"/>
                <w:color w:val="auto"/>
              </w:rPr>
            </w:pPr>
            <w:r>
              <w:rPr>
                <w:rFonts w:ascii="Arial" w:cs="Arial" w:eastAsia="Arial" w:hAnsi="Arial"/>
                <w:sz w:val="18"/>
                <w:szCs w:val="18"/>
                <w:color w:val="auto"/>
                <w:w w:val="90"/>
              </w:rPr>
              <w:t>Other accrued liabilities</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5,593</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5,593</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1,747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1"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 xml:space="preserve">ASC Topic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quarter and the six months ended October 2, 2010,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4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4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83" w:lineRule="exact"/>
        <w:rPr>
          <w:sz w:val="20"/>
          <w:szCs w:val="20"/>
          <w:color w:val="auto"/>
        </w:rPr>
      </w:pPr>
    </w:p>
    <w:p>
      <w:pPr>
        <w:ind w:left="660" w:hanging="429"/>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24" w:lineRule="exact"/>
        <w:rPr>
          <w:rFonts w:ascii="Arial" w:cs="Arial" w:eastAsia="Arial" w:hAnsi="Arial"/>
          <w:sz w:val="18"/>
          <w:szCs w:val="18"/>
          <w:b w:val="1"/>
          <w:bCs w:val="1"/>
          <w:color w:val="auto"/>
        </w:rPr>
      </w:pPr>
    </w:p>
    <w:p>
      <w:pPr>
        <w:ind w:left="660" w:right="12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86" w:lineRule="exact"/>
        <w:rPr>
          <w:rFonts w:ascii="Arial" w:cs="Arial" w:eastAsia="Arial" w:hAnsi="Arial"/>
          <w:sz w:val="18"/>
          <w:szCs w:val="18"/>
          <w:b w:val="1"/>
          <w:bCs w:val="1"/>
          <w:color w:val="auto"/>
        </w:rPr>
      </w:pPr>
    </w:p>
    <w:p>
      <w:pPr>
        <w:ind w:left="660" w:right="14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3"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7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We recognize all derivative financial instruments in our consolidated financial statements at fair value in accordance with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We determine the fair value of these instruments using the framework prescribed by ASC Topic 820 by considering the estimated amount we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For the quarter and first six months ended October 2, 2010, we have classified our other liabilities — contingent consideration relating to our acquisition of Neoteric within Level 3 of the fair value hierarchy because the value is determined using significant unobservable inputs.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October 2, 2010: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2"/>
              </w:rPr>
              <w:t>Quoted Market</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ind w:right="256"/>
              <w:spacing w:after="0" w:line="146" w:lineRule="exact"/>
              <w:rPr>
                <w:sz w:val="20"/>
                <w:szCs w:val="20"/>
                <w:color w:val="auto"/>
              </w:rPr>
            </w:pPr>
            <w:r>
              <w:rPr>
                <w:rFonts w:ascii="Arial" w:cs="Arial" w:eastAsia="Arial" w:hAnsi="Arial"/>
                <w:sz w:val="14"/>
                <w:szCs w:val="14"/>
                <w:color w:val="auto"/>
                <w:w w:val="96"/>
              </w:rPr>
              <w:t>Other</w:t>
            </w:r>
          </w:p>
        </w:tc>
        <w:tc>
          <w:tcPr>
            <w:tcW w:w="48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5"/>
              </w:rPr>
              <w:t>Significant</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1"/>
              </w:rPr>
              <w:t>Prices for</w:t>
            </w:r>
          </w:p>
        </w:tc>
        <w:tc>
          <w:tcPr>
            <w:tcW w:w="48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2"/>
              </w:rPr>
              <w:t>Observable</w:t>
            </w:r>
          </w:p>
        </w:tc>
        <w:tc>
          <w:tcPr>
            <w:tcW w:w="48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0"/>
              </w:rPr>
              <w:t>Unobservable</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1"/>
              </w:rPr>
              <w:t>Identical Assets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ind w:right="256"/>
              <w:spacing w:after="0" w:line="146" w:lineRule="exact"/>
              <w:rPr>
                <w:sz w:val="20"/>
                <w:szCs w:val="20"/>
                <w:color w:val="auto"/>
              </w:rPr>
            </w:pPr>
            <w:r>
              <w:rPr>
                <w:rFonts w:ascii="Arial" w:cs="Arial" w:eastAsia="Arial" w:hAnsi="Arial"/>
                <w:sz w:val="14"/>
                <w:szCs w:val="14"/>
                <w:color w:val="auto"/>
                <w:w w:val="89"/>
              </w:rPr>
              <w:t>Inputs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ind w:right="234"/>
              <w:spacing w:after="0" w:line="146" w:lineRule="exact"/>
              <w:rPr>
                <w:sz w:val="20"/>
                <w:szCs w:val="20"/>
                <w:color w:val="auto"/>
              </w:rPr>
            </w:pPr>
            <w:r>
              <w:rPr>
                <w:rFonts w:ascii="Arial" w:cs="Arial" w:eastAsia="Arial" w:hAnsi="Arial"/>
                <w:sz w:val="14"/>
                <w:szCs w:val="14"/>
                <w:color w:val="auto"/>
                <w:w w:val="89"/>
              </w:rPr>
              <w:t>Inputs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5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1)</w:t>
            </w:r>
          </w:p>
        </w:tc>
        <w:tc>
          <w:tcPr>
            <w:tcW w:w="48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48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w w:val="87"/>
              </w:rPr>
              <w:t>66,012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4"/>
              <w:spacing w:after="0"/>
              <w:rPr>
                <w:sz w:val="20"/>
                <w:szCs w:val="20"/>
                <w:color w:val="auto"/>
              </w:rPr>
            </w:pPr>
            <w:r>
              <w:rPr>
                <w:rFonts w:ascii="Arial" w:cs="Arial" w:eastAsia="Arial" w:hAnsi="Arial"/>
                <w:sz w:val="18"/>
                <w:szCs w:val="18"/>
                <w:color w:val="auto"/>
                <w:w w:val="87"/>
              </w:rPr>
              <w:t>66,012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2,246</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7"/>
              </w:rPr>
              <w:t>66,012</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2,246</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7"/>
              </w:rPr>
              <w:t>68,258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Forward currency exchange contracts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6"/>
              <w:spacing w:after="0"/>
              <w:rPr>
                <w:sz w:val="20"/>
                <w:szCs w:val="20"/>
                <w:color w:val="auto"/>
              </w:rPr>
            </w:pPr>
            <w:r>
              <w:rPr>
                <w:rFonts w:ascii="Arial" w:cs="Arial" w:eastAsia="Arial" w:hAnsi="Arial"/>
                <w:sz w:val="18"/>
                <w:szCs w:val="18"/>
                <w:color w:val="auto"/>
                <w:w w:val="79"/>
              </w:rPr>
              <w:t>5,593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contingent consideration</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4"/>
              </w:rPr>
              <w:t>1,899</w:t>
            </w: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5,593</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4"/>
              </w:rPr>
              <w:t>1,899</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 description of the methods used to determine the fair value of the Level 3 liabilities (other liabilities — contingent consideration) is included within Note 9 — Goodwill, Other Intangible Assets, and Acquisitions. The table below provides a reconciliation of the beginning and ending Level 3 liabilities for the six months ended October 2,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Fair Value</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88"/>
              </w:rPr>
              <w:t>Measurements</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93"/>
              </w:rPr>
              <w:t>Using Significant</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90"/>
              </w:rPr>
              <w:t>Unobservable</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4"/>
              </w:rPr>
              <w:t>Inputs</w:t>
            </w:r>
          </w:p>
        </w:tc>
      </w:tr>
      <w:tr>
        <w:trPr>
          <w:trHeight w:val="164"/>
        </w:trPr>
        <w:tc>
          <w:tcPr>
            <w:tcW w:w="103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103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4,101</w:t>
            </w:r>
          </w:p>
        </w:tc>
      </w:tr>
      <w:tr>
        <w:trPr>
          <w:trHeight w:val="212"/>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Accretion of interest expense on contingent consideration</w:t>
            </w: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r>
      <w:tr>
        <w:trPr>
          <w:trHeight w:val="212"/>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income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r>
      <w:tr>
        <w:trPr>
          <w:trHeight w:val="219"/>
        </w:trPr>
        <w:tc>
          <w:tcPr>
            <w:tcW w:w="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w:t>
            </w:r>
          </w:p>
        </w:tc>
      </w:tr>
      <w:tr>
        <w:trPr>
          <w:trHeight w:val="20"/>
        </w:trPr>
        <w:tc>
          <w:tcPr>
            <w:tcW w:w="2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1" w:lineRule="exact"/>
        <w:rPr>
          <w:sz w:val="20"/>
          <w:szCs w:val="20"/>
          <w:color w:val="auto"/>
        </w:rPr>
      </w:pPr>
    </w:p>
    <w:p>
      <w:pPr>
        <w:ind w:left="5620" w:right="1660" w:hanging="5619"/>
        <w:spacing w:after="0" w:line="480" w:lineRule="auto"/>
        <w:rPr>
          <w:sz w:val="20"/>
          <w:szCs w:val="20"/>
          <w:color w:val="auto"/>
        </w:rPr>
      </w:pPr>
      <w:r>
        <w:rPr>
          <w:rFonts w:ascii="Arial" w:cs="Arial" w:eastAsia="Arial" w:hAnsi="Arial"/>
          <w:sz w:val="18"/>
          <w:szCs w:val="18"/>
          <w:color w:val="auto"/>
        </w:rPr>
        <w:t>The fair value of our real estate mortgage obligation was $4.7 million and $5.1 million at October 2, 2010 and April 3, 2010, respectively.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or is resolved. Events or items that give rise to discrete recognition include finalizing audit examinations for open tax years, a statute of limitation’s expiration, or a change in the statutory tax rate. The calculated tax rate is without any benefit from the research and development credit that could later become valid for our fiscal year 2011.</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reported tax rate was 26.8% and 26.7% for the second quarter and the six month period ended October 2, 2010, respectively. The reported tax rate includes:</w:t>
      </w:r>
    </w:p>
    <w:p>
      <w:pPr>
        <w:spacing w:after="0" w:line="146" w:lineRule="exact"/>
        <w:rPr>
          <w:sz w:val="20"/>
          <w:szCs w:val="20"/>
          <w:color w:val="auto"/>
        </w:rPr>
      </w:pPr>
    </w:p>
    <w:p>
      <w:pPr>
        <w:ind w:left="440" w:hanging="434"/>
        <w:spacing w:after="0" w:line="255"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expected effective annual tax rate of 29.8% comprised of the U.S. federal statutory tax rate of 35.0% reduced by tax benefits from foreign taxes (including our Swiss principal) and a domestic manufacturing deduction, plus the state tax provision and stock compensation expenses not deductible in all jurisdictions.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items were realized in the second quarter of fiscal year 2011:</w:t>
      </w:r>
    </w:p>
    <w:p>
      <w:pPr>
        <w:spacing w:after="0" w:line="111" w:lineRule="exact"/>
        <w:rPr>
          <w:sz w:val="20"/>
          <w:szCs w:val="20"/>
          <w:color w:val="auto"/>
        </w:rPr>
      </w:pPr>
    </w:p>
    <w:p>
      <w:pPr>
        <w:ind w:left="440" w:hanging="434"/>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$0.6 million benefit for the contingent consideration income that is not taxable,</w:t>
      </w:r>
    </w:p>
    <w:p>
      <w:pPr>
        <w:spacing w:after="0" w:line="124" w:lineRule="exact"/>
        <w:rPr>
          <w:rFonts w:ascii="Arial" w:cs="Arial" w:eastAsia="Arial" w:hAnsi="Arial"/>
          <w:sz w:val="18"/>
          <w:szCs w:val="18"/>
          <w:b w:val="1"/>
          <w:bCs w:val="1"/>
          <w:color w:val="auto"/>
        </w:rPr>
      </w:pPr>
    </w:p>
    <w:p>
      <w:pPr>
        <w:ind w:right="1660" w:firstLine="6"/>
        <w:spacing w:after="0" w:line="442" w:lineRule="auto"/>
        <w:tabs>
          <w:tab w:leader="none" w:pos="438"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a $0.3 million benefit from the release of a transfer price reserve after completion of the fiscal year 2010 global transfer price study. During the first quarter of fiscal year 2011, we recognized a $0.8 million discrete tax benefit from our Swiss principal ruling.</w:t>
      </w:r>
    </w:p>
    <w:p>
      <w:pPr>
        <w:spacing w:after="0" w:line="1"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The reported tax rate was 30.8% and 30.5% for the second quarter and the six month period ended September 26, 2009, respectively. The reported tax rate includes:</w:t>
      </w:r>
    </w:p>
    <w:p>
      <w:pPr>
        <w:spacing w:after="0" w:line="73" w:lineRule="exact"/>
        <w:rPr>
          <w:sz w:val="20"/>
          <w:szCs w:val="20"/>
          <w:color w:val="auto"/>
        </w:rPr>
      </w:pPr>
    </w:p>
    <w:p>
      <w:pPr>
        <w:ind w:left="440" w:right="180" w:hanging="434"/>
        <w:spacing w:after="0" w:line="255"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expected effective annual tax rate of 31.1%, comprised of the U.S. federal statutory tax rate of 35.0% reduced by tax benefits from foreign taxes (including our Swiss principal) and a domestic manufacturing deduction, plus the state tax provision, and stock compensation expenses not deductible in all jurisdictions.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 were realized during the first quarter of fiscal year 2010:</w:t>
      </w:r>
    </w:p>
    <w:p>
      <w:pPr>
        <w:spacing w:after="0" w:line="111" w:lineRule="exact"/>
        <w:rPr>
          <w:sz w:val="20"/>
          <w:szCs w:val="20"/>
          <w:color w:val="auto"/>
        </w:rPr>
      </w:pPr>
    </w:p>
    <w:p>
      <w:pPr>
        <w:ind w:left="440" w:hanging="434"/>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24" w:lineRule="exact"/>
        <w:rPr>
          <w:rFonts w:ascii="Arial" w:cs="Arial" w:eastAsia="Arial" w:hAnsi="Arial"/>
          <w:sz w:val="18"/>
          <w:szCs w:val="18"/>
          <w:b w:val="1"/>
          <w:bCs w:val="1"/>
          <w:color w:val="auto"/>
        </w:rPr>
      </w:pPr>
    </w:p>
    <w:p>
      <w:pPr>
        <w:ind w:left="440" w:hanging="434"/>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$0.1 million cost from foreign tax assessments.</w:t>
      </w:r>
    </w:p>
    <w:p>
      <w:pPr>
        <w:spacing w:after="0" w:line="1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 business globally and, as a result, file consolidated federal and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1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PENSION PLANS</w:t>
      </w:r>
    </w:p>
    <w:p>
      <w:pPr>
        <w:spacing w:after="0" w:line="117"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For the 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26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rPr>
              <w:t>October 2, 2010</w:t>
            </w:r>
          </w:p>
        </w:tc>
        <w:tc>
          <w:tcPr>
            <w:tcW w:w="1420" w:type="dxa"/>
            <w:vAlign w:val="bottom"/>
            <w:tcBorders>
              <w:bottom w:val="single" w:sz="8" w:color="auto"/>
            </w:tcBorders>
            <w:gridSpan w:val="3"/>
          </w:tcPr>
          <w:p>
            <w:pPr>
              <w:ind w:left="28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3"/>
          </w:tcPr>
          <w:p>
            <w:pPr>
              <w:jc w:val="center"/>
              <w:ind w:right="392"/>
              <w:spacing w:after="0" w:line="139" w:lineRule="exact"/>
              <w:rPr>
                <w:sz w:val="20"/>
                <w:szCs w:val="20"/>
                <w:color w:val="auto"/>
              </w:rPr>
            </w:pPr>
            <w:r>
              <w:rPr>
                <w:rFonts w:ascii="Arial" w:cs="Arial" w:eastAsia="Arial" w:hAnsi="Arial"/>
                <w:sz w:val="14"/>
                <w:szCs w:val="14"/>
                <w:color w:val="auto"/>
                <w:w w:val="90"/>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152</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2"/>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20" w:type="dxa"/>
            <w:vAlign w:val="bottom"/>
          </w:tcPr>
          <w:p>
            <w:pPr>
              <w:spacing w:after="0"/>
              <w:rPr>
                <w:sz w:val="18"/>
                <w:szCs w:val="18"/>
                <w:color w:val="auto"/>
              </w:rPr>
            </w:pPr>
          </w:p>
        </w:tc>
        <w:tc>
          <w:tcPr>
            <w:tcW w:w="940" w:type="dxa"/>
            <w:vAlign w:val="bottom"/>
            <w:gridSpan w:val="2"/>
          </w:tcPr>
          <w:p>
            <w:pPr>
              <w:jc w:val="right"/>
              <w:ind w:right="289"/>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9"/>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Amortization of unrecognized prior service cost, unrecognized gain and unrecognized initial obligation</w:t>
            </w:r>
          </w:p>
        </w:tc>
        <w:tc>
          <w:tcPr>
            <w:tcW w:w="320" w:type="dxa"/>
            <w:vAlign w:val="bottom"/>
          </w:tcPr>
          <w:p>
            <w:pPr>
              <w:spacing w:after="0"/>
              <w:rPr>
                <w:sz w:val="19"/>
                <w:szCs w:val="19"/>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color w:val="auto"/>
                <w:w w:val="91"/>
              </w:rPr>
              <w:t>For the six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26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rPr>
              <w:t>October 2, 2010</w:t>
            </w:r>
          </w:p>
        </w:tc>
        <w:tc>
          <w:tcPr>
            <w:tcW w:w="1420" w:type="dxa"/>
            <w:vAlign w:val="bottom"/>
            <w:tcBorders>
              <w:bottom w:val="single" w:sz="8" w:color="auto"/>
            </w:tcBorders>
            <w:gridSpan w:val="3"/>
          </w:tcPr>
          <w:p>
            <w:pPr>
              <w:ind w:left="28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3"/>
          </w:tcPr>
          <w:p>
            <w:pPr>
              <w:jc w:val="center"/>
              <w:ind w:right="392"/>
              <w:spacing w:after="0" w:line="139" w:lineRule="exact"/>
              <w:rPr>
                <w:sz w:val="20"/>
                <w:szCs w:val="20"/>
                <w:color w:val="auto"/>
              </w:rPr>
            </w:pPr>
            <w:r>
              <w:rPr>
                <w:rFonts w:ascii="Arial" w:cs="Arial" w:eastAsia="Arial" w:hAnsi="Arial"/>
                <w:sz w:val="14"/>
                <w:szCs w:val="14"/>
                <w:color w:val="auto"/>
                <w:w w:val="90"/>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304</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12"/>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20" w:type="dxa"/>
            <w:vAlign w:val="bottom"/>
          </w:tcPr>
          <w:p>
            <w:pPr>
              <w:spacing w:after="0"/>
              <w:rPr>
                <w:sz w:val="18"/>
                <w:szCs w:val="18"/>
                <w:color w:val="auto"/>
              </w:rPr>
            </w:pPr>
          </w:p>
        </w:tc>
        <w:tc>
          <w:tcPr>
            <w:tcW w:w="940" w:type="dxa"/>
            <w:vAlign w:val="bottom"/>
            <w:gridSpan w:val="2"/>
          </w:tcPr>
          <w:p>
            <w:pPr>
              <w:jc w:val="right"/>
              <w:ind w:right="289"/>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9"/>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Amortization of unrecognized prior service cost, unrecognized gain and unrecognized initial obligation</w:t>
            </w:r>
          </w:p>
        </w:tc>
        <w:tc>
          <w:tcPr>
            <w:tcW w:w="320" w:type="dxa"/>
            <w:vAlign w:val="bottom"/>
          </w:tcPr>
          <w:p>
            <w:pPr>
              <w:spacing w:after="0"/>
              <w:rPr>
                <w:sz w:val="19"/>
                <w:szCs w:val="19"/>
                <w:color w:val="auto"/>
              </w:rPr>
            </w:pPr>
          </w:p>
        </w:tc>
        <w:tc>
          <w:tcPr>
            <w:tcW w:w="940" w:type="dxa"/>
            <w:vAlign w:val="bottom"/>
            <w:gridSpan w:val="2"/>
          </w:tcPr>
          <w:p>
            <w:pPr>
              <w:jc w:val="right"/>
              <w:ind w:right="229"/>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2"/>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bank, hospital, and software solutions.</w:t>
      </w:r>
    </w:p>
    <w:p>
      <w:pPr>
        <w:spacing w:after="0" w:line="111" w:lineRule="exact"/>
        <w:rPr>
          <w:sz w:val="20"/>
          <w:szCs w:val="20"/>
          <w:color w:val="auto"/>
        </w:rPr>
      </w:pPr>
    </w:p>
    <w:p>
      <w:pPr>
        <w:ind w:right="140"/>
        <w:spacing w:after="0" w:line="304" w:lineRule="auto"/>
        <w:rPr>
          <w:sz w:val="20"/>
          <w:szCs w:val="20"/>
          <w:color w:val="auto"/>
        </w:rPr>
      </w:pPr>
      <w:r>
        <w:rPr>
          <w:rFonts w:ascii="Arial" w:cs="Arial" w:eastAsia="Arial" w:hAnsi="Arial"/>
          <w:sz w:val="15"/>
          <w:szCs w:val="15"/>
          <w:color w:val="auto"/>
        </w:rPr>
        <w:t>Our products include equipment devices and the related disposables used with these devices. Disposables include the plasma, blood bank, and hospital product families. Plasma consists of the disposables used to perform apheresis for the separation of whole blood components and subsequent collection of plasma to be used as a raw material for biologically derived pharmaceuticals (also known as source plasma). Blood bank consists of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13"/>
          <w:szCs w:val="13"/>
          <w:color w:val="auto"/>
        </w:rPr>
        <w:t>®</w:t>
      </w:r>
      <w:r>
        <w:rPr>
          <w:rFonts w:ascii="Arial" w:cs="Arial" w:eastAsia="Arial" w:hAnsi="Arial"/>
          <w:sz w:val="15"/>
          <w:szCs w:val="15"/>
          <w:color w:val="auto"/>
        </w:rPr>
        <w:t xml:space="preserve"> autologous blood recovery system targeted to procedures that involve rapid, high volume blood loss such as cardiovascular surgeries and the cardioPAT</w:t>
      </w:r>
      <w:r>
        <w:rPr>
          <w:rFonts w:ascii="Arial" w:cs="Arial" w:eastAsia="Arial" w:hAnsi="Arial"/>
          <w:sz w:val="13"/>
          <w:szCs w:val="13"/>
          <w:color w:val="auto"/>
        </w:rPr>
        <w:t>®</w:t>
      </w:r>
      <w:r>
        <w:rPr>
          <w:rFonts w:ascii="Arial" w:cs="Arial" w:eastAsia="Arial" w:hAnsi="Arial"/>
          <w:sz w:val="15"/>
          <w:szCs w:val="15"/>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13"/>
          <w:szCs w:val="13"/>
          <w:color w:val="auto"/>
        </w:rPr>
        <w:t>®</w:t>
      </w:r>
      <w:r>
        <w:rPr>
          <w:rFonts w:ascii="Arial" w:cs="Arial" w:eastAsia="Arial" w:hAnsi="Arial"/>
          <w:sz w:val="15"/>
          <w:szCs w:val="15"/>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13"/>
          <w:szCs w:val="13"/>
          <w:color w:val="auto"/>
        </w:rPr>
        <w:t>®</w:t>
      </w:r>
      <w:r>
        <w:rPr>
          <w:rFonts w:ascii="Arial" w:cs="Arial" w:eastAsia="Arial" w:hAnsi="Arial"/>
          <w:sz w:val="15"/>
          <w:szCs w:val="15"/>
          <w:color w:val="auto"/>
        </w:rPr>
        <w:t xml:space="preserve"> Thrombelastograph</w:t>
      </w:r>
      <w:r>
        <w:rPr>
          <w:rFonts w:ascii="Arial" w:cs="Arial" w:eastAsia="Arial" w:hAnsi="Arial"/>
          <w:sz w:val="13"/>
          <w:szCs w:val="13"/>
          <w:color w:val="auto"/>
        </w:rPr>
        <w:t>®</w:t>
      </w:r>
      <w:r>
        <w:rPr>
          <w:rFonts w:ascii="Arial" w:cs="Arial" w:eastAsia="Arial" w:hAnsi="Arial"/>
          <w:sz w:val="15"/>
          <w:szCs w:val="15"/>
          <w:color w:val="auto"/>
        </w:rPr>
        <w:t xml:space="preserve"> hemostasis analyzer used to help assess a surgical patient’s hemostasis (blood clotting ability) during and after surgery).</w:t>
      </w:r>
    </w:p>
    <w:p>
      <w:pPr>
        <w:spacing w:after="0" w:line="49" w:lineRule="exact"/>
        <w:rPr>
          <w:sz w:val="20"/>
          <w:szCs w:val="20"/>
          <w:color w:val="auto"/>
        </w:rPr>
      </w:pPr>
    </w:p>
    <w:p>
      <w:pPr>
        <w:ind w:right="560"/>
        <w:spacing w:after="0" w:line="265" w:lineRule="auto"/>
        <w:rPr>
          <w:sz w:val="20"/>
          <w:szCs w:val="20"/>
          <w:color w:val="auto"/>
        </w:rPr>
      </w:pPr>
      <w:r>
        <w:rPr>
          <w:rFonts w:ascii="Arial" w:cs="Arial" w:eastAsia="Arial" w:hAnsi="Arial"/>
          <w:sz w:val="18"/>
          <w:szCs w:val="18"/>
          <w:color w:val="auto"/>
        </w:rPr>
        <w:t>Software solutions include information technology platforms that assist blood banks, plasma centers, and hospitals to more effectively manage regulatory compliance and operational efficiency.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373"/>
              <w:spacing w:after="0"/>
              <w:rPr>
                <w:sz w:val="20"/>
                <w:szCs w:val="20"/>
                <w:color w:val="auto"/>
              </w:rPr>
            </w:pPr>
            <w:r>
              <w:rPr>
                <w:rFonts w:ascii="Arial" w:cs="Arial" w:eastAsia="Arial" w:hAnsi="Arial"/>
                <w:sz w:val="14"/>
                <w:szCs w:val="14"/>
                <w:color w:val="auto"/>
                <w:w w:val="91"/>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2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w w:val="89"/>
              </w:rPr>
              <w:t>October 2, 2010</w:t>
            </w:r>
          </w:p>
        </w:tc>
        <w:tc>
          <w:tcPr>
            <w:tcW w:w="1760" w:type="dxa"/>
            <w:vAlign w:val="bottom"/>
            <w:tcBorders>
              <w:bottom w:val="single" w:sz="8" w:color="auto"/>
            </w:tcBorders>
            <w:gridSpan w:val="3"/>
          </w:tcPr>
          <w:p>
            <w:pPr>
              <w:ind w:left="62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260"/>
              <w:spacing w:after="0" w:line="139" w:lineRule="exact"/>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5080" w:type="dxa"/>
            <w:vAlign w:val="bottom"/>
            <w:gridSpan w:val="2"/>
          </w:tcPr>
          <w:p>
            <w:pPr>
              <w:ind w:left="48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56,514</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59,423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Blood bank disposables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Platelet</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39,746</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37,250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4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51,040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48,734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Hospital disposables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Surgical</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16,011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4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136,493</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137,211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16,125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Equipment &amp; other</w:t>
            </w:r>
          </w:p>
        </w:tc>
        <w:tc>
          <w:tcPr>
            <w:tcW w:w="4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8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166,833</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157,070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left="373"/>
              <w:spacing w:after="0"/>
              <w:rPr>
                <w:sz w:val="20"/>
                <w:szCs w:val="20"/>
                <w:color w:val="auto"/>
              </w:rPr>
            </w:pPr>
            <w:r>
              <w:rPr>
                <w:rFonts w:ascii="Arial" w:cs="Arial" w:eastAsia="Arial" w:hAnsi="Arial"/>
                <w:sz w:val="14"/>
                <w:szCs w:val="14"/>
                <w:color w:val="auto"/>
                <w:w w:val="91"/>
              </w:rPr>
              <w:t>Six Months Ended</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2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w w:val="89"/>
              </w:rPr>
              <w:t>October 2, 2010</w:t>
            </w:r>
          </w:p>
        </w:tc>
        <w:tc>
          <w:tcPr>
            <w:tcW w:w="1760" w:type="dxa"/>
            <w:vAlign w:val="bottom"/>
            <w:tcBorders>
              <w:bottom w:val="single" w:sz="8" w:color="auto"/>
            </w:tcBorders>
            <w:gridSpan w:val="3"/>
          </w:tcPr>
          <w:p>
            <w:pPr>
              <w:ind w:left="620"/>
              <w:spacing w:after="0" w:line="139" w:lineRule="exact"/>
              <w:rPr>
                <w:sz w:val="20"/>
                <w:szCs w:val="20"/>
                <w:color w:val="auto"/>
              </w:rPr>
            </w:pPr>
            <w:r>
              <w:rPr>
                <w:rFonts w:ascii="Arial" w:cs="Arial" w:eastAsia="Arial" w:hAnsi="Arial"/>
                <w:sz w:val="14"/>
                <w:szCs w:val="14"/>
                <w:color w:val="auto"/>
                <w:w w:val="88"/>
              </w:rPr>
              <w:t>September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260"/>
              <w:spacing w:after="0" w:line="139" w:lineRule="exact"/>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5080" w:type="dxa"/>
            <w:vAlign w:val="bottom"/>
            <w:gridSpan w:val="2"/>
          </w:tcPr>
          <w:p>
            <w:pPr>
              <w:ind w:left="48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112,431</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118,291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Blood bank disposables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Platelet</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76,063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4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98,671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94,819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Hospital disposables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Surgical</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32,362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17,238</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4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270,057</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271,984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32,585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Equipment &amp; other</w:t>
            </w:r>
          </w:p>
        </w:tc>
        <w:tc>
          <w:tcPr>
            <w:tcW w:w="4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8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329,872</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311,158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80" w:type="dxa"/>
            <w:vAlign w:val="bottom"/>
            <w:vMerge w:val="restart"/>
          </w:tcPr>
          <w:p>
            <w:pPr>
              <w:ind w:left="1860"/>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REORGANIZATION</w:t>
      </w:r>
    </w:p>
    <w:p>
      <w:pPr>
        <w:spacing w:after="0" w:line="117" w:lineRule="exact"/>
        <w:rPr>
          <w:sz w:val="20"/>
          <w:szCs w:val="20"/>
          <w:color w:val="auto"/>
        </w:rPr>
      </w:pPr>
    </w:p>
    <w:p>
      <w:pPr>
        <w:ind w:right="240"/>
        <w:spacing w:after="0" w:line="366" w:lineRule="auto"/>
        <w:rPr>
          <w:sz w:val="20"/>
          <w:szCs w:val="20"/>
          <w:color w:val="auto"/>
        </w:rPr>
      </w:pPr>
      <w:r>
        <w:rPr>
          <w:rFonts w:ascii="Arial" w:cs="Arial" w:eastAsia="Arial" w:hAnsi="Arial"/>
          <w:sz w:val="15"/>
          <w:szCs w:val="15"/>
          <w:color w:val="auto"/>
        </w:rPr>
        <w:t>On April 1, 2010, our Board of Directors approved transformation and restructuring plans, which include the integration of Global Med Technologies, Inc. As part of these plans, in fiscal year 2011, we expect to incur additional cash restructuring costs of $6.4 million for employee matters and facility closures.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six months ended October 2, 2010 and September 26, 2009,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4"/>
          </w:tcPr>
          <w:p>
            <w:pPr>
              <w:spacing w:after="0"/>
              <w:rPr>
                <w:sz w:val="20"/>
                <w:szCs w:val="20"/>
                <w:color w:val="auto"/>
              </w:rPr>
            </w:pPr>
            <w:r>
              <w:rPr>
                <w:rFonts w:ascii="Arial" w:cs="Arial" w:eastAsia="Arial" w:hAnsi="Arial"/>
                <w:sz w:val="14"/>
                <w:szCs w:val="14"/>
                <w:color w:val="auto"/>
              </w:rPr>
              <w:t>Six Months Ended October 2, 2010</w:t>
            </w:r>
          </w:p>
        </w:tc>
        <w:tc>
          <w:tcPr>
            <w:tcW w:w="66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1"/>
              </w:rPr>
              <w:t>Restructuring</w:t>
            </w:r>
          </w:p>
        </w:tc>
        <w:tc>
          <w:tcPr>
            <w:tcW w:w="0" w:type="dxa"/>
            <w:vAlign w:val="bottom"/>
          </w:tcPr>
          <w:p>
            <w:pPr>
              <w:spacing w:after="0"/>
              <w:rPr>
                <w:sz w:val="1"/>
                <w:szCs w:val="1"/>
                <w:color w:val="auto"/>
              </w:rPr>
            </w:pPr>
          </w:p>
        </w:tc>
      </w:tr>
      <w:tr>
        <w:trPr>
          <w:trHeight w:val="112"/>
        </w:trPr>
        <w:tc>
          <w:tcPr>
            <w:tcW w:w="4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color w:val="auto"/>
                <w:w w:val="94"/>
              </w:rPr>
              <w:t>Accrual</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4"/>
                <w:szCs w:val="14"/>
                <w:color w:val="auto"/>
                <w:w w:val="90"/>
              </w:rPr>
              <w:t>Balance at</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4"/>
                <w:szCs w:val="14"/>
                <w:color w:val="auto"/>
                <w:w w:val="91"/>
              </w:rPr>
              <w:t>Asset</w:t>
            </w:r>
          </w:p>
        </w:tc>
        <w:tc>
          <w:tcPr>
            <w:tcW w:w="66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4"/>
        </w:trPr>
        <w:tc>
          <w:tcPr>
            <w:tcW w:w="4920" w:type="dxa"/>
            <w:vAlign w:val="bottom"/>
          </w:tcPr>
          <w:p>
            <w:pPr>
              <w:spacing w:after="0"/>
              <w:rPr>
                <w:sz w:val="20"/>
                <w:szCs w:val="20"/>
                <w:color w:val="auto"/>
              </w:rPr>
            </w:pPr>
            <w:r>
              <w:rPr>
                <w:rFonts w:ascii="Arial" w:cs="Arial" w:eastAsia="Arial" w:hAnsi="Arial"/>
                <w:sz w:val="14"/>
                <w:szCs w:val="14"/>
                <w:color w:val="auto"/>
              </w:rPr>
              <w:t>(Dollars in thousands)</w:t>
            </w:r>
          </w:p>
        </w:tc>
        <w:tc>
          <w:tcPr>
            <w:tcW w:w="760" w:type="dxa"/>
            <w:vAlign w:val="bottom"/>
          </w:tcPr>
          <w:p>
            <w:pPr>
              <w:jc w:val="center"/>
              <w:spacing w:after="0"/>
              <w:rPr>
                <w:sz w:val="20"/>
                <w:szCs w:val="20"/>
                <w:color w:val="auto"/>
              </w:rPr>
            </w:pPr>
            <w:r>
              <w:rPr>
                <w:rFonts w:ascii="Arial" w:cs="Arial" w:eastAsia="Arial" w:hAnsi="Arial"/>
                <w:sz w:val="14"/>
                <w:szCs w:val="14"/>
                <w:color w:val="auto"/>
                <w:w w:val="96"/>
              </w:rPr>
              <w:t>April 3, 2010</w:t>
            </w:r>
          </w:p>
        </w:tc>
        <w:tc>
          <w:tcPr>
            <w:tcW w:w="6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90"/>
              </w:rPr>
              <w:t>Cost Incurred</w:t>
            </w:r>
          </w:p>
        </w:tc>
        <w:tc>
          <w:tcPr>
            <w:tcW w:w="6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auto"/>
                <w:w w:val="93"/>
              </w:rPr>
              <w:t>Payments</w:t>
            </w: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Write down</w:t>
            </w:r>
          </w:p>
        </w:tc>
        <w:tc>
          <w:tcPr>
            <w:tcW w:w="1560" w:type="dxa"/>
            <w:vAlign w:val="bottom"/>
            <w:gridSpan w:val="2"/>
          </w:tcPr>
          <w:p>
            <w:pPr>
              <w:jc w:val="center"/>
              <w:ind w:left="589"/>
              <w:spacing w:after="0"/>
              <w:rPr>
                <w:sz w:val="20"/>
                <w:szCs w:val="20"/>
                <w:color w:val="auto"/>
              </w:rPr>
            </w:pPr>
            <w:r>
              <w:rPr>
                <w:rFonts w:ascii="Arial" w:cs="Arial" w:eastAsia="Arial" w:hAnsi="Arial"/>
                <w:sz w:val="14"/>
                <w:szCs w:val="14"/>
                <w:color w:val="auto"/>
                <w:w w:val="89"/>
              </w:rPr>
              <w:t>October 2, 2010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80" w:type="dxa"/>
            <w:vAlign w:val="bottom"/>
            <w:gridSpan w:val="2"/>
          </w:tcPr>
          <w:p>
            <w:pPr>
              <w:spacing w:after="0"/>
              <w:rPr>
                <w:sz w:val="20"/>
                <w:szCs w:val="20"/>
                <w:color w:val="auto"/>
              </w:rPr>
            </w:pPr>
            <w:r>
              <w:rPr>
                <w:rFonts w:ascii="Arial" w:cs="Arial" w:eastAsia="Arial" w:hAnsi="Arial"/>
                <w:sz w:val="18"/>
                <w:szCs w:val="18"/>
                <w:color w:val="auto"/>
              </w:rPr>
              <w:t>Employee-related costs</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9,761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(5,529)</w:t>
            </w:r>
          </w:p>
        </w:tc>
        <w:tc>
          <w:tcPr>
            <w:tcW w:w="7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9,761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(5,529)</w:t>
            </w:r>
          </w:p>
        </w:tc>
        <w:tc>
          <w:tcPr>
            <w:tcW w:w="7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11"/>
          </w:tcPr>
          <w:p>
            <w:pPr>
              <w:ind w:left="340"/>
              <w:spacing w:after="0"/>
              <w:rPr>
                <w:sz w:val="20"/>
                <w:szCs w:val="20"/>
                <w:color w:val="auto"/>
              </w:rPr>
            </w:pPr>
            <w:r>
              <w:rPr>
                <w:rFonts w:ascii="Arial" w:cs="Arial" w:eastAsia="Arial" w:hAnsi="Arial"/>
                <w:sz w:val="14"/>
                <w:szCs w:val="14"/>
                <w:color w:val="auto"/>
              </w:rPr>
              <w:t>Six Months Ended September 26, 2009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98"/>
              </w:rPr>
              <w:t>Accrual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0" w:type="dxa"/>
            <w:vAlign w:val="bottom"/>
            <w:gridSpan w:val="4"/>
          </w:tcPr>
          <w:p>
            <w:pPr>
              <w:ind w:left="160"/>
              <w:spacing w:after="0" w:line="146" w:lineRule="exact"/>
              <w:rPr>
                <w:sz w:val="20"/>
                <w:szCs w:val="20"/>
                <w:color w:val="auto"/>
              </w:rPr>
            </w:pPr>
            <w:r>
              <w:rPr>
                <w:rFonts w:ascii="Arial" w:cs="Arial" w:eastAsia="Arial" w:hAnsi="Arial"/>
                <w:sz w:val="14"/>
                <w:szCs w:val="14"/>
                <w:color w:val="auto"/>
              </w:rPr>
              <w:t>Balance at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ind w:left="200"/>
              <w:spacing w:after="0" w:line="146" w:lineRule="exact"/>
              <w:rPr>
                <w:sz w:val="20"/>
                <w:szCs w:val="20"/>
                <w:color w:val="auto"/>
              </w:rPr>
            </w:pPr>
            <w:r>
              <w:rPr>
                <w:rFonts w:ascii="Arial" w:cs="Arial" w:eastAsia="Arial" w:hAnsi="Arial"/>
                <w:sz w:val="14"/>
                <w:szCs w:val="14"/>
                <w:color w:val="auto"/>
                <w:w w:val="79"/>
              </w:rPr>
              <w:t>Asset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340"/>
              <w:spacing w:after="0" w:line="146" w:lineRule="exact"/>
              <w:rPr>
                <w:sz w:val="20"/>
                <w:szCs w:val="20"/>
                <w:color w:val="auto"/>
              </w:rPr>
            </w:pPr>
            <w:r>
              <w:rPr>
                <w:rFonts w:ascii="Arial" w:cs="Arial" w:eastAsia="Arial" w:hAnsi="Arial"/>
                <w:sz w:val="14"/>
                <w:szCs w:val="14"/>
                <w:color w:val="auto"/>
                <w:w w:val="87"/>
              </w:rPr>
              <w:t>Balance at</w:t>
            </w:r>
          </w:p>
        </w:tc>
        <w:tc>
          <w:tcPr>
            <w:tcW w:w="0" w:type="dxa"/>
            <w:vAlign w:val="bottom"/>
          </w:tcPr>
          <w:p>
            <w:pPr>
              <w:spacing w:after="0"/>
              <w:rPr>
                <w:sz w:val="1"/>
                <w:szCs w:val="1"/>
                <w:color w:val="auto"/>
              </w:rPr>
            </w:pPr>
          </w:p>
        </w:tc>
      </w:tr>
      <w:tr>
        <w:trPr>
          <w:trHeight w:val="164"/>
        </w:trPr>
        <w:tc>
          <w:tcPr>
            <w:tcW w:w="46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000" w:type="dxa"/>
            <w:vAlign w:val="bottom"/>
            <w:gridSpan w:val="4"/>
          </w:tcPr>
          <w:p>
            <w:pPr>
              <w:spacing w:after="0"/>
              <w:rPr>
                <w:sz w:val="20"/>
                <w:szCs w:val="20"/>
                <w:color w:val="auto"/>
              </w:rPr>
            </w:pPr>
            <w:r>
              <w:rPr>
                <w:rFonts w:ascii="Arial" w:cs="Arial" w:eastAsia="Arial" w:hAnsi="Arial"/>
                <w:sz w:val="14"/>
                <w:szCs w:val="14"/>
                <w:color w:val="auto"/>
              </w:rPr>
              <w:t>March 28, 2009</w:t>
            </w:r>
          </w:p>
        </w:tc>
        <w:tc>
          <w:tcPr>
            <w:tcW w:w="520" w:type="dxa"/>
            <w:vAlign w:val="bottom"/>
          </w:tcPr>
          <w:p>
            <w:pPr>
              <w:spacing w:after="0"/>
              <w:rPr>
                <w:sz w:val="14"/>
                <w:szCs w:val="14"/>
                <w:color w:val="auto"/>
              </w:rPr>
            </w:pPr>
          </w:p>
        </w:tc>
        <w:tc>
          <w:tcPr>
            <w:tcW w:w="1400" w:type="dxa"/>
            <w:vAlign w:val="bottom"/>
            <w:gridSpan w:val="5"/>
          </w:tcPr>
          <w:p>
            <w:pPr>
              <w:jc w:val="right"/>
              <w:ind w:right="620"/>
              <w:spacing w:after="0"/>
              <w:rPr>
                <w:sz w:val="20"/>
                <w:szCs w:val="20"/>
                <w:color w:val="auto"/>
              </w:rPr>
            </w:pPr>
            <w:r>
              <w:rPr>
                <w:rFonts w:ascii="Arial" w:cs="Arial" w:eastAsia="Arial" w:hAnsi="Arial"/>
                <w:sz w:val="14"/>
                <w:szCs w:val="14"/>
                <w:color w:val="auto"/>
                <w:w w:val="90"/>
              </w:rPr>
              <w:t>Cost Incurred</w:t>
            </w:r>
          </w:p>
        </w:tc>
        <w:tc>
          <w:tcPr>
            <w:tcW w:w="1080" w:type="dxa"/>
            <w:vAlign w:val="bottom"/>
            <w:gridSpan w:val="5"/>
          </w:tcPr>
          <w:p>
            <w:pPr>
              <w:jc w:val="right"/>
              <w:ind w:right="480"/>
              <w:spacing w:after="0"/>
              <w:rPr>
                <w:sz w:val="20"/>
                <w:szCs w:val="20"/>
                <w:color w:val="auto"/>
              </w:rPr>
            </w:pPr>
            <w:r>
              <w:rPr>
                <w:rFonts w:ascii="Arial" w:cs="Arial" w:eastAsia="Arial" w:hAnsi="Arial"/>
                <w:sz w:val="14"/>
                <w:szCs w:val="14"/>
                <w:color w:val="auto"/>
                <w:w w:val="93"/>
              </w:rPr>
              <w:t>Payments</w:t>
            </w:r>
          </w:p>
        </w:tc>
        <w:tc>
          <w:tcPr>
            <w:tcW w:w="200" w:type="dxa"/>
            <w:vAlign w:val="bottom"/>
          </w:tcPr>
          <w:p>
            <w:pPr>
              <w:spacing w:after="0"/>
              <w:rPr>
                <w:sz w:val="14"/>
                <w:szCs w:val="14"/>
                <w:color w:val="auto"/>
              </w:rPr>
            </w:pPr>
          </w:p>
        </w:tc>
        <w:tc>
          <w:tcPr>
            <w:tcW w:w="1100" w:type="dxa"/>
            <w:vAlign w:val="bottom"/>
            <w:gridSpan w:val="5"/>
          </w:tcPr>
          <w:p>
            <w:pPr>
              <w:jc w:val="right"/>
              <w:ind w:right="420"/>
              <w:spacing w:after="0"/>
              <w:rPr>
                <w:sz w:val="20"/>
                <w:szCs w:val="20"/>
                <w:color w:val="auto"/>
              </w:rPr>
            </w:pPr>
            <w:r>
              <w:rPr>
                <w:rFonts w:ascii="Arial" w:cs="Arial" w:eastAsia="Arial" w:hAnsi="Arial"/>
                <w:sz w:val="14"/>
                <w:szCs w:val="14"/>
                <w:color w:val="auto"/>
                <w:w w:val="94"/>
              </w:rPr>
              <w:t>Write down</w:t>
            </w:r>
          </w:p>
        </w:tc>
        <w:tc>
          <w:tcPr>
            <w:tcW w:w="1440" w:type="dxa"/>
            <w:vAlign w:val="bottom"/>
            <w:gridSpan w:val="5"/>
          </w:tcPr>
          <w:p>
            <w:pPr>
              <w:jc w:val="center"/>
              <w:ind w:left="15"/>
              <w:spacing w:after="0"/>
              <w:rPr>
                <w:sz w:val="20"/>
                <w:szCs w:val="20"/>
                <w:color w:val="auto"/>
              </w:rPr>
            </w:pPr>
            <w:r>
              <w:rPr>
                <w:rFonts w:ascii="Arial" w:cs="Arial" w:eastAsia="Arial" w:hAnsi="Arial"/>
                <w:sz w:val="14"/>
                <w:szCs w:val="14"/>
                <w:color w:val="auto"/>
                <w:w w:val="89"/>
              </w:rPr>
              <w:t>September 26, 2009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(483)</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Facility related costs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(603)</w:t>
            </w:r>
          </w:p>
        </w:tc>
        <w:tc>
          <w:tcPr>
            <w:tcW w:w="260" w:type="dxa"/>
            <w:vAlign w:val="bottom"/>
          </w:tcPr>
          <w:p>
            <w:pPr>
              <w:spacing w:after="0"/>
              <w:rPr>
                <w:sz w:val="18"/>
                <w:szCs w:val="18"/>
                <w:color w:val="auto"/>
              </w:rPr>
            </w:pPr>
          </w:p>
        </w:tc>
        <w:tc>
          <w:tcPr>
            <w:tcW w:w="40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spacing w:after="0" w:line="265" w:lineRule="auto"/>
        <w:rPr>
          <w:sz w:val="20"/>
          <w:szCs w:val="20"/>
          <w:color w:val="auto"/>
        </w:rPr>
      </w:pPr>
      <w:r>
        <w:rPr>
          <w:rFonts w:ascii="Arial" w:cs="Arial" w:eastAsia="Arial" w:hAnsi="Arial"/>
          <w:sz w:val="18"/>
          <w:szCs w:val="18"/>
          <w:color w:val="auto"/>
        </w:rPr>
        <w:t>Additionally, we expect to incur approximately $2.0 million of integration costs. For the six months ended October 2, 2010, we incurred $1.4 million of integration costs related to Global Med.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 OF SOFTWARE DEVELOPMENT COSTS</w:t>
      </w:r>
    </w:p>
    <w:p>
      <w:pPr>
        <w:spacing w:after="0" w:line="11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The cost of software that is developed or obtained for internal use is accounted for pursuant to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$1.6 million and $4.9 million in costs incurred for acquisition of the software license and related software development costs for new internal software that was in the application development stage during the six month period ended October 2, 2010 and September 26, 2009, respectively. The capitalized costs are included as a component of property, plant and equipment in the consolidated financial statements.</w:t>
      </w:r>
    </w:p>
    <w:p>
      <w:pPr>
        <w:spacing w:after="0" w:line="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feasibility has been established for the product. Once technological feasibility is established, all software costs should be capitalized until the product is available for general release to customers.</w:t>
      </w:r>
    </w:p>
    <w:p>
      <w:pPr>
        <w:spacing w:after="0" w:line="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capitalized $3.4 million and $2.5 million in software development costs for ongoing initiatives during the six month period ended October 2, 2010 and September 26, 2009, respectively. At October 2, 2010 and April 3, 2010, we have a total of $9.9 million and $7.6 million, respectively, of costs capitalized related to other in process software development initiatives. The costs capitalized for each project are included in intangible assets in the consolidated financial statements. We will begin to amortize these costs when the products are released for sale.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313295" cy="947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3295" cy="9474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2010 Annual Report on Form 10-K filed with the Securities and Exchange Commission (the “SEC”) on June 1, 2010. The following discussion may contain forward-looking statements and should be read in conjunction with the “</w:t>
      </w:r>
      <w:r>
        <w:rPr>
          <w:rFonts w:ascii="Arial" w:cs="Arial" w:eastAsia="Arial" w:hAnsi="Arial"/>
          <w:sz w:val="17"/>
          <w:szCs w:val="17"/>
          <w:b w:val="1"/>
          <w:bCs w:val="1"/>
          <w:color w:val="auto"/>
        </w:rPr>
        <w:t>Cautionary</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 Regarding Forward-Looking Information</w:t>
      </w:r>
      <w:r>
        <w:rPr>
          <w:rFonts w:ascii="Arial" w:cs="Arial" w:eastAsia="Arial" w:hAnsi="Arial"/>
          <w:sz w:val="17"/>
          <w:szCs w:val="17"/>
          <w:color w:val="auto"/>
        </w:rPr>
        <w:t>” beginning on page 34.</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 systems, we also provide information technology platforms and value added services to provide customers with business solutions which support improved clinical outcomes for patients and efficiency in the blood supply chain.</w:t>
      </w:r>
    </w:p>
    <w:p>
      <w:pPr>
        <w:spacing w:after="0" w:line="8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Our systems automate the collection and processing of donated blood; assess likelihood for blood loss; salvage and process surgical patient blood; and dispense and track blood inventory in the hospital. These systems include devices and single-use, proprietary disposable sets (“disposables”) that operate only with our specialized devices. Specifically, our plasma and blood bank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75"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Our business services products include consulting, Six Sigma, and LEAN manufacturing offerings that support our customers’ needs for regulatory compliance and operational efficiency in the blood supply chain.</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83" w:lineRule="exact"/>
        <w:rPr>
          <w:sz w:val="20"/>
          <w:szCs w:val="20"/>
          <w:color w:val="auto"/>
        </w:rPr>
      </w:pPr>
    </w:p>
    <w:p>
      <w:pPr>
        <w:ind w:left="660" w:hanging="429"/>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81.9% and 87.4% of our total revenues for the first six months of fiscal year 2011 and 2010,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The following table provides an overview of our financial results for the three and six months ended October 2, 2010 and the comparable three and six month periods in our prior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For the three months ended</w:t>
            </w:r>
          </w:p>
        </w:tc>
        <w:tc>
          <w:tcPr>
            <w:tcW w:w="1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 Increase/</w:t>
            </w: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For the six months ended</w:t>
            </w:r>
          </w:p>
        </w:tc>
        <w:tc>
          <w:tcPr>
            <w:tcW w:w="12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80" w:type="dxa"/>
            <w:vAlign w:val="bottom"/>
            <w:gridSpan w:val="2"/>
          </w:tcPr>
          <w:p>
            <w:pPr>
              <w:jc w:val="right"/>
              <w:ind w:right="354"/>
              <w:spacing w:after="0" w:line="117" w:lineRule="exact"/>
              <w:rPr>
                <w:sz w:val="20"/>
                <w:szCs w:val="20"/>
                <w:color w:val="auto"/>
              </w:rPr>
            </w:pPr>
            <w:r>
              <w:rPr>
                <w:rFonts w:ascii="Arial" w:cs="Arial" w:eastAsia="Arial" w:hAnsi="Arial"/>
                <w:sz w:val="13"/>
                <w:szCs w:val="13"/>
                <w:b w:val="1"/>
                <w:bCs w:val="1"/>
                <w:color w:val="auto"/>
              </w:rPr>
              <w:t>October 2,</w:t>
            </w:r>
          </w:p>
        </w:tc>
        <w:tc>
          <w:tcPr>
            <w:tcW w:w="1440" w:type="dxa"/>
            <w:vAlign w:val="bottom"/>
            <w:gridSpan w:val="2"/>
          </w:tcPr>
          <w:p>
            <w:pPr>
              <w:jc w:val="right"/>
              <w:ind w:right="153"/>
              <w:spacing w:after="0" w:line="117" w:lineRule="exact"/>
              <w:rPr>
                <w:sz w:val="20"/>
                <w:szCs w:val="20"/>
                <w:color w:val="auto"/>
              </w:rPr>
            </w:pPr>
            <w:r>
              <w:rPr>
                <w:rFonts w:ascii="Arial" w:cs="Arial" w:eastAsia="Arial" w:hAnsi="Arial"/>
                <w:sz w:val="13"/>
                <w:szCs w:val="13"/>
                <w:b w:val="1"/>
                <w:bCs w:val="1"/>
                <w:color w:val="auto"/>
              </w:rPr>
              <w:t>September 26,</w:t>
            </w:r>
          </w:p>
        </w:tc>
        <w:tc>
          <w:tcPr>
            <w:tcW w:w="1720" w:type="dxa"/>
            <w:vAlign w:val="bottom"/>
            <w:gridSpan w:val="2"/>
            <w:vMerge w:val="continue"/>
          </w:tcPr>
          <w:p>
            <w:pPr>
              <w:spacing w:after="0"/>
              <w:rPr>
                <w:sz w:val="10"/>
                <w:szCs w:val="10"/>
                <w:color w:val="auto"/>
              </w:rPr>
            </w:pPr>
          </w:p>
        </w:tc>
        <w:tc>
          <w:tcPr>
            <w:tcW w:w="1280" w:type="dxa"/>
            <w:vAlign w:val="bottom"/>
            <w:gridSpan w:val="2"/>
          </w:tcPr>
          <w:p>
            <w:pPr>
              <w:jc w:val="right"/>
              <w:ind w:right="354"/>
              <w:spacing w:after="0" w:line="117" w:lineRule="exact"/>
              <w:rPr>
                <w:sz w:val="20"/>
                <w:szCs w:val="20"/>
                <w:color w:val="auto"/>
              </w:rPr>
            </w:pPr>
            <w:r>
              <w:rPr>
                <w:rFonts w:ascii="Arial" w:cs="Arial" w:eastAsia="Arial" w:hAnsi="Arial"/>
                <w:sz w:val="13"/>
                <w:szCs w:val="13"/>
                <w:b w:val="1"/>
                <w:bCs w:val="1"/>
                <w:color w:val="auto"/>
              </w:rPr>
              <w:t>October 2,</w:t>
            </w:r>
          </w:p>
        </w:tc>
        <w:tc>
          <w:tcPr>
            <w:tcW w:w="1440" w:type="dxa"/>
            <w:vAlign w:val="bottom"/>
            <w:gridSpan w:val="2"/>
          </w:tcPr>
          <w:p>
            <w:pPr>
              <w:jc w:val="right"/>
              <w:ind w:right="153"/>
              <w:spacing w:after="0" w:line="117" w:lineRule="exact"/>
              <w:rPr>
                <w:sz w:val="20"/>
                <w:szCs w:val="20"/>
                <w:color w:val="auto"/>
              </w:rPr>
            </w:pPr>
            <w:r>
              <w:rPr>
                <w:rFonts w:ascii="Arial" w:cs="Arial" w:eastAsia="Arial" w:hAnsi="Arial"/>
                <w:sz w:val="13"/>
                <w:szCs w:val="13"/>
                <w:b w:val="1"/>
                <w:bCs w:val="1"/>
                <w:color w:val="auto"/>
              </w:rPr>
              <w:t>September 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98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220" w:type="dxa"/>
            <w:vAlign w:val="bottom"/>
          </w:tcPr>
          <w:p>
            <w:pPr>
              <w:spacing w:after="0"/>
              <w:rPr>
                <w:sz w:val="14"/>
                <w:szCs w:val="14"/>
                <w:color w:val="auto"/>
              </w:rPr>
            </w:pPr>
          </w:p>
        </w:tc>
        <w:tc>
          <w:tcPr>
            <w:tcW w:w="10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2009</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10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2009</w:t>
            </w:r>
          </w:p>
        </w:tc>
        <w:tc>
          <w:tcPr>
            <w:tcW w:w="1280" w:type="dxa"/>
            <w:vAlign w:val="bottom"/>
          </w:tcPr>
          <w:p>
            <w:pPr>
              <w:jc w:val="right"/>
              <w:ind w:right="7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6"/>
              </w:rPr>
              <w:t>166,833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6"/>
              </w:rPr>
              <w:t>157,070</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6"/>
              </w:rPr>
              <w:t>329,872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6"/>
              </w:rPr>
              <w:t>311,158</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87,755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80,967</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w w:val="86"/>
              </w:rPr>
              <w:t>174,217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w w:val="86"/>
              </w:rPr>
              <w:t>163,910</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52.6%</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51.5%</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52.8%</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52.7%</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58,850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53,944</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w w:val="86"/>
              </w:rPr>
              <w:t>121,125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w w:val="86"/>
              </w:rPr>
              <w:t>110,560</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28,905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27,023</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53,092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53,350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Arial" w:cs="Arial" w:eastAsia="Arial" w:hAnsi="Arial"/>
                <w:sz w:val="18"/>
                <w:szCs w:val="18"/>
                <w:i w:val="1"/>
                <w:iCs w:val="1"/>
                <w:color w:val="auto"/>
              </w:rPr>
              <w:t>17.3%</w:t>
            </w:r>
          </w:p>
        </w:tc>
        <w:tc>
          <w:tcPr>
            <w:tcW w:w="4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i w:val="1"/>
                <w:iCs w:val="1"/>
                <w:color w:val="auto"/>
              </w:rPr>
              <w:t>17.2%</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Arial" w:cs="Arial" w:eastAsia="Arial" w:hAnsi="Arial"/>
                <w:sz w:val="18"/>
                <w:szCs w:val="18"/>
                <w:i w:val="1"/>
                <w:iCs w:val="1"/>
                <w:color w:val="auto"/>
              </w:rPr>
              <w:t>16.1%</w:t>
            </w:r>
          </w:p>
        </w:tc>
        <w:tc>
          <w:tcPr>
            <w:tcW w:w="4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i w:val="1"/>
                <w:iCs w:val="1"/>
                <w:color w:val="auto"/>
              </w:rPr>
              <w:t>17.1%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(255)</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(463)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493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103</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378.6%</w:t>
            </w: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460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253</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(216)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(801)</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423"/>
        </w:trPr>
        <w:tc>
          <w:tcPr>
            <w:tcW w:w="29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29,159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26,070</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53,534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52,005</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7,821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8,020</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14,277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15,882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2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Arial" w:cs="Arial" w:eastAsia="Arial" w:hAnsi="Arial"/>
                <w:sz w:val="18"/>
                <w:szCs w:val="18"/>
                <w:i w:val="1"/>
                <w:iCs w:val="1"/>
                <w:color w:val="auto"/>
              </w:rPr>
              <w:t>26.8%</w:t>
            </w:r>
          </w:p>
        </w:tc>
        <w:tc>
          <w:tcPr>
            <w:tcW w:w="4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i w:val="1"/>
                <w:iCs w:val="1"/>
                <w:color w:val="auto"/>
              </w:rPr>
              <w:t>30.8%</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Arial" w:cs="Arial" w:eastAsia="Arial" w:hAnsi="Arial"/>
                <w:sz w:val="18"/>
                <w:szCs w:val="18"/>
                <w:i w:val="1"/>
                <w:iCs w:val="1"/>
                <w:color w:val="auto"/>
              </w:rPr>
              <w:t>26.7%</w:t>
            </w:r>
          </w:p>
        </w:tc>
        <w:tc>
          <w:tcPr>
            <w:tcW w:w="4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i w:val="1"/>
                <w:iCs w:val="1"/>
                <w:color w:val="auto"/>
              </w:rPr>
              <w:t>30.5%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21,338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18,050</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39,257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36,123</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Arial" w:cs="Arial" w:eastAsia="Arial" w:hAnsi="Arial"/>
                <w:sz w:val="18"/>
                <w:szCs w:val="18"/>
                <w:i w:val="1"/>
                <w:iCs w:val="1"/>
                <w:color w:val="auto"/>
              </w:rPr>
              <w:t>12.8%</w:t>
            </w:r>
          </w:p>
        </w:tc>
        <w:tc>
          <w:tcPr>
            <w:tcW w:w="4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i w:val="1"/>
                <w:iCs w:val="1"/>
                <w:color w:val="auto"/>
              </w:rPr>
              <w:t>11.5%</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Arial" w:cs="Arial" w:eastAsia="Arial" w:hAnsi="Arial"/>
                <w:sz w:val="18"/>
                <w:szCs w:val="18"/>
                <w:i w:val="1"/>
                <w:iCs w:val="1"/>
                <w:color w:val="auto"/>
              </w:rPr>
              <w:t>11.9%</w:t>
            </w:r>
          </w:p>
        </w:tc>
        <w:tc>
          <w:tcPr>
            <w:tcW w:w="4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i w:val="1"/>
                <w:iCs w:val="1"/>
                <w:color w:val="auto"/>
              </w:rPr>
              <w:t>11.6%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0.85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0.69</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1.54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1.37</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Net revenues increased 6.2% and 6.0% for the second quarter and the first six months, respectively, of fiscal year 2011 over the comparable periods of fiscal year 2010. Foreign exchange accounted for a decrease of 0.4% and 1.4% for the second quarter and the first six months of fiscal year 2011, respectively. Without the effects of foreign exchange, net revenues increased 6.6% and 7.4% for the second quarter and the first six months of fiscal year 2011, respectively. This increase reflects the impact of recent acquisitions, which contributed 4.6% and 4.4% to revenue growth for the second quarter and first six months of fiscal year 2011, respectively, as well as strong year over year growth from our Russian distribution market and Asia businesses.</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Gross profit increased 8.4% and 6.3% for the second quarter and first six months of fiscal year 2011, respectively, as compared to the second quarter and the first six months of fiscal year 2010. Without the effects of foreign exchange which remained flat for the quarter and accounted for a decrease of 3.4% for the first six months of fiscal year 2011, gross profit increased 8.4% for the quarter and 9.7% for the six months. The increase was largely due to favorable product mix as plasma sales declined. This improvement in product mix was offset by higher manufacturing variances and scrap rates resulting from lower than expected efficiency levels on our new plasma automation in our Pittsburgh plant.</w:t>
      </w:r>
    </w:p>
    <w:p>
      <w:pPr>
        <w:spacing w:after="0" w:line="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Operating expenses increased 9.1% and 9.6% for the second quarter and the first six months of fiscal year 2011, respectively, over the comparable period of fiscal year 2010. Foreign exchange accounted for a decrease in operating expenses of 1.1% for the quarter and 0.6% for the six months. Without the effects of foreign exchange, operating expenses increased 10.2% in both the second quarter and the first six months of fiscal year 2011. The higher operating expenses are attributable to the newly acquired businesses, SEBRA and Global Med, restructuring and transaction costs related to the acquisition of Global Med, and research and development expenses related to the development of the automated whole blood collection system. The noted increases in operating expenses were offset by contingent consideration income associated with the Neoteric acquisition, cost reductions from planned synergies, and a reduction in the expense associated with cash bonus incentive compensation for this fiscal year.</w:t>
      </w:r>
    </w:p>
    <w:p>
      <w:pPr>
        <w:spacing w:after="0" w:line="7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Operating income increased 7.0% and decreased 0.5% for the second quarter and the first six months of fiscal year 2011, respectively, over the comparable periods of fiscal year 2010. Foreign exchange accounted for an increase of 2.5% and a decrease of 9.0% for the quarter and six months. Without the effects of foreign exchange, operating income increased 4.5%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and 8.5% for the second quarter and the first six months of fiscal year 2011, respectively. Our emerging international markets, software business, and equipment sales were significant contributors to the improvement in operating income which was partially offset by additional spending largely associated with our acquisitions and their integration. Additionally, we recognized income of $1.9 million resulting from the remeasurement of the fair value of contingent consideration from our Neoteric acquisition.</w:t>
      </w:r>
    </w:p>
    <w:p>
      <w:pPr>
        <w:spacing w:after="0" w:line="8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Net income increased 18.2% and 8.4% for the second quarter and the first six months of fiscal year 2011, respectively, over the comparable period of fiscal year 2010. Without the effects of foreign exchange which accounted for an increase of 0.7% for the quarter and a decrease of 10.8% for the six months, net income increased 17.5% and 19.2% for the second quarter and the first six months ended October 2, 2010, respectively. The increases in operating income, reduction in interest expense accrued on the contingent consideration associated with the Neoteric acquisition, lower foreign exchange losses, and a lower income tax rate were the principal reasons for the increase.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w w:val="99"/>
              </w:rPr>
              <w:t>For the three months ended</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six months ended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7" w:lineRule="exact"/>
              <w:rPr>
                <w:sz w:val="20"/>
                <w:szCs w:val="20"/>
                <w:color w:val="auto"/>
              </w:rPr>
            </w:pPr>
            <w:r>
              <w:rPr>
                <w:rFonts w:ascii="Arial" w:cs="Arial" w:eastAsia="Arial" w:hAnsi="Arial"/>
                <w:sz w:val="13"/>
                <w:szCs w:val="13"/>
                <w:b w:val="1"/>
                <w:bCs w:val="1"/>
                <w:color w:val="auto"/>
              </w:rPr>
              <w:t>October 2,</w:t>
            </w:r>
          </w:p>
        </w:tc>
        <w:tc>
          <w:tcPr>
            <w:tcW w:w="3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4"/>
              </w:rPr>
              <w:t>September 26,</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Borders>
              <w:top w:val="single" w:sz="8" w:color="auto"/>
            </w:tcBorders>
            <w:gridSpan w:val="2"/>
          </w:tcPr>
          <w:p>
            <w:pPr>
              <w:ind w:left="40"/>
              <w:spacing w:after="0" w:line="117" w:lineRule="exact"/>
              <w:rPr>
                <w:sz w:val="20"/>
                <w:szCs w:val="20"/>
                <w:color w:val="auto"/>
              </w:rPr>
            </w:pPr>
            <w:r>
              <w:rPr>
                <w:rFonts w:ascii="Arial" w:cs="Arial" w:eastAsia="Arial" w:hAnsi="Arial"/>
                <w:sz w:val="13"/>
                <w:szCs w:val="13"/>
                <w:b w:val="1"/>
                <w:bCs w:val="1"/>
                <w:color w:val="auto"/>
              </w:rPr>
              <w:t>October 2,</w:t>
            </w:r>
          </w:p>
        </w:tc>
        <w:tc>
          <w:tcPr>
            <w:tcW w:w="88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 Increase</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78,740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74,856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$ 158,049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149,869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24"/>
        </w:trPr>
        <w:tc>
          <w:tcPr>
            <w:tcW w:w="22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88,093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82,214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171,823</w:t>
            </w:r>
          </w:p>
        </w:tc>
        <w:tc>
          <w:tcPr>
            <w:tcW w:w="18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161,289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166,833</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157,070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$ 329,872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311,158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17"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73"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Our revenues generated outside the U.S. approximated 52% of total revenues for the first six months of both fiscal years 2011 and 2010. Revenues in Japan accounted for approximately 16.5% and 17.0% of total revenues for the first six months of fiscal year 2011 and 2010, respectively. Revenues in Europe accounted for approximately 26.8% and 27.3% of total revenues for the first six months of fiscal year 2011 and 2010, respectively. International sales are generally conducted in local currencies, primarily the Japanese Yen and the Euro. As discussed above, our results of operations are impacted by changes in the value of the Yen and the Euro relative to the U.S. Dollar.</w:t>
      </w:r>
    </w:p>
    <w:p>
      <w:pPr>
        <w:spacing w:after="0" w:line="8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For the three months ended</w:t>
            </w:r>
          </w:p>
        </w:tc>
        <w:tc>
          <w:tcPr>
            <w:tcW w:w="14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0"/>
              </w:rPr>
              <w:t>% Increase/</w:t>
            </w: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six months ended</w:t>
            </w: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680"/>
              <w:spacing w:after="0" w:line="117" w:lineRule="exact"/>
              <w:rPr>
                <w:sz w:val="20"/>
                <w:szCs w:val="20"/>
                <w:color w:val="auto"/>
              </w:rPr>
            </w:pPr>
            <w:r>
              <w:rPr>
                <w:rFonts w:ascii="Arial" w:cs="Arial" w:eastAsia="Arial" w:hAnsi="Arial"/>
                <w:sz w:val="13"/>
                <w:szCs w:val="13"/>
                <w:b w:val="1"/>
                <w:bCs w:val="1"/>
                <w:color w:val="auto"/>
                <w:w w:val="99"/>
              </w:rPr>
              <w:t>October 2,</w:t>
            </w:r>
          </w:p>
        </w:tc>
        <w:tc>
          <w:tcPr>
            <w:tcW w:w="86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4"/>
              </w:rPr>
              <w:t>September 26,</w:t>
            </w:r>
          </w:p>
        </w:tc>
        <w:tc>
          <w:tcPr>
            <w:tcW w:w="6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320" w:type="dxa"/>
            <w:vAlign w:val="bottom"/>
            <w:tcBorders>
              <w:top w:val="single" w:sz="8" w:color="auto"/>
            </w:tcBorders>
            <w:gridSpan w:val="2"/>
          </w:tcPr>
          <w:p>
            <w:pPr>
              <w:ind w:left="20"/>
              <w:spacing w:after="0" w:line="117" w:lineRule="exact"/>
              <w:rPr>
                <w:sz w:val="20"/>
                <w:szCs w:val="20"/>
                <w:color w:val="auto"/>
              </w:rPr>
            </w:pPr>
            <w:r>
              <w:rPr>
                <w:rFonts w:ascii="Arial" w:cs="Arial" w:eastAsia="Arial" w:hAnsi="Arial"/>
                <w:sz w:val="13"/>
                <w:szCs w:val="13"/>
                <w:b w:val="1"/>
                <w:bCs w:val="1"/>
                <w:color w:val="auto"/>
              </w:rPr>
              <w:t>October 2,</w:t>
            </w:r>
          </w:p>
        </w:tc>
        <w:tc>
          <w:tcPr>
            <w:tcW w:w="88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3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(Decrease)</w:t>
            </w: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Disposables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2"/>
              </w:rPr>
              <w:t>$ 136,493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137,211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$ 270,057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271,984</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Software solutions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16,125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9,100</w:t>
            </w:r>
          </w:p>
        </w:tc>
        <w:tc>
          <w:tcPr>
            <w:tcW w:w="6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77.2%</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32,585</w:t>
            </w: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17,554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Equipment &amp; other</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14,215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10,759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27,230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0" w:type="dxa"/>
            <w:vAlign w:val="bottom"/>
            <w:gridSpan w:val="2"/>
            <w:vMerge w:val="continue"/>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82"/>
              </w:rPr>
              <w:t>$ 166,833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157,070</w:t>
            </w:r>
          </w:p>
        </w:tc>
        <w:tc>
          <w:tcPr>
            <w:tcW w:w="6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6.2%</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$ 329,872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311,158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For the three months ended</w:t>
            </w:r>
          </w:p>
        </w:tc>
        <w:tc>
          <w:tcPr>
            <w:tcW w:w="17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 Increase/</w:t>
            </w:r>
          </w:p>
        </w:tc>
        <w:tc>
          <w:tcPr>
            <w:tcW w:w="2780" w:type="dxa"/>
            <w:vAlign w:val="bottom"/>
            <w:tcBorders>
              <w:bottom w:val="single" w:sz="8" w:color="auto"/>
            </w:tcBorders>
            <w:gridSpan w:val="2"/>
          </w:tcPr>
          <w:p>
            <w:pPr>
              <w:jc w:val="right"/>
              <w:ind w:right="535"/>
              <w:spacing w:after="0"/>
              <w:rPr>
                <w:sz w:val="20"/>
                <w:szCs w:val="20"/>
                <w:color w:val="auto"/>
              </w:rPr>
            </w:pPr>
            <w:r>
              <w:rPr>
                <w:rFonts w:ascii="Arial" w:cs="Arial" w:eastAsia="Arial" w:hAnsi="Arial"/>
                <w:sz w:val="14"/>
                <w:szCs w:val="14"/>
                <w:b w:val="1"/>
                <w:bCs w:val="1"/>
                <w:color w:val="auto"/>
              </w:rPr>
              <w:t>For the six months ended</w:t>
            </w:r>
          </w:p>
        </w:tc>
        <w:tc>
          <w:tcPr>
            <w:tcW w:w="13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80" w:type="dxa"/>
            <w:vAlign w:val="bottom"/>
            <w:gridSpan w:val="2"/>
          </w:tcPr>
          <w:p>
            <w:pPr>
              <w:jc w:val="right"/>
              <w:ind w:right="335"/>
              <w:spacing w:after="0" w:line="117" w:lineRule="exact"/>
              <w:rPr>
                <w:sz w:val="20"/>
                <w:szCs w:val="20"/>
                <w:color w:val="auto"/>
              </w:rPr>
            </w:pPr>
            <w:r>
              <w:rPr>
                <w:rFonts w:ascii="Arial" w:cs="Arial" w:eastAsia="Arial" w:hAnsi="Arial"/>
                <w:sz w:val="13"/>
                <w:szCs w:val="13"/>
                <w:b w:val="1"/>
                <w:bCs w:val="1"/>
                <w:color w:val="auto"/>
              </w:rPr>
              <w:t>October 2,</w:t>
            </w:r>
          </w:p>
        </w:tc>
        <w:tc>
          <w:tcPr>
            <w:tcW w:w="1500" w:type="dxa"/>
            <w:vAlign w:val="bottom"/>
            <w:gridSpan w:val="2"/>
          </w:tcPr>
          <w:p>
            <w:pPr>
              <w:jc w:val="right"/>
              <w:ind w:right="133"/>
              <w:spacing w:after="0" w:line="117" w:lineRule="exact"/>
              <w:rPr>
                <w:sz w:val="20"/>
                <w:szCs w:val="20"/>
                <w:color w:val="auto"/>
              </w:rPr>
            </w:pPr>
            <w:r>
              <w:rPr>
                <w:rFonts w:ascii="Arial" w:cs="Arial" w:eastAsia="Arial" w:hAnsi="Arial"/>
                <w:sz w:val="13"/>
                <w:szCs w:val="13"/>
                <w:b w:val="1"/>
                <w:bCs w:val="1"/>
                <w:color w:val="auto"/>
              </w:rPr>
              <w:t>September 26,</w:t>
            </w:r>
          </w:p>
        </w:tc>
        <w:tc>
          <w:tcPr>
            <w:tcW w:w="1740" w:type="dxa"/>
            <w:vAlign w:val="bottom"/>
            <w:gridSpan w:val="2"/>
            <w:vMerge w:val="continue"/>
          </w:tcPr>
          <w:p>
            <w:pPr>
              <w:spacing w:after="0"/>
              <w:rPr>
                <w:sz w:val="10"/>
                <w:szCs w:val="10"/>
                <w:color w:val="auto"/>
              </w:rPr>
            </w:pPr>
          </w:p>
        </w:tc>
        <w:tc>
          <w:tcPr>
            <w:tcW w:w="1280" w:type="dxa"/>
            <w:vAlign w:val="bottom"/>
          </w:tcPr>
          <w:p>
            <w:pPr>
              <w:jc w:val="right"/>
              <w:ind w:right="356"/>
              <w:spacing w:after="0" w:line="117" w:lineRule="exact"/>
              <w:rPr>
                <w:sz w:val="20"/>
                <w:szCs w:val="20"/>
                <w:color w:val="auto"/>
              </w:rPr>
            </w:pPr>
            <w:r>
              <w:rPr>
                <w:rFonts w:ascii="Arial" w:cs="Arial" w:eastAsia="Arial" w:hAnsi="Arial"/>
                <w:sz w:val="13"/>
                <w:szCs w:val="13"/>
                <w:b w:val="1"/>
                <w:bCs w:val="1"/>
                <w:color w:val="auto"/>
              </w:rPr>
              <w:t>October 2,</w:t>
            </w:r>
          </w:p>
        </w:tc>
        <w:tc>
          <w:tcPr>
            <w:tcW w:w="1500" w:type="dxa"/>
            <w:vAlign w:val="bottom"/>
          </w:tcPr>
          <w:p>
            <w:pPr>
              <w:jc w:val="right"/>
              <w:ind w:right="135"/>
              <w:spacing w:after="0" w:line="117" w:lineRule="exact"/>
              <w:rPr>
                <w:sz w:val="20"/>
                <w:szCs w:val="20"/>
                <w:color w:val="auto"/>
              </w:rPr>
            </w:pPr>
            <w:r>
              <w:rPr>
                <w:rFonts w:ascii="Arial" w:cs="Arial" w:eastAsia="Arial" w:hAnsi="Arial"/>
                <w:sz w:val="13"/>
                <w:szCs w:val="13"/>
                <w:b w:val="1"/>
                <w:bCs w:val="1"/>
                <w:color w:val="auto"/>
              </w:rPr>
              <w:t>September 26,</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2009</w:t>
            </w: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(Decrease)</w:t>
            </w: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2010</w:t>
            </w:r>
          </w:p>
        </w:tc>
        <w:tc>
          <w:tcPr>
            <w:tcW w:w="15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2009</w:t>
            </w: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Plasma disposables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56,514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8"/>
              </w:rPr>
              <w:t>59,423</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$112,431</w:t>
            </w:r>
          </w:p>
        </w:tc>
        <w:tc>
          <w:tcPr>
            <w:tcW w:w="15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$118,291</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24"/>
        </w:trPr>
        <w:tc>
          <w:tcPr>
            <w:tcW w:w="2760" w:type="dxa"/>
            <w:vAlign w:val="bottom"/>
            <w:gridSpan w:val="2"/>
          </w:tcPr>
          <w:p>
            <w:pPr>
              <w:spacing w:after="0"/>
              <w:rPr>
                <w:sz w:val="20"/>
                <w:szCs w:val="20"/>
                <w:color w:val="auto"/>
              </w:rPr>
            </w:pPr>
            <w:r>
              <w:rPr>
                <w:rFonts w:ascii="Arial" w:cs="Arial" w:eastAsia="Arial" w:hAnsi="Arial"/>
                <w:sz w:val="18"/>
                <w:szCs w:val="18"/>
                <w:color w:val="auto"/>
              </w:rPr>
              <w:t>Blood bank disposables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39,746</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8"/>
              </w:rPr>
              <w:t>37,250</w:t>
            </w: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76,063</w:t>
            </w:r>
          </w:p>
        </w:tc>
        <w:tc>
          <w:tcPr>
            <w:tcW w:w="15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71,556</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Red cell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11,294</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98"/>
              </w:rPr>
              <w:t>11,484</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12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22,608</w:t>
            </w:r>
          </w:p>
        </w:tc>
        <w:tc>
          <w:tcPr>
            <w:tcW w:w="15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23,263</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51,040</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8"/>
              </w:rPr>
              <w:t>48,734</w:t>
            </w: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98,671</w:t>
            </w:r>
          </w:p>
        </w:tc>
        <w:tc>
          <w:tcPr>
            <w:tcW w:w="150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94,819</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8"/>
        </w:trPr>
        <w:tc>
          <w:tcPr>
            <w:tcW w:w="2760" w:type="dxa"/>
            <w:vAlign w:val="bottom"/>
            <w:gridSpan w:val="2"/>
          </w:tcPr>
          <w:p>
            <w:pPr>
              <w:spacing w:after="0"/>
              <w:rPr>
                <w:sz w:val="20"/>
                <w:szCs w:val="20"/>
                <w:color w:val="auto"/>
              </w:rPr>
            </w:pPr>
            <w:r>
              <w:rPr>
                <w:rFonts w:ascii="Arial" w:cs="Arial" w:eastAsia="Arial" w:hAnsi="Arial"/>
                <w:sz w:val="18"/>
                <w:szCs w:val="18"/>
                <w:color w:val="auto"/>
              </w:rPr>
              <w:t>Hospital disposables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16,011</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8"/>
              </w:rPr>
              <w:t>16,631</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32,362</w:t>
            </w:r>
          </w:p>
        </w:tc>
        <w:tc>
          <w:tcPr>
            <w:tcW w:w="15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34,056</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OrthoPAT</w:t>
            </w:r>
          </w:p>
        </w:tc>
        <w:tc>
          <w:tcPr>
            <w:tcW w:w="26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8,281</w:t>
            </w:r>
          </w:p>
        </w:tc>
        <w:tc>
          <w:tcPr>
            <w:tcW w:w="560" w:type="dxa"/>
            <w:vAlign w:val="bottom"/>
          </w:tcPr>
          <w:p>
            <w:pPr>
              <w:spacing w:after="0"/>
              <w:rPr>
                <w:sz w:val="18"/>
                <w:szCs w:val="18"/>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8,678</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280" w:type="dxa"/>
            <w:vAlign w:val="bottom"/>
          </w:tcPr>
          <w:p>
            <w:pPr>
              <w:jc w:val="right"/>
              <w:ind w:right="376"/>
              <w:spacing w:after="0"/>
              <w:rPr>
                <w:sz w:val="20"/>
                <w:szCs w:val="20"/>
                <w:color w:val="auto"/>
              </w:rPr>
            </w:pPr>
            <w:r>
              <w:rPr>
                <w:rFonts w:ascii="Arial" w:cs="Arial" w:eastAsia="Arial" w:hAnsi="Arial"/>
                <w:sz w:val="18"/>
                <w:szCs w:val="18"/>
                <w:color w:val="auto"/>
              </w:rPr>
              <w:t>17,238</w:t>
            </w:r>
          </w:p>
        </w:tc>
        <w:tc>
          <w:tcPr>
            <w:tcW w:w="1500" w:type="dxa"/>
            <w:vAlign w:val="bottom"/>
          </w:tcPr>
          <w:p>
            <w:pPr>
              <w:jc w:val="right"/>
              <w:ind w:right="275"/>
              <w:spacing w:after="0"/>
              <w:rPr>
                <w:sz w:val="20"/>
                <w:szCs w:val="20"/>
                <w:color w:val="auto"/>
              </w:rPr>
            </w:pPr>
            <w:r>
              <w:rPr>
                <w:rFonts w:ascii="Arial" w:cs="Arial" w:eastAsia="Arial" w:hAnsi="Arial"/>
                <w:sz w:val="18"/>
                <w:szCs w:val="18"/>
                <w:color w:val="auto"/>
              </w:rPr>
              <w:t>17,262</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Diagnostics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4,647</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3,745</w:t>
            </w:r>
          </w:p>
        </w:tc>
        <w:tc>
          <w:tcPr>
            <w:tcW w:w="1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9,355</w:t>
            </w:r>
          </w:p>
        </w:tc>
        <w:tc>
          <w:tcPr>
            <w:tcW w:w="150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7,556</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28,939</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98"/>
              </w:rPr>
              <w:t>29,054</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12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58,955</w:t>
            </w:r>
          </w:p>
        </w:tc>
        <w:tc>
          <w:tcPr>
            <w:tcW w:w="15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58,874</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disposables revenue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86"/>
              </w:rPr>
              <w:t>136,493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82"/>
              </w:rPr>
              <w:t>137,211</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$270,057</w:t>
            </w:r>
          </w:p>
        </w:tc>
        <w:tc>
          <w:tcPr>
            <w:tcW w:w="150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$271,984</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1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Disposables include the Plasma, Blood Bank, and Hospital product lines. Disposables revenue decreased 0.5% and 0.7% for the second quarter and the first six months of fiscal year 2011, respectively, over the comparable periods of fiscal year 2010. Foreign exchange resulted in a 0.1% and 1.0% decrease for the second quarter and the first six months of fiscal year 2011, respectively. Without the effect of foreign exchange, disposables revenue decreased 0.4% and increased 0.3% for the second quarter and the first six months of fiscal year 2011, respectively, which were driven primarily by increases in the Platelet product line offset by the decreases in Plasma disposables revenue as discussed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Plasma disposables revenue decreased 4.9% and 5.0% for the second quarter and the first six months of fiscal year 2011, respectively, compared to the same periods in fiscal year 2010. Foreign exchange accounted for a decrease of 1.3% for the quarter and 1.7% for the six months. The decrease in plasma disposables revenue of 3.6% and 3.3% is mostly attributable to fewer plasma collections in North America and Japan that were partially offset by increases in our distribution markets. Following several years of significant growth, our commercial plasma customers have slowed growth levels and in some cases reduced collections from last year’s levels in the first half of fiscal year 2011. The non-commercial plasma business declined as a result of the Japan Red Cross sourcing more plasma from whole blood collections.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Blood bank consists of disposables used to collect platelets, red cells, and plasma for transfusion.</w:t>
      </w:r>
    </w:p>
    <w:p>
      <w:pPr>
        <w:spacing w:after="0" w:line="1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Platelet disposables revenue increased 6.7% and 6.3% for the second quarter and the first six months of fiscal year 2011, respectively, compared to the same periods in fiscal year 2010. Comparing the second quarter and the first six months of fiscal year 2011 to that of fiscal year 2010, foreign exchange accounted for 2.2% and 0.6%, respectively, of this increase. Without the favorable effect of foreign exchange, the increase of 4.5% and 5.7% was the result of growth in our Asia Pacific region and the distribution markets and strength in sales of platelet products to therapeutic customers in North America, partly offset by sales declines in our European direct market.</w:t>
      </w:r>
    </w:p>
    <w:p>
      <w:pPr>
        <w:spacing w:after="0" w:line="9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Red cell disposables (used to collect two units of red cells or one unit of red cells and one unit of plasma for transfusion) revenue decreased 1.7% and 2.8% for the second quarter and the first six months of fiscal year 2011, respectively, compared to the same periods in fiscal year 2010. Foreign exchange accounted for a revenue decrease of 0.8% and 1.2% from the second quarter and the first six months of fiscal year 2010, respectively. The remaining decrease of 0.9% and 1.6% for the quarter and six months, respectively, was driven by lower demand for red cells as a result of fewer surgeries and a reduced demand for automated collection.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111"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Surgical disposables revenue consists principally of the Cell Saver and cardioPAT products. Revenues from our surgical disposables decreased 3.7% and 5.0% for the second quarter and the first six months of fiscal year 2011, respectively, compared to the same periods in fiscal year 2010. Foreign exchange resulted in an increase of less than 0.1% and a decrease of 1.7% in surgical disposables revenue for the quarter and six months, respectively. Without the effects of foreign currency, the decrease in surgical disposables revenue of 3.7% and 3.3% for the second quarter and six months, respectively, was the result of a decrease in demand across our European and North American markets driven by both competitive pressures and market conditions.</w:t>
      </w:r>
    </w:p>
    <w:p>
      <w:pPr>
        <w:spacing w:after="0" w:line="4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Revenues from our OrthoPAT disposables decreased 4.6% and 0.1% for the second quarter and the first six months of fiscal year 2011, respectively, compared to the same periods in fiscal year 2010. Foreign exchange resulted in a decrease in OrthoPAT disposables revenue of 0.6% and 1.1% for the quarter and six months, respectively. Without the unfavorable effect of foreign currency, OrthoPAT disposables revenue decreased by 4.0% for the second quarter and increased by 1.0% for the six months. The decline in the second quarter was driven by the frequency of the use of the OrthoPAT in part reflecting lower orthopedic procedure volume.</w:t>
      </w:r>
    </w:p>
    <w:p>
      <w:pPr>
        <w:spacing w:after="0" w:line="8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Diagnostics product revenue consists principally of the TEG products. Revenues from our diagnostics products increased 24.1% and 23.8% for the second quarter and the first six months of fiscal year 2011, respectively, compared to the same periods in fiscal year 2010. Foreign exchange accounted for a decrease of 2.2% and 0.6% for the quarter and six months, respectively. Without the effect of foreign currency, diagnostic product revenues increased by 26.3% and 24.4% for the quarter and six months, respectively. The revenue increase is due to new and continued adoption of this product as we continue to sell the TEG device to new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software solutions revenues include revenue from software sales and related services. Software solutions revenues increased 77.2% and 85.6% for the second quarter and the first six months of fiscal year 2011, respectively, over the comparable periods of fiscal year 2010. Foreign exchange resulted in 2.6% and 0.4% of this increase for the quarter and six months, respectively. The remaining increase of 74.6% and 85.2% for the second quarter and the first six months of fiscal year 2011, respectively, was driven primarily by software services revenues associated with the recent acquisition of Global Med partially offset by product rationalization and volume reductions from our plasma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17"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Our equipment &amp; other revenues include revenue from equipment sales, repairs performed under preventive maintenance contracts or emergency service visits, spare part sales, and various service and training programs. Equipment &amp; other revenues increased 32.1% and 26.0% for the second quarter and the first six months of fiscal year 2011, respectively, over the comparable periods of fiscal year 2010. Foreign exchange resulted in a 0.8% and 1.4% decrease for the quarter and six months, respectively. Without the unfavorable effect of currency exchange, the increase of 32.9% and 27.4% for the second quarter and the first six months of fiscal year 2011, respectively, was driven by growth in our distribution markets and strong sales to the U.S. military. Also contributing to this increase was the impact of the SEBRA acquisition. Irrespective of the increases noted, equipment sales continue to be adversely impacted by restricted hospital capital spending and macro economic trends impacting health care funding in our distributor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For the six months ended</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17"/>
        </w:trPr>
        <w:tc>
          <w:tcPr>
            <w:tcW w:w="2860" w:type="dxa"/>
            <w:vAlign w:val="bottom"/>
          </w:tcPr>
          <w:p>
            <w:pPr>
              <w:spacing w:after="0"/>
              <w:rPr>
                <w:sz w:val="10"/>
                <w:szCs w:val="10"/>
                <w:color w:val="auto"/>
              </w:rPr>
            </w:pPr>
          </w:p>
        </w:tc>
        <w:tc>
          <w:tcPr>
            <w:tcW w:w="1040" w:type="dxa"/>
            <w:vAlign w:val="bottom"/>
          </w:tcPr>
          <w:p>
            <w:pPr>
              <w:jc w:val="right"/>
              <w:ind w:right="123"/>
              <w:spacing w:after="0" w:line="117" w:lineRule="exact"/>
              <w:rPr>
                <w:sz w:val="20"/>
                <w:szCs w:val="20"/>
                <w:color w:val="auto"/>
              </w:rPr>
            </w:pPr>
            <w:r>
              <w:rPr>
                <w:rFonts w:ascii="Arial" w:cs="Arial" w:eastAsia="Arial" w:hAnsi="Arial"/>
                <w:sz w:val="13"/>
                <w:szCs w:val="13"/>
                <w:b w:val="1"/>
                <w:bCs w:val="1"/>
                <w:color w:val="auto"/>
              </w:rPr>
              <w:t>October 2,</w:t>
            </w:r>
          </w:p>
        </w:tc>
        <w:tc>
          <w:tcPr>
            <w:tcW w:w="420" w:type="dxa"/>
            <w:vAlign w:val="bottom"/>
          </w:tcPr>
          <w:p>
            <w:pPr>
              <w:spacing w:after="0"/>
              <w:rPr>
                <w:sz w:val="10"/>
                <w:szCs w:val="10"/>
                <w:color w:val="auto"/>
              </w:rPr>
            </w:pPr>
          </w:p>
        </w:tc>
        <w:tc>
          <w:tcPr>
            <w:tcW w:w="1220" w:type="dxa"/>
            <w:vAlign w:val="bottom"/>
          </w:tcPr>
          <w:p>
            <w:pPr>
              <w:jc w:val="right"/>
              <w:ind w:right="112"/>
              <w:spacing w:after="0" w:line="117" w:lineRule="exact"/>
              <w:rPr>
                <w:sz w:val="20"/>
                <w:szCs w:val="20"/>
                <w:color w:val="auto"/>
              </w:rPr>
            </w:pPr>
            <w:r>
              <w:rPr>
                <w:rFonts w:ascii="Arial" w:cs="Arial" w:eastAsia="Arial" w:hAnsi="Arial"/>
                <w:sz w:val="13"/>
                <w:szCs w:val="13"/>
                <w:b w:val="1"/>
                <w:bCs w:val="1"/>
                <w:color w:val="auto"/>
              </w:rPr>
              <w:t>September 26,</w:t>
            </w: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jc w:val="right"/>
              <w:ind w:right="163"/>
              <w:spacing w:after="0" w:line="117" w:lineRule="exact"/>
              <w:rPr>
                <w:sz w:val="20"/>
                <w:szCs w:val="20"/>
                <w:color w:val="auto"/>
              </w:rPr>
            </w:pPr>
            <w:r>
              <w:rPr>
                <w:rFonts w:ascii="Arial" w:cs="Arial" w:eastAsia="Arial" w:hAnsi="Arial"/>
                <w:sz w:val="13"/>
                <w:szCs w:val="13"/>
                <w:b w:val="1"/>
                <w:bCs w:val="1"/>
                <w:color w:val="auto"/>
              </w:rPr>
              <w:t>October 2,</w:t>
            </w:r>
          </w:p>
        </w:tc>
        <w:tc>
          <w:tcPr>
            <w:tcW w:w="420" w:type="dxa"/>
            <w:vAlign w:val="bottom"/>
          </w:tcPr>
          <w:p>
            <w:pPr>
              <w:spacing w:after="0"/>
              <w:rPr>
                <w:sz w:val="10"/>
                <w:szCs w:val="10"/>
                <w:color w:val="auto"/>
              </w:rPr>
            </w:pPr>
          </w:p>
        </w:tc>
        <w:tc>
          <w:tcPr>
            <w:tcW w:w="1320" w:type="dxa"/>
            <w:vAlign w:val="bottom"/>
          </w:tcPr>
          <w:p>
            <w:pPr>
              <w:jc w:val="right"/>
              <w:ind w:right="152"/>
              <w:spacing w:after="0" w:line="117" w:lineRule="exact"/>
              <w:rPr>
                <w:sz w:val="20"/>
                <w:szCs w:val="20"/>
                <w:color w:val="auto"/>
              </w:rPr>
            </w:pPr>
            <w:r>
              <w:rPr>
                <w:rFonts w:ascii="Arial" w:cs="Arial" w:eastAsia="Arial" w:hAnsi="Arial"/>
                <w:sz w:val="13"/>
                <w:szCs w:val="13"/>
                <w:b w:val="1"/>
                <w:bCs w:val="1"/>
                <w:color w:val="auto"/>
              </w:rPr>
              <w:t>September 26,</w:t>
            </w: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8"/>
        </w:trPr>
        <w:tc>
          <w:tcPr>
            <w:tcW w:w="2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 Increase</w:t>
            </w:r>
          </w:p>
        </w:tc>
        <w:tc>
          <w:tcPr>
            <w:tcW w:w="420" w:type="dxa"/>
            <w:vAlign w:val="bottom"/>
          </w:tcPr>
          <w:p>
            <w:pPr>
              <w:spacing w:after="0"/>
              <w:rPr>
                <w:sz w:val="14"/>
                <w:szCs w:val="14"/>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3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 Increase</w:t>
            </w:r>
          </w:p>
        </w:tc>
      </w:tr>
      <w:tr>
        <w:trPr>
          <w:trHeight w:val="405"/>
        </w:trPr>
        <w:tc>
          <w:tcPr>
            <w:tcW w:w="2860" w:type="dxa"/>
            <w:vAlign w:val="bottom"/>
          </w:tcPr>
          <w:p>
            <w:pPr>
              <w:spacing w:after="0"/>
              <w:rPr>
                <w:sz w:val="20"/>
                <w:szCs w:val="20"/>
                <w:color w:val="auto"/>
              </w:rPr>
            </w:pPr>
            <w:r>
              <w:rPr>
                <w:rFonts w:ascii="Arial" w:cs="Arial" w:eastAsia="Arial" w:hAnsi="Arial"/>
                <w:sz w:val="18"/>
                <w:szCs w:val="18"/>
                <w:color w:val="auto"/>
              </w:rPr>
              <w:t>Gross profit</w:t>
            </w:r>
          </w:p>
        </w:tc>
        <w:tc>
          <w:tcPr>
            <w:tcW w:w="1040" w:type="dxa"/>
            <w:vAlign w:val="bottom"/>
          </w:tcPr>
          <w:p>
            <w:pPr>
              <w:jc w:val="right"/>
              <w:ind w:right="203"/>
              <w:spacing w:after="0"/>
              <w:rPr>
                <w:sz w:val="20"/>
                <w:szCs w:val="20"/>
                <w:color w:val="auto"/>
              </w:rPr>
            </w:pPr>
            <w:r>
              <w:rPr>
                <w:rFonts w:ascii="Arial" w:cs="Arial" w:eastAsia="Arial" w:hAnsi="Arial"/>
                <w:sz w:val="18"/>
                <w:szCs w:val="18"/>
                <w:color w:val="auto"/>
              </w:rPr>
              <w:t>$87,755</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$80,967</w:t>
            </w:r>
          </w:p>
        </w:tc>
        <w:tc>
          <w:tcPr>
            <w:tcW w:w="1300" w:type="dxa"/>
            <w:vAlign w:val="bottom"/>
            <w:gridSpan w:val="2"/>
          </w:tcPr>
          <w:p>
            <w:pPr>
              <w:jc w:val="right"/>
              <w:ind w:right="109"/>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24"/>
                <w:szCs w:val="24"/>
                <w:color w:val="auto"/>
              </w:rPr>
            </w:pPr>
          </w:p>
        </w:tc>
        <w:tc>
          <w:tcPr>
            <w:tcW w:w="1120" w:type="dxa"/>
            <w:vAlign w:val="bottom"/>
          </w:tcPr>
          <w:p>
            <w:pPr>
              <w:jc w:val="right"/>
              <w:ind w:right="203"/>
              <w:spacing w:after="0"/>
              <w:rPr>
                <w:sz w:val="20"/>
                <w:szCs w:val="20"/>
                <w:color w:val="auto"/>
              </w:rPr>
            </w:pPr>
            <w:r>
              <w:rPr>
                <w:rFonts w:ascii="Arial" w:cs="Arial" w:eastAsia="Arial" w:hAnsi="Arial"/>
                <w:sz w:val="18"/>
                <w:szCs w:val="18"/>
                <w:color w:val="auto"/>
              </w:rPr>
              <w:t>$174,217</w:t>
            </w:r>
          </w:p>
        </w:tc>
        <w:tc>
          <w:tcPr>
            <w:tcW w:w="1740" w:type="dxa"/>
            <w:vAlign w:val="bottom"/>
            <w:gridSpan w:val="2"/>
          </w:tcPr>
          <w:p>
            <w:pPr>
              <w:jc w:val="right"/>
              <w:ind w:right="292"/>
              <w:spacing w:after="0"/>
              <w:rPr>
                <w:sz w:val="20"/>
                <w:szCs w:val="20"/>
                <w:color w:val="auto"/>
              </w:rPr>
            </w:pPr>
            <w:r>
              <w:rPr>
                <w:rFonts w:ascii="Arial" w:cs="Arial" w:eastAsia="Arial" w:hAnsi="Arial"/>
                <w:sz w:val="18"/>
                <w:szCs w:val="18"/>
                <w:color w:val="auto"/>
              </w:rPr>
              <w:t>$163,910</w:t>
            </w:r>
          </w:p>
        </w:tc>
        <w:tc>
          <w:tcPr>
            <w:tcW w:w="1300" w:type="dxa"/>
            <w:vAlign w:val="bottom"/>
            <w:gridSpan w:val="2"/>
          </w:tcPr>
          <w:p>
            <w:pPr>
              <w:jc w:val="right"/>
              <w:ind w:right="109"/>
              <w:spacing w:after="0"/>
              <w:rPr>
                <w:sz w:val="20"/>
                <w:szCs w:val="20"/>
                <w:color w:val="auto"/>
              </w:rPr>
            </w:pPr>
            <w:r>
              <w:rPr>
                <w:rFonts w:ascii="Arial" w:cs="Arial" w:eastAsia="Arial" w:hAnsi="Arial"/>
                <w:sz w:val="18"/>
                <w:szCs w:val="18"/>
                <w:color w:val="auto"/>
              </w:rPr>
              <w:t>6.3%</w:t>
            </w: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040" w:type="dxa"/>
            <w:vAlign w:val="bottom"/>
          </w:tcPr>
          <w:p>
            <w:pPr>
              <w:jc w:val="right"/>
              <w:ind w:right="43"/>
              <w:spacing w:after="0"/>
              <w:rPr>
                <w:sz w:val="20"/>
                <w:szCs w:val="20"/>
                <w:color w:val="auto"/>
              </w:rPr>
            </w:pPr>
            <w:r>
              <w:rPr>
                <w:rFonts w:ascii="Arial" w:cs="Arial" w:eastAsia="Arial" w:hAnsi="Arial"/>
                <w:sz w:val="18"/>
                <w:szCs w:val="18"/>
                <w:color w:val="auto"/>
              </w:rPr>
              <w:t>52.6%</w:t>
            </w:r>
          </w:p>
        </w:tc>
        <w:tc>
          <w:tcPr>
            <w:tcW w:w="1640" w:type="dxa"/>
            <w:vAlign w:val="bottom"/>
            <w:gridSpan w:val="2"/>
          </w:tcPr>
          <w:p>
            <w:pPr>
              <w:jc w:val="right"/>
              <w:ind w:right="152"/>
              <w:spacing w:after="0"/>
              <w:rPr>
                <w:sz w:val="20"/>
                <w:szCs w:val="20"/>
                <w:color w:val="auto"/>
              </w:rPr>
            </w:pPr>
            <w:r>
              <w:rPr>
                <w:rFonts w:ascii="Arial" w:cs="Arial" w:eastAsia="Arial" w:hAnsi="Arial"/>
                <w:sz w:val="18"/>
                <w:szCs w:val="18"/>
                <w:color w:val="auto"/>
              </w:rPr>
              <w:t>51.5%</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8"/>
                <w:szCs w:val="18"/>
                <w:color w:val="auto"/>
              </w:rPr>
              <w:t>52.8%</w:t>
            </w:r>
          </w:p>
        </w:tc>
        <w:tc>
          <w:tcPr>
            <w:tcW w:w="1740" w:type="dxa"/>
            <w:vAlign w:val="bottom"/>
            <w:gridSpan w:val="2"/>
          </w:tcPr>
          <w:p>
            <w:pPr>
              <w:jc w:val="right"/>
              <w:ind w:right="152"/>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98"/>
        </w:trPr>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28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Gross profit increased 8.4% and 6.3% in the second quarter and first six months of fiscal year 2011, respectively, as compared to the second quarter and the first six months of fiscal year 2010. Without the effects of foreign exchange which remained flat for the quarter and accounted for a decrease of 3.4% for the first six months of fiscal year 2011, gross profit increased 8.4% for the quarter and 9.7% for the six months. The increase was largely due to favorable product mix as plasma sales declined. This improvement in product mix was offset by higher manufacturing variances and scrap rates resulting from lower than expected efficiency levels on our new plasma automation in our Pittsburgh plant.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6"/>
              </w:rPr>
              <w:t>For the three months ended</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For the six months ended</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80" w:type="dxa"/>
            <w:vAlign w:val="bottom"/>
            <w:tcBorders>
              <w:top w:val="single" w:sz="8" w:color="auto"/>
            </w:tcBorders>
            <w:gridSpan w:val="2"/>
          </w:tcPr>
          <w:p>
            <w:pPr>
              <w:ind w:left="20"/>
              <w:spacing w:after="0" w:line="117" w:lineRule="exact"/>
              <w:rPr>
                <w:sz w:val="20"/>
                <w:szCs w:val="20"/>
                <w:color w:val="auto"/>
              </w:rPr>
            </w:pPr>
            <w:r>
              <w:rPr>
                <w:rFonts w:ascii="Arial" w:cs="Arial" w:eastAsia="Arial" w:hAnsi="Arial"/>
                <w:sz w:val="13"/>
                <w:szCs w:val="13"/>
                <w:b w:val="1"/>
                <w:bCs w:val="1"/>
                <w:color w:val="auto"/>
              </w:rPr>
              <w:t>October 2,</w:t>
            </w:r>
          </w:p>
        </w:tc>
        <w:tc>
          <w:tcPr>
            <w:tcW w:w="114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355"/>
              <w:spacing w:after="0" w:line="117" w:lineRule="exact"/>
              <w:rPr>
                <w:sz w:val="20"/>
                <w:szCs w:val="20"/>
                <w:color w:val="auto"/>
              </w:rPr>
            </w:pPr>
            <w:r>
              <w:rPr>
                <w:rFonts w:ascii="Arial" w:cs="Arial" w:eastAsia="Arial" w:hAnsi="Arial"/>
                <w:sz w:val="13"/>
                <w:szCs w:val="13"/>
                <w:b w:val="1"/>
                <w:bCs w:val="1"/>
                <w:color w:val="auto"/>
              </w:rPr>
              <w:t>October 2,</w:t>
            </w:r>
          </w:p>
        </w:tc>
        <w:tc>
          <w:tcPr>
            <w:tcW w:w="114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3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7,954</w:t>
            </w: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6,475</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15,875</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19"/>
                <w:szCs w:val="19"/>
                <w:color w:val="auto"/>
              </w:rPr>
            </w:pP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94"/>
              </w:rPr>
              <w:t>52,790</w:t>
            </w: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47,469</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86"/>
              </w:rPr>
              <w:t>107,144</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97,308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19"/>
                <w:szCs w:val="19"/>
                <w:color w:val="auto"/>
              </w:rPr>
            </w:pP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31.6%</w:t>
            </w:r>
          </w:p>
        </w:tc>
        <w:tc>
          <w:tcPr>
            <w:tcW w:w="4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(1,894)</w:t>
            </w: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(1,894)</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19"/>
                <w:szCs w:val="19"/>
                <w:color w:val="auto"/>
              </w:rPr>
            </w:pP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94"/>
              </w:rPr>
              <w:t>58,850</w:t>
            </w: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53,944</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86"/>
              </w:rPr>
              <w:t>121,125</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110,560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40" w:type="dxa"/>
            <w:vAlign w:val="bottom"/>
          </w:tcPr>
          <w:p>
            <w:pPr>
              <w:spacing w:after="0"/>
              <w:rPr>
                <w:sz w:val="19"/>
                <w:szCs w:val="19"/>
                <w:color w:val="auto"/>
              </w:rPr>
            </w:pP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35.3%</w:t>
            </w:r>
          </w:p>
        </w:tc>
        <w:tc>
          <w:tcPr>
            <w:tcW w:w="4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34.3%</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36.7%</w:t>
            </w:r>
          </w:p>
        </w:tc>
        <w:tc>
          <w:tcPr>
            <w:tcW w:w="4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Research, development and engineering expenses increased 22.8% and 19.8% for the second quarter and the first six months of fiscal year 2011, respectively, as compared to the same period of fiscal year 2010. The increase is primarily related to the development of our automated whole blood collection system and the expansion of our software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1"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During the second quarter and the first six months of fiscal year 2011, selling, general and administrative expenses increased 11.2% and 10.1%, respectively. Foreign exchange resulted in an increase of 0.7% and 1.3% in selling, general and administrative expenses during the quarter and six months, respectively. Excluding the impact of foreign exchange, selling, general and administrative expense increased 10.5% and 8.8% for the second quarter and the first six months of fiscal year 2011 over the comparable periods of fiscal year 2010. The increase was attributable to newly acquired businesses, SEBRA and Global Med, and transformation costs including costs to integrate Global Med. The increase was partly offset by cost reductions from planned synergies and a reduction in the expense associated with cash bonus incentive compensation this fiscal year as the Company’s financial results were lower than the financial targets established.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Income</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Under the accounting rules for business combinations (specifically,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established a liability for payments that we might make in the future to former shareholders of Neoteric that are tied to the performance of the Blood Track business for the first three years post acquisition, beginning with fiscal year 2010. We have reviewed the expected performance versus the necessary thresholds of performance for the former shareholders to receive additional performance payments and we recorded an adjustment to the fair value of the contingent consideration as contingent consideration income of $1.9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4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For the six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17"/>
        </w:trPr>
        <w:tc>
          <w:tcPr>
            <w:tcW w:w="2940" w:type="dxa"/>
            <w:vAlign w:val="bottom"/>
          </w:tcPr>
          <w:p>
            <w:pPr>
              <w:spacing w:after="0"/>
              <w:rPr>
                <w:sz w:val="10"/>
                <w:szCs w:val="10"/>
                <w:color w:val="auto"/>
              </w:rPr>
            </w:pPr>
          </w:p>
        </w:tc>
        <w:tc>
          <w:tcPr>
            <w:tcW w:w="1040" w:type="dxa"/>
            <w:vAlign w:val="bottom"/>
          </w:tcPr>
          <w:p>
            <w:pPr>
              <w:jc w:val="right"/>
              <w:ind w:right="123"/>
              <w:spacing w:after="0" w:line="117" w:lineRule="exact"/>
              <w:rPr>
                <w:sz w:val="20"/>
                <w:szCs w:val="20"/>
                <w:color w:val="auto"/>
              </w:rPr>
            </w:pPr>
            <w:r>
              <w:rPr>
                <w:rFonts w:ascii="Arial" w:cs="Arial" w:eastAsia="Arial" w:hAnsi="Arial"/>
                <w:sz w:val="13"/>
                <w:szCs w:val="13"/>
                <w:b w:val="1"/>
                <w:bCs w:val="1"/>
                <w:color w:val="auto"/>
              </w:rPr>
              <w:t>October 2,</w:t>
            </w:r>
          </w:p>
        </w:tc>
        <w:tc>
          <w:tcPr>
            <w:tcW w:w="400" w:type="dxa"/>
            <w:vAlign w:val="bottom"/>
          </w:tcPr>
          <w:p>
            <w:pPr>
              <w:spacing w:after="0"/>
              <w:rPr>
                <w:sz w:val="10"/>
                <w:szCs w:val="10"/>
                <w:color w:val="auto"/>
              </w:rPr>
            </w:pPr>
          </w:p>
        </w:tc>
        <w:tc>
          <w:tcPr>
            <w:tcW w:w="1240" w:type="dxa"/>
            <w:vAlign w:val="bottom"/>
          </w:tcPr>
          <w:p>
            <w:pPr>
              <w:jc w:val="right"/>
              <w:ind w:right="132"/>
              <w:spacing w:after="0" w:line="117" w:lineRule="exact"/>
              <w:rPr>
                <w:sz w:val="20"/>
                <w:szCs w:val="20"/>
                <w:color w:val="auto"/>
              </w:rPr>
            </w:pPr>
            <w:r>
              <w:rPr>
                <w:rFonts w:ascii="Arial" w:cs="Arial" w:eastAsia="Arial" w:hAnsi="Arial"/>
                <w:sz w:val="13"/>
                <w:szCs w:val="13"/>
                <w:b w:val="1"/>
                <w:bCs w:val="1"/>
                <w:color w:val="auto"/>
              </w:rPr>
              <w:t>September 26,</w:t>
            </w: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jc w:val="right"/>
              <w:ind w:right="123"/>
              <w:spacing w:after="0" w:line="117" w:lineRule="exact"/>
              <w:rPr>
                <w:sz w:val="20"/>
                <w:szCs w:val="20"/>
                <w:color w:val="auto"/>
              </w:rPr>
            </w:pPr>
            <w:r>
              <w:rPr>
                <w:rFonts w:ascii="Arial" w:cs="Arial" w:eastAsia="Arial" w:hAnsi="Arial"/>
                <w:sz w:val="13"/>
                <w:szCs w:val="13"/>
                <w:b w:val="1"/>
                <w:bCs w:val="1"/>
                <w:color w:val="auto"/>
              </w:rPr>
              <w:t>October 2,</w:t>
            </w:r>
          </w:p>
        </w:tc>
        <w:tc>
          <w:tcPr>
            <w:tcW w:w="420" w:type="dxa"/>
            <w:vAlign w:val="bottom"/>
          </w:tcPr>
          <w:p>
            <w:pPr>
              <w:spacing w:after="0"/>
              <w:rPr>
                <w:sz w:val="10"/>
                <w:szCs w:val="10"/>
                <w:color w:val="auto"/>
              </w:rPr>
            </w:pPr>
          </w:p>
        </w:tc>
        <w:tc>
          <w:tcPr>
            <w:tcW w:w="1240" w:type="dxa"/>
            <w:vAlign w:val="bottom"/>
          </w:tcPr>
          <w:p>
            <w:pPr>
              <w:jc w:val="right"/>
              <w:ind w:right="112"/>
              <w:spacing w:after="0" w:line="117" w:lineRule="exact"/>
              <w:rPr>
                <w:sz w:val="20"/>
                <w:szCs w:val="20"/>
                <w:color w:val="auto"/>
              </w:rPr>
            </w:pPr>
            <w:r>
              <w:rPr>
                <w:rFonts w:ascii="Arial" w:cs="Arial" w:eastAsia="Arial" w:hAnsi="Arial"/>
                <w:sz w:val="13"/>
                <w:szCs w:val="13"/>
                <w:b w:val="1"/>
                <w:bCs w:val="1"/>
                <w:color w:val="auto"/>
              </w:rPr>
              <w:t>September 26,</w:t>
            </w: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8"/>
        </w:trPr>
        <w:tc>
          <w:tcPr>
            <w:tcW w:w="2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 Increase</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 Decrease</w:t>
            </w:r>
          </w:p>
        </w:tc>
      </w:tr>
      <w:tr>
        <w:trPr>
          <w:trHeight w:val="405"/>
        </w:trPr>
        <w:tc>
          <w:tcPr>
            <w:tcW w:w="2940" w:type="dxa"/>
            <w:vAlign w:val="bottom"/>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Pr>
          <w:p>
            <w:pPr>
              <w:jc w:val="right"/>
              <w:ind w:right="203"/>
              <w:spacing w:after="0"/>
              <w:rPr>
                <w:sz w:val="20"/>
                <w:szCs w:val="20"/>
                <w:color w:val="auto"/>
              </w:rPr>
            </w:pPr>
            <w:r>
              <w:rPr>
                <w:rFonts w:ascii="Arial" w:cs="Arial" w:eastAsia="Arial" w:hAnsi="Arial"/>
                <w:sz w:val="18"/>
                <w:szCs w:val="18"/>
                <w:color w:val="auto"/>
              </w:rPr>
              <w:t>$28,905</w:t>
            </w:r>
          </w:p>
        </w:tc>
        <w:tc>
          <w:tcPr>
            <w:tcW w:w="1640" w:type="dxa"/>
            <w:vAlign w:val="bottom"/>
            <w:gridSpan w:val="2"/>
          </w:tcPr>
          <w:p>
            <w:pPr>
              <w:jc w:val="right"/>
              <w:ind w:right="312"/>
              <w:spacing w:after="0"/>
              <w:rPr>
                <w:sz w:val="20"/>
                <w:szCs w:val="20"/>
                <w:color w:val="auto"/>
              </w:rPr>
            </w:pPr>
            <w:r>
              <w:rPr>
                <w:rFonts w:ascii="Arial" w:cs="Arial" w:eastAsia="Arial" w:hAnsi="Arial"/>
                <w:sz w:val="18"/>
                <w:szCs w:val="18"/>
                <w:color w:val="auto"/>
              </w:rPr>
              <w:t>$27,023</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24"/>
                <w:szCs w:val="24"/>
                <w:color w:val="auto"/>
              </w:rPr>
            </w:pPr>
          </w:p>
        </w:tc>
        <w:tc>
          <w:tcPr>
            <w:tcW w:w="1040" w:type="dxa"/>
            <w:vAlign w:val="bottom"/>
          </w:tcPr>
          <w:p>
            <w:pPr>
              <w:jc w:val="right"/>
              <w:ind w:right="203"/>
              <w:spacing w:after="0"/>
              <w:rPr>
                <w:sz w:val="20"/>
                <w:szCs w:val="20"/>
                <w:color w:val="auto"/>
              </w:rPr>
            </w:pPr>
            <w:r>
              <w:rPr>
                <w:rFonts w:ascii="Arial" w:cs="Arial" w:eastAsia="Arial" w:hAnsi="Arial"/>
                <w:sz w:val="18"/>
                <w:szCs w:val="18"/>
                <w:color w:val="auto"/>
              </w:rPr>
              <w:t>$53,092</w:t>
            </w:r>
          </w:p>
        </w:tc>
        <w:tc>
          <w:tcPr>
            <w:tcW w:w="1660" w:type="dxa"/>
            <w:vAlign w:val="bottom"/>
            <w:gridSpan w:val="2"/>
          </w:tcPr>
          <w:p>
            <w:pPr>
              <w:jc w:val="right"/>
              <w:ind w:right="292"/>
              <w:spacing w:after="0"/>
              <w:rPr>
                <w:sz w:val="20"/>
                <w:szCs w:val="20"/>
                <w:color w:val="auto"/>
              </w:rPr>
            </w:pPr>
            <w:r>
              <w:rPr>
                <w:rFonts w:ascii="Arial" w:cs="Arial" w:eastAsia="Arial" w:hAnsi="Arial"/>
                <w:sz w:val="18"/>
                <w:szCs w:val="18"/>
                <w:color w:val="auto"/>
              </w:rPr>
              <w:t>$53,350</w:t>
            </w:r>
          </w:p>
        </w:tc>
        <w:tc>
          <w:tcPr>
            <w:tcW w:w="1380" w:type="dxa"/>
            <w:vAlign w:val="bottom"/>
            <w:gridSpan w:val="2"/>
          </w:tcPr>
          <w:p>
            <w:pPr>
              <w:jc w:val="right"/>
              <w:ind w:right="49"/>
              <w:spacing w:after="0"/>
              <w:rPr>
                <w:sz w:val="20"/>
                <w:szCs w:val="20"/>
                <w:color w:val="auto"/>
              </w:rPr>
            </w:pPr>
            <w:r>
              <w:rPr>
                <w:rFonts w:ascii="Arial" w:cs="Arial" w:eastAsia="Arial" w:hAnsi="Arial"/>
                <w:sz w:val="18"/>
                <w:szCs w:val="18"/>
                <w:color w:val="auto"/>
              </w:rPr>
              <w:t>(0.5%)</w:t>
            </w:r>
          </w:p>
        </w:tc>
      </w:tr>
      <w:tr>
        <w:trPr>
          <w:trHeight w:val="223"/>
        </w:trPr>
        <w:tc>
          <w:tcPr>
            <w:tcW w:w="294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040" w:type="dxa"/>
            <w:vAlign w:val="bottom"/>
          </w:tcPr>
          <w:p>
            <w:pPr>
              <w:jc w:val="right"/>
              <w:ind w:right="63"/>
              <w:spacing w:after="0"/>
              <w:rPr>
                <w:sz w:val="20"/>
                <w:szCs w:val="20"/>
                <w:color w:val="auto"/>
              </w:rPr>
            </w:pPr>
            <w:r>
              <w:rPr>
                <w:rFonts w:ascii="Arial" w:cs="Arial" w:eastAsia="Arial" w:hAnsi="Arial"/>
                <w:sz w:val="18"/>
                <w:szCs w:val="18"/>
                <w:color w:val="auto"/>
              </w:rPr>
              <w:t>17.3%</w:t>
            </w:r>
          </w:p>
        </w:tc>
        <w:tc>
          <w:tcPr>
            <w:tcW w:w="1640" w:type="dxa"/>
            <w:vAlign w:val="bottom"/>
            <w:gridSpan w:val="2"/>
          </w:tcPr>
          <w:p>
            <w:pPr>
              <w:jc w:val="right"/>
              <w:ind w:right="152"/>
              <w:spacing w:after="0"/>
              <w:rPr>
                <w:sz w:val="20"/>
                <w:szCs w:val="20"/>
                <w:color w:val="auto"/>
              </w:rPr>
            </w:pPr>
            <w:r>
              <w:rPr>
                <w:rFonts w:ascii="Arial" w:cs="Arial" w:eastAsia="Arial" w:hAnsi="Arial"/>
                <w:sz w:val="18"/>
                <w:szCs w:val="18"/>
                <w:color w:val="auto"/>
              </w:rPr>
              <w:t>17.2%</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63"/>
              <w:spacing w:after="0"/>
              <w:rPr>
                <w:sz w:val="20"/>
                <w:szCs w:val="20"/>
                <w:color w:val="auto"/>
              </w:rPr>
            </w:pPr>
            <w:r>
              <w:rPr>
                <w:rFonts w:ascii="Arial" w:cs="Arial" w:eastAsia="Arial" w:hAnsi="Arial"/>
                <w:sz w:val="18"/>
                <w:szCs w:val="18"/>
                <w:color w:val="auto"/>
              </w:rPr>
              <w:t>16.1%</w:t>
            </w:r>
          </w:p>
        </w:tc>
        <w:tc>
          <w:tcPr>
            <w:tcW w:w="1660" w:type="dxa"/>
            <w:vAlign w:val="bottom"/>
            <w:gridSpan w:val="2"/>
          </w:tcPr>
          <w:p>
            <w:pPr>
              <w:jc w:val="right"/>
              <w:ind w:right="152"/>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9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Operating income increased 7.0% and decreased 0.5% for the second quarter and the first six months of fiscal year 2011, respectively, over the comparable periods of fiscal year 2010. Foreign exchange accounted for an increase of 2.5% and a decrease of 9.0% for the quarter and six months. Without the effects of foreign exchange, operating income increased 4.5% and 8.5% for the second quarter and the first six months of fiscal year 2011, respectively. Our emerging international markets, software business, and equipment sales were significant contributors to the improvement in operating income which was partially offset by additional spending largely associated with our acquisitions and their integration. Additionally, we recognized income of $1.9 million resulting from the remeasurement of the fair value of contingent consideration from our Neoteric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7"/>
              </w:rPr>
              <w:t>For the three months ended</w:t>
            </w:r>
          </w:p>
        </w:tc>
        <w:tc>
          <w:tcPr>
            <w:tcW w:w="68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9"/>
              </w:rPr>
              <w:t>For the six months ended</w:t>
            </w:r>
          </w:p>
        </w:tc>
        <w:tc>
          <w:tcPr>
            <w:tcW w:w="6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October 2,</w:t>
            </w:r>
          </w:p>
        </w:tc>
        <w:tc>
          <w:tcPr>
            <w:tcW w:w="88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6"/>
              </w:rPr>
              <w:t>September 26,</w:t>
            </w:r>
          </w:p>
        </w:tc>
        <w:tc>
          <w:tcPr>
            <w:tcW w:w="6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October 2,</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4"/>
              </w:rPr>
              <w:t>September 26,</w:t>
            </w:r>
          </w:p>
        </w:tc>
        <w:tc>
          <w:tcPr>
            <w:tcW w:w="6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8"/>
              <w:spacing w:after="0"/>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253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(801)</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vMerge w:val="restart"/>
          </w:tcPr>
          <w:p>
            <w:pPr>
              <w:ind w:left="36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8"/>
        </w:trPr>
        <w:tc>
          <w:tcPr>
            <w:tcW w:w="358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6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(953)</w:t>
            </w:r>
          </w:p>
        </w:tc>
        <w:tc>
          <w:tcPr>
            <w:tcW w:w="1000" w:type="dxa"/>
            <w:vAlign w:val="bottom"/>
            <w:gridSpan w:val="2"/>
            <w:vMerge w:val="continue"/>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442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(1,345)</w:t>
            </w: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Total other income, net increased more than 100% for both the second quarter and the first six months of fiscal year 2011 as compared to the same periods of fiscal year 2010. The main reasons for the increase are a reduction in foreign exchange transaction losses on foreign currency denominated assets and the reversal of interest expense on contingent consideration related to our Neoteric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tcPr>
          <w:p>
            <w:pPr>
              <w:spacing w:after="0"/>
              <w:rPr>
                <w:sz w:val="14"/>
                <w:szCs w:val="14"/>
                <w:color w:val="auto"/>
              </w:rPr>
            </w:pPr>
          </w:p>
        </w:tc>
        <w:tc>
          <w:tcPr>
            <w:tcW w:w="24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17"/>
        </w:trPr>
        <w:tc>
          <w:tcPr>
            <w:tcW w:w="3160" w:type="dxa"/>
            <w:vAlign w:val="bottom"/>
          </w:tcPr>
          <w:p>
            <w:pPr>
              <w:spacing w:after="0"/>
              <w:rPr>
                <w:sz w:val="10"/>
                <w:szCs w:val="10"/>
                <w:color w:val="auto"/>
              </w:rPr>
            </w:pPr>
          </w:p>
        </w:tc>
        <w:tc>
          <w:tcPr>
            <w:tcW w:w="960" w:type="dxa"/>
            <w:vAlign w:val="bottom"/>
          </w:tcPr>
          <w:p>
            <w:pPr>
              <w:ind w:left="160"/>
              <w:spacing w:after="0" w:line="117" w:lineRule="exact"/>
              <w:rPr>
                <w:sz w:val="20"/>
                <w:szCs w:val="20"/>
                <w:color w:val="auto"/>
              </w:rPr>
            </w:pPr>
            <w:r>
              <w:rPr>
                <w:rFonts w:ascii="Arial" w:cs="Arial" w:eastAsia="Arial" w:hAnsi="Arial"/>
                <w:sz w:val="13"/>
                <w:szCs w:val="13"/>
                <w:b w:val="1"/>
                <w:bCs w:val="1"/>
                <w:color w:val="auto"/>
              </w:rPr>
              <w:t>October 2,</w:t>
            </w:r>
          </w:p>
        </w:tc>
        <w:tc>
          <w:tcPr>
            <w:tcW w:w="460" w:type="dxa"/>
            <w:vAlign w:val="bottom"/>
          </w:tcPr>
          <w:p>
            <w:pPr>
              <w:spacing w:after="0"/>
              <w:rPr>
                <w:sz w:val="10"/>
                <w:szCs w:val="10"/>
                <w:color w:val="auto"/>
              </w:rPr>
            </w:pPr>
          </w:p>
        </w:tc>
        <w:tc>
          <w:tcPr>
            <w:tcW w:w="1060" w:type="dxa"/>
            <w:vAlign w:val="bottom"/>
          </w:tcPr>
          <w:p>
            <w:pPr>
              <w:ind w:left="100"/>
              <w:spacing w:after="0" w:line="117" w:lineRule="exact"/>
              <w:rPr>
                <w:sz w:val="20"/>
                <w:szCs w:val="20"/>
                <w:color w:val="auto"/>
              </w:rPr>
            </w:pPr>
            <w:r>
              <w:rPr>
                <w:rFonts w:ascii="Arial" w:cs="Arial" w:eastAsia="Arial" w:hAnsi="Arial"/>
                <w:sz w:val="13"/>
                <w:szCs w:val="13"/>
                <w:b w:val="1"/>
                <w:bCs w:val="1"/>
                <w:color w:val="auto"/>
              </w:rPr>
              <w:t>September 26,</w:t>
            </w: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ind w:left="160"/>
              <w:spacing w:after="0" w:line="117" w:lineRule="exact"/>
              <w:rPr>
                <w:sz w:val="20"/>
                <w:szCs w:val="20"/>
                <w:color w:val="auto"/>
              </w:rPr>
            </w:pPr>
            <w:r>
              <w:rPr>
                <w:rFonts w:ascii="Arial" w:cs="Arial" w:eastAsia="Arial" w:hAnsi="Arial"/>
                <w:sz w:val="13"/>
                <w:szCs w:val="13"/>
                <w:b w:val="1"/>
                <w:bCs w:val="1"/>
                <w:color w:val="auto"/>
              </w:rPr>
              <w:t>October 2,</w:t>
            </w:r>
          </w:p>
        </w:tc>
        <w:tc>
          <w:tcPr>
            <w:tcW w:w="460" w:type="dxa"/>
            <w:vAlign w:val="bottom"/>
          </w:tcPr>
          <w:p>
            <w:pPr>
              <w:spacing w:after="0"/>
              <w:rPr>
                <w:sz w:val="10"/>
                <w:szCs w:val="10"/>
                <w:color w:val="auto"/>
              </w:rPr>
            </w:pPr>
          </w:p>
        </w:tc>
        <w:tc>
          <w:tcPr>
            <w:tcW w:w="1060" w:type="dxa"/>
            <w:vAlign w:val="bottom"/>
          </w:tcPr>
          <w:p>
            <w:pPr>
              <w:ind w:left="100"/>
              <w:spacing w:after="0" w:line="117" w:lineRule="exact"/>
              <w:rPr>
                <w:sz w:val="20"/>
                <w:szCs w:val="20"/>
                <w:color w:val="auto"/>
              </w:rPr>
            </w:pPr>
            <w:r>
              <w:rPr>
                <w:rFonts w:ascii="Arial" w:cs="Arial" w:eastAsia="Arial" w:hAnsi="Arial"/>
                <w:sz w:val="13"/>
                <w:szCs w:val="13"/>
                <w:b w:val="1"/>
                <w:bCs w:val="1"/>
                <w:color w:val="auto"/>
              </w:rPr>
              <w:t>September 26,</w:t>
            </w: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8"/>
        </w:trPr>
        <w:tc>
          <w:tcPr>
            <w:tcW w:w="3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 Decrease</w:t>
            </w:r>
          </w:p>
        </w:tc>
        <w:tc>
          <w:tcPr>
            <w:tcW w:w="460" w:type="dxa"/>
            <w:vAlign w:val="bottom"/>
          </w:tcPr>
          <w:p>
            <w:pPr>
              <w:spacing w:after="0"/>
              <w:rPr>
                <w:sz w:val="14"/>
                <w:szCs w:val="14"/>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 Decrease</w:t>
            </w:r>
          </w:p>
        </w:tc>
      </w:tr>
      <w:tr>
        <w:trPr>
          <w:trHeight w:val="417"/>
        </w:trPr>
        <w:tc>
          <w:tcPr>
            <w:tcW w:w="3160" w:type="dxa"/>
            <w:vAlign w:val="bottom"/>
          </w:tcPr>
          <w:p>
            <w:pPr>
              <w:spacing w:after="0"/>
              <w:rPr>
                <w:sz w:val="20"/>
                <w:szCs w:val="20"/>
                <w:color w:val="auto"/>
              </w:rPr>
            </w:pPr>
            <w:r>
              <w:rPr>
                <w:rFonts w:ascii="Arial" w:cs="Arial" w:eastAsia="Arial" w:hAnsi="Arial"/>
                <w:sz w:val="18"/>
                <w:szCs w:val="18"/>
                <w:color w:val="auto"/>
              </w:rPr>
              <w:t>Reported income tax rate</w:t>
            </w:r>
          </w:p>
        </w:tc>
        <w:tc>
          <w:tcPr>
            <w:tcW w:w="960" w:type="dxa"/>
            <w:vAlign w:val="bottom"/>
          </w:tcPr>
          <w:p>
            <w:pPr>
              <w:ind w:left="320"/>
              <w:spacing w:after="0"/>
              <w:rPr>
                <w:sz w:val="20"/>
                <w:szCs w:val="20"/>
                <w:color w:val="auto"/>
              </w:rPr>
            </w:pPr>
            <w:r>
              <w:rPr>
                <w:rFonts w:ascii="Arial" w:cs="Arial" w:eastAsia="Arial" w:hAnsi="Arial"/>
                <w:sz w:val="18"/>
                <w:szCs w:val="18"/>
                <w:color w:val="auto"/>
              </w:rPr>
              <w:t>26.8%</w:t>
            </w:r>
          </w:p>
        </w:tc>
        <w:tc>
          <w:tcPr>
            <w:tcW w:w="1520" w:type="dxa"/>
            <w:vAlign w:val="bottom"/>
            <w:gridSpan w:val="2"/>
          </w:tcPr>
          <w:p>
            <w:pPr>
              <w:ind w:left="840"/>
              <w:spacing w:after="0"/>
              <w:rPr>
                <w:sz w:val="20"/>
                <w:szCs w:val="20"/>
                <w:color w:val="auto"/>
              </w:rPr>
            </w:pPr>
            <w:r>
              <w:rPr>
                <w:rFonts w:ascii="Arial" w:cs="Arial" w:eastAsia="Arial" w:hAnsi="Arial"/>
                <w:sz w:val="18"/>
                <w:szCs w:val="18"/>
                <w:color w:val="auto"/>
              </w:rPr>
              <w:t>30.8%</w:t>
            </w:r>
          </w:p>
        </w:tc>
        <w:tc>
          <w:tcPr>
            <w:tcW w:w="1420" w:type="dxa"/>
            <w:vAlign w:val="bottom"/>
            <w:gridSpan w:val="2"/>
          </w:tcPr>
          <w:p>
            <w:pPr>
              <w:jc w:val="right"/>
              <w:ind w:right="49"/>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26.7%</w:t>
            </w:r>
          </w:p>
        </w:tc>
        <w:tc>
          <w:tcPr>
            <w:tcW w:w="1520" w:type="dxa"/>
            <w:vAlign w:val="bottom"/>
            <w:gridSpan w:val="2"/>
          </w:tcPr>
          <w:p>
            <w:pPr>
              <w:ind w:left="840"/>
              <w:spacing w:after="0"/>
              <w:rPr>
                <w:sz w:val="20"/>
                <w:szCs w:val="20"/>
                <w:color w:val="auto"/>
              </w:rPr>
            </w:pPr>
            <w:r>
              <w:rPr>
                <w:rFonts w:ascii="Arial" w:cs="Arial" w:eastAsia="Arial" w:hAnsi="Arial"/>
                <w:sz w:val="18"/>
                <w:szCs w:val="18"/>
                <w:color w:val="auto"/>
              </w:rPr>
              <w:t>30.5%</w:t>
            </w:r>
          </w:p>
        </w:tc>
        <w:tc>
          <w:tcPr>
            <w:tcW w:w="1420" w:type="dxa"/>
            <w:vAlign w:val="bottom"/>
            <w:gridSpan w:val="2"/>
          </w:tcPr>
          <w:p>
            <w:pPr>
              <w:jc w:val="right"/>
              <w:ind w:right="49"/>
              <w:spacing w:after="0"/>
              <w:rPr>
                <w:sz w:val="20"/>
                <w:szCs w:val="20"/>
                <w:color w:val="auto"/>
              </w:rPr>
            </w:pPr>
            <w:r>
              <w:rPr>
                <w:rFonts w:ascii="Arial" w:cs="Arial" w:eastAsia="Arial" w:hAnsi="Arial"/>
                <w:sz w:val="18"/>
                <w:szCs w:val="18"/>
                <w:color w:val="auto"/>
              </w:rPr>
              <w:t>(3.8%)</w:t>
            </w:r>
          </w:p>
        </w:tc>
      </w:tr>
    </w:tbl>
    <w:p>
      <w:pPr>
        <w:spacing w:after="0" w:line="9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or is resolved. Events or items that give rise to discrete recognition include finalizing audit examinations for open tax years, a statute of limitation’s expiration, or a change in the statutory tax rate. The calculated tax rate is without any benefit from the research and development credit that could later become valid for our fiscal year 2011.</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reported tax rate was 26.8% and 26.7% for the second quarter and the six month period ended October 2, 2010, respectively. The reported tax rate includes:</w:t>
      </w:r>
    </w:p>
    <w:p>
      <w:pPr>
        <w:spacing w:after="0" w:line="146" w:lineRule="exact"/>
        <w:rPr>
          <w:sz w:val="20"/>
          <w:szCs w:val="20"/>
          <w:color w:val="auto"/>
        </w:rPr>
      </w:pPr>
    </w:p>
    <w:p>
      <w:pPr>
        <w:jc w:val="both"/>
        <w:ind w:left="220" w:hanging="214"/>
        <w:spacing w:after="0" w:line="366" w:lineRule="auto"/>
        <w:tabs>
          <w:tab w:leader="none" w:pos="220"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our expected effective annual tax rate of 29.8% comprised of the U.S. federal statutory tax rate of 35.0% reduced by tax benefits from foreign taxes (including our Swiss principal) and a domestic manufacturing deduction, plus the state tax provision and stock compensation expenses not deductible in all jurisdictions.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items were realized in the second quarter of fiscal year 2011:</w:t>
      </w:r>
    </w:p>
    <w:p>
      <w:pPr>
        <w:spacing w:after="0" w:line="111" w:lineRule="exact"/>
        <w:rPr>
          <w:sz w:val="20"/>
          <w:szCs w:val="20"/>
          <w:color w:val="auto"/>
        </w:rPr>
      </w:pPr>
    </w:p>
    <w:p>
      <w:pPr>
        <w:ind w:left="5620" w:right="5520" w:hanging="5614"/>
        <w:spacing w:after="0" w:line="432" w:lineRule="auto"/>
        <w:tabs>
          <w:tab w:leader="none" w:pos="213"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a $0.6 million benefit for the contingent consideration income that is not taxable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1900" w:firstLine="6"/>
        <w:spacing w:after="0" w:line="442" w:lineRule="auto"/>
        <w:tabs>
          <w:tab w:leader="none" w:pos="212"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a $0.3 million benefit from the release of a transfer price reserve after completion of the fiscal year 2010 global transfer price study. During the first quarter of fiscal year 2011, we recognized a $0.8 million discrete tax benefit from our Swiss principal ruling.</w:t>
      </w:r>
    </w:p>
    <w:p>
      <w:pPr>
        <w:spacing w:after="0" w:line="1"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The reported tax rate was 30.8% and 30.5% for the second quarter and the six month period ended September 26, 2009, respectively. The reported tax rate includes:</w:t>
      </w:r>
    </w:p>
    <w:p>
      <w:pPr>
        <w:spacing w:after="0" w:line="73" w:lineRule="exact"/>
        <w:rPr>
          <w:sz w:val="20"/>
          <w:szCs w:val="20"/>
          <w:color w:val="auto"/>
        </w:rPr>
      </w:pPr>
    </w:p>
    <w:p>
      <w:pPr>
        <w:ind w:left="220" w:right="180" w:hanging="214"/>
        <w:spacing w:after="0" w:line="255" w:lineRule="auto"/>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expected effective annual tax rate of 31.1%, comprised of the U.S. federal statutory tax rate of 35.0% reduced by tax benefits from foreign taxes (including our Swiss principal) and a domestic manufacturing deduction, plus the state tax provision, and stock compensation expenses not deductible in all jurisdictions.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 were realized during the first quarter of fiscal year 2010:</w:t>
      </w:r>
    </w:p>
    <w:p>
      <w:pPr>
        <w:spacing w:after="0" w:line="111" w:lineRule="exact"/>
        <w:rPr>
          <w:sz w:val="20"/>
          <w:szCs w:val="20"/>
          <w:color w:val="auto"/>
        </w:rPr>
      </w:pPr>
    </w:p>
    <w:p>
      <w:pPr>
        <w:ind w:left="220" w:hanging="214"/>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$0.1 million cost from foreign tax assessments.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October 2, 2010</w:t>
            </w:r>
          </w:p>
        </w:tc>
        <w:tc>
          <w:tcPr>
            <w:tcW w:w="520" w:type="dxa"/>
            <w:vAlign w:val="bottom"/>
          </w:tcPr>
          <w:p>
            <w:pPr>
              <w:spacing w:after="0"/>
              <w:rPr>
                <w:sz w:val="14"/>
                <w:szCs w:val="14"/>
                <w:color w:val="auto"/>
              </w:rPr>
            </w:pPr>
          </w:p>
        </w:tc>
        <w:tc>
          <w:tcPr>
            <w:tcW w:w="12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April 3, 2010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6"/>
              </w:rPr>
              <w:t>115,049</w:t>
            </w:r>
          </w:p>
        </w:tc>
        <w:tc>
          <w:tcPr>
            <w:tcW w:w="17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$141,562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Working capital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w w:val="86"/>
              </w:rPr>
              <w:t>248,471</w:t>
            </w:r>
          </w:p>
        </w:tc>
        <w:tc>
          <w:tcPr>
            <w:tcW w:w="1760" w:type="dxa"/>
            <w:vAlign w:val="bottom"/>
            <w:gridSpan w:val="2"/>
          </w:tcPr>
          <w:p>
            <w:pPr>
              <w:jc w:val="right"/>
              <w:ind w:right="249"/>
              <w:spacing w:after="0"/>
              <w:rPr>
                <w:sz w:val="20"/>
                <w:szCs w:val="20"/>
                <w:color w:val="auto"/>
              </w:rPr>
            </w:pPr>
            <w:r>
              <w:rPr>
                <w:rFonts w:ascii="Arial" w:cs="Arial" w:eastAsia="Arial" w:hAnsi="Arial"/>
                <w:sz w:val="18"/>
                <w:szCs w:val="18"/>
                <w:color w:val="auto"/>
              </w:rPr>
              <w:t>$251,513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w:t>
            </w:r>
          </w:p>
        </w:tc>
        <w:tc>
          <w:tcPr>
            <w:tcW w:w="17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cash position (1)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98,924</w:t>
            </w:r>
          </w:p>
        </w:tc>
        <w:tc>
          <w:tcPr>
            <w:tcW w:w="1760" w:type="dxa"/>
            <w:vAlign w:val="bottom"/>
            <w:gridSpan w:val="2"/>
          </w:tcPr>
          <w:p>
            <w:pPr>
              <w:jc w:val="right"/>
              <w:ind w:right="249"/>
              <w:spacing w:after="0"/>
              <w:rPr>
                <w:sz w:val="20"/>
                <w:szCs w:val="20"/>
                <w:color w:val="auto"/>
              </w:rPr>
            </w:pPr>
            <w:r>
              <w:rPr>
                <w:rFonts w:ascii="Arial" w:cs="Arial" w:eastAsia="Arial" w:hAnsi="Arial"/>
                <w:sz w:val="18"/>
                <w:szCs w:val="18"/>
                <w:color w:val="auto"/>
              </w:rPr>
              <w:t>$120,911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66</w:t>
            </w:r>
          </w:p>
        </w:tc>
        <w:tc>
          <w:tcPr>
            <w:tcW w:w="17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40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7.3</w:t>
            </w:r>
          </w:p>
        </w:tc>
        <w:tc>
          <w:tcPr>
            <w:tcW w:w="1760" w:type="dxa"/>
            <w:vAlign w:val="bottom"/>
            <w:gridSpan w:val="2"/>
          </w:tcPr>
          <w:p>
            <w:pPr>
              <w:jc w:val="right"/>
              <w:ind w:right="24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80" w:hanging="47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position is the sum of cash and cash equivalents less total debt.</w:t>
      </w:r>
    </w:p>
    <w:p>
      <w:pPr>
        <w:spacing w:after="0" w:line="1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primary sources of capital include cash and cash equivalents, internally generated cash flows, bank borrowings and option exercises. We believe these sources to be sufficient to fund our requirements, which are primarily capital expenditures (including our manufacturing expansion in Salt Lake City), share repurchases (like the $50.0 million share repurchase program authorized by the Board of Directors in April 2010 and completed in the first quarter of fiscal year 2011), new business and product development, and working capital for at least the next twelve months.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ind w:left="380"/>
              <w:spacing w:after="0"/>
              <w:rPr>
                <w:sz w:val="20"/>
                <w:szCs w:val="20"/>
                <w:color w:val="auto"/>
              </w:rPr>
            </w:pPr>
            <w:r>
              <w:rPr>
                <w:rFonts w:ascii="Arial" w:cs="Arial" w:eastAsia="Arial" w:hAnsi="Arial"/>
                <w:sz w:val="14"/>
                <w:szCs w:val="14"/>
                <w:b w:val="1"/>
                <w:bCs w:val="1"/>
                <w:color w:val="auto"/>
                <w:w w:val="90"/>
              </w:rPr>
              <w:t>For the six months ended</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68"/>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October 2, 2010</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2009</w:t>
            </w:r>
          </w:p>
        </w:tc>
        <w:tc>
          <w:tcPr>
            <w:tcW w:w="2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44,286</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61,479</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 (17,193)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(23,826)</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(52,261)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(47,301)</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11,907</w:t>
            </w:r>
          </w:p>
        </w:tc>
        <w:tc>
          <w:tcPr>
            <w:tcW w:w="3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(59,208)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476</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40" w:type="dxa"/>
            <w:vAlign w:val="bottom"/>
            <w:gridSpan w:val="2"/>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(26,513)</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21,601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 (48,114)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80" w:right="560" w:hanging="474"/>
        <w:spacing w:after="0" w:line="366" w:lineRule="auto"/>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our April 6, 2010 press release, the Company announced that its Board of Directors approved the repurchase of up to $50.0 million worth of Company shares during fiscal year 2011. Through October 2, 2010, the Company repurchased 907,310 shares of its common stock for an aggregate purchase price of $50.0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provided by operating activities was $44.3 million in the first six months of fiscal year 2011, a decrease of $17.2 million as compared to the first six months of fiscal year 2010. Non cash items in the first six months of fiscal year 2011 include $2.4 million of contingent consideration income and the reversal of related interest resulting from our acquisition of Neoteric.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 during the first six months of fiscal year 2011 include:</w:t>
      </w:r>
    </w:p>
    <w:p>
      <w:pPr>
        <w:spacing w:after="0" w:line="111" w:lineRule="exact"/>
        <w:rPr>
          <w:sz w:val="20"/>
          <w:szCs w:val="20"/>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$3.9 million investment in inventory,</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$9.0 million in 2010 employee performance bonuses worldwide — a decrease of $4.7 million from the prior year,</w:t>
      </w:r>
    </w:p>
    <w:p>
      <w:pPr>
        <w:spacing w:after="0" w:line="124" w:lineRule="exact"/>
        <w:rPr>
          <w:rFonts w:ascii="Arial" w:cs="Arial" w:eastAsia="Arial" w:hAnsi="Arial"/>
          <w:sz w:val="18"/>
          <w:szCs w:val="18"/>
          <w:b w:val="1"/>
          <w:bCs w:val="1"/>
          <w:color w:val="auto"/>
        </w:rPr>
      </w:pPr>
    </w:p>
    <w:p>
      <w:pPr>
        <w:ind w:left="660" w:right="660" w:hanging="429"/>
        <w:spacing w:after="0" w:line="265"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$7.0 million payment of accrued expenses, including employment contracts of $2.2 million, $1.8 million of payroll and related costs, and legal expenses of $1.0 million, assumed from our acquisition of Global Med,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$6.4 million payment of restructuring costs of our transformation and restructuring plans which include the integration of Global Med, and</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$4.0 million in accounts payable.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Net cash used in investing activities decreased by $28.4 million during the first six months of fiscal year 2011 as compared to the first six months of 2010. Net investing cash used in the prior year included the acquisition of SEBRA and Neoteric for $12.8 million and $6.6 million, respectively, as well as higher capital expenditures on property, plant, and equipment.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1"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In the first six months of fiscal year 2011, we used money in financing activities versus generating financing cash flows in fiscal year 2010 resulting in a net change of $59.2 million. These financing activities include:</w:t>
      </w:r>
    </w:p>
    <w:p>
      <w:pPr>
        <w:spacing w:after="0" w:line="73" w:lineRule="exact"/>
        <w:rPr>
          <w:sz w:val="20"/>
          <w:szCs w:val="20"/>
          <w:color w:val="auto"/>
        </w:rPr>
      </w:pPr>
    </w:p>
    <w:p>
      <w:pPr>
        <w:ind w:left="660" w:hanging="429"/>
        <w:spacing w:after="0"/>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$50.0 million in cash paid out relating to stock repurchases compared to the $6.3 million paid out during the same period of the prior year,</w:t>
      </w:r>
    </w:p>
    <w:p>
      <w:pPr>
        <w:spacing w:after="0" w:line="28" w:lineRule="exact"/>
        <w:rPr>
          <w:rFonts w:ascii="Arial" w:cs="Arial" w:eastAsia="Arial" w:hAnsi="Arial"/>
          <w:sz w:val="17"/>
          <w:szCs w:val="17"/>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$8.1 million in proceeds from stock options and the employee stock purchase plan,</w:t>
      </w:r>
    </w:p>
    <w:p>
      <w:pPr>
        <w:spacing w:after="0" w:line="11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$7.8 million in repayment of debt assumed from our acquisition of Global Med,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$3.3 million in net borrowings under short-term revolving credit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1"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Approximately 52% of our sales are generated outside the U.S. in local currencies, yet our reporting currency is the U.S. dollar.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8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primary foreign currency exposures in relation to the U.S. dollar are the Euro and the Japanese Yen. In response to the sharply increased volatility in the foreign exchange rates, we have entered into forward contracts to hedge the anticipated cash flows from forecasted Swiss Franc, Great British Pound, and Canadian Dollar denominated costs.</w:t>
      </w:r>
    </w:p>
    <w:p>
      <w:pPr>
        <w:spacing w:after="0" w:line="8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and costs. Hedging through the use of forward contracts does not eliminate the volatility of foreign exchange rates, but because we generally enter into forward contracts one year in advance of the foreign currency denominated cash flows,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Presented below are the spot rates for our Euro, Japanese Yen, Canadian Dollar, British Pound, and Swiss Franc cash flow hedges that settled in fiscal year 2010, settled the first six months of fiscal year 2011, or are presently outstanding. These hedges cover our long foreign currency positions that result from our sales in Europe and Japan.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jc w:val="right"/>
              <w:ind w:right="314"/>
              <w:spacing w:after="0"/>
              <w:rPr>
                <w:sz w:val="20"/>
                <w:szCs w:val="20"/>
                <w:color w:val="auto"/>
              </w:rPr>
            </w:pPr>
            <w:r>
              <w:rPr>
                <w:rFonts w:ascii="Arial" w:cs="Arial" w:eastAsia="Arial" w:hAnsi="Arial"/>
                <w:sz w:val="14"/>
                <w:szCs w:val="14"/>
                <w:color w:val="auto"/>
              </w:rPr>
              <w:t>First</w:t>
            </w:r>
          </w:p>
        </w:tc>
        <w:tc>
          <w:tcPr>
            <w:tcW w:w="1460" w:type="dxa"/>
            <w:vAlign w:val="bottom"/>
          </w:tcPr>
          <w:p>
            <w:pPr>
              <w:jc w:val="right"/>
              <w:ind w:right="315"/>
              <w:spacing w:after="0"/>
              <w:rPr>
                <w:sz w:val="20"/>
                <w:szCs w:val="20"/>
                <w:color w:val="auto"/>
              </w:rPr>
            </w:pPr>
            <w:r>
              <w:rPr>
                <w:rFonts w:ascii="Arial" w:cs="Arial" w:eastAsia="Arial" w:hAnsi="Arial"/>
                <w:sz w:val="14"/>
                <w:szCs w:val="14"/>
                <w:color w:val="auto"/>
              </w:rPr>
              <w:t>Favorable /</w:t>
            </w:r>
          </w:p>
        </w:tc>
        <w:tc>
          <w:tcPr>
            <w:tcW w:w="1060" w:type="dxa"/>
            <w:vAlign w:val="bottom"/>
          </w:tcPr>
          <w:p>
            <w:pPr>
              <w:jc w:val="right"/>
              <w:ind w:right="234"/>
              <w:spacing w:after="0"/>
              <w:rPr>
                <w:sz w:val="20"/>
                <w:szCs w:val="20"/>
                <w:color w:val="auto"/>
              </w:rPr>
            </w:pPr>
            <w:r>
              <w:rPr>
                <w:rFonts w:ascii="Arial" w:cs="Arial" w:eastAsia="Arial" w:hAnsi="Arial"/>
                <w:sz w:val="14"/>
                <w:szCs w:val="14"/>
                <w:color w:val="auto"/>
              </w:rPr>
              <w:t>Second</w:t>
            </w:r>
          </w:p>
        </w:tc>
        <w:tc>
          <w:tcPr>
            <w:tcW w:w="1480" w:type="dxa"/>
            <w:vAlign w:val="bottom"/>
          </w:tcPr>
          <w:p>
            <w:pPr>
              <w:jc w:val="right"/>
              <w:ind w:right="335"/>
              <w:spacing w:after="0"/>
              <w:rPr>
                <w:sz w:val="20"/>
                <w:szCs w:val="20"/>
                <w:color w:val="auto"/>
              </w:rPr>
            </w:pPr>
            <w:r>
              <w:rPr>
                <w:rFonts w:ascii="Arial" w:cs="Arial" w:eastAsia="Arial" w:hAnsi="Arial"/>
                <w:sz w:val="14"/>
                <w:szCs w:val="14"/>
                <w:color w:val="auto"/>
              </w:rPr>
              <w:t>Favorable /</w:t>
            </w:r>
          </w:p>
        </w:tc>
        <w:tc>
          <w:tcPr>
            <w:tcW w:w="1020" w:type="dxa"/>
            <w:vAlign w:val="bottom"/>
          </w:tcPr>
          <w:p>
            <w:pPr>
              <w:jc w:val="right"/>
              <w:ind w:right="275"/>
              <w:spacing w:after="0"/>
              <w:rPr>
                <w:sz w:val="20"/>
                <w:szCs w:val="20"/>
                <w:color w:val="auto"/>
              </w:rPr>
            </w:pPr>
            <w:r>
              <w:rPr>
                <w:rFonts w:ascii="Arial" w:cs="Arial" w:eastAsia="Arial" w:hAnsi="Arial"/>
                <w:sz w:val="14"/>
                <w:szCs w:val="14"/>
                <w:color w:val="auto"/>
              </w:rPr>
              <w:t>Third</w:t>
            </w:r>
          </w:p>
        </w:tc>
        <w:tc>
          <w:tcPr>
            <w:tcW w:w="1480" w:type="dxa"/>
            <w:vAlign w:val="bottom"/>
          </w:tcPr>
          <w:p>
            <w:pPr>
              <w:jc w:val="right"/>
              <w:ind w:right="338"/>
              <w:spacing w:after="0"/>
              <w:rPr>
                <w:sz w:val="20"/>
                <w:szCs w:val="20"/>
                <w:color w:val="auto"/>
              </w:rPr>
            </w:pPr>
            <w:r>
              <w:rPr>
                <w:rFonts w:ascii="Arial" w:cs="Arial" w:eastAsia="Arial" w:hAnsi="Arial"/>
                <w:sz w:val="14"/>
                <w:szCs w:val="14"/>
                <w:color w:val="auto"/>
              </w:rPr>
              <w:t>Favorable /</w:t>
            </w:r>
          </w:p>
        </w:tc>
        <w:tc>
          <w:tcPr>
            <w:tcW w:w="1000" w:type="dxa"/>
            <w:vAlign w:val="bottom"/>
          </w:tcPr>
          <w:p>
            <w:pPr>
              <w:jc w:val="right"/>
              <w:ind w:right="215"/>
              <w:spacing w:after="0"/>
              <w:rPr>
                <w:sz w:val="20"/>
                <w:szCs w:val="20"/>
                <w:color w:val="auto"/>
              </w:rPr>
            </w:pPr>
            <w:r>
              <w:rPr>
                <w:rFonts w:ascii="Arial" w:cs="Arial" w:eastAsia="Arial" w:hAnsi="Arial"/>
                <w:sz w:val="14"/>
                <w:szCs w:val="14"/>
                <w:color w:val="auto"/>
              </w:rPr>
              <w:t>Fourth</w:t>
            </w:r>
          </w:p>
        </w:tc>
        <w:tc>
          <w:tcPr>
            <w:tcW w:w="1280" w:type="dxa"/>
            <w:vAlign w:val="bottom"/>
          </w:tcPr>
          <w:p>
            <w:pPr>
              <w:jc w:val="right"/>
              <w:ind w:right="118"/>
              <w:spacing w:after="0"/>
              <w:rPr>
                <w:sz w:val="20"/>
                <w:szCs w:val="20"/>
                <w:color w:val="auto"/>
              </w:rPr>
            </w:pPr>
            <w:r>
              <w:rPr>
                <w:rFonts w:ascii="Arial" w:cs="Arial" w:eastAsia="Arial" w:hAnsi="Arial"/>
                <w:sz w:val="14"/>
                <w:szCs w:val="14"/>
                <w:color w:val="auto"/>
              </w:rPr>
              <w:t>Favorable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Quarter</w:t>
            </w:r>
          </w:p>
        </w:tc>
        <w:tc>
          <w:tcPr>
            <w:tcW w:w="1460" w:type="dxa"/>
            <w:vAlign w:val="bottom"/>
          </w:tcPr>
          <w:p>
            <w:pPr>
              <w:jc w:val="right"/>
              <w:ind w:right="235"/>
              <w:spacing w:after="0"/>
              <w:rPr>
                <w:sz w:val="20"/>
                <w:szCs w:val="20"/>
                <w:color w:val="auto"/>
              </w:rPr>
            </w:pPr>
            <w:r>
              <w:rPr>
                <w:rFonts w:ascii="Arial" w:cs="Arial" w:eastAsia="Arial" w:hAnsi="Arial"/>
                <w:sz w:val="14"/>
                <w:szCs w:val="14"/>
                <w:color w:val="auto"/>
              </w:rPr>
              <w:t>(Unfavorable)</w:t>
            </w: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Quarter</w:t>
            </w:r>
          </w:p>
        </w:tc>
        <w:tc>
          <w:tcPr>
            <w:tcW w:w="1480" w:type="dxa"/>
            <w:vAlign w:val="bottom"/>
          </w:tcPr>
          <w:p>
            <w:pPr>
              <w:jc w:val="right"/>
              <w:ind w:right="255"/>
              <w:spacing w:after="0"/>
              <w:rPr>
                <w:sz w:val="20"/>
                <w:szCs w:val="20"/>
                <w:color w:val="auto"/>
              </w:rPr>
            </w:pPr>
            <w:r>
              <w:rPr>
                <w:rFonts w:ascii="Arial" w:cs="Arial" w:eastAsia="Arial" w:hAnsi="Arial"/>
                <w:sz w:val="14"/>
                <w:szCs w:val="14"/>
                <w:color w:val="auto"/>
              </w:rPr>
              <w:t>(Unfavorable)</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Quarter</w:t>
            </w:r>
          </w:p>
        </w:tc>
        <w:tc>
          <w:tcPr>
            <w:tcW w:w="1480" w:type="dxa"/>
            <w:vAlign w:val="bottom"/>
          </w:tcPr>
          <w:p>
            <w:pPr>
              <w:jc w:val="right"/>
              <w:ind w:right="258"/>
              <w:spacing w:after="0"/>
              <w:rPr>
                <w:sz w:val="20"/>
                <w:szCs w:val="20"/>
                <w:color w:val="auto"/>
              </w:rPr>
            </w:pPr>
            <w:r>
              <w:rPr>
                <w:rFonts w:ascii="Arial" w:cs="Arial" w:eastAsia="Arial" w:hAnsi="Arial"/>
                <w:sz w:val="14"/>
                <w:szCs w:val="14"/>
                <w:color w:val="auto"/>
              </w:rPr>
              <w:t>(Unfavorable)</w:t>
            </w: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Quarter</w:t>
            </w:r>
          </w:p>
        </w:tc>
        <w:tc>
          <w:tcPr>
            <w:tcW w:w="1280" w:type="dxa"/>
            <w:vAlign w:val="bottom"/>
          </w:tcPr>
          <w:p>
            <w:pPr>
              <w:jc w:val="right"/>
              <w:ind w:right="38"/>
              <w:spacing w:after="0"/>
              <w:rPr>
                <w:sz w:val="20"/>
                <w:szCs w:val="20"/>
                <w:color w:val="auto"/>
              </w:rPr>
            </w:pPr>
            <w:r>
              <w:rPr>
                <w:rFonts w:ascii="Arial" w:cs="Arial" w:eastAsia="Arial" w:hAnsi="Arial"/>
                <w:sz w:val="14"/>
                <w:szCs w:val="14"/>
                <w:color w:val="auto"/>
              </w:rPr>
              <w:t>(Unfavorable)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Euro — Hedge Spot Rate (US$ per Euro)</w:t>
            </w:r>
          </w:p>
        </w:tc>
        <w:tc>
          <w:tcPr>
            <w:tcW w:w="10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1.5681</w:t>
            </w:r>
          </w:p>
        </w:tc>
        <w:tc>
          <w:tcPr>
            <w:tcW w:w="146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1.4890</w:t>
            </w:r>
          </w:p>
        </w:tc>
        <w:tc>
          <w:tcPr>
            <w:tcW w:w="148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1.3192</w:t>
            </w:r>
          </w:p>
        </w:tc>
        <w:tc>
          <w:tcPr>
            <w:tcW w:w="148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1.2812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1.3582</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(13.4%)</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1.4140</w:t>
            </w:r>
          </w:p>
        </w:tc>
        <w:tc>
          <w:tcPr>
            <w:tcW w:w="14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1.4326</w:t>
            </w:r>
          </w:p>
        </w:tc>
        <w:tc>
          <w:tcPr>
            <w:tcW w:w="14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8.6%</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1.3523</w:t>
            </w:r>
          </w:p>
        </w:tc>
        <w:tc>
          <w:tcPr>
            <w:tcW w:w="12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1.2432</w:t>
            </w:r>
          </w:p>
        </w:tc>
        <w:tc>
          <w:tcPr>
            <w:tcW w:w="1460" w:type="dxa"/>
            <w:vAlign w:val="bottom"/>
          </w:tcPr>
          <w:p>
            <w:pPr>
              <w:jc w:val="right"/>
              <w:ind w:right="255"/>
              <w:spacing w:after="0"/>
              <w:rPr>
                <w:sz w:val="20"/>
                <w:szCs w:val="20"/>
                <w:color w:val="auto"/>
              </w:rPr>
            </w:pPr>
            <w:r>
              <w:rPr>
                <w:rFonts w:ascii="Arial" w:cs="Arial" w:eastAsia="Arial" w:hAnsi="Arial"/>
                <w:sz w:val="18"/>
                <w:szCs w:val="18"/>
                <w:color w:val="auto"/>
              </w:rPr>
              <w:t>(8.5%)</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1.3014</w:t>
            </w:r>
          </w:p>
        </w:tc>
        <w:tc>
          <w:tcPr>
            <w:tcW w:w="1480" w:type="dxa"/>
            <w:vAlign w:val="bottom"/>
          </w:tcPr>
          <w:p>
            <w:pPr>
              <w:jc w:val="right"/>
              <w:ind w:right="255"/>
              <w:spacing w:after="0"/>
              <w:rPr>
                <w:sz w:val="20"/>
                <w:szCs w:val="20"/>
                <w:color w:val="auto"/>
              </w:rPr>
            </w:pPr>
            <w:r>
              <w:rPr>
                <w:rFonts w:ascii="Arial" w:cs="Arial" w:eastAsia="Arial" w:hAnsi="Arial"/>
                <w:sz w:val="18"/>
                <w:szCs w:val="18"/>
                <w:color w:val="auto"/>
              </w:rPr>
              <w:t>(8.0%)</w:t>
            </w: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08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7"/>
              </w:rPr>
              <w:t>Japanese Yen — Hedge Spot Rate (JPY per US$)</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105.2792</w:t>
            </w:r>
          </w:p>
        </w:tc>
        <w:tc>
          <w:tcPr>
            <w:tcW w:w="146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105.1132</w:t>
            </w:r>
          </w:p>
        </w:tc>
        <w:tc>
          <w:tcPr>
            <w:tcW w:w="148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96.3791</w:t>
            </w:r>
          </w:p>
        </w:tc>
        <w:tc>
          <w:tcPr>
            <w:tcW w:w="148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93.4950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98.1677</w:t>
            </w:r>
          </w:p>
        </w:tc>
        <w:tc>
          <w:tcPr>
            <w:tcW w:w="14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6.8%</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94.9066</w:t>
            </w:r>
          </w:p>
        </w:tc>
        <w:tc>
          <w:tcPr>
            <w:tcW w:w="14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9.7%</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89.1350</w:t>
            </w:r>
          </w:p>
        </w:tc>
        <w:tc>
          <w:tcPr>
            <w:tcW w:w="14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7.5%</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89.7839</w:t>
            </w:r>
          </w:p>
        </w:tc>
        <w:tc>
          <w:tcPr>
            <w:tcW w:w="12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89.0458</w:t>
            </w:r>
          </w:p>
        </w:tc>
        <w:tc>
          <w:tcPr>
            <w:tcW w:w="1460" w:type="dxa"/>
            <w:vAlign w:val="bottom"/>
          </w:tcPr>
          <w:p>
            <w:pPr>
              <w:jc w:val="right"/>
              <w:ind w:right="315"/>
              <w:spacing w:after="0"/>
              <w:rPr>
                <w:sz w:val="20"/>
                <w:szCs w:val="20"/>
                <w:color w:val="auto"/>
              </w:rPr>
            </w:pPr>
            <w:r>
              <w:rPr>
                <w:rFonts w:ascii="Arial" w:cs="Arial" w:eastAsia="Arial" w:hAnsi="Arial"/>
                <w:sz w:val="18"/>
                <w:szCs w:val="18"/>
                <w:color w:val="auto"/>
              </w:rPr>
              <w:t>9.3%</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88.3280</w:t>
            </w:r>
          </w:p>
        </w:tc>
        <w:tc>
          <w:tcPr>
            <w:tcW w:w="1480" w:type="dxa"/>
            <w:vAlign w:val="bottom"/>
          </w:tcPr>
          <w:p>
            <w:pPr>
              <w:jc w:val="right"/>
              <w:ind w:right="315"/>
              <w:spacing w:after="0"/>
              <w:rPr>
                <w:sz w:val="20"/>
                <w:szCs w:val="20"/>
                <w:color w:val="auto"/>
              </w:rPr>
            </w:pPr>
            <w:r>
              <w:rPr>
                <w:rFonts w:ascii="Arial" w:cs="Arial" w:eastAsia="Arial" w:hAnsi="Arial"/>
                <w:sz w:val="18"/>
                <w:szCs w:val="18"/>
                <w:color w:val="auto"/>
              </w:rPr>
              <w:t>6.9%</w:t>
            </w: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08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Canadian Dollar — Hedge Spot Rate (CAD per US$)</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1.1409</w:t>
            </w:r>
          </w:p>
        </w:tc>
        <w:tc>
          <w:tcPr>
            <w:tcW w:w="146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1.1200</w:t>
            </w:r>
          </w:p>
        </w:tc>
        <w:tc>
          <w:tcPr>
            <w:tcW w:w="148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1.1125</w:t>
            </w:r>
          </w:p>
        </w:tc>
        <w:tc>
          <w:tcPr>
            <w:tcW w:w="148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1.0884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1.0959</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(3.9%)</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1.0862</w:t>
            </w:r>
          </w:p>
        </w:tc>
        <w:tc>
          <w:tcPr>
            <w:tcW w:w="14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1.0654</w:t>
            </w:r>
          </w:p>
        </w:tc>
        <w:tc>
          <w:tcPr>
            <w:tcW w:w="14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1.0282</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1.0501</w:t>
            </w:r>
          </w:p>
        </w:tc>
        <w:tc>
          <w:tcPr>
            <w:tcW w:w="1460" w:type="dxa"/>
            <w:vAlign w:val="bottom"/>
          </w:tcPr>
          <w:p>
            <w:pPr>
              <w:jc w:val="right"/>
              <w:ind w:right="255"/>
              <w:spacing w:after="0"/>
              <w:rPr>
                <w:sz w:val="20"/>
                <w:szCs w:val="20"/>
                <w:color w:val="auto"/>
              </w:rPr>
            </w:pPr>
            <w:r>
              <w:rPr>
                <w:rFonts w:ascii="Arial" w:cs="Arial" w:eastAsia="Arial" w:hAnsi="Arial"/>
                <w:sz w:val="18"/>
                <w:szCs w:val="18"/>
                <w:color w:val="auto"/>
              </w:rPr>
              <w:t>(4.2%)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1.0314</w:t>
            </w:r>
          </w:p>
        </w:tc>
        <w:tc>
          <w:tcPr>
            <w:tcW w:w="1480" w:type="dxa"/>
            <w:vAlign w:val="bottom"/>
          </w:tcPr>
          <w:p>
            <w:pPr>
              <w:jc w:val="right"/>
              <w:ind w:right="255"/>
              <w:spacing w:after="0"/>
              <w:rPr>
                <w:sz w:val="20"/>
                <w:szCs w:val="20"/>
                <w:color w:val="auto"/>
              </w:rPr>
            </w:pPr>
            <w:r>
              <w:rPr>
                <w:rFonts w:ascii="Arial" w:cs="Arial" w:eastAsia="Arial" w:hAnsi="Arial"/>
                <w:sz w:val="18"/>
                <w:szCs w:val="18"/>
                <w:color w:val="auto"/>
              </w:rPr>
              <w:t>(5.0%)</w:t>
            </w: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08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6"/>
              </w:rPr>
              <w:t>British Pound — Hedge Spot Rate (US$ per GBP)</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1.4487</w:t>
            </w:r>
          </w:p>
        </w:tc>
        <w:tc>
          <w:tcPr>
            <w:tcW w:w="146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1.4439</w:t>
            </w:r>
          </w:p>
        </w:tc>
        <w:tc>
          <w:tcPr>
            <w:tcW w:w="148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1.4229</w:t>
            </w:r>
          </w:p>
        </w:tc>
        <w:tc>
          <w:tcPr>
            <w:tcW w:w="148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1.4048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1.4714</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(1.6%)</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1.6531</w:t>
            </w:r>
          </w:p>
        </w:tc>
        <w:tc>
          <w:tcPr>
            <w:tcW w:w="14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(14.5%)</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1.6321</w:t>
            </w:r>
          </w:p>
        </w:tc>
        <w:tc>
          <w:tcPr>
            <w:tcW w:w="14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(14.7%)</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1.5859</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1.5001</w:t>
            </w:r>
          </w:p>
        </w:tc>
        <w:tc>
          <w:tcPr>
            <w:tcW w:w="1460" w:type="dxa"/>
            <w:vAlign w:val="bottom"/>
          </w:tcPr>
          <w:p>
            <w:pPr>
              <w:jc w:val="right"/>
              <w:ind w:right="255"/>
              <w:spacing w:after="0"/>
              <w:rPr>
                <w:sz w:val="20"/>
                <w:szCs w:val="20"/>
                <w:color w:val="auto"/>
              </w:rPr>
            </w:pPr>
            <w:r>
              <w:rPr>
                <w:rFonts w:ascii="Arial" w:cs="Arial" w:eastAsia="Arial" w:hAnsi="Arial"/>
                <w:sz w:val="18"/>
                <w:szCs w:val="18"/>
                <w:color w:val="auto"/>
              </w:rPr>
              <w:t>(2.0%)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1.5399</w:t>
            </w:r>
          </w:p>
        </w:tc>
        <w:tc>
          <w:tcPr>
            <w:tcW w:w="1480" w:type="dxa"/>
            <w:vAlign w:val="bottom"/>
          </w:tcPr>
          <w:p>
            <w:pPr>
              <w:jc w:val="right"/>
              <w:ind w:right="315"/>
              <w:spacing w:after="0"/>
              <w:rPr>
                <w:sz w:val="20"/>
                <w:szCs w:val="20"/>
                <w:color w:val="auto"/>
              </w:rPr>
            </w:pPr>
            <w:r>
              <w:rPr>
                <w:rFonts w:ascii="Arial" w:cs="Arial" w:eastAsia="Arial" w:hAnsi="Arial"/>
                <w:sz w:val="18"/>
                <w:szCs w:val="18"/>
                <w:color w:val="auto"/>
              </w:rPr>
              <w:t>6.8%</w:t>
            </w: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08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Swiss Franc — Hedge Spot Rate (US$ per CHF)</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FY11</w:t>
            </w: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1.0481</w:t>
            </w:r>
          </w:p>
        </w:tc>
        <w:tc>
          <w:tcPr>
            <w:tcW w:w="148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1.0394</w:t>
            </w:r>
          </w:p>
        </w:tc>
        <w:tc>
          <w:tcPr>
            <w:tcW w:w="148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1.0474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1.0539</w:t>
            </w: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1.0349</w:t>
            </w:r>
          </w:p>
        </w:tc>
        <w:tc>
          <w:tcPr>
            <w:tcW w:w="14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80" w:right="220" w:hanging="474"/>
        <w:spacing w:after="0" w:line="265"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 Accordingly, the only hedge contracts placed for fiscal year 2012 are for the first and second quarters.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 xml:space="preserve">In October 2009, the FASB issued Accounting Standards Update No.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an amendment to FASB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and Update No. 2009-14, </w:t>
      </w:r>
      <w:r>
        <w:rPr>
          <w:rFonts w:ascii="Arial" w:cs="Arial" w:eastAsia="Arial" w:hAnsi="Arial"/>
          <w:sz w:val="15"/>
          <w:szCs w:val="15"/>
          <w:i w:val="1"/>
          <w:iCs w:val="1"/>
          <w:color w:val="auto"/>
        </w:rPr>
        <w:t>Certain Revenue Arrangements That Include Software Elements</w:t>
      </w:r>
      <w:r>
        <w:rPr>
          <w:rFonts w:ascii="Arial" w:cs="Arial" w:eastAsia="Arial" w:hAnsi="Arial"/>
          <w:sz w:val="15"/>
          <w:szCs w:val="15"/>
          <w:color w:val="auto"/>
        </w:rPr>
        <w:t xml:space="preserve">, an amendment to FASB ASC subtopic 985-605, </w:t>
      </w:r>
      <w:r>
        <w:rPr>
          <w:rFonts w:ascii="Arial" w:cs="Arial" w:eastAsia="Arial" w:hAnsi="Arial"/>
          <w:sz w:val="15"/>
          <w:szCs w:val="15"/>
          <w:i w:val="1"/>
          <w:iCs w:val="1"/>
          <w:color w:val="auto"/>
        </w:rPr>
        <w:t>Software — Revenue Recognition</w:t>
      </w:r>
      <w:r>
        <w:rPr>
          <w:rFonts w:ascii="Arial" w:cs="Arial" w:eastAsia="Arial" w:hAnsi="Arial"/>
          <w:sz w:val="15"/>
          <w:szCs w:val="15"/>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will adopt the guidance on April 3, 2011, the first day of fiscal year 2012, and is currently assessing the possible impact of this guidance on its financial position and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 xml:space="preserve">In December 2009, the FASB issued Accounting Standards Update No. 2009-17, </w:t>
      </w:r>
      <w:r>
        <w:rPr>
          <w:rFonts w:ascii="Arial" w:cs="Arial" w:eastAsia="Arial" w:hAnsi="Arial"/>
          <w:sz w:val="15"/>
          <w:szCs w:val="15"/>
          <w:i w:val="1"/>
          <w:iCs w:val="1"/>
          <w:color w:val="auto"/>
        </w:rPr>
        <w:t>Improvements to Financial Reporting by Enterprises Involved with Variable</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 Entities</w:t>
      </w:r>
      <w:r>
        <w:rPr>
          <w:rFonts w:ascii="Arial" w:cs="Arial" w:eastAsia="Arial" w:hAnsi="Arial"/>
          <w:sz w:val="15"/>
          <w:szCs w:val="15"/>
          <w:color w:val="auto"/>
        </w:rPr>
        <w:t>, an amendment to FASB ASC Topic 810,</w:t>
      </w:r>
      <w:r>
        <w:rPr>
          <w:rFonts w:ascii="Arial" w:cs="Arial" w:eastAsia="Arial" w:hAnsi="Arial"/>
          <w:sz w:val="15"/>
          <w:szCs w:val="15"/>
          <w:i w:val="1"/>
          <w:iCs w:val="1"/>
          <w:color w:val="auto"/>
        </w:rPr>
        <w:t xml:space="preserve"> Consolidations</w:t>
      </w:r>
      <w:r>
        <w:rPr>
          <w:rFonts w:ascii="Arial" w:cs="Arial" w:eastAsia="Arial" w:hAnsi="Arial"/>
          <w:sz w:val="15"/>
          <w:szCs w:val="15"/>
          <w:color w:val="auto"/>
        </w:rPr>
        <w:t>. ASU No. 2009-17 requires an enterprise to perform an analysis to determine whether</w:t>
      </w:r>
      <w:r>
        <w:rPr>
          <w:rFonts w:ascii="Arial" w:cs="Arial" w:eastAsia="Arial" w:hAnsi="Arial"/>
          <w:sz w:val="15"/>
          <w:szCs w:val="15"/>
          <w:i w:val="1"/>
          <w:iCs w:val="1"/>
          <w:color w:val="auto"/>
        </w:rPr>
        <w:t xml:space="preserve"> </w:t>
      </w:r>
      <w:r>
        <w:rPr>
          <w:rFonts w:ascii="Arial" w:cs="Arial" w:eastAsia="Arial" w:hAnsi="Arial"/>
          <w:sz w:val="15"/>
          <w:szCs w:val="15"/>
          <w:color w:val="auto"/>
        </w:rPr>
        <w:t>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The update became effective for our fiscal year 2011 and there was no impact to our consolidated financial statements for the first six months ended October 2,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1"/>
          <w:szCs w:val="11"/>
          <w:b w:val="1"/>
          <w:bCs w:val="1"/>
          <w:i w:val="1"/>
          <w:iCs w:val="1"/>
          <w:color w:val="auto"/>
        </w:rPr>
        <w:t>OREIGN EXCHANGE RISK</w:t>
      </w:r>
    </w:p>
    <w:p>
      <w:pPr>
        <w:spacing w:after="0" w:line="11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October 2, 2010, we had the following significant foreign exchange contracts to hedge the anticipated cash flows from forecasted foreign currency denominated sales outstanding. The contracts have been organized into maturity groups and the related quarter that we expect the hedge contract to affect our earnings.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6"/>
        </w:trPr>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Hedged</w:t>
            </w:r>
          </w:p>
        </w:tc>
        <w:tc>
          <w:tcPr>
            <w:tcW w:w="26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(BUY) / SELL</w:t>
            </w:r>
          </w:p>
        </w:tc>
        <w:tc>
          <w:tcPr>
            <w:tcW w:w="360" w:type="dxa"/>
            <w:vAlign w:val="bottom"/>
          </w:tcPr>
          <w:p>
            <w:pPr>
              <w:spacing w:after="0"/>
              <w:rPr>
                <w:sz w:val="12"/>
                <w:szCs w:val="12"/>
                <w:color w:val="auto"/>
              </w:rPr>
            </w:pPr>
          </w:p>
        </w:tc>
        <w:tc>
          <w:tcPr>
            <w:tcW w:w="1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Weighted Spot</w:t>
            </w:r>
          </w:p>
        </w:tc>
        <w:tc>
          <w:tcPr>
            <w:tcW w:w="240" w:type="dxa"/>
            <w:vAlign w:val="bottom"/>
          </w:tcPr>
          <w:p>
            <w:pPr>
              <w:spacing w:after="0"/>
              <w:rPr>
                <w:sz w:val="12"/>
                <w:szCs w:val="12"/>
                <w:color w:val="auto"/>
              </w:rPr>
            </w:pPr>
          </w:p>
        </w:tc>
        <w:tc>
          <w:tcPr>
            <w:tcW w:w="180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3"/>
              </w:rPr>
              <w:t>Weighted Forward</w:t>
            </w:r>
          </w:p>
        </w:tc>
        <w:tc>
          <w:tcPr>
            <w:tcW w:w="2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46"/>
        </w:trPr>
        <w:tc>
          <w:tcPr>
            <w:tcW w:w="1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Local Currency</w:t>
            </w:r>
          </w:p>
        </w:tc>
        <w:tc>
          <w:tcPr>
            <w:tcW w:w="360" w:type="dxa"/>
            <w:vAlign w:val="bottom"/>
          </w:tcPr>
          <w:p>
            <w:pPr>
              <w:spacing w:after="0"/>
              <w:rPr>
                <w:sz w:val="14"/>
                <w:szCs w:val="14"/>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Contract Rate</w:t>
            </w:r>
          </w:p>
        </w:tc>
        <w:tc>
          <w:tcPr>
            <w:tcW w:w="240" w:type="dxa"/>
            <w:vAlign w:val="bottom"/>
          </w:tcPr>
          <w:p>
            <w:pPr>
              <w:spacing w:after="0"/>
              <w:rPr>
                <w:sz w:val="14"/>
                <w:szCs w:val="14"/>
                <w:color w:val="auto"/>
              </w:rPr>
            </w:pPr>
          </w:p>
        </w:tc>
        <w:tc>
          <w:tcPr>
            <w:tcW w:w="18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Contract Rate</w:t>
            </w:r>
          </w:p>
        </w:tc>
        <w:tc>
          <w:tcPr>
            <w:tcW w:w="2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Gain / (Loss)</w:t>
            </w:r>
          </w:p>
        </w:tc>
        <w:tc>
          <w:tcPr>
            <w:tcW w:w="38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3" w:right="239" w:bottom="1440" w:gutter="0" w:footer="0" w:header="0"/>
        </w:sectPr>
      </w:pPr>
    </w:p>
    <w:tbl>
      <w:tblPr>
        <w:tblLayout w:type="fixed"/>
        <w:tblInd w:w="0" w:type="dxa"/>
        <w:tblCellMar>
          <w:top w:w="0" w:type="dxa"/>
          <w:left w:w="0" w:type="dxa"/>
          <w:bottom w:w="0" w:type="dxa"/>
          <w:right w:w="0" w:type="dxa"/>
        </w:tblCellMar>
      </w:tblP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Euro</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9,433,264</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1.425</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Euro</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14,648,808</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1.345</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Euro</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11,080,452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1.243</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Euro</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11,612,400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1.301</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Japanese Yen</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1,057,819,153</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88.30</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Japanese Yen</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1,487,690,000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89.78</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Japanese Yen</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1,386,826,057</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88.99</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Japanese Yen</w:t>
            </w: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1,531,130,000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85.65</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GBP</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(804,319)</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1.662</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GBP</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(2,602,543)</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1.586</w:t>
            </w:r>
          </w:p>
        </w:tc>
        <w:tc>
          <w:tcPr>
            <w:tcW w:w="8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GBP</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(2,616,001)</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1.500</w:t>
            </w:r>
          </w:p>
        </w:tc>
        <w:tc>
          <w:tcPr>
            <w:tcW w:w="800" w:type="dxa"/>
            <w:vAlign w:val="bottom"/>
          </w:tcPr>
          <w:p>
            <w:pPr>
              <w:spacing w:after="0"/>
              <w:rPr>
                <w:sz w:val="19"/>
                <w:szCs w:val="19"/>
                <w:color w:val="auto"/>
              </w:rPr>
            </w:pPr>
          </w:p>
        </w:tc>
      </w:tr>
      <w:tr>
        <w:trPr>
          <w:trHeight w:val="413"/>
        </w:trPr>
        <w:tc>
          <w:tcPr>
            <w:tcW w:w="1560" w:type="dxa"/>
            <w:vAlign w:val="bottom"/>
          </w:tcPr>
          <w:p>
            <w:pPr>
              <w:spacing w:after="0"/>
              <w:rPr>
                <w:sz w:val="20"/>
                <w:szCs w:val="20"/>
                <w:color w:val="auto"/>
              </w:rPr>
            </w:pPr>
            <w:r>
              <w:rPr>
                <w:rFonts w:ascii="Arial" w:cs="Arial" w:eastAsia="Arial" w:hAnsi="Arial"/>
                <w:sz w:val="18"/>
                <w:szCs w:val="18"/>
                <w:color w:val="auto"/>
              </w:rPr>
              <w:t>GBP</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(2,679,632)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1.540</w:t>
            </w:r>
          </w:p>
        </w:tc>
        <w:tc>
          <w:tcPr>
            <w:tcW w:w="800" w:type="dxa"/>
            <w:vAlign w:val="bottom"/>
          </w:tcPr>
          <w:p>
            <w:pPr>
              <w:spacing w:after="0"/>
              <w:rPr>
                <w:sz w:val="24"/>
                <w:szCs w:val="24"/>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GBP</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(2,679,632)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0.475</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CAD</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(3,241,542)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1.065</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CAD</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(3,426,211)</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1.028</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CAD</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(4,039,754)</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1.050</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CAD</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(2,552,998)</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1.031</w:t>
            </w:r>
          </w:p>
        </w:tc>
        <w:tc>
          <w:tcPr>
            <w:tcW w:w="800" w:type="dxa"/>
            <w:vAlign w:val="bottom"/>
          </w:tcPr>
          <w:p>
            <w:pPr>
              <w:ind w:left="200"/>
              <w:spacing w:after="0"/>
              <w:rPr>
                <w:sz w:val="20"/>
                <w:szCs w:val="20"/>
                <w:color w:val="auto"/>
              </w:rPr>
            </w:pPr>
            <w:r>
              <w:rPr>
                <w:rFonts w:ascii="Arial" w:cs="Arial" w:eastAsia="Arial" w:hAnsi="Arial"/>
                <w:sz w:val="18"/>
                <w:szCs w:val="18"/>
                <w:color w:val="auto"/>
                <w:w w:val="87"/>
              </w:rPr>
              <w:t>per US$</w:t>
            </w: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CHF</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(3,757,601)</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1.040</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CHF</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(3,818,399)</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1.047</w:t>
            </w:r>
          </w:p>
        </w:tc>
        <w:tc>
          <w:tcPr>
            <w:tcW w:w="800" w:type="dxa"/>
            <w:vAlign w:val="bottom"/>
          </w:tcPr>
          <w:p>
            <w:pPr>
              <w:spacing w:after="0"/>
              <w:rPr>
                <w:sz w:val="18"/>
                <w:szCs w:val="18"/>
                <w:color w:val="auto"/>
              </w:rPr>
            </w:pPr>
          </w:p>
        </w:tc>
      </w:tr>
      <w:tr>
        <w:trPr>
          <w:trHeight w:val="212"/>
        </w:trPr>
        <w:tc>
          <w:tcPr>
            <w:tcW w:w="1560" w:type="dxa"/>
            <w:vAlign w:val="bottom"/>
          </w:tcPr>
          <w:p>
            <w:pPr>
              <w:spacing w:after="0"/>
              <w:rPr>
                <w:sz w:val="20"/>
                <w:szCs w:val="20"/>
                <w:color w:val="auto"/>
              </w:rPr>
            </w:pPr>
            <w:r>
              <w:rPr>
                <w:rFonts w:ascii="Arial" w:cs="Arial" w:eastAsia="Arial" w:hAnsi="Arial"/>
                <w:sz w:val="18"/>
                <w:szCs w:val="18"/>
                <w:color w:val="auto"/>
              </w:rPr>
              <w:t>CHF</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(4,023,000)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1.054</w:t>
            </w:r>
          </w:p>
        </w:tc>
        <w:tc>
          <w:tcPr>
            <w:tcW w:w="800" w:type="dxa"/>
            <w:vAlign w:val="bottom"/>
          </w:tcPr>
          <w:p>
            <w:pPr>
              <w:spacing w:after="0"/>
              <w:rPr>
                <w:sz w:val="18"/>
                <w:szCs w:val="18"/>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CHF</w:t>
            </w:r>
          </w:p>
        </w:tc>
        <w:tc>
          <w:tcPr>
            <w:tcW w:w="1920" w:type="dxa"/>
            <w:vAlign w:val="bottom"/>
          </w:tcPr>
          <w:p>
            <w:pPr>
              <w:jc w:val="right"/>
              <w:ind w:right="152"/>
              <w:spacing w:after="0"/>
              <w:rPr>
                <w:sz w:val="20"/>
                <w:szCs w:val="20"/>
                <w:color w:val="auto"/>
              </w:rPr>
            </w:pPr>
            <w:r>
              <w:rPr>
                <w:rFonts w:ascii="Arial" w:cs="Arial" w:eastAsia="Arial" w:hAnsi="Arial"/>
                <w:sz w:val="18"/>
                <w:szCs w:val="18"/>
                <w:color w:val="auto"/>
              </w:rPr>
              <w:t>(2,472,000)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1.035</w:t>
            </w: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1.422</w:t>
            </w: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556,739</w:t>
            </w: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Oct 2010 - Nov 2010</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Q3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1.344</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($255,846)</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Dec 2010 - Feb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Q4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1.246</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($1,221,616)</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Mar 2011 - May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Q1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1.300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($651,870)</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Jun 2011 - Aug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Q2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87.96</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($615,086)</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Oct 2010 - Nov 2010</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Q3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89.43</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($1,140,474)</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Dec 2010 - Feb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Q4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88.43</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($899,247)</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Mar 2011 - May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Q1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85.21</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($382,997)</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Jun 2011 - Aug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Q2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1.657</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($62,302)</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Oct-10</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Q3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1.582</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($9,175)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Nov 2010 - Jan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Q4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1.499</w:t>
            </w: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198,589</w:t>
            </w: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Feb 2011 - Apr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Q1 FY12</w:t>
            </w:r>
          </w:p>
        </w:tc>
      </w:tr>
      <w:tr>
        <w:trPr>
          <w:trHeight w:val="212"/>
        </w:trPr>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May 2011 - July</w:t>
            </w:r>
          </w:p>
        </w:tc>
        <w:tc>
          <w:tcPr>
            <w:tcW w:w="820" w:type="dxa"/>
            <w:vAlign w:val="bottom"/>
          </w:tcPr>
          <w:p>
            <w:pPr>
              <w:spacing w:after="0"/>
              <w:rPr>
                <w:sz w:val="18"/>
                <w:szCs w:val="18"/>
                <w:color w:val="auto"/>
              </w:rPr>
            </w:pP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1.538</w:t>
            </w: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97,236</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Q2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0.474</w:t>
            </w: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26,923</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Aug 2011 - Oct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Q3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1.067</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90,440</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Oct 2010 - Dec 2010</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Q3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1.032</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($16,490)</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Jan 2011 - Mar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Q4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1.054</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49,785</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Apr 2011 - Jun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Q1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1.040</w:t>
            </w:r>
          </w:p>
        </w:tc>
        <w:tc>
          <w:tcPr>
            <w:tcW w:w="1000" w:type="dxa"/>
            <w:vAlign w:val="bottom"/>
          </w:tcPr>
          <w:p>
            <w:pPr>
              <w:ind w:left="240"/>
              <w:spacing w:after="0"/>
              <w:rPr>
                <w:sz w:val="20"/>
                <w:szCs w:val="20"/>
                <w:color w:val="auto"/>
              </w:rPr>
            </w:pPr>
            <w:r>
              <w:rPr>
                <w:rFonts w:ascii="Arial" w:cs="Arial" w:eastAsia="Arial" w:hAnsi="Arial"/>
                <w:sz w:val="18"/>
                <w:szCs w:val="18"/>
                <w:color w:val="auto"/>
              </w:rPr>
              <w:t>per 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($5,855)</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Jul 2011 - Aug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Q2 FY12</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1.039</w:t>
            </w: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229,494</w:t>
            </w: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Oct 2010 - Dec 2010</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Q3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1.045</w:t>
            </w: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252,368</w:t>
            </w: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Jan 2011 - Mar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Q4 FY11</w:t>
            </w:r>
          </w:p>
        </w:tc>
      </w:tr>
      <w:tr>
        <w:trPr>
          <w:trHeight w:val="212"/>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1.050</w:t>
            </w:r>
          </w:p>
        </w:tc>
        <w:tc>
          <w:tcPr>
            <w:tcW w:w="10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281,407</w:t>
            </w: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Apr 2011 - Jun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Q1 FY12</w:t>
            </w:r>
          </w:p>
        </w:tc>
      </w:tr>
      <w:tr>
        <w:trPr>
          <w:trHeight w:val="224"/>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1.030</w:t>
            </w:r>
          </w:p>
        </w:tc>
        <w:tc>
          <w:tcPr>
            <w:tcW w:w="10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130,948</w:t>
            </w:r>
          </w:p>
        </w:tc>
        <w:tc>
          <w:tcPr>
            <w:tcW w:w="2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Jul 2011 - Aug 2011</w:t>
            </w:r>
          </w:p>
        </w:tc>
        <w:tc>
          <w:tcPr>
            <w:tcW w:w="820" w:type="dxa"/>
            <w:vAlign w:val="bottom"/>
          </w:tcPr>
          <w:p>
            <w:pPr>
              <w:ind w:left="160"/>
              <w:spacing w:after="0"/>
              <w:rPr>
                <w:sz w:val="20"/>
                <w:szCs w:val="20"/>
                <w:color w:val="auto"/>
              </w:rPr>
            </w:pPr>
            <w:r>
              <w:rPr>
                <w:rFonts w:ascii="Arial" w:cs="Arial" w:eastAsia="Arial" w:hAnsi="Arial"/>
                <w:sz w:val="18"/>
                <w:szCs w:val="18"/>
                <w:color w:val="auto"/>
                <w:w w:val="88"/>
              </w:rPr>
              <w:t>Q2 FY12</w:t>
            </w:r>
          </w:p>
        </w:tc>
      </w:tr>
      <w:tr>
        <w:trPr>
          <w:trHeight w:val="20"/>
        </w:trPr>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9"/>
        </w:trPr>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3,347,027)</w:t>
            </w:r>
          </w:p>
        </w:tc>
        <w:tc>
          <w:tcPr>
            <w:tcW w:w="18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-3140075</wp:posOffset>
            </wp:positionV>
            <wp:extent cx="7249160"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-2870200</wp:posOffset>
            </wp:positionV>
            <wp:extent cx="724916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-2600960</wp:posOffset>
            </wp:positionV>
            <wp:extent cx="7249160"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-2331720</wp:posOffset>
            </wp:positionV>
            <wp:extent cx="7249160"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-2061845</wp:posOffset>
            </wp:positionV>
            <wp:extent cx="7249160"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-1792605</wp:posOffset>
            </wp:positionV>
            <wp:extent cx="7249160"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-1388745</wp:posOffset>
            </wp:positionV>
            <wp:extent cx="7249160" cy="13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-1118870</wp:posOffset>
            </wp:positionV>
            <wp:extent cx="7249160" cy="13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-849630</wp:posOffset>
            </wp:positionV>
            <wp:extent cx="7249160"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-580390</wp:posOffset>
            </wp:positionV>
            <wp:extent cx="7249160" cy="13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-3627755</wp:posOffset>
            </wp:positionH>
            <wp:positionV relativeFrom="paragraph">
              <wp:posOffset>-311150</wp:posOffset>
            </wp:positionV>
            <wp:extent cx="7249160" cy="134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160" w:space="560"/>
            <w:col w:w="5700"/>
          </w:cols>
          <w:pgMar w:left="240" w:top="413" w:right="239" w:bottom="1440" w:gutter="0" w:footer="0" w:header="0"/>
          <w:type w:val="continuous"/>
        </w:sectPr>
      </w:pPr>
    </w:p>
    <w:p>
      <w:pPr>
        <w:jc w:val="both"/>
        <w:ind w:right="40"/>
        <w:spacing w:after="0" w:line="330" w:lineRule="auto"/>
        <w:rPr>
          <w:sz w:val="20"/>
          <w:szCs w:val="20"/>
          <w:color w:val="auto"/>
        </w:rPr>
      </w:pPr>
      <w:r>
        <w:rPr>
          <w:rFonts w:ascii="Arial" w:cs="Arial" w:eastAsia="Arial" w:hAnsi="Arial"/>
          <w:sz w:val="15"/>
          <w:szCs w:val="15"/>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$10.8 million increase in the fair value of the forward contracts; whereas a 10% weakening of the US dollar would result in a $12.5 million decrease in the fair value of the forward contracts.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1"/>
          <w:szCs w:val="11"/>
          <w:b w:val="1"/>
          <w:bCs w:val="1"/>
          <w:i w:val="1"/>
          <w:iCs w:val="1"/>
          <w:color w:val="auto"/>
        </w:rPr>
        <w:t>NTEREST</w:t>
      </w:r>
      <w:r>
        <w:rPr>
          <w:rFonts w:ascii="Arial" w:cs="Arial" w:eastAsia="Arial" w:hAnsi="Arial"/>
          <w:sz w:val="18"/>
          <w:szCs w:val="18"/>
          <w:b w:val="1"/>
          <w:bCs w:val="1"/>
          <w:i w:val="1"/>
          <w:iCs w:val="1"/>
          <w:color w:val="auto"/>
        </w:rPr>
        <w:t xml:space="preserve"> R</w:t>
      </w:r>
      <w:r>
        <w:rPr>
          <w:rFonts w:ascii="Arial" w:cs="Arial" w:eastAsia="Arial" w:hAnsi="Arial"/>
          <w:sz w:val="11"/>
          <w:szCs w:val="11"/>
          <w:b w:val="1"/>
          <w:bCs w:val="1"/>
          <w:i w:val="1"/>
          <w:iCs w:val="1"/>
          <w:color w:val="auto"/>
        </w:rPr>
        <w:t>ATE</w:t>
      </w:r>
      <w:r>
        <w:rPr>
          <w:rFonts w:ascii="Arial" w:cs="Arial" w:eastAsia="Arial" w:hAnsi="Arial"/>
          <w:sz w:val="18"/>
          <w:szCs w:val="18"/>
          <w:b w:val="1"/>
          <w:bCs w:val="1"/>
          <w:i w:val="1"/>
          <w:iCs w:val="1"/>
          <w:color w:val="auto"/>
        </w:rPr>
        <w:t xml:space="preserve"> R</w:t>
      </w:r>
      <w:r>
        <w:rPr>
          <w:rFonts w:ascii="Arial" w:cs="Arial" w:eastAsia="Arial" w:hAnsi="Arial"/>
          <w:sz w:val="11"/>
          <w:szCs w:val="11"/>
          <w:b w:val="1"/>
          <w:bCs w:val="1"/>
          <w:i w:val="1"/>
          <w:iCs w:val="1"/>
          <w:color w:val="auto"/>
        </w:rPr>
        <w:t>ISK</w:t>
      </w:r>
    </w:p>
    <w:p>
      <w:pPr>
        <w:spacing w:after="0" w:line="11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long-term obligations would pay in the market interest rate environment.</w:t>
      </w:r>
    </w:p>
    <w:p>
      <w:pPr>
        <w:spacing w:after="0" w:line="8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At October 2, 2010, the fair value of our long-term debt was approximately $0.5 million higher than the value of the debt reflected on our financial statements. This higher fair value is entirely related to the $4.2 million remaining principal balance of the original $10.0 million, 8.41% real estate mortgage due January, 2016.</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October 2, 2010, the fair value of our long-term debt would change by less than $0.1 million.</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w:t>
      </w:r>
      <w:r>
        <w:rPr>
          <w:rFonts w:ascii="Arial" w:cs="Arial" w:eastAsia="Arial" w:hAnsi="Arial"/>
          <w:sz w:val="11"/>
          <w:szCs w:val="11"/>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1"/>
          <w:szCs w:val="11"/>
          <w:b w:val="1"/>
          <w:bCs w:val="1"/>
          <w:color w:val="auto"/>
        </w:rPr>
        <w:t>ROCEDURES</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conducted an evaluation, as of October 2, 2010,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such date.</w:t>
      </w:r>
    </w:p>
    <w:p>
      <w:pPr>
        <w:spacing w:after="0" w:line="40"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October 2, 2010 that have materially affected, or are reasonably likely to materially affect, the Company’s internal control over financial reporting.</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believe our competitor Fenwal has produced, and continues to produce, a red cell consumable kit which infringes a Haemonetics patent. For the past five years, we have been pursuing a patent infringement lawsuit against Fenwal, the details of which are summarized below. After the Court of Appeals for the Federal Circuit reversed the trial court’s decision on claims construction, vacating the injunction and damages previously awarded to Haemonetics, the case was remanded to the trial court for further proceedings.</w:t>
      </w:r>
    </w:p>
    <w:p>
      <w:pPr>
        <w:spacing w:after="0" w:line="8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December 2005 we filed a lawsuit against Baxter Healthcare SA and Fenwal Inc. in Massachusetts federal district court, seeking an injunction and damages from Baxter’s infringement of a Haemonetics patent, through the sale of Baxter’s ALYX brand automated red cell collection system, a competitor of our automated red cell collection systems. In March 2007, Baxter sold the division which marketed the ALYX product to private investors, TPG, and Maverick Capital, Ltd. The new company which resulted from the sale was renamed Fenwal.</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January 2009, a jury found that the Fenwal ALYX system infringed Haemonetics’ patent. Ultimately, the trial court awarded us a total of $18 million in damages and ordered Fenwal to stop selling the ALYX consumable by December 1, 2010 and pay Haemonetics a 10% royalty on ALYX consumable net sales from January 30, 2009 until December 1, 2010.</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Fenwal took three actions in response to this judgment. First, Fenwal appealed these rulings to the United States Court of Appeals for the Federal Circuit. Second, Fenwal modified the ALYX disposable in an effort to avoid the injunction. And third Fenwal asked the Patent and Trademark Office to re-examine the validity of our patent.</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2, 2010, the Court of Appeals reversed the trial court’s claim construction and accordingly, vacated the original jury verdict finding of infringement and remanded the case to the trial court for further proceedings. We continue to believe the ALYX consumable kit infringes our patent even under the Court of Appeals’ claim construction.</w:t>
      </w:r>
    </w:p>
    <w:p>
      <w:pPr>
        <w:spacing w:after="0" w:line="83"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In response to Fenwal’s modification of their disposable, we filed a second related patent infringement action in December 2009 in the same Massachusetts federal trial court as the first case described above.</w:t>
      </w:r>
    </w:p>
    <w:p>
      <w:pPr>
        <w:spacing w:after="0" w:line="7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On May 28, 2010 the Patent and Trademark Office reexamined the patent which is the subject of the two cases described above, and determined that the patent is valid, contrary to Fenwal’s assertions.</w:t>
      </w:r>
    </w:p>
    <w:p>
      <w:pPr>
        <w:spacing w:after="0" w:line="73"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On September 20, 2010, Haemonetics filed a patent infringement action in Germany, against Fenwal and its German subsidiary, for Fenwal’s infringement of a Haemonetics patent related to the Haemonetics patent described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3, 2010,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1"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In an April 6, 2010 press release, the Company announced that its Board of Directors approved the repurchase of up to $50.0 million worth of Company shares during fiscal year 2011. Through October 2, 2010, the Company repurchased 907,310 shares of its common stock for an aggregate purchase price of</w:t>
      </w:r>
    </w:p>
    <w:p>
      <w:pPr>
        <w:ind w:right="380"/>
        <w:spacing w:after="0" w:line="251" w:lineRule="auto"/>
        <w:rPr>
          <w:sz w:val="20"/>
          <w:szCs w:val="20"/>
          <w:color w:val="auto"/>
        </w:rPr>
      </w:pPr>
      <w:r>
        <w:rPr>
          <w:rFonts w:ascii="Arial" w:cs="Arial" w:eastAsia="Arial" w:hAnsi="Arial"/>
          <w:sz w:val="18"/>
          <w:szCs w:val="18"/>
          <w:color w:val="auto"/>
        </w:rPr>
        <w:t>$50.0 million. We reflect stock repurchases in our financial statements on a “trade date” basis and as Authorized Unissued (Haemonetics is a Massachusetts company and under Massachusetts law repurchased shares are treated as authorized but unissued).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Price</w:t>
            </w:r>
          </w:p>
        </w:tc>
        <w:tc>
          <w:tcPr>
            <w:tcW w:w="280" w:type="dxa"/>
            <w:vAlign w:val="bottom"/>
          </w:tcPr>
          <w:p>
            <w:pPr>
              <w:spacing w:after="0"/>
              <w:rPr>
                <w:sz w:val="14"/>
                <w:szCs w:val="14"/>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Total Dollar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Maximum Dollar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00" w:type="dxa"/>
            <w:vAlign w:val="bottom"/>
            <w:gridSpan w:val="4"/>
          </w:tcPr>
          <w:p>
            <w:pPr>
              <w:jc w:val="center"/>
              <w:ind w:right="20"/>
              <w:spacing w:after="0" w:line="146" w:lineRule="exact"/>
              <w:rPr>
                <w:sz w:val="20"/>
                <w:szCs w:val="20"/>
                <w:color w:val="auto"/>
              </w:rPr>
            </w:pPr>
            <w:r>
              <w:rPr>
                <w:rFonts w:ascii="Arial" w:cs="Arial" w:eastAsia="Arial" w:hAnsi="Arial"/>
                <w:sz w:val="14"/>
                <w:szCs w:val="14"/>
                <w:b w:val="1"/>
                <w:bCs w:val="1"/>
                <w:color w:val="auto"/>
                <w:w w:val="87"/>
              </w:rPr>
              <w:t>of Shares Purchased</w:t>
            </w:r>
          </w:p>
        </w:tc>
        <w:tc>
          <w:tcPr>
            <w:tcW w:w="280" w:type="dxa"/>
            <w:vAlign w:val="bottom"/>
          </w:tcPr>
          <w:p>
            <w:pPr>
              <w:spacing w:after="0"/>
              <w:rPr>
                <w:sz w:val="12"/>
                <w:szCs w:val="12"/>
                <w:color w:val="auto"/>
              </w:rPr>
            </w:pPr>
          </w:p>
        </w:tc>
        <w:tc>
          <w:tcPr>
            <w:tcW w:w="138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80" w:type="dxa"/>
            <w:vAlign w:val="bottom"/>
            <w:gridSpan w:val="4"/>
          </w:tcPr>
          <w:p>
            <w:pPr>
              <w:jc w:val="center"/>
              <w:ind w:right="20"/>
              <w:spacing w:after="0" w:line="146" w:lineRule="exact"/>
              <w:rPr>
                <w:sz w:val="20"/>
                <w:szCs w:val="20"/>
                <w:color w:val="auto"/>
              </w:rPr>
            </w:pPr>
            <w:r>
              <w:rPr>
                <w:rFonts w:ascii="Arial" w:cs="Arial" w:eastAsia="Arial" w:hAnsi="Arial"/>
                <w:sz w:val="14"/>
                <w:szCs w:val="14"/>
                <w:b w:val="1"/>
                <w:bCs w:val="1"/>
                <w:color w:val="auto"/>
                <w:w w:val="91"/>
              </w:rPr>
              <w:t>Paid per Share</w:t>
            </w:r>
          </w:p>
        </w:tc>
        <w:tc>
          <w:tcPr>
            <w:tcW w:w="280" w:type="dxa"/>
            <w:vAlign w:val="bottom"/>
          </w:tcPr>
          <w:p>
            <w:pPr>
              <w:spacing w:after="0"/>
              <w:rPr>
                <w:sz w:val="12"/>
                <w:szCs w:val="12"/>
                <w:color w:val="auto"/>
              </w:rPr>
            </w:pPr>
          </w:p>
        </w:tc>
        <w:tc>
          <w:tcPr>
            <w:tcW w:w="152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w w:val="90"/>
              </w:rPr>
              <w:t>as 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2"/>
              </w:rPr>
              <w:t>May Yet be</w:t>
            </w:r>
          </w:p>
        </w:tc>
        <w:tc>
          <w:tcPr>
            <w:tcW w:w="0" w:type="dxa"/>
            <w:vAlign w:val="bottom"/>
          </w:tcPr>
          <w:p>
            <w:pPr>
              <w:spacing w:after="0"/>
              <w:rPr>
                <w:sz w:val="1"/>
                <w:szCs w:val="1"/>
                <w:color w:val="auto"/>
              </w:rPr>
            </w:pPr>
          </w:p>
        </w:tc>
      </w:tr>
      <w:tr>
        <w:trPr>
          <w:trHeight w:val="146"/>
        </w:trPr>
        <w:tc>
          <w:tcPr>
            <w:tcW w:w="4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93"/>
              </w:rPr>
              <w:t>including</w:t>
            </w:r>
          </w:p>
        </w:tc>
        <w:tc>
          <w:tcPr>
            <w:tcW w:w="280" w:type="dxa"/>
            <w:vAlign w:val="bottom"/>
          </w:tcPr>
          <w:p>
            <w:pPr>
              <w:spacing w:after="0"/>
              <w:rPr>
                <w:sz w:val="12"/>
                <w:szCs w:val="12"/>
                <w:color w:val="auto"/>
              </w:rPr>
            </w:pPr>
          </w:p>
        </w:tc>
        <w:tc>
          <w:tcPr>
            <w:tcW w:w="152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w w:val="89"/>
              </w:rPr>
              <w:t>Announced Plans</w:t>
            </w:r>
          </w:p>
        </w:tc>
        <w:tc>
          <w:tcPr>
            <w:tcW w:w="1660" w:type="dxa"/>
            <w:vAlign w:val="bottom"/>
            <w:gridSpan w:val="4"/>
          </w:tcPr>
          <w:p>
            <w:pPr>
              <w:jc w:val="center"/>
              <w:ind w:left="98"/>
              <w:spacing w:after="0" w:line="146"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68"/>
        </w:trPr>
        <w:tc>
          <w:tcPr>
            <w:tcW w:w="488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Repurchased</w:t>
            </w: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Commissions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or Programs</w:t>
            </w:r>
          </w:p>
        </w:tc>
        <w:tc>
          <w:tcPr>
            <w:tcW w:w="28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8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May 6, 2010 to May 31, 2010</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576,271</w:t>
            </w:r>
          </w:p>
        </w:tc>
        <w:tc>
          <w:tcPr>
            <w:tcW w:w="4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55.64</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9"/>
              <w:spacing w:after="0" w:line="20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32,081,557</w:t>
            </w:r>
          </w:p>
        </w:tc>
        <w:tc>
          <w:tcPr>
            <w:tcW w:w="3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17,918,443</w:t>
            </w:r>
          </w:p>
        </w:tc>
        <w:tc>
          <w:tcPr>
            <w:tcW w:w="0" w:type="dxa"/>
            <w:vAlign w:val="bottom"/>
          </w:tcPr>
          <w:p>
            <w:pPr>
              <w:spacing w:after="0"/>
              <w:rPr>
                <w:sz w:val="1"/>
                <w:szCs w:val="1"/>
                <w:color w:val="auto"/>
              </w:rPr>
            </w:pPr>
          </w:p>
        </w:tc>
      </w:tr>
      <w:tr>
        <w:trPr>
          <w:trHeight w:val="424"/>
        </w:trPr>
        <w:tc>
          <w:tcPr>
            <w:tcW w:w="4880" w:type="dxa"/>
            <w:vAlign w:val="bottom"/>
            <w:gridSpan w:val="4"/>
          </w:tcPr>
          <w:p>
            <w:pPr>
              <w:spacing w:after="0"/>
              <w:rPr>
                <w:sz w:val="20"/>
                <w:szCs w:val="20"/>
                <w:color w:val="auto"/>
              </w:rPr>
            </w:pPr>
            <w:r>
              <w:rPr>
                <w:rFonts w:ascii="Arial" w:cs="Arial" w:eastAsia="Arial" w:hAnsi="Arial"/>
                <w:sz w:val="18"/>
                <w:szCs w:val="18"/>
                <w:color w:val="auto"/>
              </w:rPr>
              <w:t>Jun 1, 2010 to Jun 25, 2010</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331,039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17,918,415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907,310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49,999,972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spacing w:after="0"/>
              <w:rPr>
                <w:sz w:val="20"/>
                <w:szCs w:val="20"/>
                <w:color w:val="auto"/>
              </w:rPr>
            </w:pPr>
            <w:r>
              <w:rPr>
                <w:rFonts w:ascii="Arial" w:cs="Arial" w:eastAsia="Arial" w:hAnsi="Arial"/>
                <w:sz w:val="18"/>
                <w:szCs w:val="18"/>
                <w:color w:val="auto"/>
              </w:rPr>
              <w:t>Item 3. Defaults upon Senior Securities</w:t>
            </w: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88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80" w:type="dxa"/>
            <w:vAlign w:val="bottom"/>
            <w:gridSpan w:val="4"/>
          </w:tcPr>
          <w:p>
            <w:pPr>
              <w:spacing w:after="0"/>
              <w:rPr>
                <w:sz w:val="20"/>
                <w:szCs w:val="20"/>
                <w:color w:val="auto"/>
              </w:rPr>
            </w:pPr>
            <w:r>
              <w:rPr>
                <w:rFonts w:ascii="Arial" w:cs="Arial" w:eastAsia="Arial" w:hAnsi="Arial"/>
                <w:sz w:val="18"/>
                <w:szCs w:val="18"/>
                <w:color w:val="auto"/>
              </w:rPr>
              <w:t>Item 4. [Removed and Reserved]</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pursuant to Section 302 of Sarbanes-Oxley Act of 2002, of Brian Concannon, President and Chief Executive Officer of the Company</w:t>
      </w:r>
    </w:p>
    <w:p>
      <w:pPr>
        <w:spacing w:after="0" w:line="217" w:lineRule="exact"/>
        <w:rPr>
          <w:sz w:val="20"/>
          <w:szCs w:val="20"/>
          <w:color w:val="auto"/>
        </w:rPr>
      </w:pPr>
    </w:p>
    <w:p>
      <w:pPr>
        <w:ind w:left="820" w:right="600" w:hanging="808"/>
        <w:spacing w:after="0" w:line="265"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9" w:lineRule="exact"/>
        <w:rPr>
          <w:sz w:val="20"/>
          <w:szCs w:val="20"/>
          <w:color w:val="auto"/>
        </w:rPr>
      </w:pPr>
    </w:p>
    <w:p>
      <w:pPr>
        <w:ind w:left="820" w:right="520" w:hanging="808"/>
        <w:spacing w:after="0" w:line="265"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Brian Concannon, President and Chief Executive Officer of the Company</w:t>
      </w:r>
    </w:p>
    <w:p>
      <w:pPr>
        <w:spacing w:after="0" w:line="179" w:lineRule="exact"/>
        <w:rPr>
          <w:sz w:val="20"/>
          <w:szCs w:val="20"/>
          <w:color w:val="auto"/>
        </w:rPr>
      </w:pPr>
    </w:p>
    <w:p>
      <w:pPr>
        <w:ind w:left="820" w:right="80" w:hanging="808"/>
        <w:spacing w:after="0" w:line="265"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19"/>
                <w:szCs w:val="19"/>
                <w:color w:val="auto"/>
              </w:rPr>
            </w:pPr>
          </w:p>
        </w:tc>
        <w:tc>
          <w:tcPr>
            <w:tcW w:w="6380" w:type="dxa"/>
            <w:vAlign w:val="bottom"/>
            <w:gridSpan w:val="2"/>
          </w:tcPr>
          <w:p>
            <w:pPr>
              <w:ind w:left="1620"/>
              <w:spacing w:after="0"/>
              <w:rPr>
                <w:sz w:val="20"/>
                <w:szCs w:val="20"/>
                <w:color w:val="auto"/>
              </w:rPr>
            </w:pPr>
            <w:r>
              <w:rPr>
                <w:rFonts w:ascii="Arial" w:cs="Arial" w:eastAsia="Arial" w:hAnsi="Arial"/>
                <w:sz w:val="18"/>
                <w:szCs w:val="18"/>
                <w:color w:val="auto"/>
              </w:rPr>
              <w:t>HAEMONETICS CORPORATION</w:t>
            </w:r>
          </w:p>
        </w:tc>
      </w:tr>
      <w:tr>
        <w:trPr>
          <w:trHeight w:val="425"/>
        </w:trPr>
        <w:tc>
          <w:tcPr>
            <w:tcW w:w="3460" w:type="dxa"/>
            <w:vAlign w:val="bottom"/>
          </w:tcPr>
          <w:p>
            <w:pPr>
              <w:spacing w:after="0"/>
              <w:rPr>
                <w:sz w:val="20"/>
                <w:szCs w:val="20"/>
                <w:color w:val="auto"/>
              </w:rPr>
            </w:pPr>
            <w:r>
              <w:rPr>
                <w:rFonts w:ascii="Arial" w:cs="Arial" w:eastAsia="Arial" w:hAnsi="Arial"/>
                <w:sz w:val="18"/>
                <w:szCs w:val="18"/>
                <w:color w:val="auto"/>
              </w:rPr>
              <w:t>Date: November 10, 2010</w:t>
            </w:r>
          </w:p>
        </w:tc>
        <w:tc>
          <w:tcPr>
            <w:tcW w:w="6380" w:type="dxa"/>
            <w:vAlign w:val="bottom"/>
            <w:gridSpan w:val="2"/>
          </w:tcPr>
          <w:p>
            <w:pPr>
              <w:ind w:left="1620"/>
              <w:spacing w:after="0"/>
              <w:rPr>
                <w:sz w:val="20"/>
                <w:szCs w:val="20"/>
                <w:color w:val="auto"/>
              </w:rPr>
            </w:pPr>
            <w:r>
              <w:rPr>
                <w:rFonts w:ascii="Arial" w:cs="Arial" w:eastAsia="Arial" w:hAnsi="Arial"/>
                <w:sz w:val="18"/>
                <w:szCs w:val="18"/>
                <w:color w:val="auto"/>
              </w:rPr>
              <w:t>By: /s/ Brian Concannon</w:t>
            </w:r>
          </w:p>
        </w:tc>
      </w:tr>
      <w:tr>
        <w:trPr>
          <w:trHeight w:val="194"/>
        </w:trPr>
        <w:tc>
          <w:tcPr>
            <w:tcW w:w="3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8"/>
              </w:rPr>
              <w:t>Brian Concannon, President and Chief Executive Officer</w:t>
            </w:r>
          </w:p>
        </w:tc>
      </w:tr>
      <w:tr>
        <w:trPr>
          <w:trHeight w:val="223"/>
        </w:trPr>
        <w:tc>
          <w:tcPr>
            <w:tcW w:w="3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7"/>
        </w:trPr>
        <w:tc>
          <w:tcPr>
            <w:tcW w:w="3460" w:type="dxa"/>
            <w:vAlign w:val="bottom"/>
          </w:tcPr>
          <w:p>
            <w:pPr>
              <w:spacing w:after="0"/>
              <w:rPr>
                <w:sz w:val="20"/>
                <w:szCs w:val="20"/>
                <w:color w:val="auto"/>
              </w:rPr>
            </w:pPr>
            <w:r>
              <w:rPr>
                <w:rFonts w:ascii="Arial" w:cs="Arial" w:eastAsia="Arial" w:hAnsi="Arial"/>
                <w:sz w:val="18"/>
                <w:szCs w:val="18"/>
                <w:color w:val="auto"/>
              </w:rPr>
              <w:t>Date: November 10, 2010</w:t>
            </w:r>
          </w:p>
        </w:tc>
        <w:tc>
          <w:tcPr>
            <w:tcW w:w="6380" w:type="dxa"/>
            <w:vAlign w:val="bottom"/>
            <w:gridSpan w:val="2"/>
          </w:tcPr>
          <w:p>
            <w:pPr>
              <w:ind w:left="1620"/>
              <w:spacing w:after="0"/>
              <w:rPr>
                <w:sz w:val="20"/>
                <w:szCs w:val="20"/>
                <w:color w:val="auto"/>
              </w:rPr>
            </w:pPr>
            <w:r>
              <w:rPr>
                <w:rFonts w:ascii="Arial" w:cs="Arial" w:eastAsia="Arial" w:hAnsi="Arial"/>
                <w:sz w:val="18"/>
                <w:szCs w:val="18"/>
                <w:color w:val="auto"/>
              </w:rPr>
              <w:t>By: /s/ Christopher Lindop</w:t>
            </w:r>
          </w:p>
        </w:tc>
      </w:tr>
      <w:tr>
        <w:trPr>
          <w:trHeight w:val="194"/>
        </w:trPr>
        <w:tc>
          <w:tcPr>
            <w:tcW w:w="3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Christopher Lindop, Chief Financial Officer and Vice</w:t>
            </w:r>
          </w:p>
        </w:tc>
      </w:tr>
      <w:tr>
        <w:trPr>
          <w:trHeight w:val="223"/>
        </w:trPr>
        <w:tc>
          <w:tcPr>
            <w:tcW w:w="3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0"/>
              </w:rPr>
              <w:t>President Business Development (Principal Financial Officer)</w:t>
            </w:r>
          </w:p>
        </w:tc>
      </w:tr>
      <w:tr>
        <w:trPr>
          <w:trHeight w:val="610"/>
        </w:trPr>
        <w:tc>
          <w:tcPr>
            <w:tcW w:w="3460" w:type="dxa"/>
            <w:vAlign w:val="bottom"/>
          </w:tcPr>
          <w:p>
            <w:pPr>
              <w:spacing w:after="0"/>
              <w:rPr>
                <w:sz w:val="24"/>
                <w:szCs w:val="24"/>
                <w:color w:val="auto"/>
              </w:rPr>
            </w:pPr>
          </w:p>
        </w:tc>
        <w:tc>
          <w:tcPr>
            <w:tcW w:w="6380" w:type="dxa"/>
            <w:vAlign w:val="bottom"/>
            <w:gridSpan w:val="2"/>
          </w:tcPr>
          <w:p>
            <w:pPr>
              <w:jc w:val="right"/>
              <w:ind w:right="3952"/>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060"/>
          </w:cols>
          <w:pgMar w:left="240" w:top="413" w:right="5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1" w:lineRule="exact"/>
        <w:rPr>
          <w:sz w:val="20"/>
          <w:szCs w:val="20"/>
          <w:color w:val="auto"/>
        </w:rPr>
      </w:pPr>
    </w:p>
    <w:p>
      <w:pPr>
        <w:ind w:left="440" w:hanging="43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24" w:lineRule="exact"/>
        <w:rPr>
          <w:rFonts w:ascii="Arial" w:cs="Arial" w:eastAsia="Arial" w:hAnsi="Arial"/>
          <w:sz w:val="18"/>
          <w:szCs w:val="18"/>
          <w:color w:val="auto"/>
        </w:rPr>
      </w:pPr>
    </w:p>
    <w:p>
      <w:pPr>
        <w:ind w:left="440" w:right="200" w:hanging="434"/>
        <w:spacing w:after="0" w:line="366" w:lineRule="auto"/>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left="440" w:hanging="434"/>
        <w:spacing w:after="0" w:line="26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440" w:right="140" w:hanging="434"/>
        <w:spacing w:after="0" w:line="25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340" w:right="40" w:hanging="432"/>
        <w:spacing w:after="0" w:line="255" w:lineRule="auto"/>
        <w:tabs>
          <w:tab w:leader="none" w:pos="1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1340" w:right="360" w:hanging="432"/>
        <w:spacing w:after="0" w:line="255" w:lineRule="auto"/>
        <w:tabs>
          <w:tab w:leader="none" w:pos="1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1340" w:right="540" w:hanging="432"/>
        <w:spacing w:after="0" w:line="366" w:lineRule="auto"/>
        <w:tabs>
          <w:tab w:leader="none" w:pos="13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1340" w:right="40" w:hanging="432"/>
        <w:spacing w:after="0" w:line="255" w:lineRule="auto"/>
        <w:tabs>
          <w:tab w:leader="none" w:pos="1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40" w:right="580" w:hanging="434"/>
        <w:spacing w:after="0" w:line="366" w:lineRule="auto"/>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1340" w:right="760" w:hanging="432"/>
        <w:spacing w:after="0" w:line="366" w:lineRule="auto"/>
        <w:tabs>
          <w:tab w:leader="none" w:pos="13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5"/>
          <w:szCs w:val="15"/>
          <w:color w:val="auto"/>
        </w:rPr>
      </w:pPr>
    </w:p>
    <w:p>
      <w:pPr>
        <w:ind w:left="1340" w:right="460" w:hanging="432"/>
        <w:spacing w:after="0" w:line="265" w:lineRule="auto"/>
        <w:tabs>
          <w:tab w:leader="none" w:pos="1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 President and Chief Executive</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1" w:lineRule="exact"/>
        <w:rPr>
          <w:sz w:val="20"/>
          <w:szCs w:val="20"/>
          <w:color w:val="auto"/>
        </w:rPr>
      </w:pPr>
    </w:p>
    <w:p>
      <w:pPr>
        <w:ind w:left="440" w:hanging="43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24" w:lineRule="exact"/>
        <w:rPr>
          <w:rFonts w:ascii="Arial" w:cs="Arial" w:eastAsia="Arial" w:hAnsi="Arial"/>
          <w:sz w:val="18"/>
          <w:szCs w:val="18"/>
          <w:color w:val="auto"/>
        </w:rPr>
      </w:pPr>
    </w:p>
    <w:p>
      <w:pPr>
        <w:ind w:left="440" w:right="200" w:hanging="434"/>
        <w:spacing w:after="0" w:line="366"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left="440" w:hanging="434"/>
        <w:spacing w:after="0" w:line="265"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440" w:right="140" w:hanging="434"/>
        <w:spacing w:after="0" w:line="255"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340" w:right="40" w:hanging="432"/>
        <w:spacing w:after="0" w:line="255"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1340" w:right="360" w:hanging="432"/>
        <w:spacing w:after="0" w:line="255"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1340" w:right="540" w:hanging="432"/>
        <w:spacing w:after="0" w:line="366" w:lineRule="auto"/>
        <w:tabs>
          <w:tab w:leader="none" w:pos="13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1340" w:right="40" w:hanging="432"/>
        <w:spacing w:after="0" w:line="255"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40" w:right="580" w:hanging="434"/>
        <w:spacing w:after="0" w:line="366"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1340" w:right="760" w:hanging="432"/>
        <w:spacing w:after="0" w:line="366" w:lineRule="auto"/>
        <w:tabs>
          <w:tab w:leader="none" w:pos="13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5"/>
          <w:szCs w:val="15"/>
          <w:color w:val="auto"/>
        </w:rPr>
      </w:pPr>
    </w:p>
    <w:p>
      <w:pPr>
        <w:ind w:left="1340" w:right="460" w:hanging="432"/>
        <w:spacing w:after="0" w:line="265"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 Chief Financial Officer and</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Business Development</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4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0"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2, 2010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54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0"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2, 2010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2010</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Vice President</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Business Development</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9"/>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2019-12-10T04:13:10Z</dcterms:created>
  <dcterms:modified xsi:type="dcterms:W3CDTF">2019-12-10T04:13:10Z</dcterms:modified>
</cp:coreProperties>
</file>