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December 31, 2011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$.01 par value common stock outstanding as of December 31, 2011: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25,141,181</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7"/>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740" w:type="dxa"/>
            <w:vAlign w:val="bottom"/>
            <w:tcBorders>
              <w:top w:val="single" w:sz="8" w:color="0000FF"/>
            </w:tcBorders>
            <w:gridSpan w:val="3"/>
          </w:tcPr>
          <w:p>
            <w:pPr>
              <w:spacing w:after="0"/>
              <w:rPr>
                <w:sz w:val="24"/>
                <w:szCs w:val="24"/>
                <w:color w:val="auto"/>
              </w:rPr>
            </w:pPr>
          </w:p>
        </w:tc>
        <w:tc>
          <w:tcPr>
            <w:tcW w:w="730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878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Consolidated Statements of Income — Three and Nine Months Ended December 31, 2011 and January 1, 2011</w:t>
              </w:r>
            </w:hyperlink>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24"/>
                <w:szCs w:val="24"/>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Consolidated Balance Sheets — December 31, 2011 and April 2, 2011</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6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32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 Consolidated Statements of Cash Flows — Nine Months Ended December 31, 2011 and January 1, 2011</w:t>
              </w:r>
            </w:hyperlink>
          </w:p>
        </w:tc>
        <w:tc>
          <w:tcPr>
            <w:tcW w:w="19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6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Unaudited Consolidated Financial Statements</w:t>
              </w:r>
            </w:hyperlink>
          </w:p>
        </w:tc>
        <w:tc>
          <w:tcPr>
            <w:tcW w:w="6280" w:type="dxa"/>
            <w:vAlign w:val="bottom"/>
            <w:gridSpan w:val="6"/>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60" w:type="dxa"/>
            <w:vAlign w:val="bottom"/>
          </w:tcPr>
          <w:p>
            <w:pPr>
              <w:spacing w:after="0"/>
              <w:rPr>
                <w:sz w:val="21"/>
                <w:szCs w:val="2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w w:val="90"/>
              </w:rPr>
            </w:pPr>
            <w:hyperlink w:anchor="page16">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17</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7"/>
          </w:tcPr>
          <w:p>
            <w:pPr>
              <w:spacing w:after="0"/>
              <w:rPr>
                <w:rFonts w:ascii="Arial" w:cs="Arial" w:eastAsia="Arial" w:hAnsi="Arial"/>
                <w:sz w:val="18"/>
                <w:szCs w:val="18"/>
                <w:b w:val="1"/>
                <w:bCs w:val="1"/>
                <w:color w:val="0000FF"/>
                <w:w w:val="91"/>
              </w:rPr>
            </w:pPr>
            <w:hyperlink w:anchor="page27">
              <w:r>
                <w:rPr>
                  <w:rFonts w:ascii="Arial" w:cs="Arial" w:eastAsia="Arial" w:hAnsi="Arial"/>
                  <w:sz w:val="18"/>
                  <w:szCs w:val="18"/>
                  <w:b w:val="1"/>
                  <w:bCs w:val="1"/>
                  <w:color w:val="0000FF"/>
                  <w:w w:val="91"/>
                </w:rPr>
                <w:t>ITEM 4. Controls and Procedures</w:t>
              </w:r>
            </w:hyperlink>
          </w:p>
        </w:tc>
        <w:tc>
          <w:tcPr>
            <w:tcW w:w="2640" w:type="dxa"/>
            <w:vAlign w:val="bottom"/>
            <w:gridSpan w:val="5"/>
          </w:tcPr>
          <w:p>
            <w:pPr>
              <w:spacing w:after="0"/>
              <w:rPr>
                <w:sz w:val="24"/>
                <w:szCs w:val="24"/>
                <w:color w:val="auto"/>
              </w:rPr>
            </w:pPr>
          </w:p>
        </w:tc>
        <w:tc>
          <w:tcPr>
            <w:tcW w:w="510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 OTHER INFORMATION</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760" w:type="dxa"/>
            <w:vAlign w:val="bottom"/>
            <w:gridSpan w:val="8"/>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1. Legal Proceedings</w:t>
              </w:r>
            </w:hyperlink>
          </w:p>
        </w:tc>
        <w:tc>
          <w:tcPr>
            <w:tcW w:w="7600" w:type="dxa"/>
            <w:vAlign w:val="bottom"/>
            <w:gridSpan w:val="9"/>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100" w:type="dxa"/>
            <w:vAlign w:val="bottom"/>
            <w:gridSpan w:val="5"/>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2. Unregistered Sales of Equity Securities and Use of Proceeds</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3120" w:type="dxa"/>
            <w:vAlign w:val="bottom"/>
            <w:gridSpan w:val="10"/>
          </w:tcPr>
          <w:p>
            <w:pPr>
              <w:spacing w:after="0"/>
              <w:rPr>
                <w:rFonts w:ascii="Arial" w:cs="Arial" w:eastAsia="Arial" w:hAnsi="Arial"/>
                <w:sz w:val="18"/>
                <w:szCs w:val="18"/>
                <w:b w:val="1"/>
                <w:bCs w:val="1"/>
                <w:color w:val="0000FF"/>
                <w:w w:val="91"/>
              </w:rPr>
            </w:pPr>
            <w:hyperlink w:anchor="page28">
              <w:r>
                <w:rPr>
                  <w:rFonts w:ascii="Arial" w:cs="Arial" w:eastAsia="Arial" w:hAnsi="Arial"/>
                  <w:sz w:val="18"/>
                  <w:szCs w:val="18"/>
                  <w:b w:val="1"/>
                  <w:bCs w:val="1"/>
                  <w:color w:val="0000FF"/>
                  <w:w w:val="91"/>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3120" w:type="dxa"/>
            <w:vAlign w:val="bottom"/>
            <w:gridSpan w:val="10"/>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4. (Removed and Reserved)</w:t>
              </w:r>
            </w:hyperlink>
          </w:p>
        </w:tc>
        <w:tc>
          <w:tcPr>
            <w:tcW w:w="7240" w:type="dxa"/>
            <w:vAlign w:val="bottom"/>
            <w:gridSpan w:val="7"/>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29</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7740" w:type="dxa"/>
            <w:vAlign w:val="bottom"/>
            <w:gridSpan w:val="10"/>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 xml:space="preserve">ITEM 5. </w:t>
              </w:r>
            </w:hyperlink>
            <w:r>
              <w:rPr>
                <w:rFonts w:ascii="Arial" w:cs="Arial" w:eastAsia="Arial" w:hAnsi="Arial"/>
                <w:sz w:val="18"/>
                <w:szCs w:val="18"/>
                <w:b w:val="1"/>
                <w:bCs w:val="1"/>
                <w:color w:val="0000FF"/>
              </w:rPr>
              <w:t>(Removed and Reserved)</w:t>
            </w: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7"/>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6. Exhibits</w:t>
              </w:r>
            </w:hyperlink>
          </w:p>
        </w:tc>
        <w:tc>
          <w:tcPr>
            <w:tcW w:w="7740" w:type="dxa"/>
            <w:vAlign w:val="bottom"/>
            <w:gridSpan w:val="10"/>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200" w:type="dxa"/>
            <w:vAlign w:val="bottom"/>
            <w:gridSpan w:val="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9020" w:type="dxa"/>
            <w:vAlign w:val="bottom"/>
            <w:gridSpan w:val="14"/>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80" w:type="dxa"/>
            <w:vAlign w:val="bottom"/>
            <w:gridSpan w:val="1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91"/>
        </w:trPr>
        <w:tc>
          <w:tcPr>
            <w:tcW w:w="10360" w:type="dxa"/>
            <w:vAlign w:val="bottom"/>
            <w:gridSpan w:val="17"/>
          </w:tcPr>
          <w:p>
            <w:pPr>
              <w:ind w:left="20"/>
              <w:spacing w:after="0"/>
              <w:rPr>
                <w:sz w:val="20"/>
                <w:szCs w:val="20"/>
                <w:color w:val="auto"/>
              </w:rPr>
            </w:pPr>
            <w:r>
              <w:rPr>
                <w:rFonts w:ascii="Arial" w:cs="Arial" w:eastAsia="Arial" w:hAnsi="Arial"/>
                <w:sz w:val="18"/>
                <w:szCs w:val="18"/>
                <w:color w:val="auto"/>
              </w:rPr>
              <w:t>EX-31.1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10360" w:type="dxa"/>
            <w:vAlign w:val="bottom"/>
            <w:gridSpan w:val="17"/>
          </w:tcPr>
          <w:p>
            <w:pPr>
              <w:ind w:left="20"/>
              <w:spacing w:after="0"/>
              <w:rPr>
                <w:sz w:val="20"/>
                <w:szCs w:val="20"/>
                <w:color w:val="auto"/>
              </w:rPr>
            </w:pPr>
            <w:r>
              <w:rPr>
                <w:rFonts w:ascii="Arial" w:cs="Arial" w:eastAsia="Arial" w:hAnsi="Arial"/>
                <w:sz w:val="18"/>
                <w:szCs w:val="18"/>
                <w:color w:val="auto"/>
              </w:rPr>
              <w:t>EX-31.2</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10360" w:type="dxa"/>
            <w:vAlign w:val="bottom"/>
            <w:gridSpan w:val="17"/>
          </w:tcPr>
          <w:p>
            <w:pPr>
              <w:ind w:left="20"/>
              <w:spacing w:after="0"/>
              <w:rPr>
                <w:sz w:val="20"/>
                <w:szCs w:val="20"/>
                <w:color w:val="auto"/>
              </w:rPr>
            </w:pPr>
            <w:r>
              <w:rPr>
                <w:rFonts w:ascii="Arial" w:cs="Arial" w:eastAsia="Arial" w:hAnsi="Arial"/>
                <w:sz w:val="18"/>
                <w:szCs w:val="18"/>
                <w:color w:val="auto"/>
              </w:rPr>
              <w:t>EX-32.1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10360" w:type="dxa"/>
            <w:vAlign w:val="bottom"/>
            <w:gridSpan w:val="17"/>
          </w:tcPr>
          <w:p>
            <w:pPr>
              <w:ind w:left="20"/>
              <w:spacing w:after="0"/>
              <w:rPr>
                <w:sz w:val="20"/>
                <w:szCs w:val="20"/>
                <w:color w:val="auto"/>
              </w:rPr>
            </w:pPr>
            <w:r>
              <w:rPr>
                <w:rFonts w:ascii="Arial" w:cs="Arial" w:eastAsia="Arial" w:hAnsi="Arial"/>
                <w:sz w:val="18"/>
                <w:szCs w:val="18"/>
                <w:color w:val="auto"/>
              </w:rPr>
              <w:t>EX-32.2</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121"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122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506,661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95,229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83,299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266,545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238,953</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95,931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274,629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267,708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61,376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56,935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180,221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164,079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70,608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64,931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206,831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186,055</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7,211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19,088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22,517</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58,992</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r>
      <w:tr>
        <w:trPr>
          <w:trHeight w:val="270"/>
        </w:trPr>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24,933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25,438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25,833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25,477</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4"/>
                <w:szCs w:val="14"/>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205,372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196,707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less allowance of $1,788 at December 31, 2011 and $1,799 at April 2, 2011</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127,443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127,166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107,913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84,387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9,487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9,674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30,897</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467,173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448,831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 building, and building improvements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55,159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52,359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Plant equipment and machinery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135,268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128,612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Office equipment and information technology</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85,894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83,258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Haemonetics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220,187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211,455</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property, plant and equipment</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496,508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475,684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(338,805)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(320,156)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Net property, plant and equipment</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157,703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155,528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less amortization of $52,033 at December 31, 2011 and $43,827 at April 2, 2011</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97,060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101,789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115,320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115,367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10,458</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other assets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222,897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228,905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847,773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833,264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2,545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28,323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24,970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27,039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45,342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46,256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109,368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108,671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deferred tax liability</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16,775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18,669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15,822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Common stock, $.01 par value; Authorized — 150,000,000 shares; Issued and outstanding — 25,141,181 shares at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December 31, 2011 and 25,660,393 shares at April 2, 2011</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312,887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302,709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382,977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373,630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9,118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9,541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705,233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686,136</w:t>
            </w:r>
          </w:p>
        </w:tc>
        <w:tc>
          <w:tcPr>
            <w:tcW w:w="0" w:type="dxa"/>
            <w:vAlign w:val="bottom"/>
          </w:tcPr>
          <w:p>
            <w:pPr>
              <w:spacing w:after="0"/>
              <w:rPr>
                <w:sz w:val="1"/>
                <w:szCs w:val="1"/>
                <w:color w:val="auto"/>
              </w:rPr>
            </w:pPr>
          </w:p>
        </w:tc>
      </w:tr>
      <w:tr>
        <w:trPr>
          <w:trHeight w:val="244"/>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847,773</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833,264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1220" w:type="dxa"/>
            <w:vAlign w:val="bottom"/>
          </w:tcPr>
          <w:p>
            <w:pPr>
              <w:jc w:val="right"/>
              <w:ind w:right="331"/>
              <w:spacing w:after="0" w:line="15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49,080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58,992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Non cash items: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37,025</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Stock compensation expense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8,145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sales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Unrealized loss from hedging activities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1,562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Contingent consideration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Reversal of interest expense on contingent consideration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Increase in accounts receivable,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in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Decrease in prepaid income taxes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14,949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10,569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(Increase)/decrease in other assets and 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4,016</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Tax benefit of exercise of stock options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4,844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accounts payable and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91,316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Capital expenditures on property, plant and equipment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(34,986)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Acquisition of ACCS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Global Med Technologies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(41,009)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increase/(decrease) in short-term loans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(8,789)</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3,683</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32,163</w:t>
            </w: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Excess tax benefit on exercise of stock options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repurchase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27,976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196,707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141,562</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205,372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169,538</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30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Transfers from inventory to fixed assets for placements of Haemonetics equipment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10,912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3,908</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30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paid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373</w:t>
            </w:r>
          </w:p>
        </w:tc>
      </w:tr>
      <w:tr>
        <w:trPr>
          <w:trHeight w:val="25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9,995</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to the presentation of the financial statements for the nine months ended December 31, 2011. Operating results for the nine month period ended December 31, 2011 are not necessarily indicative of the results that may be expected for the full fiscal year ending March 31, 2012, or any other interim period. These unaudited consolidated financial statements should be read in conjunction with our audited consolidated financial statements and footnotes included in our annual report on Form 10-K for the fiscal year ended April 2, 2011.</w:t>
      </w:r>
    </w:p>
    <w:p>
      <w:pPr>
        <w:spacing w:after="0" w:line="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 As described in Note 10, the Company recognized $3.0 million of insurance recovery receivable that occurred subsequent to December 31, 2011. There were no other material recognized subsequent events recorded in the December 31, 2011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ends on the Saturday closest to the last day of March. Fiscal years 2012 and 2011 include 52 weeks with each quarter having 13 weeks.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May 2011, the FASB issued Accounting Standards Update No. 2011-04, </w:t>
      </w:r>
      <w:r>
        <w:rPr>
          <w:rFonts w:ascii="Arial" w:cs="Arial" w:eastAsia="Arial" w:hAnsi="Arial"/>
          <w:sz w:val="16"/>
          <w:szCs w:val="16"/>
          <w:i w:val="1"/>
          <w:iCs w:val="1"/>
          <w:color w:val="auto"/>
        </w:rPr>
        <w:t>Fair Value Measurement (Topic 820): Amendments to Achieve Common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 and Disclosure Requirements in U.S. GAAP and IFRSs. </w:t>
      </w:r>
      <w:r>
        <w:rPr>
          <w:rFonts w:ascii="Arial" w:cs="Arial" w:eastAsia="Arial" w:hAnsi="Arial"/>
          <w:sz w:val="16"/>
          <w:szCs w:val="16"/>
          <w:color w:val="auto"/>
        </w:rPr>
        <w:t>Update No. 2011-04 updates the accounting guidance related to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that results in a consistent definition of fair value and common requirements for measurement of and disclosure about fair value between U.S. GAAP and International Financial Reporting Standards (IFRS). ASU 2011-04 changes certain fair value measurement principles and enhances the disclosure requirements particularly for level 3 fair value measurements. The updated guidance is effective for interim and annual periods beginning after December 15, 2011. ASU 2011-04 is effective in our fourth quarter of fiscal 2012 and should be applied prospectively. We do not currently have level 3 fair value measurements. We do not believe adoption of this standard will have an impact on our consolidated financial statements.</w:t>
      </w:r>
    </w:p>
    <w:p>
      <w:pPr>
        <w:spacing w:after="0" w:line="5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June 2011, the FASB issued Accounting Standards Update No. 2011-05, </w:t>
      </w:r>
      <w:r>
        <w:rPr>
          <w:rFonts w:ascii="Arial" w:cs="Arial" w:eastAsia="Arial" w:hAnsi="Arial"/>
          <w:sz w:val="17"/>
          <w:szCs w:val="17"/>
          <w:i w:val="1"/>
          <w:iCs w:val="1"/>
          <w:color w:val="auto"/>
        </w:rPr>
        <w:t>Comprehensive Income (Topic 220): Presentation of Comprehensive Income</w:t>
      </w:r>
      <w:r>
        <w:rPr>
          <w:rFonts w:ascii="Arial" w:cs="Arial" w:eastAsia="Arial" w:hAnsi="Arial"/>
          <w:sz w:val="17"/>
          <w:szCs w:val="17"/>
          <w:color w:val="auto"/>
        </w:rPr>
        <w:t>. Update No. 2011-05 updates the disclosure requirements for comprehensive income to include total 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Early adoption is permitted and amendments do not require any transition disclosures. We will adopt this standard in the first quarter of fiscal 2013. The adoption of ASU 2011-05 will affect the presentation of comprehensive income but will not impact our financial condition or statement of operations.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September 2011, the FASB issued Accounting Standards Update No. 2011-08,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ASU 2011-08 is effective for our first quarter of fiscal 2013 but is eligible for early adoption. We do not believe adoption of this standard will have an impact on our consolidated financial statements.</w:t>
      </w:r>
    </w:p>
    <w:p>
      <w:pPr>
        <w:spacing w:after="0" w:line="5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In December 2011, the FASB issued Accounting Standards Update No. 2011-11, </w:t>
      </w:r>
      <w:r>
        <w:rPr>
          <w:rFonts w:ascii="Arial" w:cs="Arial" w:eastAsia="Arial" w:hAnsi="Arial"/>
          <w:sz w:val="18"/>
          <w:szCs w:val="18"/>
          <w:i w:val="1"/>
          <w:iCs w:val="1"/>
          <w:color w:val="auto"/>
        </w:rPr>
        <w:t>Balance Sheet (Topic 210)-Disclosures about Offsetting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(ASU 2011-11). The update requires entities to disclose information about offsetting and related arrangements of financial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ASU 2011-11 is effective for our first quarter of fiscal 2014. We are currently evaluating the impact of adopting ASU 2011-11, but currently believe there will be no significant impact on our consolidated financial statements.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October 2009, the FASB issued Accounting Standards Update No. 2009-13, </w:t>
      </w:r>
      <w:r>
        <w:rPr>
          <w:rFonts w:ascii="Arial" w:cs="Arial" w:eastAsia="Arial" w:hAnsi="Arial"/>
          <w:sz w:val="17"/>
          <w:szCs w:val="17"/>
          <w:i w:val="1"/>
          <w:iCs w:val="1"/>
          <w:color w:val="auto"/>
        </w:rPr>
        <w:t>Revenue Recognition (Topic 605): Multiple-Deliverable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 and Accounting Standards Update No. 2009-14,</w:t>
      </w:r>
      <w:r>
        <w:rPr>
          <w:rFonts w:ascii="Arial" w:cs="Arial" w:eastAsia="Arial" w:hAnsi="Arial"/>
          <w:sz w:val="17"/>
          <w:szCs w:val="17"/>
          <w:i w:val="1"/>
          <w:iCs w:val="1"/>
          <w:color w:val="auto"/>
        </w:rPr>
        <w:t xml:space="preserve"> Software (Topic 985): Certain Revenue Arrangements That Include Software </w:t>
      </w:r>
      <w:r>
        <w:rPr>
          <w:rFonts w:ascii="Arial" w:cs="Arial" w:eastAsia="Arial" w:hAnsi="Arial"/>
          <w:sz w:val="17"/>
          <w:szCs w:val="17"/>
          <w:color w:val="auto"/>
        </w:rPr>
        <w:t>(the “Updates”).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also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allocate arrangement consideration using the relative selling price method. The Updates also include new disclosure requirements on how the application of the relative selling price method affects the timing and amount of revenue recognition. On April 3, 2011, we adopted this guidance, which did not have a material impact on our financial position or results of operations.</w:t>
      </w:r>
    </w:p>
    <w:p>
      <w:pPr>
        <w:spacing w:after="0" w:line="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December 2010, the FASB issued Accounting Standards Update No. 2010-29, </w:t>
      </w:r>
      <w:r>
        <w:rPr>
          <w:rFonts w:ascii="Arial" w:cs="Arial" w:eastAsia="Arial" w:hAnsi="Arial"/>
          <w:sz w:val="18"/>
          <w:szCs w:val="18"/>
          <w:i w:val="1"/>
          <w:iCs w:val="1"/>
          <w:color w:val="auto"/>
        </w:rPr>
        <w:t>Business Combinations (Topic 805): Disclosure of Supplementary Pro</w:t>
      </w:r>
      <w:r>
        <w:rPr>
          <w:rFonts w:ascii="Arial" w:cs="Arial" w:eastAsia="Arial" w:hAnsi="Arial"/>
          <w:sz w:val="18"/>
          <w:szCs w:val="18"/>
          <w:color w:val="auto"/>
        </w:rPr>
        <w:t xml:space="preserve"> </w:t>
      </w:r>
      <w:r>
        <w:rPr>
          <w:rFonts w:ascii="Arial" w:cs="Arial" w:eastAsia="Arial" w:hAnsi="Arial"/>
          <w:sz w:val="18"/>
          <w:szCs w:val="18"/>
          <w:i w:val="1"/>
          <w:iCs w:val="1"/>
          <w:color w:val="auto"/>
        </w:rPr>
        <w:t>Forma Information for Business Combinations</w:t>
      </w:r>
      <w:r>
        <w:rPr>
          <w:rFonts w:ascii="Arial" w:cs="Arial" w:eastAsia="Arial" w:hAnsi="Arial"/>
          <w:sz w:val="18"/>
          <w:szCs w:val="18"/>
          <w:color w:val="auto"/>
        </w:rPr>
        <w:t>. Update No. 2010-29 clarifies paragraph 805-10-50-2(h) to require public entities that enter into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 that are material on an individual or aggregate basis to disclose pro forma information for such business combinations that occurred in the current reporting period, including pro forma revenue and earnings of the combined entity as though the acquisition date had been as of the beginning of the comparable prior annual reporting period only. We did not complete any business acquisitions during the nine months ended December 31, 2011 thus the disclosure requirements were not applicable for the period.</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 EPS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shares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income per share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Diluted EPS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weighted average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effect of common stock equivalents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weighted average shares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 EPS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shares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income per share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Diluted EPS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weighted average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effect of common stock equivalents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weighted average shares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income per share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December 31,</w:t>
            </w:r>
          </w:p>
        </w:tc>
        <w:tc>
          <w:tcPr>
            <w:tcW w:w="280" w:type="dxa"/>
            <w:vAlign w:val="bottom"/>
          </w:tcPr>
          <w:p>
            <w:pPr>
              <w:spacing w:after="0"/>
              <w:rPr>
                <w:sz w:val="14"/>
                <w:szCs w:val="14"/>
                <w:color w:val="auto"/>
              </w:rPr>
            </w:pPr>
          </w:p>
        </w:tc>
        <w:tc>
          <w:tcPr>
            <w:tcW w:w="1200" w:type="dxa"/>
            <w:vAlign w:val="bottom"/>
          </w:tcPr>
          <w:p>
            <w:pPr>
              <w:jc w:val="center"/>
              <w:ind w:right="214"/>
              <w:spacing w:after="0"/>
              <w:rPr>
                <w:sz w:val="20"/>
                <w:szCs w:val="20"/>
                <w:color w:val="auto"/>
              </w:rPr>
            </w:pPr>
            <w:r>
              <w:rPr>
                <w:rFonts w:ascii="Arial" w:cs="Arial" w:eastAsia="Arial" w:hAnsi="Arial"/>
                <w:sz w:val="14"/>
                <w:szCs w:val="14"/>
                <w:color w:val="auto"/>
                <w:w w:val="88"/>
              </w:rPr>
              <w:t>January 1,</w:t>
            </w:r>
          </w:p>
        </w:tc>
      </w:tr>
      <w:tr>
        <w:trPr>
          <w:trHeight w:val="188"/>
        </w:trPr>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w w:val="89"/>
              </w:rPr>
              <w:t>2011</w:t>
            </w:r>
          </w:p>
        </w:tc>
      </w:tr>
      <w:tr>
        <w:trPr>
          <w:trHeight w:val="190"/>
        </w:trPr>
        <w:tc>
          <w:tcPr>
            <w:tcW w:w="220" w:type="dxa"/>
            <w:vAlign w:val="bottom"/>
          </w:tcPr>
          <w:p>
            <w:pPr>
              <w:spacing w:after="0"/>
              <w:rPr>
                <w:sz w:val="16"/>
                <w:szCs w:val="16"/>
                <w:color w:val="auto"/>
              </w:rPr>
            </w:pPr>
          </w:p>
        </w:tc>
        <w:tc>
          <w:tcPr>
            <w:tcW w:w="2860" w:type="dxa"/>
            <w:vAlign w:val="bottom"/>
            <w:gridSpan w:val="4"/>
          </w:tcPr>
          <w:p>
            <w:pPr>
              <w:jc w:val="center"/>
              <w:ind w:right="114"/>
              <w:spacing w:after="0"/>
              <w:rPr>
                <w:sz w:val="20"/>
                <w:szCs w:val="20"/>
                <w:color w:val="auto"/>
              </w:rPr>
            </w:pPr>
            <w:r>
              <w:rPr>
                <w:rFonts w:ascii="Arial" w:cs="Arial" w:eastAsia="Arial" w:hAnsi="Arial"/>
                <w:sz w:val="14"/>
                <w:szCs w:val="14"/>
                <w:color w:val="auto"/>
                <w:w w:val="90"/>
              </w:rPr>
              <w:t>(in thousands, except per share amounts)</w:t>
            </w:r>
          </w:p>
        </w:tc>
      </w:tr>
      <w:tr>
        <w:trPr>
          <w:trHeight w:val="525"/>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18,252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19,734</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25,077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24,973</w:t>
            </w:r>
          </w:p>
        </w:tc>
      </w:tr>
      <w:tr>
        <w:trPr>
          <w:trHeight w:val="27"/>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0.79</w:t>
            </w:r>
          </w:p>
        </w:tc>
      </w:tr>
      <w:tr>
        <w:trPr>
          <w:trHeight w:val="27"/>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94"/>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18,252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19,734</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25,077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24,973</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544</w:t>
            </w:r>
          </w:p>
        </w:tc>
      </w:tr>
      <w:tr>
        <w:trPr>
          <w:trHeight w:val="27"/>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25,438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25,517</w:t>
            </w:r>
          </w:p>
        </w:tc>
      </w:tr>
      <w:tr>
        <w:trPr>
          <w:trHeight w:val="270"/>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0.77</w:t>
            </w:r>
          </w:p>
        </w:tc>
      </w:tr>
      <w:tr>
        <w:trPr>
          <w:trHeight w:val="27"/>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12"/>
        </w:trPr>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color w:val="auto"/>
                <w:w w:val="94"/>
              </w:rPr>
              <w:t>Nine Months Ended</w:t>
            </w:r>
          </w:p>
        </w:tc>
      </w:tr>
      <w:tr>
        <w:trPr>
          <w:trHeight w:val="156"/>
        </w:trPr>
        <w:tc>
          <w:tcPr>
            <w:tcW w:w="220" w:type="dxa"/>
            <w:vAlign w:val="bottom"/>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3"/>
              </w:rPr>
              <w:t>December 31,</w:t>
            </w:r>
          </w:p>
        </w:tc>
        <w:tc>
          <w:tcPr>
            <w:tcW w:w="280" w:type="dxa"/>
            <w:vAlign w:val="bottom"/>
          </w:tcPr>
          <w:p>
            <w:pPr>
              <w:spacing w:after="0"/>
              <w:rPr>
                <w:sz w:val="13"/>
                <w:szCs w:val="13"/>
                <w:color w:val="auto"/>
              </w:rPr>
            </w:pPr>
          </w:p>
        </w:tc>
        <w:tc>
          <w:tcPr>
            <w:tcW w:w="1200" w:type="dxa"/>
            <w:vAlign w:val="bottom"/>
          </w:tcPr>
          <w:p>
            <w:pPr>
              <w:jc w:val="center"/>
              <w:ind w:right="214"/>
              <w:spacing w:after="0" w:line="157" w:lineRule="exact"/>
              <w:rPr>
                <w:sz w:val="20"/>
                <w:szCs w:val="20"/>
                <w:color w:val="auto"/>
              </w:rPr>
            </w:pPr>
            <w:r>
              <w:rPr>
                <w:rFonts w:ascii="Arial" w:cs="Arial" w:eastAsia="Arial" w:hAnsi="Arial"/>
                <w:sz w:val="14"/>
                <w:szCs w:val="14"/>
                <w:color w:val="auto"/>
                <w:w w:val="88"/>
              </w:rPr>
              <w:t>January 1,</w:t>
            </w:r>
          </w:p>
        </w:tc>
      </w:tr>
      <w:tr>
        <w:trPr>
          <w:trHeight w:val="188"/>
        </w:trPr>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w w:val="89"/>
              </w:rPr>
              <w:t>2011</w:t>
            </w:r>
          </w:p>
        </w:tc>
      </w:tr>
      <w:tr>
        <w:trPr>
          <w:trHeight w:val="190"/>
        </w:trPr>
        <w:tc>
          <w:tcPr>
            <w:tcW w:w="220" w:type="dxa"/>
            <w:vAlign w:val="bottom"/>
          </w:tcPr>
          <w:p>
            <w:pPr>
              <w:spacing w:after="0"/>
              <w:rPr>
                <w:sz w:val="16"/>
                <w:szCs w:val="16"/>
                <w:color w:val="auto"/>
              </w:rPr>
            </w:pPr>
          </w:p>
        </w:tc>
        <w:tc>
          <w:tcPr>
            <w:tcW w:w="2860" w:type="dxa"/>
            <w:vAlign w:val="bottom"/>
            <w:gridSpan w:val="4"/>
          </w:tcPr>
          <w:p>
            <w:pPr>
              <w:jc w:val="center"/>
              <w:ind w:right="114"/>
              <w:spacing w:after="0"/>
              <w:rPr>
                <w:sz w:val="20"/>
                <w:szCs w:val="20"/>
                <w:color w:val="auto"/>
              </w:rPr>
            </w:pPr>
            <w:r>
              <w:rPr>
                <w:rFonts w:ascii="Arial" w:cs="Arial" w:eastAsia="Arial" w:hAnsi="Arial"/>
                <w:sz w:val="14"/>
                <w:szCs w:val="14"/>
                <w:color w:val="auto"/>
                <w:w w:val="90"/>
              </w:rPr>
              <w:t>(in thousands, except per share amounts)</w:t>
            </w:r>
          </w:p>
        </w:tc>
      </w:tr>
      <w:tr>
        <w:trPr>
          <w:trHeight w:val="525"/>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49,080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58,992</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25,409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24,933</w:t>
            </w:r>
          </w:p>
        </w:tc>
      </w:tr>
      <w:tr>
        <w:trPr>
          <w:trHeight w:val="27"/>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2.37</w:t>
            </w:r>
          </w:p>
        </w:tc>
      </w:tr>
      <w:tr>
        <w:trPr>
          <w:trHeight w:val="27"/>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94"/>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49,080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58,992</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25,409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24,933</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544</w:t>
            </w:r>
          </w:p>
        </w:tc>
      </w:tr>
      <w:tr>
        <w:trPr>
          <w:trHeight w:val="27"/>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25,833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25,477</w:t>
            </w:r>
          </w:p>
        </w:tc>
      </w:tr>
      <w:tr>
        <w:trPr>
          <w:trHeight w:val="270"/>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2.32</w:t>
            </w:r>
          </w:p>
        </w:tc>
      </w:tr>
      <w:tr>
        <w:trPr>
          <w:trHeight w:val="27"/>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-4150360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-3806825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-3446780</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-3086735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-2743835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-1783080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-1440180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-1080135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-719455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-376555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7620" w:space="720"/>
            <w:col w:w="3080"/>
          </w:cols>
          <w:pgMar w:left="240" w:top="125" w:right="239" w:bottom="1440" w:gutter="0" w:footer="0" w:header="0"/>
          <w:type w:val="continuous"/>
        </w:sectPr>
      </w:pPr>
    </w:p>
    <w:p>
      <w:pPr>
        <w:ind w:right="40"/>
        <w:spacing w:after="0" w:line="264" w:lineRule="auto"/>
        <w:rPr>
          <w:sz w:val="20"/>
          <w:szCs w:val="20"/>
          <w:color w:val="auto"/>
        </w:rPr>
      </w:pPr>
      <w:r>
        <w:rPr>
          <w:rFonts w:ascii="Arial" w:cs="Arial" w:eastAsia="Arial" w:hAnsi="Arial"/>
          <w:sz w:val="18"/>
          <w:szCs w:val="18"/>
          <w:color w:val="auto"/>
        </w:rPr>
        <w:t>Weighted average shares outstanding, assuming dilution, excludes the impact of 0.9 million and 0.6 million stock options for the three and nine months ended December 31, 2011, respectively, and 1.0 million and 1.1 million stock options for the three and nine months ended January 1, 2011, respectively, because these securities were anti-dilutive during the noted periods.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Stock-based compensation expense of $6.7 million and $8.1 million was recognized for the nine months ended December 31, 2011 and January 1, 2011, respectively. The related income tax benefit recognized was $2.0 million and $2.2 million for the nine months ended December 31, 2011 and January 1, 2011, respectively.</w:t>
      </w:r>
    </w:p>
    <w:p>
      <w:pPr>
        <w:spacing w:after="0" w:line="73"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weighted average fair value for our options granted was $16.29 and $15.63 for the nine months ended December 31, 2011 and January 1, 2011, respectively. The assumptions utilized for estimating the fair value of option grants during the periods presented are as follows:</w:t>
      </w:r>
    </w:p>
    <w:p>
      <w:pPr>
        <w:spacing w:after="0" w:line="88"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20955</wp:posOffset>
            </wp:positionV>
            <wp:extent cx="2040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color w:val="auto"/>
              </w:rPr>
              <w:t>December 31,</w:t>
            </w:r>
          </w:p>
        </w:tc>
        <w:tc>
          <w:tcPr>
            <w:tcW w:w="1560" w:type="dxa"/>
            <w:vAlign w:val="bottom"/>
          </w:tcPr>
          <w:p>
            <w:pPr>
              <w:jc w:val="right"/>
              <w:ind w:right="416"/>
              <w:spacing w:after="0"/>
              <w:rPr>
                <w:sz w:val="20"/>
                <w:szCs w:val="20"/>
                <w:color w:val="auto"/>
              </w:rPr>
            </w:pPr>
            <w:r>
              <w:rPr>
                <w:rFonts w:ascii="Arial" w:cs="Arial" w:eastAsia="Arial" w:hAnsi="Arial"/>
                <w:sz w:val="14"/>
                <w:szCs w:val="14"/>
                <w:color w:val="auto"/>
              </w:rPr>
              <w:t>January 1,</w:t>
            </w:r>
          </w:p>
        </w:tc>
      </w:tr>
      <w:tr>
        <w:trPr>
          <w:trHeight w:val="188"/>
        </w:trPr>
        <w:tc>
          <w:tcPr>
            <w:tcW w:w="8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2011</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27.67%</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5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nine months ended December 31, 2011 and January 1, 2011, there were 77,260 and 78,107 shares, respectively, purchased under the Employee Stock Purchase Plan. They were purchased at $49.15 and $46.04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3"/>
                <w:szCs w:val="13"/>
                <w:color w:val="auto"/>
              </w:rPr>
            </w:pPr>
          </w:p>
        </w:tc>
        <w:tc>
          <w:tcPr>
            <w:tcW w:w="1200" w:type="dxa"/>
            <w:vAlign w:val="bottom"/>
          </w:tcPr>
          <w:p>
            <w:pPr>
              <w:jc w:val="right"/>
              <w:ind w:right="376"/>
              <w:spacing w:after="0" w:line="157" w:lineRule="exact"/>
              <w:rPr>
                <w:sz w:val="20"/>
                <w:szCs w:val="20"/>
                <w:color w:val="auto"/>
              </w:rPr>
            </w:pPr>
            <w:r>
              <w:rPr>
                <w:rFonts w:ascii="Arial" w:cs="Arial" w:eastAsia="Arial" w:hAnsi="Arial"/>
                <w:sz w:val="14"/>
                <w:szCs w:val="14"/>
                <w:color w:val="auto"/>
              </w:rPr>
              <w:t>January 1,</w:t>
            </w:r>
          </w:p>
        </w:tc>
        <w:tc>
          <w:tcPr>
            <w:tcW w:w="0" w:type="dxa"/>
            <w:vAlign w:val="bottom"/>
          </w:tcPr>
          <w:p>
            <w:pPr>
              <w:spacing w:after="0"/>
              <w:rPr>
                <w:sz w:val="1"/>
                <w:szCs w:val="1"/>
                <w:color w:val="auto"/>
              </w:rPr>
            </w:pPr>
          </w:p>
        </w:tc>
      </w:tr>
      <w:tr>
        <w:trPr>
          <w:trHeight w:val="188"/>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3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3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36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80" w:type="dxa"/>
            <w:vAlign w:val="bottom"/>
            <w:vMerge w:val="restart"/>
          </w:tcPr>
          <w:p>
            <w:pPr>
              <w:jc w:val="right"/>
              <w:ind w:right="249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Other non-owner changes are primarily foreign currency translation, the change in our net minimum pension liability, and the changes in fair value of the effective portion of our outstanding cash flow hedge contracts.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color w:val="auto"/>
              </w:rPr>
              <w:t>Three Months Ended</w:t>
            </w:r>
          </w:p>
        </w:tc>
      </w:tr>
      <w:tr>
        <w:trPr>
          <w:trHeight w:val="156"/>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3"/>
              </w:rPr>
              <w:t>December 31,</w:t>
            </w:r>
          </w:p>
        </w:tc>
        <w:tc>
          <w:tcPr>
            <w:tcW w:w="280" w:type="dxa"/>
            <w:vAlign w:val="bottom"/>
          </w:tcPr>
          <w:p>
            <w:pPr>
              <w:spacing w:after="0"/>
              <w:rPr>
                <w:sz w:val="13"/>
                <w:szCs w:val="13"/>
                <w:color w:val="auto"/>
              </w:rPr>
            </w:pPr>
          </w:p>
        </w:tc>
        <w:tc>
          <w:tcPr>
            <w:tcW w:w="1200" w:type="dxa"/>
            <w:vAlign w:val="bottom"/>
          </w:tcPr>
          <w:p>
            <w:pPr>
              <w:jc w:val="center"/>
              <w:ind w:right="214"/>
              <w:spacing w:after="0" w:line="157" w:lineRule="exact"/>
              <w:rPr>
                <w:sz w:val="20"/>
                <w:szCs w:val="20"/>
                <w:color w:val="auto"/>
              </w:rPr>
            </w:pPr>
            <w:r>
              <w:rPr>
                <w:rFonts w:ascii="Arial" w:cs="Arial" w:eastAsia="Arial" w:hAnsi="Arial"/>
                <w:sz w:val="14"/>
                <w:szCs w:val="14"/>
                <w:color w:val="auto"/>
                <w:w w:val="88"/>
              </w:rPr>
              <w:t>January 1,</w:t>
            </w:r>
          </w:p>
        </w:tc>
      </w:tr>
      <w:tr>
        <w:trPr>
          <w:trHeight w:val="18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w w:val="89"/>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minimum pension liability,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cash flow hedges,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18,585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20,289</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19"/>
        </w:trPr>
        <w:tc>
          <w:tcPr>
            <w:tcW w:w="8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color w:val="auto"/>
              </w:rPr>
              <w:t>Nine Months Ended</w:t>
            </w:r>
          </w:p>
        </w:tc>
      </w:tr>
      <w:tr>
        <w:trPr>
          <w:trHeight w:val="156"/>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3"/>
              </w:rPr>
              <w:t>December 31,</w:t>
            </w:r>
          </w:p>
        </w:tc>
        <w:tc>
          <w:tcPr>
            <w:tcW w:w="280" w:type="dxa"/>
            <w:vAlign w:val="bottom"/>
          </w:tcPr>
          <w:p>
            <w:pPr>
              <w:spacing w:after="0"/>
              <w:rPr>
                <w:sz w:val="13"/>
                <w:szCs w:val="13"/>
                <w:color w:val="auto"/>
              </w:rPr>
            </w:pPr>
          </w:p>
        </w:tc>
        <w:tc>
          <w:tcPr>
            <w:tcW w:w="1200" w:type="dxa"/>
            <w:vAlign w:val="bottom"/>
          </w:tcPr>
          <w:p>
            <w:pPr>
              <w:jc w:val="center"/>
              <w:ind w:right="214"/>
              <w:spacing w:after="0" w:line="157" w:lineRule="exact"/>
              <w:rPr>
                <w:sz w:val="20"/>
                <w:szCs w:val="20"/>
                <w:color w:val="auto"/>
              </w:rPr>
            </w:pPr>
            <w:r>
              <w:rPr>
                <w:rFonts w:ascii="Arial" w:cs="Arial" w:eastAsia="Arial" w:hAnsi="Arial"/>
                <w:sz w:val="14"/>
                <w:szCs w:val="14"/>
                <w:color w:val="auto"/>
                <w:w w:val="88"/>
              </w:rPr>
              <w:t>January 1,</w:t>
            </w:r>
          </w:p>
        </w:tc>
      </w:tr>
      <w:tr>
        <w:trPr>
          <w:trHeight w:val="18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w w:val="89"/>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minimum pension liability,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2,889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cash flow hedges,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48,657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58,808</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color w:val="auto"/>
              </w:rPr>
              <w:t>December 31,</w:t>
            </w:r>
          </w:p>
        </w:tc>
        <w:tc>
          <w:tcPr>
            <w:tcW w:w="320" w:type="dxa"/>
            <w:vAlign w:val="bottom"/>
          </w:tcPr>
          <w:p>
            <w:pPr>
              <w:spacing w:after="0"/>
              <w:rPr>
                <w:sz w:val="14"/>
                <w:szCs w:val="14"/>
                <w:color w:val="auto"/>
              </w:rPr>
            </w:pPr>
          </w:p>
        </w:tc>
        <w:tc>
          <w:tcPr>
            <w:tcW w:w="1160" w:type="dxa"/>
            <w:vAlign w:val="bottom"/>
          </w:tcPr>
          <w:p>
            <w:pPr>
              <w:jc w:val="right"/>
              <w:ind w:right="456"/>
              <w:spacing w:after="0"/>
              <w:rPr>
                <w:sz w:val="20"/>
                <w:szCs w:val="20"/>
                <w:color w:val="auto"/>
              </w:rPr>
            </w:pPr>
            <w:r>
              <w:rPr>
                <w:rFonts w:ascii="Arial" w:cs="Arial" w:eastAsia="Arial" w:hAnsi="Arial"/>
                <w:sz w:val="14"/>
                <w:szCs w:val="14"/>
                <w:color w:val="auto"/>
              </w:rPr>
              <w:t>April 2,</w:t>
            </w:r>
          </w:p>
        </w:tc>
      </w:tr>
      <w:tr>
        <w:trPr>
          <w:trHeight w:val="18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40,321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26,404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4,352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53,631</w:t>
            </w:r>
          </w:p>
        </w:tc>
      </w:tr>
      <w:tr>
        <w:trPr>
          <w:trHeight w:val="237"/>
        </w:trPr>
        <w:tc>
          <w:tcPr>
            <w:tcW w:w="83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107,913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84,387</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FAIR VALUE MEASUREMENTS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manufacture, market and sell our products globally. For the nine months ended December 31, 2011, approximately 51% of our sales were generated outside the U.S. generally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December 31, 2011 and April 2, 2011 were cash flow hedges under ASC Topic 815,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w:t>
      </w:r>
      <w:r>
        <w:rPr>
          <w:rFonts w:ascii="Arial" w:cs="Arial" w:eastAsia="Arial" w:hAnsi="Arial"/>
          <w:sz w:val="18"/>
          <w:szCs w:val="18"/>
          <w:color w:val="auto"/>
        </w:rPr>
        <w:t>. We record the effective portion of any change in the fair value of designated foreign currency hedge contracts in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$158.0 million as of December 31, 2011 and $154.8 million as of April 2, 2011.</w:t>
      </w:r>
    </w:p>
    <w:p>
      <w:pPr>
        <w:spacing w:after="0" w:line="8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During the nine months ended December 31, 2011, we recognized net losses of $3.1 million in earnings on our cash flow hedges. For the nine months ended December 31, 2011, $0.4 million of losses, net of tax, were recorded in Accumulated Other Comprehensive Income to recognize the effective portion of the fair value of any designated foreign currency hedge contracts that are, or previously were, designated as foreign currency cash flow hedges, as compared to net losses of $3.1 million as of January 1, 2011. At December 31, 2011, losses of $0.4 million, net of tax, may be reclassified to earnings within the next twelve months. All currency cash flow hedges outstanding as of December 31, 2011 mature within twelve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$40.6 million as of December 31, 2011 and $45.9 million as of April 2,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 of income for the nine months ended December 31, 2011.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01"/>
              <w:spacing w:after="0"/>
              <w:rPr>
                <w:sz w:val="20"/>
                <w:szCs w:val="20"/>
                <w:color w:val="auto"/>
              </w:rPr>
            </w:pPr>
            <w:r>
              <w:rPr>
                <w:rFonts w:ascii="Arial" w:cs="Arial" w:eastAsia="Arial" w:hAnsi="Arial"/>
                <w:sz w:val="14"/>
                <w:szCs w:val="14"/>
                <w:color w:val="auto"/>
                <w:w w:val="96"/>
              </w:rPr>
              <w:t>Amount of Loss</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Amount of Loss</w:t>
            </w:r>
          </w:p>
        </w:tc>
        <w:tc>
          <w:tcPr>
            <w:tcW w:w="160" w:type="dxa"/>
            <w:vAlign w:val="bottom"/>
          </w:tcPr>
          <w:p>
            <w:pPr>
              <w:spacing w:after="0"/>
              <w:rPr>
                <w:sz w:val="12"/>
                <w:szCs w:val="12"/>
                <w:color w:val="auto"/>
              </w:rPr>
            </w:pPr>
          </w:p>
        </w:tc>
        <w:tc>
          <w:tcPr>
            <w:tcW w:w="132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2"/>
              </w:rPr>
              <w:t>Reclassified</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Arial" w:cs="Arial" w:eastAsia="Arial" w:hAnsi="Arial"/>
                <w:sz w:val="14"/>
                <w:szCs w:val="14"/>
                <w:color w:val="auto"/>
                <w:w w:val="94"/>
              </w:rPr>
              <w:t>Amount of loss</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Recognized</w:t>
            </w:r>
          </w:p>
        </w:tc>
        <w:tc>
          <w:tcPr>
            <w:tcW w:w="160" w:type="dxa"/>
            <w:vAlign w:val="bottom"/>
          </w:tcPr>
          <w:p>
            <w:pPr>
              <w:spacing w:after="0"/>
              <w:rPr>
                <w:sz w:val="12"/>
                <w:szCs w:val="12"/>
                <w:color w:val="auto"/>
              </w:rPr>
            </w:pPr>
          </w:p>
        </w:tc>
        <w:tc>
          <w:tcPr>
            <w:tcW w:w="13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9"/>
              </w:rPr>
              <w:t>from AOCI into</w:t>
            </w: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Location in</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Excluded from</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7"/>
              </w:rPr>
              <w:t>Location in</w:t>
            </w: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in AOCI</w:t>
            </w:r>
          </w:p>
        </w:tc>
        <w:tc>
          <w:tcPr>
            <w:tcW w:w="160" w:type="dxa"/>
            <w:vAlign w:val="bottom"/>
          </w:tcPr>
          <w:p>
            <w:pPr>
              <w:spacing w:after="0"/>
              <w:rPr>
                <w:sz w:val="12"/>
                <w:szCs w:val="12"/>
                <w:color w:val="auto"/>
              </w:rPr>
            </w:pPr>
          </w:p>
        </w:tc>
        <w:tc>
          <w:tcPr>
            <w:tcW w:w="13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4"/>
              </w:rPr>
              <w:t>Earnings</w:t>
            </w: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Statement of</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3"/>
              </w:rPr>
              <w:t>Effectiveness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0"/>
              </w:rPr>
              <w:t>Statement of</w:t>
            </w:r>
          </w:p>
        </w:tc>
      </w:tr>
      <w:tr>
        <w:trPr>
          <w:trHeight w:val="188"/>
        </w:trPr>
        <w:tc>
          <w:tcPr>
            <w:tcW w:w="310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(Effective Portion)</w:t>
            </w:r>
          </w:p>
        </w:tc>
        <w:tc>
          <w:tcPr>
            <w:tcW w:w="160" w:type="dxa"/>
            <w:vAlign w:val="bottom"/>
          </w:tcPr>
          <w:p>
            <w:pPr>
              <w:spacing w:after="0"/>
              <w:rPr>
                <w:sz w:val="16"/>
                <w:szCs w:val="16"/>
                <w:color w:val="auto"/>
              </w:rPr>
            </w:pPr>
          </w:p>
        </w:tc>
        <w:tc>
          <w:tcPr>
            <w:tcW w:w="1320" w:type="dxa"/>
            <w:vAlign w:val="bottom"/>
          </w:tcPr>
          <w:p>
            <w:pPr>
              <w:jc w:val="center"/>
              <w:ind w:right="81"/>
              <w:spacing w:after="0"/>
              <w:rPr>
                <w:sz w:val="20"/>
                <w:szCs w:val="20"/>
                <w:color w:val="auto"/>
              </w:rPr>
            </w:pPr>
            <w:r>
              <w:rPr>
                <w:rFonts w:ascii="Arial" w:cs="Arial" w:eastAsia="Arial" w:hAnsi="Arial"/>
                <w:sz w:val="14"/>
                <w:szCs w:val="14"/>
                <w:color w:val="auto"/>
                <w:w w:val="97"/>
              </w:rPr>
              <w:t>(Effective Portion)</w:t>
            </w: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Operations</w:t>
            </w:r>
          </w:p>
        </w:tc>
        <w:tc>
          <w:tcPr>
            <w:tcW w:w="220" w:type="dxa"/>
            <w:vAlign w:val="bottom"/>
          </w:tcPr>
          <w:p>
            <w:pPr>
              <w:spacing w:after="0"/>
              <w:rPr>
                <w:sz w:val="16"/>
                <w:szCs w:val="16"/>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color w:val="auto"/>
                <w:w w:val="95"/>
              </w:rPr>
              <w:t>Testing (*)</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Operations</w:t>
            </w:r>
          </w:p>
        </w:tc>
      </w:tr>
      <w:tr>
        <w:trPr>
          <w:trHeight w:val="250"/>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3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Net revenues, COGS, and</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net</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96"/>
              </w:rPr>
              <w:t>Non-designated foreign currency hedge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Other income</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(expense), net</w:t>
            </w: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We exclude the difference between the spot rate and hedge forward rate from our effectiveness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December 31, 2011 or April 2, 2011.</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31, 2011,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December 31, 2011 by type of contract and whether it is a qualifying hedge under ASC Topic 815.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Location in</w:t>
            </w: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Balance Sheet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As of December 31, 2011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As of April 2, 2011</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three and the nine months ended December 31, 2011,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14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We recognize all derivative financial instruments in our consolidated financial statements at fair value in accordance with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determine the fair value of these instruments using the framework prescribed by ASC Topic 820 by considering the estimated amount we would</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The fair value of our foreign currency hedge contracts is the estimated amount that the Company would receive or pay upon liquidation of the contracts, taking into account the change in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December 31, 2011: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Significant</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Quoted Market</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Prices for</w:t>
            </w: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Inputs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8"/>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1)</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(Level 2)</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(Level 3)</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174,570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174,570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3,828</w:t>
            </w:r>
          </w:p>
        </w:tc>
      </w:tr>
      <w:tr>
        <w:trPr>
          <w:trHeight w:val="237"/>
        </w:trPr>
        <w:tc>
          <w:tcPr>
            <w:tcW w:w="5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174,570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178,398</w:t>
            </w:r>
          </w:p>
        </w:tc>
      </w:tr>
      <w:tr>
        <w:trPr>
          <w:trHeight w:val="67"/>
        </w:trPr>
        <w:tc>
          <w:tcPr>
            <w:tcW w:w="51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3,131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Release of Neoteric contingent consideration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Under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established a liability for payments to former shareholders of Neoteric which were contingent on the performance of the Blood Track business in the first three years post acquisition, beginning with fiscal 2010. We have reviewed the expected performance versus the performance thresholds for payment. Because the expected performance thresholds will not be achieved, we recorded an adjustment to the fair value of the contingent consideration liability. This appears as contingent consideration income of $1.6 million in the accompanying consolidated statements of income.</w:t>
      </w:r>
    </w:p>
    <w:p>
      <w:pPr>
        <w:spacing w:after="0" w:line="8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September 2011, we entered into an agreement to release the Company from the contingent consideration due to the former shareholders of Neoteric. Under the terms of the agreement, the former shareholders of Neoteric received $0.7 million in exchange for releasing the Company from any future claims for contingent consideration. The Company paid the $0.7 million settlement amount during September 2011 and has recorded the associated expense in the selling, general and administrative line item in the accompanying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real estate mortgage obligation was $3.4 million and $4.1 million at December 31, 2011 and April 2, 2011,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reported tax rate was 28.3% and 28.0% for the three and nine month periods ended December 31, 2011, respectively. Our reported tax rate is lower than the federal statutory tax rate in both periods reported primarily due to lower foreign tax rates, including tax benefits associated with our Swiss operations.</w:t>
      </w:r>
    </w:p>
    <w:p>
      <w:pPr>
        <w:spacing w:after="0" w:line="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conduct business globally and, as a result, file consolidated federal, consolidated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6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the first quarter of fiscal 2012, we received customer complaints in Europe regarding a quality issue with our High Separation Core Bowl (“HS Core”), a plasma disposable product used primarily to collect plasma for transfusion. Certain of these customers also made subsequent claims regarding financial losses alleged to have been incurred as a result of this matter. As of October 1, 2011, we had determined that it was probable that we would compensate certain affected customers in order to resolve their claims. Our best estimate of the liability associated with this matter was $2.4 million, and we recorded that amount as an expense within selling, general and administrative expenses.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three months ended December 31, 2011, we continued to evaluate the submitted claims and ultimately determine their validity. Total aggregate claims submitted to date by customers relating to this issue are approximately $10.1 million. We do not expect any additional material claims from our customers. We believe our ultimate liability will be less than the total claims submitted to date. As of December 31, 2011, our current best estimate of the liability associated with this matter is $7.1 million. The increase compared to the prior quarter is due to enhanced information and legal analysis of the claims. We have also determined that at least $3.0 million of this liability is recoverable under our insurance policies and recorded a corresponding insurance receivable within current assets as of December 31, 2011. Receivables for insurance recoveries for product liability claims are recorded as assets, on an undiscounted basis, when it is probable that a recovery will be realized on a claim by claim basis. We have recorded $4.1 million of expenses, net of insurance recovery, within selling, general and administrative expenses for the nine months ended December 31, 2011.</w:t>
      </w:r>
    </w:p>
    <w:p>
      <w:pPr>
        <w:spacing w:after="0" w:line="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are also continuing to determine the extent to which the remaining $4.1 million may be recoverable under our insurance policies and will record additional insurance receivables when we determine that recoverability of these claims is probable.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117"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Our products include devices and the disposable single-use sterile kits used with these devices. Disposables include the plasma, blood center, and hospital product families. Plasma consists of the disposables used to perform apheresis for the separation of whole blood components and subsequent collection of plasma to be used as a raw material for biologically derived pharmaceuticals (also known as source plasma). Blood center consists of disposables which separate whole blood for the subsequent collection of platelets, plasma, red cells, or a combination of these components for transfusion to patients. Hospital consists of surgical disposables (principally 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Cell Saver Elite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blood recovery systems targeted to procedures that involve rapid, high volume blood loss such as cardiovascular surgeries and the cardioPAT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cardiovascular perioperative autotransfusion system designed to remain with the patient following cardiovascular surgery to recover blood and the patient’s red cells to prepare them for reinfusion), the OrthoPAT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orthopedic perioperative autotransfusion system designed to operate both during and after orthopedic surgery to recover and wash the patient’s red cells to prepare them for reinfusion, and diagnostics products (principally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Thrombelastograph</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hemostasis analyzer used to help assess a surgical patient’s blood clotting ability before, during and after surgery).</w:t>
      </w:r>
    </w:p>
    <w:p>
      <w:pPr>
        <w:spacing w:after="0" w:line="96" w:lineRule="exact"/>
        <w:rPr>
          <w:sz w:val="20"/>
          <w:szCs w:val="20"/>
          <w:color w:val="auto"/>
        </w:rPr>
      </w:pPr>
    </w:p>
    <w:p>
      <w:pPr>
        <w:ind w:right="240"/>
        <w:spacing w:after="0" w:line="216" w:lineRule="auto"/>
        <w:rPr>
          <w:sz w:val="20"/>
          <w:szCs w:val="20"/>
          <w:color w:val="auto"/>
        </w:rPr>
      </w:pPr>
      <w:r>
        <w:rPr>
          <w:rFonts w:ascii="Arial" w:cs="Arial" w:eastAsia="Arial" w:hAnsi="Arial"/>
          <w:sz w:val="17"/>
          <w:szCs w:val="17"/>
          <w:color w:val="auto"/>
        </w:rPr>
        <w:t>Disposable kits are marketed in our plasma, blood center, and hospital product businesses. Plasma disposables are used with our PCS</w:t>
      </w:r>
      <w:r>
        <w:rPr>
          <w:rFonts w:ascii="Arial" w:cs="Arial" w:eastAsia="Arial" w:hAnsi="Arial"/>
          <w:sz w:val="24"/>
          <w:szCs w:val="24"/>
          <w:color w:val="auto"/>
          <w:vertAlign w:val="superscript"/>
        </w:rPr>
        <w:t>®</w:t>
      </w:r>
      <w:r>
        <w:rPr>
          <w:rFonts w:ascii="Arial" w:cs="Arial" w:eastAsia="Arial" w:hAnsi="Arial"/>
          <w:sz w:val="17"/>
          <w:szCs w:val="17"/>
          <w:color w:val="auto"/>
        </w:rPr>
        <w:t>2 devices to perform apheresis for the collection of plasma to be used as a raw material for biologically derived pharmaceuticals (also known as source plasma). Blood center disposables are used with our MCS+ device to collect one or more blood components (principally platelets but also red cells and plasma) for transfusion to patients. The Hospital business consists of disposables used with our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cardioPAT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devices to recover red cells from blood lost in a surgical procedure so that these may be made available for reinfusion to the patient (“autotransfusion”). OrthoPAT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disposables are used for autotransfusion during and immediately following orthopedic surgeries. Diagnostics products principally reflect sales of diagnostic reagents and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Thrombelastograph</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hemostasis analyzer which profiles a patient’s blood clotting characteristics.</w:t>
      </w:r>
    </w:p>
    <w:p>
      <w:pPr>
        <w:spacing w:after="0" w:line="9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centers, plasma centers, and hospitals to more effectively manage regulatory compliance and operational efficiency.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External Customers: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3"/>
              </w:rPr>
              <w:t>December 31,</w:t>
            </w:r>
          </w:p>
        </w:tc>
        <w:tc>
          <w:tcPr>
            <w:tcW w:w="280" w:type="dxa"/>
            <w:vAlign w:val="bottom"/>
          </w:tcPr>
          <w:p>
            <w:pPr>
              <w:spacing w:after="0"/>
              <w:rPr>
                <w:sz w:val="13"/>
                <w:szCs w:val="13"/>
                <w:color w:val="auto"/>
              </w:rPr>
            </w:pPr>
          </w:p>
        </w:tc>
        <w:tc>
          <w:tcPr>
            <w:tcW w:w="1200" w:type="dxa"/>
            <w:vAlign w:val="bottom"/>
          </w:tcPr>
          <w:p>
            <w:pPr>
              <w:jc w:val="center"/>
              <w:ind w:right="213"/>
              <w:spacing w:after="0" w:line="157" w:lineRule="exact"/>
              <w:rPr>
                <w:sz w:val="20"/>
                <w:szCs w:val="20"/>
                <w:color w:val="auto"/>
              </w:rPr>
            </w:pPr>
            <w:r>
              <w:rPr>
                <w:rFonts w:ascii="Arial" w:cs="Arial" w:eastAsia="Arial" w:hAnsi="Arial"/>
                <w:sz w:val="14"/>
                <w:szCs w:val="14"/>
                <w:color w:val="auto"/>
                <w:w w:val="88"/>
              </w:rPr>
              <w:t>January 1,</w:t>
            </w: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Disposable revenues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4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69,040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59,814</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600"/>
              <w:spacing w:after="0"/>
              <w:rPr>
                <w:sz w:val="20"/>
                <w:szCs w:val="20"/>
                <w:color w:val="auto"/>
              </w:rPr>
            </w:pPr>
            <w:r>
              <w:rPr>
                <w:rFonts w:ascii="Arial" w:cs="Arial" w:eastAsia="Arial" w:hAnsi="Arial"/>
                <w:sz w:val="18"/>
                <w:szCs w:val="18"/>
                <w:color w:val="auto"/>
              </w:rPr>
              <w:t>Platelet</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44,383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41,056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Red cell</w:t>
            </w:r>
          </w:p>
        </w:tc>
        <w:tc>
          <w:tcPr>
            <w:tcW w:w="45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11,676</w:t>
            </w: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56,545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52,732</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Hospital disposables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600"/>
              <w:spacing w:after="0"/>
              <w:rPr>
                <w:sz w:val="20"/>
                <w:szCs w:val="20"/>
                <w:color w:val="auto"/>
              </w:rPr>
            </w:pPr>
            <w:r>
              <w:rPr>
                <w:rFonts w:ascii="Arial" w:cs="Arial" w:eastAsia="Arial" w:hAnsi="Arial"/>
                <w:sz w:val="18"/>
                <w:szCs w:val="18"/>
                <w:color w:val="auto"/>
              </w:rPr>
              <w:t>Surgical</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17,116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OrthoPAT</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43"/>
        </w:trPr>
        <w:tc>
          <w:tcPr>
            <w:tcW w:w="3800" w:type="dxa"/>
            <w:vAlign w:val="bottom"/>
          </w:tcPr>
          <w:p>
            <w:pPr>
              <w:ind w:left="600"/>
              <w:spacing w:after="0"/>
              <w:rPr>
                <w:sz w:val="20"/>
                <w:szCs w:val="20"/>
                <w:color w:val="auto"/>
              </w:rPr>
            </w:pPr>
            <w:r>
              <w:rPr>
                <w:rFonts w:ascii="Arial" w:cs="Arial" w:eastAsia="Arial" w:hAnsi="Arial"/>
                <w:sz w:val="18"/>
                <w:szCs w:val="18"/>
                <w:color w:val="auto"/>
              </w:rPr>
              <w:t>Diagnostics</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31,584</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Disposables revenue</w:t>
            </w:r>
          </w:p>
        </w:tc>
        <w:tc>
          <w:tcPr>
            <w:tcW w:w="45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156,354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144,130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Software solutions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Equipment &amp; other</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16,088</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4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191,160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176,789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38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3"/>
              </w:rPr>
              <w:t>December 31,</w:t>
            </w:r>
          </w:p>
        </w:tc>
        <w:tc>
          <w:tcPr>
            <w:tcW w:w="280" w:type="dxa"/>
            <w:vAlign w:val="bottom"/>
          </w:tcPr>
          <w:p>
            <w:pPr>
              <w:spacing w:after="0"/>
              <w:rPr>
                <w:sz w:val="13"/>
                <w:szCs w:val="13"/>
                <w:color w:val="auto"/>
              </w:rPr>
            </w:pPr>
          </w:p>
        </w:tc>
        <w:tc>
          <w:tcPr>
            <w:tcW w:w="1200" w:type="dxa"/>
            <w:vAlign w:val="bottom"/>
          </w:tcPr>
          <w:p>
            <w:pPr>
              <w:jc w:val="center"/>
              <w:ind w:right="213"/>
              <w:spacing w:after="0" w:line="157" w:lineRule="exact"/>
              <w:rPr>
                <w:sz w:val="20"/>
                <w:szCs w:val="20"/>
                <w:color w:val="auto"/>
              </w:rPr>
            </w:pPr>
            <w:r>
              <w:rPr>
                <w:rFonts w:ascii="Arial" w:cs="Arial" w:eastAsia="Arial" w:hAnsi="Arial"/>
                <w:sz w:val="14"/>
                <w:szCs w:val="14"/>
                <w:color w:val="auto"/>
                <w:w w:val="88"/>
              </w:rPr>
              <w:t>January 1,</w:t>
            </w: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Disposable revenues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4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196,206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172,245</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Platelet</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123,888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117,120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45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34,284</w:t>
            </w: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159,564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151,404</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Hospital disposables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Surgical</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49,281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49,479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OrthoPAT</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26,486</w:t>
            </w:r>
          </w:p>
        </w:tc>
        <w:tc>
          <w:tcPr>
            <w:tcW w:w="0" w:type="dxa"/>
            <w:vAlign w:val="bottom"/>
          </w:tcPr>
          <w:p>
            <w:pPr>
              <w:spacing w:after="0"/>
              <w:rPr>
                <w:sz w:val="1"/>
                <w:szCs w:val="1"/>
                <w:color w:val="auto"/>
              </w:rPr>
            </w:pPr>
          </w:p>
        </w:tc>
      </w:tr>
      <w:tr>
        <w:trPr>
          <w:trHeight w:val="243"/>
        </w:trPr>
        <w:tc>
          <w:tcPr>
            <w:tcW w:w="3800" w:type="dxa"/>
            <w:vAlign w:val="bottom"/>
          </w:tcPr>
          <w:p>
            <w:pPr>
              <w:ind w:left="380"/>
              <w:spacing w:after="0"/>
              <w:rPr>
                <w:sz w:val="20"/>
                <w:szCs w:val="20"/>
                <w:color w:val="auto"/>
              </w:rPr>
            </w:pPr>
            <w:r>
              <w:rPr>
                <w:rFonts w:ascii="Arial" w:cs="Arial" w:eastAsia="Arial" w:hAnsi="Arial"/>
                <w:sz w:val="18"/>
                <w:szCs w:val="18"/>
                <w:color w:val="auto"/>
              </w:rPr>
              <w:t>Diagnostics</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16,955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14,575</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89,040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90,540</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Disposables revenue</w:t>
            </w:r>
          </w:p>
        </w:tc>
        <w:tc>
          <w:tcPr>
            <w:tcW w:w="45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444,810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414,189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Software solutions</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49,155</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Equipment &amp; other</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45,156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43,317</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4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541,174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506,661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0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During the nine months ended December 31, 2011, the Company’s restructuring activities primarily consist of reorganization within our research and development, manufacturing and software operations. Employee-related costs primarily consist of employee severance and benefits. Facility-related costs primarily consist of charges associated with closing facilities, related lease obligations, and other related costs.</w:t>
      </w:r>
    </w:p>
    <w:p>
      <w:pPr>
        <w:spacing w:after="0" w:line="5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the nine months ended December 31, 2011, the Company incurred $4.9 million of restructuring charges. Restructuring expenses have been primarily included as a component of selling, general and administrative expense in the accompanying statements of income. We anticipate that the Company will incur approximately $1 to $2 million in additional restructuring charges related to these initiatives over the remaining three months of fiscal 2012.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nine months ended December 31, 2011 and January 1, 2011,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color w:val="auto"/>
                <w:w w:val="92"/>
              </w:rPr>
              <w:t>Nine Months Ended December 31, 2011</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37"/>
              <w:spacing w:after="0" w:line="157" w:lineRule="exact"/>
              <w:rPr>
                <w:sz w:val="20"/>
                <w:szCs w:val="20"/>
                <w:color w:val="auto"/>
              </w:rPr>
            </w:pPr>
            <w:r>
              <w:rPr>
                <w:rFonts w:ascii="Arial" w:cs="Arial" w:eastAsia="Arial" w:hAnsi="Arial"/>
                <w:sz w:val="14"/>
                <w:szCs w:val="14"/>
                <w:color w:val="auto"/>
                <w:w w:val="94"/>
              </w:rPr>
              <w:t>Restructuring Accrual</w:t>
            </w:r>
          </w:p>
        </w:tc>
      </w:tr>
      <w:tr>
        <w:trPr>
          <w:trHeight w:val="149"/>
        </w:trPr>
        <w:tc>
          <w:tcPr>
            <w:tcW w:w="4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2"/>
              </w:rPr>
              <w:t>Balance at December 31,</w:t>
            </w:r>
          </w:p>
        </w:tc>
      </w:tr>
      <w:tr>
        <w:trPr>
          <w:trHeight w:val="188"/>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gridSpan w:val="3"/>
          </w:tcPr>
          <w:p>
            <w:pPr>
              <w:ind w:left="60"/>
              <w:spacing w:after="0"/>
              <w:rPr>
                <w:sz w:val="20"/>
                <w:szCs w:val="20"/>
                <w:color w:val="auto"/>
              </w:rPr>
            </w:pPr>
            <w:r>
              <w:rPr>
                <w:rFonts w:ascii="Arial" w:cs="Arial" w:eastAsia="Arial" w:hAnsi="Arial"/>
                <w:sz w:val="14"/>
                <w:szCs w:val="14"/>
                <w:color w:val="auto"/>
              </w:rPr>
              <w:t>Balance at April 2, 2011</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Cost Incurred</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color w:val="auto"/>
              </w:rPr>
              <w:t>Payments</w:t>
            </w:r>
          </w:p>
        </w:tc>
        <w:tc>
          <w:tcPr>
            <w:tcW w:w="120" w:type="dxa"/>
            <w:vAlign w:val="bottom"/>
          </w:tcPr>
          <w:p>
            <w:pPr>
              <w:spacing w:after="0"/>
              <w:rPr>
                <w:sz w:val="16"/>
                <w:szCs w:val="16"/>
                <w:color w:val="auto"/>
              </w:rPr>
            </w:pPr>
          </w:p>
        </w:tc>
        <w:tc>
          <w:tcPr>
            <w:tcW w:w="1580" w:type="dxa"/>
            <w:vAlign w:val="bottom"/>
          </w:tcPr>
          <w:p>
            <w:pPr>
              <w:jc w:val="center"/>
              <w:ind w:right="37"/>
              <w:spacing w:after="0"/>
              <w:rPr>
                <w:sz w:val="20"/>
                <w:szCs w:val="20"/>
                <w:color w:val="auto"/>
              </w:rPr>
            </w:pPr>
            <w:r>
              <w:rPr>
                <w:rFonts w:ascii="Arial" w:cs="Arial" w:eastAsia="Arial" w:hAnsi="Arial"/>
                <w:sz w:val="14"/>
                <w:szCs w:val="14"/>
                <w:color w:val="auto"/>
                <w:w w:val="96"/>
              </w:rPr>
              <w:t>2011</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560" w:type="dxa"/>
            <w:vAlign w:val="bottom"/>
            <w:tcBorders>
              <w:top w:val="single" w:sz="8" w:color="auto"/>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2,615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Facility-related costs</w:t>
            </w:r>
          </w:p>
        </w:tc>
        <w:tc>
          <w:tcPr>
            <w:tcW w:w="5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747</w:t>
            </w:r>
          </w:p>
        </w:tc>
      </w:tr>
      <w:tr>
        <w:trPr>
          <w:trHeight w:val="27"/>
        </w:trPr>
        <w:tc>
          <w:tcPr>
            <w:tcW w:w="4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9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color w:val="auto"/>
                <w:w w:val="92"/>
              </w:rPr>
              <w:t>Nine Months Ended January 1, 2011</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37"/>
              <w:spacing w:after="0" w:line="157" w:lineRule="exact"/>
              <w:rPr>
                <w:sz w:val="20"/>
                <w:szCs w:val="20"/>
                <w:color w:val="auto"/>
              </w:rPr>
            </w:pPr>
            <w:r>
              <w:rPr>
                <w:rFonts w:ascii="Arial" w:cs="Arial" w:eastAsia="Arial" w:hAnsi="Arial"/>
                <w:sz w:val="14"/>
                <w:szCs w:val="14"/>
                <w:color w:val="auto"/>
                <w:w w:val="94"/>
              </w:rPr>
              <w:t>Restructuring Accrual</w:t>
            </w:r>
          </w:p>
        </w:tc>
      </w:tr>
      <w:tr>
        <w:trPr>
          <w:trHeight w:val="188"/>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gridSpan w:val="3"/>
          </w:tcPr>
          <w:p>
            <w:pPr>
              <w:ind w:left="60"/>
              <w:spacing w:after="0"/>
              <w:rPr>
                <w:sz w:val="20"/>
                <w:szCs w:val="20"/>
                <w:color w:val="auto"/>
              </w:rPr>
            </w:pPr>
            <w:r>
              <w:rPr>
                <w:rFonts w:ascii="Arial" w:cs="Arial" w:eastAsia="Arial" w:hAnsi="Arial"/>
                <w:sz w:val="14"/>
                <w:szCs w:val="14"/>
                <w:color w:val="auto"/>
              </w:rPr>
              <w:t>Balance at April 3, 2010</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Cost Incurred</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color w:val="auto"/>
              </w:rPr>
              <w:t>Payments</w:t>
            </w:r>
          </w:p>
        </w:tc>
        <w:tc>
          <w:tcPr>
            <w:tcW w:w="1700" w:type="dxa"/>
            <w:vAlign w:val="bottom"/>
            <w:gridSpan w:val="2"/>
          </w:tcPr>
          <w:p>
            <w:pPr>
              <w:jc w:val="center"/>
              <w:spacing w:after="0"/>
              <w:rPr>
                <w:sz w:val="20"/>
                <w:szCs w:val="20"/>
                <w:color w:val="auto"/>
              </w:rPr>
            </w:pPr>
            <w:r>
              <w:rPr>
                <w:rFonts w:ascii="Arial" w:cs="Arial" w:eastAsia="Arial" w:hAnsi="Arial"/>
                <w:sz w:val="14"/>
                <w:szCs w:val="14"/>
                <w:color w:val="auto"/>
                <w:w w:val="90"/>
              </w:rPr>
              <w:t>Balance at January 1, 2011</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560" w:type="dxa"/>
            <w:vAlign w:val="bottom"/>
            <w:tcBorders>
              <w:top w:val="single" w:sz="8" w:color="auto"/>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4,319</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Facility-related costs</w:t>
            </w:r>
          </w:p>
        </w:tc>
        <w:tc>
          <w:tcPr>
            <w:tcW w:w="5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843</w:t>
            </w:r>
          </w:p>
        </w:tc>
      </w:tr>
      <w:tr>
        <w:trPr>
          <w:trHeight w:val="27"/>
        </w:trPr>
        <w:tc>
          <w:tcPr>
            <w:tcW w:w="4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5,162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CAPITALIZATION OF SOFTWARE DEVELOPMENT COSTS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the Company applies the provisions of ASC Topic 985-20, </w:t>
      </w:r>
      <w:r>
        <w:rPr>
          <w:rFonts w:ascii="Arial" w:cs="Arial" w:eastAsia="Arial" w:hAnsi="Arial"/>
          <w:sz w:val="17"/>
          <w:szCs w:val="17"/>
          <w:i w:val="1"/>
          <w:iCs w:val="1"/>
          <w:color w:val="auto"/>
        </w:rPr>
        <w:t>Software - Costs of Software to be Sold, Leased or Marketed</w:t>
      </w:r>
      <w:r>
        <w:rPr>
          <w:rFonts w:ascii="Arial" w:cs="Arial" w:eastAsia="Arial" w:hAnsi="Arial"/>
          <w:sz w:val="17"/>
          <w:szCs w:val="17"/>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6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capitalized $4.4 million and $5.2 million in software development costs for ongoing initiatives during the nine month periods ended December 31, 2011 and January 1, 2011, respectively. At December 31, 2011 and April 2, 2011, we have a total of $13.8 million and $13.4 million, respectively, of costs capitalized related to in process software development initiatives. During the first quarter of fiscal 2012, $4.1 million of capitalized costs related to one project were placed into service. The costs capitalized for each project are included in intangible assets in the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2011 Annual Report on Form 10-K filed with the Securities and Exchange Commission (the “SEC”) on May 26, 2011. The following discussion may contain forward-looking statements and should be read in conjunction with the “</w:t>
      </w:r>
      <w:r>
        <w:rPr>
          <w:rFonts w:ascii="Arial" w:cs="Arial" w:eastAsia="Arial" w:hAnsi="Arial"/>
          <w:sz w:val="17"/>
          <w:szCs w:val="17"/>
          <w:b w:val="1"/>
          <w:bCs w:val="1"/>
          <w:color w:val="auto"/>
        </w:rPr>
        <w:t>Cautionary Statement Regarding Forward-Looking Information</w:t>
      </w:r>
      <w:r>
        <w:rPr>
          <w:rFonts w:ascii="Arial" w:cs="Arial" w:eastAsia="Arial" w:hAnsi="Arial"/>
          <w:sz w:val="17"/>
          <w:szCs w:val="17"/>
          <w:color w:val="auto"/>
        </w:rPr>
        <w:t>” beginning on page 26.</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Haemonetics is a blood management solutions company. Anchored by our medical device systems, we also provide information technology platforms and value added services to provide customers with business solutions which support improved clinical outcomes for patients and efficiency in the blood supply chain.</w:t>
      </w:r>
    </w:p>
    <w:p>
      <w:pPr>
        <w:spacing w:after="0" w:line="7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medical device systems automate the collection and processing of donated blood, assess likelihood for blood loss, salvage and process blood from surgery patients, and dispense and track blood inventory in the hospital. These systems include devices and single-use, proprietary disposable sets (“disposables”) that operate only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w:t>
      </w:r>
    </w:p>
    <w:p>
      <w:pPr>
        <w:spacing w:after="0" w:line="5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business services products include blood management, Six Sigma, and LEAN manufacturing consulting, which support our customers’ needs for regulatory compliance and operational efficiency in the blood supply chain.</w:t>
      </w:r>
    </w:p>
    <w:p>
      <w:pPr>
        <w:spacing w:after="0" w:line="6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disposables revenue stream, which includes the sales of disposables and fees for the use of our equipment, accounted for approximately 82.2% and 81.7% of our total revenues for the nine months ended December 31, 2011 and January 1, 2011,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ind w:left="620"/>
              <w:spacing w:after="0"/>
              <w:rPr>
                <w:sz w:val="20"/>
                <w:szCs w:val="20"/>
                <w:color w:val="auto"/>
              </w:rPr>
            </w:pPr>
            <w:r>
              <w:rPr>
                <w:rFonts w:ascii="Arial" w:cs="Arial" w:eastAsia="Arial" w:hAnsi="Arial"/>
                <w:sz w:val="16"/>
                <w:szCs w:val="16"/>
                <w:color w:val="auto"/>
              </w:rPr>
              <w:t>Three Months Ended</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4"/>
          </w:tcPr>
          <w:p>
            <w:pPr>
              <w:ind w:left="640"/>
              <w:spacing w:after="0"/>
              <w:rPr>
                <w:sz w:val="20"/>
                <w:szCs w:val="20"/>
                <w:color w:val="auto"/>
              </w:rPr>
            </w:pPr>
            <w:r>
              <w:rPr>
                <w:rFonts w:ascii="Arial" w:cs="Arial" w:eastAsia="Arial" w:hAnsi="Arial"/>
                <w:sz w:val="16"/>
                <w:szCs w:val="16"/>
                <w:color w:val="auto"/>
              </w:rPr>
              <w:t>Nine Months Ended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252"/>
              <w:spacing w:after="0"/>
              <w:rPr>
                <w:sz w:val="20"/>
                <w:szCs w:val="20"/>
                <w:color w:val="auto"/>
              </w:rPr>
            </w:pPr>
            <w:r>
              <w:rPr>
                <w:rFonts w:ascii="Arial" w:cs="Arial" w:eastAsia="Arial" w:hAnsi="Arial"/>
                <w:sz w:val="16"/>
                <w:szCs w:val="16"/>
                <w:color w:val="auto"/>
                <w:w w:val="93"/>
              </w:rPr>
              <w:t>December 31,</w:t>
            </w:r>
          </w:p>
        </w:tc>
        <w:tc>
          <w:tcPr>
            <w:tcW w:w="2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January 1,</w:t>
            </w:r>
          </w:p>
        </w:tc>
        <w:tc>
          <w:tcPr>
            <w:tcW w:w="1400" w:type="dxa"/>
            <w:vAlign w:val="bottom"/>
            <w:vMerge w:val="restart"/>
          </w:tcPr>
          <w:p>
            <w:pPr>
              <w:jc w:val="right"/>
              <w:ind w:right="273"/>
              <w:spacing w:after="0"/>
              <w:rPr>
                <w:sz w:val="20"/>
                <w:szCs w:val="20"/>
                <w:color w:val="auto"/>
              </w:rPr>
            </w:pPr>
            <w:r>
              <w:rPr>
                <w:rFonts w:ascii="Arial" w:cs="Arial" w:eastAsia="Arial" w:hAnsi="Arial"/>
                <w:sz w:val="14"/>
                <w:szCs w:val="14"/>
                <w:color w:val="auto"/>
              </w:rPr>
              <w:t>% Increase/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32"/>
              <w:spacing w:after="0"/>
              <w:rPr>
                <w:sz w:val="20"/>
                <w:szCs w:val="20"/>
                <w:color w:val="auto"/>
              </w:rPr>
            </w:pPr>
            <w:r>
              <w:rPr>
                <w:rFonts w:ascii="Arial" w:cs="Arial" w:eastAsia="Arial" w:hAnsi="Arial"/>
                <w:sz w:val="16"/>
                <w:szCs w:val="16"/>
                <w:color w:val="auto"/>
                <w:w w:val="93"/>
              </w:rPr>
              <w:t>December 31,</w:t>
            </w:r>
          </w:p>
        </w:tc>
        <w:tc>
          <w:tcPr>
            <w:tcW w:w="3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January 1,</w:t>
            </w:r>
          </w:p>
        </w:tc>
        <w:tc>
          <w:tcPr>
            <w:tcW w:w="1420" w:type="dxa"/>
            <w:vAlign w:val="bottom"/>
            <w:vMerge w:val="restart"/>
          </w:tcPr>
          <w:p>
            <w:pPr>
              <w:jc w:val="right"/>
              <w:ind w:right="293"/>
              <w:spacing w:after="0"/>
              <w:rPr>
                <w:sz w:val="20"/>
                <w:szCs w:val="20"/>
                <w:color w:val="auto"/>
              </w:rPr>
            </w:pPr>
            <w:r>
              <w:rPr>
                <w:rFonts w:ascii="Arial" w:cs="Arial" w:eastAsia="Arial" w:hAnsi="Arial"/>
                <w:sz w:val="14"/>
                <w:szCs w:val="14"/>
                <w:color w:val="auto"/>
              </w:rPr>
              <w:t>% Increase/</w:t>
            </w:r>
          </w:p>
        </w:tc>
        <w:tc>
          <w:tcPr>
            <w:tcW w:w="0" w:type="dxa"/>
            <w:vAlign w:val="bottom"/>
          </w:tcPr>
          <w:p>
            <w:pPr>
              <w:spacing w:after="0"/>
              <w:rPr>
                <w:sz w:val="1"/>
                <w:szCs w:val="1"/>
                <w:color w:val="auto"/>
              </w:rPr>
            </w:pPr>
          </w:p>
        </w:tc>
      </w:tr>
      <w:tr>
        <w:trPr>
          <w:trHeight w:val="45"/>
        </w:trPr>
        <w:tc>
          <w:tcPr>
            <w:tcW w:w="2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right"/>
              <w:ind w:right="512"/>
              <w:spacing w:after="0"/>
              <w:rPr>
                <w:sz w:val="20"/>
                <w:szCs w:val="20"/>
                <w:color w:val="auto"/>
              </w:rPr>
            </w:pPr>
            <w:r>
              <w:rPr>
                <w:rFonts w:ascii="Arial" w:cs="Arial" w:eastAsia="Arial" w:hAnsi="Arial"/>
                <w:sz w:val="16"/>
                <w:szCs w:val="16"/>
                <w:color w:val="auto"/>
              </w:rPr>
              <w:t>2011</w:t>
            </w:r>
          </w:p>
        </w:tc>
        <w:tc>
          <w:tcPr>
            <w:tcW w:w="280" w:type="dxa"/>
            <w:vAlign w:val="bottom"/>
          </w:tcPr>
          <w:p>
            <w:pPr>
              <w:spacing w:after="0"/>
              <w:rPr>
                <w:sz w:val="3"/>
                <w:szCs w:val="3"/>
                <w:color w:val="auto"/>
              </w:rPr>
            </w:pPr>
          </w:p>
        </w:tc>
        <w:tc>
          <w:tcPr>
            <w:tcW w:w="1160" w:type="dxa"/>
            <w:vAlign w:val="bottom"/>
            <w:vMerge w:val="restart"/>
          </w:tcPr>
          <w:p>
            <w:pPr>
              <w:jc w:val="right"/>
              <w:ind w:right="451"/>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restart"/>
          </w:tcPr>
          <w:p>
            <w:pPr>
              <w:jc w:val="right"/>
              <w:ind w:right="512"/>
              <w:spacing w:after="0"/>
              <w:rPr>
                <w:sz w:val="20"/>
                <w:szCs w:val="20"/>
                <w:color w:val="auto"/>
              </w:rPr>
            </w:pPr>
            <w:r>
              <w:rPr>
                <w:rFonts w:ascii="Arial" w:cs="Arial" w:eastAsia="Arial" w:hAnsi="Arial"/>
                <w:sz w:val="16"/>
                <w:szCs w:val="16"/>
                <w:color w:val="auto"/>
              </w:rPr>
              <w:t>2011</w:t>
            </w:r>
          </w:p>
        </w:tc>
        <w:tc>
          <w:tcPr>
            <w:tcW w:w="300" w:type="dxa"/>
            <w:vAlign w:val="bottom"/>
          </w:tcPr>
          <w:p>
            <w:pPr>
              <w:spacing w:after="0"/>
              <w:rPr>
                <w:sz w:val="3"/>
                <w:szCs w:val="3"/>
                <w:color w:val="auto"/>
              </w:rPr>
            </w:pPr>
          </w:p>
        </w:tc>
        <w:tc>
          <w:tcPr>
            <w:tcW w:w="1160" w:type="dxa"/>
            <w:vAlign w:val="bottom"/>
            <w:vMerge w:val="restart"/>
          </w:tcPr>
          <w:p>
            <w:pPr>
              <w:jc w:val="right"/>
              <w:ind w:right="451"/>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191,160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176,789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541,174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506,661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95,931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93,490</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2.6 %</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274,629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267,708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50.2%</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50.7%</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70,608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64,931</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8.7 %</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206,831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186,055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25,323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28,559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67,798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81,653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i w:val="1"/>
                <w:iCs w:val="1"/>
                <w:color w:val="auto"/>
              </w:rPr>
              <w:t>13.2%</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16.2%</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12.5%</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16.1%</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370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25,463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27,974</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68,168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81,509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7,211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8,240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19,088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22,517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i w:val="1"/>
                <w:iCs w:val="1"/>
                <w:color w:val="auto"/>
              </w:rPr>
              <w:t>28.3%</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29.5%</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28.0%</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27.6%</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18,252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19,734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49,080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58,992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i w:val="1"/>
                <w:iCs w:val="1"/>
                <w:color w:val="auto"/>
              </w:rPr>
              <w:t>9.5%</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11.2%</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9.1%</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11.6%</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0.72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revenues increased 8.1% and 6.8% for the three and nine months ended December 31, 2011, respectively, as compared to the same periods of fiscal 2011. Without the effects of foreign exchange, net revenues increased 7.1% and 4.8% for the three and nine months ended December 31, 2011, respectively, as compared to the same periods of fiscal 2011. This increase reflects strong revenue growth from our plasma, blood center and diagnostics businesses and increased equipment sales, offset by declines in our hospital businesses primarily due to a recall of certain of our OrthoPAT devices.</w:t>
      </w:r>
    </w:p>
    <w:p>
      <w:pPr>
        <w:spacing w:after="0" w:line="4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Gross profit amounts increased 2.6% for the three and nine months ended December 31, 2011, respectively, as compared to the same periods of fiscal 2011. Without the effects of foreign exchange, gross profit was effectively unchanged for the three and nine months ended December 31, 2011, respectively, as compared to the same periods of fiscal 2011. Our gross profit margin decreased by 210 basis points for the nine months ended December 31, 2011 as compared to the same period of fiscal 2011. The decrease was primarily due to increased product quality costs and lower overall margin associated with lower sales of higher-margin hospital products and higher sales of lower-margin plasma disposables.</w:t>
      </w:r>
    </w:p>
    <w:p>
      <w:pPr>
        <w:spacing w:after="0" w:line="6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Operating expenses increased 8.7% and 11.2% for the three and nine months ended December 31, 2011, respectively, as compared to the same periods of fiscal 2011. Without the effects of foreign exchange, operating expenses increased 9.5% and 7.2% for the three and nine months ended December 31, 2011, respectively, as compared to the same periods of fiscal 2011. Higher operating expenses include $4.1 million of expenses, net of insurance recovery, associated with European customer claims arising from a quality matter with our High Separation Core Bowl ("HS Core"), increased restructuring costs and increased investment in research and development and sales and marketing.</w:t>
      </w:r>
    </w:p>
    <w:p>
      <w:pPr>
        <w:spacing w:after="0" w:line="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Operating income decreased 11.3% and 17.0% for the three and nine months ended December 31, 2011, respectively, as compared to the same periods of fiscal 2011. Without the effects of foreign exchange, operating income decreased 21.5% and 16.9% for the three and nine months ended December 31, 2011, respectively, as compared to the same periods of fiscal 2011 as increases in operating expenses more than offset gross profit associated with revenue growth due to higher costs of quality, relatively higher sales of our lower margin products and expenses associated with European customer claims arising from a quality matter with HS Core.</w:t>
      </w:r>
    </w:p>
    <w:p>
      <w:pPr>
        <w:spacing w:after="0" w:line="8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Net income decreased 7.5% and 16.8% for the three and nine months ended December 31, 2011, respectively, as compared to the same periods of fiscal 2011. Without the effects of foreign exchange, net income decreased 18.5% and 16.8% for the three and nine months ended December 31, 2011, respectively, as compared to the same periods of fiscal 2011. The decrease in net income was attributable to the decline in operating income described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3"/>
                <w:szCs w:val="13"/>
                <w:color w:val="auto"/>
              </w:rPr>
            </w:pPr>
          </w:p>
        </w:tc>
        <w:tc>
          <w:tcPr>
            <w:tcW w:w="122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January 1,</w:t>
            </w:r>
          </w:p>
        </w:tc>
        <w:tc>
          <w:tcPr>
            <w:tcW w:w="154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 Increase/</w:t>
            </w:r>
          </w:p>
        </w:tc>
        <w:tc>
          <w:tcPr>
            <w:tcW w:w="200" w:type="dxa"/>
            <w:vAlign w:val="bottom"/>
          </w:tcPr>
          <w:p>
            <w:pPr>
              <w:spacing w:after="0"/>
              <w:rPr>
                <w:sz w:val="13"/>
                <w:szCs w:val="13"/>
                <w:color w:val="auto"/>
              </w:rPr>
            </w:pPr>
          </w:p>
        </w:tc>
        <w:tc>
          <w:tcPr>
            <w:tcW w:w="12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3"/>
                <w:szCs w:val="13"/>
                <w:color w:val="auto"/>
              </w:rPr>
            </w:pPr>
          </w:p>
        </w:tc>
        <w:tc>
          <w:tcPr>
            <w:tcW w:w="122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January 1,</w:t>
            </w:r>
          </w:p>
        </w:tc>
        <w:tc>
          <w:tcPr>
            <w:tcW w:w="1440" w:type="dxa"/>
            <w:vAlign w:val="bottom"/>
          </w:tcPr>
          <w:p>
            <w:pPr>
              <w:jc w:val="right"/>
              <w:ind w:right="297"/>
              <w:spacing w:after="0" w:line="157" w:lineRule="exact"/>
              <w:rPr>
                <w:sz w:val="20"/>
                <w:szCs w:val="20"/>
                <w:color w:val="auto"/>
              </w:rPr>
            </w:pPr>
            <w:r>
              <w:rPr>
                <w:rFonts w:ascii="Arial" w:cs="Arial" w:eastAsia="Arial" w:hAnsi="Arial"/>
                <w:sz w:val="14"/>
                <w:szCs w:val="14"/>
                <w:color w:val="auto"/>
              </w:rPr>
              <w:t>% Increase/</w:t>
            </w:r>
          </w:p>
        </w:tc>
      </w:tr>
      <w:tr>
        <w:trPr>
          <w:trHeight w:val="188"/>
        </w:trPr>
        <w:tc>
          <w:tcPr>
            <w:tcW w:w="25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(Decrease)</w:t>
            </w:r>
          </w:p>
        </w:tc>
        <w:tc>
          <w:tcPr>
            <w:tcW w:w="20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440" w:type="dxa"/>
            <w:vAlign w:val="bottom"/>
          </w:tcPr>
          <w:p>
            <w:pPr>
              <w:jc w:val="right"/>
              <w:ind w:right="317"/>
              <w:spacing w:after="0"/>
              <w:rPr>
                <w:sz w:val="20"/>
                <w:szCs w:val="20"/>
                <w:color w:val="auto"/>
              </w:rPr>
            </w:pPr>
            <w:r>
              <w:rPr>
                <w:rFonts w:ascii="Arial" w:cs="Arial" w:eastAsia="Arial" w:hAnsi="Arial"/>
                <w:sz w:val="14"/>
                <w:szCs w:val="14"/>
                <w:color w:val="auto"/>
              </w:rPr>
              <w:t>(Decrease)</w:t>
            </w:r>
          </w:p>
        </w:tc>
      </w:tr>
      <w:tr>
        <w:trPr>
          <w:trHeight w:val="250"/>
        </w:trPr>
        <w:tc>
          <w:tcPr>
            <w:tcW w:w="2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264,857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99,037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96,945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276,317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268,769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191,160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176,789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541,174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506,661</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80 countries around the world through a combination of our direct sales force and independent distributors and agents.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revenues generated outside the U.S. approximated 51% and 53% of total net revenues for the nine months ended December 31, 2011 and January 1, 2011, respectively. Revenues in Japan accounted for approximately 16.6% and 16.3% of total net revenues for the nine months ended December 31, 2011 and January 1, 2011, respectively. International sales are generally conducted in local currencies, primarily the Japanese Yen and the Euro. As discussed above, our results of operations are impacted by changes in the value of the Yen and the Euro relative to the U.S. Dollar.</w:t>
      </w:r>
    </w:p>
    <w:p>
      <w:pPr>
        <w:spacing w:after="0" w:line="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 by Product Type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color w:val="auto"/>
              </w:rPr>
              <w:t>Three Months Ended</w:t>
            </w:r>
          </w:p>
        </w:tc>
        <w:tc>
          <w:tcPr>
            <w:tcW w:w="12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color w:val="auto"/>
              </w:rPr>
              <w:t>Nine Months Ended</w:t>
            </w:r>
          </w:p>
        </w:tc>
        <w:tc>
          <w:tcPr>
            <w:tcW w:w="100" w:type="dxa"/>
            <w:vAlign w:val="bottom"/>
            <w:gridSpan w:val="2"/>
          </w:tcPr>
          <w:p>
            <w:pPr>
              <w:spacing w:after="0"/>
              <w:rPr>
                <w:sz w:val="16"/>
                <w:szCs w:val="16"/>
                <w:color w:val="auto"/>
              </w:rPr>
            </w:pPr>
          </w:p>
        </w:tc>
        <w:tc>
          <w:tcPr>
            <w:tcW w:w="1420" w:type="dxa"/>
            <w:vAlign w:val="bottom"/>
          </w:tcPr>
          <w:p>
            <w:pPr>
              <w:spacing w:after="0"/>
              <w:rPr>
                <w:sz w:val="16"/>
                <w:szCs w:val="16"/>
                <w:color w:val="auto"/>
              </w:rPr>
            </w:pPr>
          </w:p>
        </w:tc>
      </w:tr>
      <w:tr>
        <w:trPr>
          <w:trHeight w:val="156"/>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0"/>
              </w:rPr>
              <w:t>December 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tcPr>
          <w:p>
            <w:pPr>
              <w:jc w:val="center"/>
              <w:ind w:right="360"/>
              <w:spacing w:after="0" w:line="157" w:lineRule="exact"/>
              <w:rPr>
                <w:sz w:val="20"/>
                <w:szCs w:val="20"/>
                <w:color w:val="auto"/>
              </w:rPr>
            </w:pPr>
            <w:r>
              <w:rPr>
                <w:rFonts w:ascii="Arial" w:cs="Arial" w:eastAsia="Arial" w:hAnsi="Arial"/>
                <w:sz w:val="14"/>
                <w:szCs w:val="14"/>
                <w:color w:val="auto"/>
                <w:w w:val="91"/>
              </w:rPr>
              <w:t>January 1,</w:t>
            </w:r>
          </w:p>
        </w:tc>
        <w:tc>
          <w:tcPr>
            <w:tcW w:w="1580" w:type="dxa"/>
            <w:vAlign w:val="bottom"/>
            <w:gridSpan w:val="4"/>
          </w:tcPr>
          <w:p>
            <w:pPr>
              <w:ind w:left="400"/>
              <w:spacing w:after="0" w:line="157" w:lineRule="exact"/>
              <w:rPr>
                <w:sz w:val="20"/>
                <w:szCs w:val="20"/>
                <w:color w:val="auto"/>
              </w:rPr>
            </w:pPr>
            <w:r>
              <w:rPr>
                <w:rFonts w:ascii="Arial" w:cs="Arial" w:eastAsia="Arial" w:hAnsi="Arial"/>
                <w:sz w:val="14"/>
                <w:szCs w:val="14"/>
                <w:color w:val="auto"/>
              </w:rPr>
              <w:t>% Increase/</w:t>
            </w:r>
          </w:p>
        </w:tc>
        <w:tc>
          <w:tcPr>
            <w:tcW w:w="160" w:type="dxa"/>
            <w:vAlign w:val="bottom"/>
          </w:tcPr>
          <w:p>
            <w:pPr>
              <w:spacing w:after="0"/>
              <w:rPr>
                <w:sz w:val="13"/>
                <w:szCs w:val="13"/>
                <w:color w:val="auto"/>
              </w:rPr>
            </w:pPr>
          </w:p>
        </w:tc>
        <w:tc>
          <w:tcPr>
            <w:tcW w:w="120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w w:val="90"/>
              </w:rPr>
              <w:t>December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ind w:left="160"/>
              <w:spacing w:after="0" w:line="157" w:lineRule="exact"/>
              <w:rPr>
                <w:sz w:val="20"/>
                <w:szCs w:val="20"/>
                <w:color w:val="auto"/>
              </w:rPr>
            </w:pPr>
            <w:r>
              <w:rPr>
                <w:rFonts w:ascii="Arial" w:cs="Arial" w:eastAsia="Arial" w:hAnsi="Arial"/>
                <w:sz w:val="14"/>
                <w:szCs w:val="14"/>
                <w:color w:val="auto"/>
              </w:rPr>
              <w:t>January 1,</w:t>
            </w:r>
          </w:p>
        </w:tc>
        <w:tc>
          <w:tcPr>
            <w:tcW w:w="1420" w:type="dxa"/>
            <w:vAlign w:val="bottom"/>
          </w:tcPr>
          <w:p>
            <w:pPr>
              <w:ind w:left="380"/>
              <w:spacing w:after="0" w:line="157" w:lineRule="exact"/>
              <w:rPr>
                <w:sz w:val="20"/>
                <w:szCs w:val="20"/>
                <w:color w:val="auto"/>
              </w:rPr>
            </w:pPr>
            <w:r>
              <w:rPr>
                <w:rFonts w:ascii="Arial" w:cs="Arial" w:eastAsia="Arial" w:hAnsi="Arial"/>
                <w:sz w:val="14"/>
                <w:szCs w:val="14"/>
                <w:color w:val="auto"/>
              </w:rPr>
              <w:t>% Increase/</w:t>
            </w:r>
          </w:p>
        </w:tc>
      </w:tr>
      <w:tr>
        <w:trPr>
          <w:trHeight w:val="188"/>
        </w:trPr>
        <w:tc>
          <w:tcPr>
            <w:tcW w:w="2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89"/>
              </w:rPr>
              <w:t>2011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89"/>
              </w:rPr>
              <w:t>2011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(Decrease)</w:t>
            </w:r>
          </w:p>
        </w:tc>
        <w:tc>
          <w:tcPr>
            <w:tcW w:w="12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89"/>
              </w:rPr>
              <w:t>2011</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(Decrease)</w:t>
            </w:r>
          </w:p>
        </w:tc>
      </w:tr>
      <w:tr>
        <w:trPr>
          <w:trHeight w:val="25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156,354</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444,810</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414,189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Software solutions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51,208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191,160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176,789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541,174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506,661</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1"/>
        </w:trPr>
        <w:tc>
          <w:tcPr>
            <w:tcW w:w="2780" w:type="dxa"/>
            <w:vAlign w:val="bottom"/>
            <w:gridSpan w:val="4"/>
          </w:tcPr>
          <w:p>
            <w:pPr>
              <w:spacing w:after="0"/>
              <w:rPr>
                <w:sz w:val="20"/>
                <w:szCs w:val="20"/>
                <w:color w:val="auto"/>
              </w:rPr>
            </w:pPr>
            <w:r>
              <w:rPr>
                <w:rFonts w:ascii="Arial" w:cs="Arial" w:eastAsia="Arial" w:hAnsi="Arial"/>
                <w:sz w:val="18"/>
                <w:szCs w:val="18"/>
                <w:i w:val="1"/>
                <w:iCs w:val="1"/>
                <w:color w:val="auto"/>
                <w:w w:val="88"/>
              </w:rPr>
              <w:t>Disposable Revenues by Product Type</w:t>
            </w: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20"/>
        </w:trPr>
        <w:tc>
          <w:tcPr>
            <w:tcW w:w="2540" w:type="dxa"/>
            <w:vAlign w:val="bottom"/>
            <w:tcBorders>
              <w:top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94"/>
              <w:spacing w:after="0"/>
              <w:rPr>
                <w:sz w:val="20"/>
                <w:szCs w:val="20"/>
                <w:color w:val="auto"/>
              </w:rPr>
            </w:pPr>
            <w:r>
              <w:rPr>
                <w:rFonts w:ascii="Arial" w:cs="Arial" w:eastAsia="Arial" w:hAnsi="Arial"/>
                <w:sz w:val="14"/>
                <w:szCs w:val="14"/>
                <w:color w:val="auto"/>
              </w:rPr>
              <w:t>Three Months Ended</w:t>
            </w:r>
          </w:p>
        </w:tc>
        <w:tc>
          <w:tcPr>
            <w:tcW w:w="140" w:type="dxa"/>
            <w:vAlign w:val="bottom"/>
            <w:gridSpan w:val="3"/>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734"/>
              <w:spacing w:after="0"/>
              <w:rPr>
                <w:sz w:val="20"/>
                <w:szCs w:val="20"/>
                <w:color w:val="auto"/>
              </w:rPr>
            </w:pPr>
            <w:r>
              <w:rPr>
                <w:rFonts w:ascii="Arial" w:cs="Arial" w:eastAsia="Arial" w:hAnsi="Arial"/>
                <w:sz w:val="14"/>
                <w:szCs w:val="14"/>
                <w:color w:val="auto"/>
              </w:rPr>
              <w:t>Nine Months Ended</w:t>
            </w:r>
          </w:p>
        </w:tc>
        <w:tc>
          <w:tcPr>
            <w:tcW w:w="160" w:type="dxa"/>
            <w:vAlign w:val="bottom"/>
            <w:gridSpan w:val="3"/>
          </w:tcPr>
          <w:p>
            <w:pPr>
              <w:spacing w:after="0"/>
              <w:rPr>
                <w:sz w:val="24"/>
                <w:szCs w:val="24"/>
                <w:color w:val="auto"/>
              </w:rPr>
            </w:pPr>
          </w:p>
        </w:tc>
        <w:tc>
          <w:tcPr>
            <w:tcW w:w="1420" w:type="dxa"/>
            <w:vAlign w:val="bottom"/>
          </w:tcPr>
          <w:p>
            <w:pPr>
              <w:spacing w:after="0"/>
              <w:rPr>
                <w:sz w:val="24"/>
                <w:szCs w:val="24"/>
                <w:color w:val="auto"/>
              </w:rPr>
            </w:pPr>
          </w:p>
        </w:tc>
      </w:tr>
      <w:tr>
        <w:trPr>
          <w:trHeight w:val="156"/>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spacing w:after="0" w:line="157" w:lineRule="exact"/>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tcPr>
          <w:p>
            <w:pPr>
              <w:ind w:left="120"/>
              <w:spacing w:after="0" w:line="157" w:lineRule="exact"/>
              <w:rPr>
                <w:sz w:val="20"/>
                <w:szCs w:val="20"/>
                <w:color w:val="auto"/>
              </w:rPr>
            </w:pPr>
            <w:r>
              <w:rPr>
                <w:rFonts w:ascii="Arial" w:cs="Arial" w:eastAsia="Arial" w:hAnsi="Arial"/>
                <w:sz w:val="14"/>
                <w:szCs w:val="14"/>
                <w:color w:val="auto"/>
              </w:rPr>
              <w:t>January 1,</w:t>
            </w:r>
          </w:p>
        </w:tc>
        <w:tc>
          <w:tcPr>
            <w:tcW w:w="1580" w:type="dxa"/>
            <w:vAlign w:val="bottom"/>
            <w:gridSpan w:val="4"/>
          </w:tcPr>
          <w:p>
            <w:pPr>
              <w:jc w:val="right"/>
              <w:ind w:right="540"/>
              <w:spacing w:after="0" w:line="157" w:lineRule="exact"/>
              <w:rPr>
                <w:sz w:val="20"/>
                <w:szCs w:val="20"/>
                <w:color w:val="auto"/>
              </w:rPr>
            </w:pPr>
            <w:r>
              <w:rPr>
                <w:rFonts w:ascii="Arial" w:cs="Arial" w:eastAsia="Arial" w:hAnsi="Arial"/>
                <w:sz w:val="14"/>
                <w:szCs w:val="14"/>
                <w:color w:val="auto"/>
              </w:rPr>
              <w:t>% Increase/</w:t>
            </w:r>
          </w:p>
        </w:tc>
        <w:tc>
          <w:tcPr>
            <w:tcW w:w="160" w:type="dxa"/>
            <w:vAlign w:val="bottom"/>
          </w:tcPr>
          <w:p>
            <w:pPr>
              <w:spacing w:after="0"/>
              <w:rPr>
                <w:sz w:val="13"/>
                <w:szCs w:val="13"/>
                <w:color w:val="auto"/>
              </w:rPr>
            </w:pPr>
          </w:p>
        </w:tc>
        <w:tc>
          <w:tcPr>
            <w:tcW w:w="120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ind w:left="120"/>
              <w:spacing w:after="0" w:line="157" w:lineRule="exact"/>
              <w:rPr>
                <w:sz w:val="20"/>
                <w:szCs w:val="20"/>
                <w:color w:val="auto"/>
              </w:rPr>
            </w:pPr>
            <w:r>
              <w:rPr>
                <w:rFonts w:ascii="Arial" w:cs="Arial" w:eastAsia="Arial" w:hAnsi="Arial"/>
                <w:sz w:val="14"/>
                <w:szCs w:val="14"/>
                <w:color w:val="auto"/>
              </w:rPr>
              <w:t>January 1,</w:t>
            </w:r>
          </w:p>
        </w:tc>
        <w:tc>
          <w:tcPr>
            <w:tcW w:w="1420" w:type="dxa"/>
            <w:vAlign w:val="bottom"/>
          </w:tcPr>
          <w:p>
            <w:pPr>
              <w:jc w:val="right"/>
              <w:ind w:right="314"/>
              <w:spacing w:after="0" w:line="157" w:lineRule="exact"/>
              <w:rPr>
                <w:sz w:val="20"/>
                <w:szCs w:val="20"/>
                <w:color w:val="auto"/>
              </w:rPr>
            </w:pPr>
            <w:r>
              <w:rPr>
                <w:rFonts w:ascii="Arial" w:cs="Arial" w:eastAsia="Arial" w:hAnsi="Arial"/>
                <w:sz w:val="14"/>
                <w:szCs w:val="14"/>
                <w:color w:val="auto"/>
              </w:rPr>
              <w:t>% Increase/</w:t>
            </w:r>
          </w:p>
        </w:tc>
      </w:tr>
      <w:tr>
        <w:trPr>
          <w:trHeight w:val="188"/>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w w:val="96"/>
              </w:rPr>
              <w:t>2011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89"/>
              </w:rPr>
              <w:t>2011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(Decrease)</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color w:val="auto"/>
                <w:w w:val="89"/>
              </w:rPr>
              <w:t>2011</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(Decrease)</w:t>
            </w: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69,040</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196,206</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172,245</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Blood center disposables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44,383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123,888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117,120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Red cell</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12,162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11,676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35,676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34,284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64"/>
        </w:trPr>
        <w:tc>
          <w:tcPr>
            <w:tcW w:w="25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56,545</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52,732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159,564</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151,404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Hospital disposables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Surgical</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17,333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49,281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OrthoPAT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7,755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9,248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22,804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26,486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Diagnostics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5,681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16,955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14,575</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37"/>
        </w:trPr>
        <w:tc>
          <w:tcPr>
            <w:tcW w:w="25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30,769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31,584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89,040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90,540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2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disposables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156,354</w:t>
            </w:r>
          </w:p>
        </w:tc>
        <w:tc>
          <w:tcPr>
            <w:tcW w:w="4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144,130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444,810</w:t>
            </w:r>
          </w:p>
        </w:tc>
        <w:tc>
          <w:tcPr>
            <w:tcW w:w="4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414,189</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Disposables revenue increased 8.5% and 7.4% for the three and nine months ended December 31, 2011, respectively, as compared to the same periods of fiscal 2011. Without the effect of foreign exchange, disposables revenue increased 7.0% and 5.2% for the three and nine months ended December 31, 2011, respectively, as compared to the same periods of fiscal 2011, driven primarily by increases in our plasma business as discussed below.</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Plasma disposables revenue increased 15.4% and 13.9% for the three and nine months ended December 31, 2011, respectively, as compared to the same periods of fiscal 2011. Without the effect of foreign exchange, plasma revenue increased 15.4% and 13.1% for the three and nine months ended December 31, 2011, respectively, as compared to the same periods of fiscal 2011, primarily due to increased plasma collections by our commercial fractionation customers in North America. We expect collection growth rates to moderate in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Blood center consists of disposables used to collect platelets and red cells. Platelet disposables revenue increased 8.1% and 5.8% for the three and nine months ended December 31, 2011, respectively, as compared to the same periods of fiscal 2011. Without the effect of foreign exchange, platelet disposable revenue increased 3.4% and 0.7% for the three and nine months ended December 31, 2011, respectively, as compared to the same periods of fiscal 2011. Sales growth for the three months and nine months ended December 31, 2011 included the benefit of quality issues experienced with a competitor’s device in Japan, and increased sales in emerging markets. We expect platelet disposable sales growth to slow in the fourth quarter of fiscal 2012 as the unique benefits noted in Japan are likely to moderate, and the fourth quarter of fiscal 2011 experienced increased sales associated with the March 2011 earthquake in Japan.</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Red cell disposables revenue increased 4.2% and 4.1% for the three and nine months ended December 31, 2011, respectively, as compared to the same periods of fiscal 2011. Without the effect of foreign exchange, red cell disposables revenue increased 4.7% and 4.0% for the three and nine months ended December 31, 2011, respectively, as compared to the same periods of fiscal 2011, driven primarily by increased account penetration at existing customers for red cells in North America.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Hospital consists of Surgical, OrthoPAT, and Diagnostics products. Surgical disposables revenue consists principally of the Cell Saver and cardioPAT products. Revenues from our surgical disposables increased 1.3% and decreased 0.4% for the three and nine months ended December 31, 2011, respectively, as compared to the same periods of fiscal 2011. Without the effect of foreign exchange, surgical disposables revenue decreased 0.4% and 3.0% for the three and nine months ended December 31, 2011, respectively, as compared to the same periods of fiscal 2011, due to a decrease in demand across our European and North American markets associated with lower surgical volumes.</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Revenues from our OrthoPAT disposables decreased 16.1% and 13.9% for the three and nine months ended December 31, 2011, respectively, as compared to the same periods of fiscal 2011. Without the effect of foreign exchange, OrthoPAT disposables revenue decreased by 16.0% and 15.0% for the three and nine months ended December 31, 2011, respectively, as compared to the same periods of fiscal 2011. The voluntary recall of our OrthoPAT devices manufactured prior to 2002 initiated during the first quarter adversely impacted our business. We expect to complete the replacement of devices with our customers in the fourth quarter of fiscal 2012.</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Diagnostics product revenue consists principally of the consumable supplies used with the TEG analyzer. Revenues from our diagnostics products increased 8.8% and 16.3% for the three and nine months ended December 31, 2011, respectively, as compared to the same periods of fiscal 2011. Without the effect of foreign exchange, diagnostics product revenues increased by 9.4% and 16.8% for the three and nine months ended December 31, 2011, respectively, as compared to the same periods of fiscal 2011. The revenue increase is due to continued adoption of our TEG analyzer, including expansion with North American hospitals and in emerging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software solutions revenues include sales of our information technology software platforms and consulting services. Software revenues decreased 4.4% and increased 4.2% for the three and nine months ended December 31, 2011, respectively, as compared to the same periods of fiscal 2011. Without the effect of foreign exchange, software revenues decreased 4.3% and increased 3.1% for the three and nine months ended December 31, 2011, respectively, as compared to the same period of fiscal 2011. The decrease for the three months ended December 31, 2011 as compared to the same period of fiscal 2011 was driven primarily by lower sales in Europe and lower plasma software revenue in North America. The increase for the nine months ended December 31, 2011 as compared to the same period of fiscal 2011 is primarily due to installed base growth in our SafeTraceTX and BloodTrack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equipment and other revenues include revenue from equipment sales, repairs performed under preventive maintenance contracts or emergency service visits, spare part sales, and various service and training programs. These revenues are primarily composed of equipment sales, which tend to vary from period-to-period more than our disposable business due to the timing of order patterns, particularly in our distribution markets. Equipment and other revenues increased 17.8% and 4.2% for the three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and nine months ended December 31, 2011, respectively, as compared to the same periods of fiscal 2011. Without the effect of foreign exchange, equipment and other revenues increased 17.8% and 2.5% for the three and nine months ended December 31, 2011, respectively, as compared to the same periods of fiscal 2011, primarily driven by higher equipment sales in emerging markets and higher service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56"/>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3"/>
                <w:szCs w:val="13"/>
                <w:color w:val="auto"/>
              </w:rPr>
            </w:pPr>
          </w:p>
        </w:tc>
        <w:tc>
          <w:tcPr>
            <w:tcW w:w="126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January 1,</w:t>
            </w:r>
          </w:p>
        </w:tc>
        <w:tc>
          <w:tcPr>
            <w:tcW w:w="1700" w:type="dxa"/>
            <w:vAlign w:val="bottom"/>
            <w:gridSpan w:val="3"/>
          </w:tcPr>
          <w:p>
            <w:pPr>
              <w:jc w:val="center"/>
              <w:ind w:right="300"/>
              <w:spacing w:after="0" w:line="157" w:lineRule="exact"/>
              <w:rPr>
                <w:sz w:val="20"/>
                <w:szCs w:val="20"/>
                <w:color w:val="auto"/>
              </w:rPr>
            </w:pPr>
            <w:r>
              <w:rPr>
                <w:rFonts w:ascii="Arial" w:cs="Arial" w:eastAsia="Arial" w:hAnsi="Arial"/>
                <w:sz w:val="14"/>
                <w:szCs w:val="14"/>
                <w:color w:val="auto"/>
                <w:w w:val="91"/>
              </w:rPr>
              <w:t>% Increase/</w:t>
            </w: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3"/>
                <w:szCs w:val="13"/>
                <w:color w:val="auto"/>
              </w:rPr>
            </w:pPr>
          </w:p>
        </w:tc>
        <w:tc>
          <w:tcPr>
            <w:tcW w:w="126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January 1,</w:t>
            </w:r>
          </w:p>
        </w:tc>
        <w:tc>
          <w:tcPr>
            <w:tcW w:w="1400" w:type="dxa"/>
            <w:vAlign w:val="bottom"/>
          </w:tcPr>
          <w:p>
            <w:pPr>
              <w:jc w:val="center"/>
              <w:spacing w:after="0" w:line="157" w:lineRule="exact"/>
              <w:rPr>
                <w:sz w:val="20"/>
                <w:szCs w:val="20"/>
                <w:color w:val="auto"/>
              </w:rPr>
            </w:pPr>
            <w:r>
              <w:rPr>
                <w:rFonts w:ascii="Arial" w:cs="Arial" w:eastAsia="Arial" w:hAnsi="Arial"/>
                <w:sz w:val="14"/>
                <w:szCs w:val="14"/>
                <w:color w:val="auto"/>
                <w:w w:val="91"/>
              </w:rPr>
              <w:t>% Increase/</w:t>
            </w:r>
          </w:p>
        </w:tc>
      </w:tr>
      <w:tr>
        <w:trPr>
          <w:trHeight w:val="188"/>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95,931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93,490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  $</w:t>
            </w:r>
          </w:p>
        </w:tc>
        <w:tc>
          <w:tcPr>
            <w:tcW w:w="12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274,629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267,708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Gross profit amounts increased 2.6% for the three and nine months ended December 31, 2011, respectively, as compared to the same periods of fiscal 2011. Without the effect of foreign exchange, gross profit was effectively unchanged for the three and nine months ended December 31, 2011, respectively, as compared to the same periods of fiscal 2011. Our gross profit margin decreased by 270 and 210 basis points for the three and nine month periods ending December 31, 2011, respectively, as compared to the same periods of fiscal 2011.</w:t>
      </w:r>
    </w:p>
    <w:p>
      <w:pPr>
        <w:spacing w:after="0" w:line="7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decrease was primarily due to increased product quality costs, the mix of sales among our various product lines, and higher freight costs. The increased product quality costs included the sale of a higher cost substitute product for certain European plasma customers affected by the HS Core quality matter. The relatively lower sales of our higher gross margin hospital products and higher sales of our lower gross margin plasma disposables also reduced our overall gross profit. Finally, gross profit margin was negatively impacted during the three months ended December 31, 2011 by higher costs associated with rapid increases in plasma disposable demand. We expect these trends to continue to impact gross profit over the balance of fiscal 2012.</w:t>
      </w:r>
    </w:p>
    <w:p>
      <w:pPr>
        <w:spacing w:after="0" w:line="5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October 2011, a facility of one of our contract manufacturers was damaged by the recent floods in Thailand. We have worked with the contract manufacturer to transition the manufacturing of the products that were made in this facility to the contract manufacturer’s facility in Japan and our own manufacturing locations. We have incurred minimal costs associated with this transition, and customers have not experienced any material supply disruptions.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56"/>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3"/>
                <w:szCs w:val="13"/>
                <w:color w:val="auto"/>
              </w:rPr>
            </w:pPr>
          </w:p>
        </w:tc>
        <w:tc>
          <w:tcPr>
            <w:tcW w:w="124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January 1,</w:t>
            </w:r>
          </w:p>
        </w:tc>
        <w:tc>
          <w:tcPr>
            <w:tcW w:w="148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1"/>
              </w:rPr>
              <w:t>% Increase/</w:t>
            </w:r>
          </w:p>
        </w:tc>
        <w:tc>
          <w:tcPr>
            <w:tcW w:w="200" w:type="dxa"/>
            <w:vAlign w:val="bottom"/>
          </w:tcPr>
          <w:p>
            <w:pPr>
              <w:spacing w:after="0"/>
              <w:rPr>
                <w:sz w:val="13"/>
                <w:szCs w:val="13"/>
                <w:color w:val="auto"/>
              </w:rPr>
            </w:pPr>
          </w:p>
        </w:tc>
        <w:tc>
          <w:tcPr>
            <w:tcW w:w="134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3"/>
                <w:szCs w:val="13"/>
                <w:color w:val="auto"/>
              </w:rPr>
            </w:pPr>
          </w:p>
        </w:tc>
        <w:tc>
          <w:tcPr>
            <w:tcW w:w="128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January 1,</w:t>
            </w:r>
          </w:p>
        </w:tc>
        <w:tc>
          <w:tcPr>
            <w:tcW w:w="1420" w:type="dxa"/>
            <w:vAlign w:val="bottom"/>
          </w:tcPr>
          <w:p>
            <w:pPr>
              <w:jc w:val="right"/>
              <w:ind w:right="296"/>
              <w:spacing w:after="0" w:line="157" w:lineRule="exact"/>
              <w:rPr>
                <w:sz w:val="20"/>
                <w:szCs w:val="20"/>
                <w:color w:val="auto"/>
              </w:rPr>
            </w:pPr>
            <w:r>
              <w:rPr>
                <w:rFonts w:ascii="Arial" w:cs="Arial" w:eastAsia="Arial" w:hAnsi="Arial"/>
                <w:sz w:val="14"/>
                <w:szCs w:val="14"/>
                <w:color w:val="auto"/>
              </w:rPr>
              <w:t>% Increase/</w:t>
            </w: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(Decrease)</w:t>
            </w: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420" w:type="dxa"/>
            <w:vAlign w:val="bottom"/>
          </w:tcPr>
          <w:p>
            <w:pPr>
              <w:jc w:val="right"/>
              <w:ind w:right="316"/>
              <w:spacing w:after="0"/>
              <w:rPr>
                <w:sz w:val="20"/>
                <w:szCs w:val="20"/>
                <w:color w:val="auto"/>
              </w:rPr>
            </w:pPr>
            <w:r>
              <w:rPr>
                <w:rFonts w:ascii="Arial" w:cs="Arial" w:eastAsia="Arial" w:hAnsi="Arial"/>
                <w:sz w:val="14"/>
                <w:szCs w:val="14"/>
                <w:color w:val="auto"/>
              </w:rPr>
              <w:t>(Decrease)</w:t>
            </w: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28,190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23,870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61,376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56,935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180,221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164,079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70,608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64,931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206,831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186,055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Research and development expenses increased 15.5% and 18.1% for the three and nine months ended December 31, 2011, respectively, as compared to the same periods of fiscal 2011. Without the effect of foreign exchange, research and development expense increased 14.2% and 10.0% for the three and nine months ended December 31, 2011, respectively, as compared to the same periods of fiscal 2011. These increases were primarily related to the general increase in development programs in support of long-term product plans and near term quality improvements.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three and nine months ended December 31, 2011, selling, general and administrative expenses increased 7.8% and 9.8%, respectively, as compared to the same periods of fiscal 2011. Without the effect of foreign exchange, selling, general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administrative expense increased 8.9% and 6.5% for the three and nine months ended December 31, 2011, respectively, as compared to the same periods of fiscal 2011. These increases were attributable to higher restructuring charges, $4.1 million expenses, net of insurance recovery, associated with European customer claims arising from a quality matter with HS Core, and increased investment in our worldwide sales and marketing organizations.</w:t>
      </w:r>
    </w:p>
    <w:p>
      <w:pPr>
        <w:spacing w:after="0" w:line="3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the first quarter of fiscal 2012, we received customer complaints in Europe regarding a quality issue with HS Core. Certain of these customers have also made claims regarding financial losses alleged to have been incurred as a result of this matter. Total customer claims submitted to date are approximately $10.1 million and we do not expect any additional material claims. We believe our ultimate liability will be less than the total claims. As of December 31, 2011, our current best estimate of the liability associated with this matter is $7.1 million. We have also determined that at least $3.0 million of this liability is recoverable under our insurance policies and recorded a corresponding insurance receivable within current assets as of December 31, 2011. Receivables for insurance recoveries for product liability claims are recorded as assets, on an undiscounted basis, when it is probable that a recovery will be realized on a claim by claim basis. We have recorded $4.1 million of expenses, net of insurance recovery, within selling, general and administrative expenses for the nine months ended December 31, 2011.</w:t>
      </w:r>
    </w:p>
    <w:p>
      <w:pPr>
        <w:spacing w:after="0" w:line="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are also continuing to determine the extent to which the remaining $4.1 million may be recoverable under our insurance policies and will record additional insurance receivables when we determine that recoverability of these claims is probable.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Income</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Under the accounting rules for business combinations (specifically,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established a liability for payments that we might make in the future to former shareholders of Neoteric that are tied to the performance of the Blood Track business for the first three years post acquisition, beginning with fiscal 2010. We have reviewed the expected performance versus the necessary thresholds of performance for the former shareholders to receive additional performance payments and we recorded an adjustment to the fair value of the contingent consideration as contingent consideration income of $1.6 million and $1.9 million for the nine months ended December 31, 2011 and January 1, 2011,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income, net, increased for the three months and nine months ended December 31, 2011 as compared to the same periods of fiscal 2011, primarily due to lower foreign exchange transactions losses on foreign currency denominated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32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56"/>
        </w:trPr>
        <w:tc>
          <w:tcPr>
            <w:tcW w:w="2320" w:type="dxa"/>
            <w:vAlign w:val="bottom"/>
          </w:tcPr>
          <w:p>
            <w:pPr>
              <w:spacing w:after="0"/>
              <w:rPr>
                <w:sz w:val="13"/>
                <w:szCs w:val="13"/>
                <w:color w:val="auto"/>
              </w:rPr>
            </w:pPr>
          </w:p>
        </w:tc>
        <w:tc>
          <w:tcPr>
            <w:tcW w:w="1480" w:type="dxa"/>
            <w:vAlign w:val="bottom"/>
            <w:gridSpan w:val="2"/>
          </w:tcPr>
          <w:p>
            <w:pPr>
              <w:jc w:val="center"/>
              <w:ind w:right="160"/>
              <w:spacing w:after="0" w:line="157" w:lineRule="exact"/>
              <w:rPr>
                <w:sz w:val="20"/>
                <w:szCs w:val="20"/>
                <w:color w:val="auto"/>
              </w:rPr>
            </w:pPr>
            <w:r>
              <w:rPr>
                <w:rFonts w:ascii="Arial" w:cs="Arial" w:eastAsia="Arial" w:hAnsi="Arial"/>
                <w:sz w:val="14"/>
                <w:szCs w:val="14"/>
                <w:color w:val="auto"/>
                <w:w w:val="90"/>
              </w:rPr>
              <w:t>December 31,</w:t>
            </w:r>
          </w:p>
        </w:tc>
        <w:tc>
          <w:tcPr>
            <w:tcW w:w="1440" w:type="dxa"/>
            <w:vAlign w:val="bottom"/>
            <w:gridSpan w:val="2"/>
          </w:tcPr>
          <w:p>
            <w:pPr>
              <w:jc w:val="center"/>
              <w:ind w:right="160"/>
              <w:spacing w:after="0" w:line="157" w:lineRule="exact"/>
              <w:rPr>
                <w:sz w:val="20"/>
                <w:szCs w:val="20"/>
                <w:color w:val="auto"/>
              </w:rPr>
            </w:pPr>
            <w:r>
              <w:rPr>
                <w:rFonts w:ascii="Arial" w:cs="Arial" w:eastAsia="Arial" w:hAnsi="Arial"/>
                <w:sz w:val="14"/>
                <w:szCs w:val="14"/>
                <w:color w:val="auto"/>
                <w:w w:val="91"/>
              </w:rPr>
              <w:t>January 1,</w:t>
            </w:r>
          </w:p>
        </w:tc>
        <w:tc>
          <w:tcPr>
            <w:tcW w:w="150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89"/>
              </w:rPr>
              <w:t>% Increase/</w:t>
            </w:r>
          </w:p>
        </w:tc>
        <w:tc>
          <w:tcPr>
            <w:tcW w:w="146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0"/>
              </w:rPr>
              <w:t>December 31,</w:t>
            </w:r>
          </w:p>
        </w:tc>
        <w:tc>
          <w:tcPr>
            <w:tcW w:w="146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1"/>
              </w:rPr>
              <w:t>January 1,</w:t>
            </w: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w w:val="91"/>
              </w:rPr>
              <w:t>% Increase/</w:t>
            </w:r>
          </w:p>
        </w:tc>
      </w:tr>
      <w:tr>
        <w:trPr>
          <w:trHeight w:val="188"/>
        </w:trPr>
        <w:tc>
          <w:tcPr>
            <w:tcW w:w="2320" w:type="dxa"/>
            <w:vAlign w:val="bottom"/>
          </w:tcPr>
          <w:p>
            <w:pPr>
              <w:spacing w:after="0"/>
              <w:rPr>
                <w:sz w:val="16"/>
                <w:szCs w:val="16"/>
                <w:color w:val="auto"/>
              </w:rPr>
            </w:pPr>
          </w:p>
        </w:tc>
        <w:tc>
          <w:tcPr>
            <w:tcW w:w="1360" w:type="dxa"/>
            <w:vAlign w:val="bottom"/>
          </w:tcPr>
          <w:p>
            <w:pPr>
              <w:jc w:val="right"/>
              <w:ind w:right="464"/>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6"/>
                <w:szCs w:val="16"/>
                <w:color w:val="auto"/>
              </w:rPr>
            </w:pPr>
          </w:p>
        </w:tc>
        <w:tc>
          <w:tcPr>
            <w:tcW w:w="1320" w:type="dxa"/>
            <w:vAlign w:val="bottom"/>
          </w:tcPr>
          <w:p>
            <w:pPr>
              <w:jc w:val="right"/>
              <w:ind w:right="442"/>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(Decrease)</w:t>
            </w:r>
          </w:p>
        </w:tc>
        <w:tc>
          <w:tcPr>
            <w:tcW w:w="1360" w:type="dxa"/>
            <w:vAlign w:val="bottom"/>
          </w:tcPr>
          <w:p>
            <w:pPr>
              <w:jc w:val="right"/>
              <w:ind w:right="464"/>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360" w:type="dxa"/>
            <w:vAlign w:val="bottom"/>
          </w:tcPr>
          <w:p>
            <w:pPr>
              <w:jc w:val="right"/>
              <w:ind w:right="46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(Decrease)</w:t>
            </w: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Reported income tax rate</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3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93"/>
              </w:rPr>
              <w:t>28.0%</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bl>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reported tax rate was 28.3% and 28.0% for the three and nine months ended December 31, 2011, respectively. Our reported tax rate is lower than the federal statutory tax rate in both periods reported primarily due to lower foreign tax rates, including tax benefits associated with our Swiss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4"/>
                <w:szCs w:val="14"/>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color w:val="auto"/>
              </w:rPr>
              <w:t>April 2,</w:t>
            </w:r>
          </w:p>
        </w:tc>
      </w:tr>
      <w:tr>
        <w:trPr>
          <w:trHeight w:val="188"/>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2011</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196,707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357,805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340,160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position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199,720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191,828</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6.1</w:t>
            </w:r>
          </w:p>
        </w:tc>
      </w:tr>
      <w:tr>
        <w:trPr>
          <w:trHeight w:val="243"/>
        </w:trPr>
        <w:tc>
          <w:tcPr>
            <w:tcW w:w="8580" w:type="dxa"/>
            <w:vAlign w:val="bottom"/>
          </w:tcPr>
          <w:p>
            <w:pPr>
              <w:spacing w:after="0"/>
              <w:rPr>
                <w:sz w:val="20"/>
                <w:szCs w:val="20"/>
                <w:color w:val="auto"/>
              </w:rPr>
            </w:pPr>
            <w:r>
              <w:rPr>
                <w:rFonts w:ascii="Arial" w:cs="Arial" w:eastAsia="Arial" w:hAnsi="Arial"/>
                <w:sz w:val="18"/>
                <w:szCs w:val="18"/>
                <w:color w:val="auto"/>
              </w:rPr>
              <w:t>(1) Net cash position is the sum of cash and cash equivalents less total debt.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option exercises. We believe these sources are sufficient to fund our cash requirements over the next twelve months, which are primarily capital expenditures and may include share repurchases under future programs authorized by the Board of Directors at its discretion.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color w:val="auto"/>
              </w:rPr>
              <w:t>Nine Months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56"/>
        </w:trPr>
        <w:tc>
          <w:tcPr>
            <w:tcW w:w="7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3"/>
                <w:szCs w:val="13"/>
                <w:color w:val="auto"/>
              </w:rPr>
            </w:pPr>
          </w:p>
        </w:tc>
        <w:tc>
          <w:tcPr>
            <w:tcW w:w="124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January 1,</w:t>
            </w:r>
          </w:p>
        </w:tc>
        <w:tc>
          <w:tcPr>
            <w:tcW w:w="240" w:type="dxa"/>
            <w:vAlign w:val="bottom"/>
          </w:tcPr>
          <w:p>
            <w:pPr>
              <w:spacing w:after="0"/>
              <w:rPr>
                <w:sz w:val="13"/>
                <w:szCs w:val="13"/>
                <w:color w:val="auto"/>
              </w:rPr>
            </w:pPr>
          </w:p>
        </w:tc>
        <w:tc>
          <w:tcPr>
            <w:tcW w:w="1120" w:type="dxa"/>
            <w:vAlign w:val="bottom"/>
          </w:tcPr>
          <w:p>
            <w:pPr>
              <w:jc w:val="right"/>
              <w:ind w:right="335"/>
              <w:spacing w:after="0" w:line="157" w:lineRule="exact"/>
              <w:rPr>
                <w:sz w:val="20"/>
                <w:szCs w:val="20"/>
                <w:color w:val="auto"/>
              </w:rPr>
            </w:pPr>
            <w:r>
              <w:rPr>
                <w:rFonts w:ascii="Arial" w:cs="Arial" w:eastAsia="Arial" w:hAnsi="Arial"/>
                <w:sz w:val="14"/>
                <w:szCs w:val="14"/>
                <w:color w:val="auto"/>
              </w:rPr>
              <w:t>Increase/</w:t>
            </w:r>
          </w:p>
        </w:tc>
      </w:tr>
      <w:tr>
        <w:trPr>
          <w:trHeight w:val="188"/>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(Decrease)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81,343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91,316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(9,973)</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(13,544)</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(1)</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50"/>
        </w:trPr>
        <w:tc>
          <w:tcPr>
            <w:tcW w:w="70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27,976</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8890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 w:lineRule="exact"/>
        <w:rPr>
          <w:sz w:val="20"/>
          <w:szCs w:val="20"/>
          <w:color w:val="auto"/>
        </w:rPr>
      </w:pPr>
    </w:p>
    <w:p>
      <w:pPr>
        <w:ind w:left="340" w:right="50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operating activities decreased by $10.0 million during the nine months ended December 31, 2011 as compared to the nine months ended January 1, 2011. Cash provided by operations was negatively impacted by higher inventory levels to support plasma growth, launch of our next generation surgical device, the Cell Saver Elite, the replacement of recalled OrthoPAT devices and lower net income, offset by lower bonus payments and lower tax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investing activities decreased by $4.6 million during the nine months ended December 31, 2011 as compared to the nine months ended January 1, 2011 due to $6.3 million of expenditures related to the ACCS and Global Med Technology acquisitions during the prior fiscal year, offset by a $2.0 million increase in capital expenditures on property, plant, and equipment. The increase in capital expenditures is the net effect of higher placements of company-owned equipment, primarily in support of increased plasma disposables demand, offset by lower manufacturing capital investments due to completion of construction of our Salt Lake City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Net cash used to fund share repurchases under common stock repurchase programs was $50.0 million during the nine months ended December 31, 2011 and January 1, 2011. Net cash used in financing activities increased by $13.5 million during the nine months ended December 31, 2011, as compared to the nine month ended January 1, 2011 due primarily to a $23.0 million decrease in cash flow from the exercise of stock options offset by a $10.3 million increase in net borrowings under short-term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credit arrangements.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33"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Deteriorating credit and economic conditions in parts of Western Europe, particularly in Italy, may increase the average length of time it takes us to collect our accounts receivable in certain regions within these countries.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the nine months ended December 31, 2011, approximately 51% of our sales were generated outside the U.S., generally in foreign currencies, yet our reporting currency is the U.S. Dollar. Our primary foreign currency exposures relate to sales denominated in the Euro and the Japanese Yen. We also have foreign currency exposure related to manufacturing and other operational costs denominated in the Swiss Franc, the British Pound, and the Canadian Dollar. The Yen and Euro sales exposure is partially mitigated by costs and expenses for foreign operations and sourcing products denominated in foreign currencies. Since our foreign currency denominated Yen and Euro sales exceed the foreign currency denominated costs, whenever the U.S. Dollar strengthens relative to the Yen or Euro, there is an adverse effect on our results of operations and, conversely, whenever the U.S. dollar weakens relative to the Yen or Euro, there is a positive effect on our results of operations. For the Swiss Franc, the British Pound, and the Canadian Dollar,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5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Presented below are the spot rates for our Euro, Japanese Yen, Canadian Dollar, British Pound, and Swiss Franc cash flow hedges that settled during fiscal years 2010, 2011, and 2012 or are presently outstanding. These hedges cover our long foreign currency positions that result from our sales designated in Euro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ectPr>
          <w:pgSz w:w="11900" w:h="16838" w:orient="portrait"/>
          <w:cols w:equalWidth="0" w:num="1">
            <w:col w:w="11420"/>
          </w:cols>
          <w:pgMar w:left="240" w:top="125" w:right="239" w:bottom="1440" w:gutter="0" w:footer="0" w:header="0"/>
        </w:sectPr>
      </w:pPr>
    </w:p>
    <w:p>
      <w:pPr>
        <w:spacing w:after="0" w:line="135" w:lineRule="exact"/>
        <w:rPr>
          <w:sz w:val="20"/>
          <w:szCs w:val="20"/>
          <w:color w:val="auto"/>
        </w:rPr>
      </w:pPr>
    </w:p>
    <w:p>
      <w:pPr>
        <w:jc w:val="center"/>
        <w:ind w:left="2480"/>
        <w:spacing w:after="0"/>
        <w:rPr>
          <w:sz w:val="20"/>
          <w:szCs w:val="20"/>
          <w:color w:val="auto"/>
        </w:rPr>
      </w:pPr>
      <w:r>
        <w:rPr>
          <w:rFonts w:ascii="Arial" w:cs="Arial" w:eastAsia="Arial" w:hAnsi="Arial"/>
          <w:sz w:val="13"/>
          <w:szCs w:val="13"/>
          <w:color w:val="auto"/>
        </w:rPr>
        <w:t>First</w:t>
      </w:r>
    </w:p>
    <w:p>
      <w:pPr>
        <w:jc w:val="center"/>
        <w:ind w:left="2480"/>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1"/>
          <w:szCs w:val="11"/>
          <w:color w:val="auto"/>
        </w:rPr>
        <w:t>Second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25400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Third</w:t>
      </w:r>
    </w:p>
    <w:p>
      <w:pPr>
        <w:jc w:val="cente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Fourth</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Favorable /</w:t>
      </w:r>
    </w:p>
    <w:p>
      <w:pPr>
        <w:jc w:val="center"/>
        <w:ind w:right="220"/>
        <w:spacing w:after="0"/>
        <w:rPr>
          <w:sz w:val="20"/>
          <w:szCs w:val="20"/>
          <w:color w:val="auto"/>
        </w:rPr>
      </w:pPr>
      <w:r>
        <w:rPr>
          <w:rFonts w:ascii="Arial" w:cs="Arial" w:eastAsia="Arial" w:hAnsi="Arial"/>
          <w:sz w:val="11"/>
          <w:szCs w:val="11"/>
          <w:color w:val="auto"/>
        </w:rPr>
        <w:t>(Unfavorable)</w:t>
      </w:r>
    </w:p>
    <w:p>
      <w:pPr>
        <w:spacing w:after="0" w:line="48" w:lineRule="exact"/>
        <w:rPr>
          <w:sz w:val="20"/>
          <w:szCs w:val="20"/>
          <w:color w:val="auto"/>
        </w:rPr>
      </w:pPr>
    </w:p>
    <w:p>
      <w:pPr>
        <w:sectPr>
          <w:pgSz w:w="11900" w:h="16838" w:orient="portrait"/>
          <w:cols w:equalWidth="0" w:num="8">
            <w:col w:w="2860" w:space="620"/>
            <w:col w:w="720" w:space="620"/>
            <w:col w:w="380" w:space="620"/>
            <w:col w:w="720" w:space="620"/>
            <w:col w:w="380" w:space="620"/>
            <w:col w:w="720" w:space="620"/>
            <w:col w:w="380" w:space="620"/>
            <w:col w:w="9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Euro - Hedge Spot Rate (US$ per Euro)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FY10</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12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1.49</w:t>
            </w:r>
          </w:p>
        </w:tc>
        <w:tc>
          <w:tcPr>
            <w:tcW w:w="118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1.32</w:t>
            </w:r>
          </w:p>
        </w:tc>
        <w:tc>
          <w:tcPr>
            <w:tcW w:w="12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1.28</w:t>
            </w:r>
          </w:p>
        </w:tc>
        <w:tc>
          <w:tcPr>
            <w:tcW w:w="84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1.36</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1.41</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1.43</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8 %</w:t>
            </w:r>
          </w:p>
        </w:tc>
        <w:tc>
          <w:tcPr>
            <w:tcW w:w="1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1.24</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1.30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1.37</w:t>
            </w:r>
          </w:p>
        </w:tc>
        <w:tc>
          <w:tcPr>
            <w:tcW w:w="84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1.43</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15 %</w:t>
            </w: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1.42</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9 %</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7"/>
        </w:trPr>
        <w:tc>
          <w:tcPr>
            <w:tcW w:w="16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FY10</w:t>
            </w:r>
          </w:p>
        </w:tc>
        <w:tc>
          <w:tcPr>
            <w:tcW w:w="2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105.28</w:t>
            </w:r>
          </w:p>
        </w:tc>
        <w:tc>
          <w:tcPr>
            <w:tcW w:w="1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105.11</w:t>
            </w:r>
          </w:p>
        </w:tc>
        <w:tc>
          <w:tcPr>
            <w:tcW w:w="1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96.38</w:t>
            </w:r>
          </w:p>
        </w:tc>
        <w:tc>
          <w:tcPr>
            <w:tcW w:w="1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93.50</w:t>
            </w:r>
          </w:p>
        </w:tc>
        <w:tc>
          <w:tcPr>
            <w:tcW w:w="840" w:type="dxa"/>
            <w:vAlign w:val="bottom"/>
            <w:shd w:val="clear" w:color="auto" w:fill="CCEEFF"/>
          </w:tcPr>
          <w:p>
            <w:pPr>
              <w:spacing w:after="0"/>
              <w:rPr>
                <w:sz w:val="23"/>
                <w:szCs w:val="23"/>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FY11</w:t>
            </w: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98.17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7 %</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94.91</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10 %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89.13</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8 %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89.78</w:t>
            </w:r>
          </w:p>
        </w:tc>
        <w:tc>
          <w:tcPr>
            <w:tcW w:w="8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1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20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88.99</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9 %</w:t>
            </w:r>
          </w:p>
        </w:tc>
        <w:tc>
          <w:tcPr>
            <w:tcW w:w="1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85.65</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10 %</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81.73</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8 %</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82.45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FY13</w:t>
            </w: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79.40</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11 %</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76.65</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11 %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77.58</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5 %</w:t>
            </w:r>
          </w:p>
        </w:tc>
        <w:tc>
          <w:tcPr>
            <w:tcW w:w="124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Canadian Dollar - Hedge Spot Rate (CAD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FY10</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1.14</w:t>
            </w:r>
          </w:p>
        </w:tc>
        <w:tc>
          <w:tcPr>
            <w:tcW w:w="1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1.12</w:t>
            </w:r>
          </w:p>
        </w:tc>
        <w:tc>
          <w:tcPr>
            <w:tcW w:w="1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1.11</w:t>
            </w:r>
          </w:p>
        </w:tc>
        <w:tc>
          <w:tcPr>
            <w:tcW w:w="1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1.09</w:t>
            </w:r>
          </w:p>
        </w:tc>
        <w:tc>
          <w:tcPr>
            <w:tcW w:w="8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1.10</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1.09</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1.07</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FY12</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1.05</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1.03</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0.99</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0.98</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0.99</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1.02</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7"/>
        </w:trPr>
        <w:tc>
          <w:tcPr>
            <w:tcW w:w="16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British Pound - Hedge Spot Rate (US$ per GBP)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FY10</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1.45</w:t>
            </w:r>
          </w:p>
        </w:tc>
        <w:tc>
          <w:tcPr>
            <w:tcW w:w="1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1.44</w:t>
            </w:r>
          </w:p>
        </w:tc>
        <w:tc>
          <w:tcPr>
            <w:tcW w:w="1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1.42</w:t>
            </w:r>
          </w:p>
        </w:tc>
        <w:tc>
          <w:tcPr>
            <w:tcW w:w="1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1.40</w:t>
            </w:r>
          </w:p>
        </w:tc>
        <w:tc>
          <w:tcPr>
            <w:tcW w:w="920" w:type="dxa"/>
            <w:vAlign w:val="bottom"/>
            <w:shd w:val="clear" w:color="auto" w:fill="CCEEFF"/>
          </w:tcPr>
          <w:p>
            <w:pPr>
              <w:spacing w:after="0"/>
              <w:rPr>
                <w:sz w:val="23"/>
                <w:szCs w:val="23"/>
                <w:color w:val="auto"/>
              </w:rPr>
            </w:pP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1.47</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1.65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1.63</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1.59</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1.50</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1.54</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7 %</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1.57</w:t>
            </w: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4 %</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1.62</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1.63</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1.60</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1.56</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Swiss Franc - Hedge Spot Rate (CHF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12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118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92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1.05</w:t>
            </w:r>
          </w:p>
        </w:tc>
        <w:tc>
          <w:tcPr>
            <w:tcW w:w="1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0.96</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0.82</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0.85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0.92</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391" w:lineRule="exact"/>
        <w:rPr>
          <w:sz w:val="20"/>
          <w:szCs w:val="20"/>
          <w:color w:val="auto"/>
        </w:rPr>
      </w:pPr>
    </w:p>
    <w:p>
      <w:pPr>
        <w:ind w:left="960" w:hanging="92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May 2011, the FASB issued Accounting Standards Update No. 2011-04, </w:t>
      </w:r>
      <w:r>
        <w:rPr>
          <w:rFonts w:ascii="Arial" w:cs="Arial" w:eastAsia="Arial" w:hAnsi="Arial"/>
          <w:sz w:val="16"/>
          <w:szCs w:val="16"/>
          <w:i w:val="1"/>
          <w:iCs w:val="1"/>
          <w:color w:val="auto"/>
        </w:rPr>
        <w:t>Fair Value Measurement (Topic 820): Amendments to Achieve Common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 and Disclosure Requirements in U.S. GAAP and IFRSs. </w:t>
      </w:r>
      <w:r>
        <w:rPr>
          <w:rFonts w:ascii="Arial" w:cs="Arial" w:eastAsia="Arial" w:hAnsi="Arial"/>
          <w:sz w:val="16"/>
          <w:szCs w:val="16"/>
          <w:color w:val="auto"/>
        </w:rPr>
        <w:t>Update No. 2011-04 updates the accounting guidance related to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measurements that results in a consistent definition of fair value and common requirements for measurement of and disclosure about fair value between U.S. GAAP and International Financial Reporting Standards (IFRS). ASU 2011-04 changes certain fair value measurement principles and enhances the disclosure requirements particularly for level 3 fair value measurements. The updated guidance is effective for interim and annual periods beginning after December 15, 2011. Early application is not permitted. ASU 2011-04 is effective in our fourth quarter of fiscal 2012 and should be applied prospectively. We do not currently have level 3 fair value measurements. We do not believe adoption of this standard will have an impact on our consolidated financial statements.</w:t>
      </w:r>
    </w:p>
    <w:p>
      <w:pPr>
        <w:spacing w:after="0" w:line="5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 June 2011, the FASB issued Accounting Standards Update No. 2011-05,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Update No. 2011-05 updates the disclosure requirements for comprehensive income to include total comprehensive income, the components of net income, and the components of other comprehensive income either in a single continuous statement of comprehensive income or in two separate but consecutive statements. The updated guidance does not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affect how earnings per share is calculated or presented. The updated guidance is effective for fiscal years, and interim periods within those years, beginning after December 15, 2011, and should be applied retrospectively. Early adoption is permitted and amendments do not require any transition disclosures. We will adopt this standard in the first quarter of fiscal 2013. The adoption of ASU 2011-05 will affect the presentation of comprehensive income but will not impact our financial condition or statement of operations.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September 2011, the FASB issued Accounting Standards Update No. 2011-08,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ASU 2011-08 is effective for our first quarter of fiscal 2013 but is eligible for early adoption. We do not believe adoption of this standard will have an impact on our consolidated financial statements.</w:t>
      </w:r>
    </w:p>
    <w:p>
      <w:pPr>
        <w:spacing w:after="0" w:line="5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In December 2011, the FASB issued Accounting Standards Update No. 2011-11, </w:t>
      </w:r>
      <w:r>
        <w:rPr>
          <w:rFonts w:ascii="Arial" w:cs="Arial" w:eastAsia="Arial" w:hAnsi="Arial"/>
          <w:sz w:val="18"/>
          <w:szCs w:val="18"/>
          <w:i w:val="1"/>
          <w:iCs w:val="1"/>
          <w:color w:val="auto"/>
        </w:rPr>
        <w:t>Balance Sheet (Topic 210)-Disclosures about Offsetting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(ASU 2011-11). The update requires entities to disclose information about offsetting and related arrangements of financial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ASU 2011-11 is effective for our first quarter of fiscal 2014. We are currently evaluating the impact of adopting ASU 2011-11, but currently believe there will be no significant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October 2009, the FASB issued Accounting Standards Update No. 2009-13, </w:t>
      </w:r>
      <w:r>
        <w:rPr>
          <w:rFonts w:ascii="Arial" w:cs="Arial" w:eastAsia="Arial" w:hAnsi="Arial"/>
          <w:sz w:val="17"/>
          <w:szCs w:val="17"/>
          <w:i w:val="1"/>
          <w:iCs w:val="1"/>
          <w:color w:val="auto"/>
        </w:rPr>
        <w:t>Revenue Recognition (Topic 605): Multiple-Deliverable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 and Accounting Standards Update No. 2009-14,</w:t>
      </w:r>
      <w:r>
        <w:rPr>
          <w:rFonts w:ascii="Arial" w:cs="Arial" w:eastAsia="Arial" w:hAnsi="Arial"/>
          <w:sz w:val="17"/>
          <w:szCs w:val="17"/>
          <w:i w:val="1"/>
          <w:iCs w:val="1"/>
          <w:color w:val="auto"/>
        </w:rPr>
        <w:t xml:space="preserve"> Software (Topic 985): Certain Revenue Arrangements That Include Software </w:t>
      </w:r>
      <w:r>
        <w:rPr>
          <w:rFonts w:ascii="Arial" w:cs="Arial" w:eastAsia="Arial" w:hAnsi="Arial"/>
          <w:sz w:val="17"/>
          <w:szCs w:val="17"/>
          <w:color w:val="auto"/>
        </w:rPr>
        <w:t>(the “Updates”).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also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allocate arrangement consideration using the relative selling price method. The Updates also include new disclosure requirements on how the application of the relative selling price method affects the timing and amount of revenue recognition. On April 3, 2011, we adopted this guidance, which did not have a material impact on our financial position and results of operations.</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December 2010, the FASB issued Accounting Standards Update No. 2010-29, </w:t>
      </w:r>
      <w:r>
        <w:rPr>
          <w:rFonts w:ascii="Arial" w:cs="Arial" w:eastAsia="Arial" w:hAnsi="Arial"/>
          <w:sz w:val="17"/>
          <w:szCs w:val="17"/>
          <w:i w:val="1"/>
          <w:iCs w:val="1"/>
          <w:color w:val="auto"/>
        </w:rPr>
        <w:t>Business Combinations (Topic 805): Disclosure of Supplementary Pro</w:t>
      </w:r>
      <w:r>
        <w:rPr>
          <w:rFonts w:ascii="Arial" w:cs="Arial" w:eastAsia="Arial" w:hAnsi="Arial"/>
          <w:sz w:val="17"/>
          <w:szCs w:val="17"/>
          <w:color w:val="auto"/>
        </w:rPr>
        <w:t xml:space="preserve"> </w:t>
      </w:r>
      <w:r>
        <w:rPr>
          <w:rFonts w:ascii="Arial" w:cs="Arial" w:eastAsia="Arial" w:hAnsi="Arial"/>
          <w:sz w:val="17"/>
          <w:szCs w:val="17"/>
          <w:i w:val="1"/>
          <w:iCs w:val="1"/>
          <w:color w:val="auto"/>
        </w:rPr>
        <w:t>Forma Information for Business Combinations</w:t>
      </w:r>
      <w:r>
        <w:rPr>
          <w:rFonts w:ascii="Arial" w:cs="Arial" w:eastAsia="Arial" w:hAnsi="Arial"/>
          <w:sz w:val="17"/>
          <w:szCs w:val="17"/>
          <w:color w:val="auto"/>
        </w:rPr>
        <w:t>. Update No. 2010-29 clarifies paragraph 805-10-50-2(h) to require public entities that enter into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that are material on an individual or aggregate basis to disclose pro forma information for such business combinations that occurred in the current reporting period, including pro forma revenue and earnings of the combined entity as though the acquisition date had been as of the beginning of the comparable prior annual reporting period only. We did not complete any material business acquisitions during the nine months ended December 31, 2011 thus the disclosure requirements were not applicable for the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exhaustive. See the “Risk Factors” and “Management’s Discussion and Analysis of Financial Condition and Results of Operations” sections contained elsewhere in this report, as well as our Annual Report on Form 10-K for the fiscal year ended April 2,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w:t>
      </w:r>
    </w:p>
    <w:p>
      <w:pPr>
        <w:spacing w:after="0" w:line="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$9.3 million increase in the fair value of the forward contracts; whereas a 10% weakening of the US dollar would result in a $11.0 million decrease in the fair value of the forward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of our long-term debt is at fixed rates. Accordingly, we do not have any material exposure to interest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an evaluation, as of December 31, 2011,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December 31, 2011.</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nine months ended December 31, 2011 that have materially affected, or are reasonably likely to materially affect, the Company’s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Fenwal Patent Litigation</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past five years, we have pursued a patent infringement lawsuit against Fenwal, the details of which are summarized in our Form 10-K for the fiscal year ended April 2, 2011. In January 2010, we were awarded damages and an injunction against Fenwal in connection with this lawsuit.</w:t>
      </w:r>
    </w:p>
    <w:p>
      <w:pPr>
        <w:spacing w:after="0" w:line="38"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On June 2, 2010, the United States Court of Appeals reversed the trial court’s claim construction and, accordingly, vacated the injunction and damages previously awarded to Haemonetics, and remanded the case to the trial court for further proceedings. On September 15, 2011, the trial court granted a summary judgment motion which essentially ended the U.S. case in Fenwal’s favor.</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continue to pursue a patent infringement action in Germany against Fenwal, and its European and German subsidiary, for Fenwal’s infringement of Haemonetics’ corresponding European patent to the Haemonetics patent at issue in the United States litigation. Further details related to these proceedings have been disclosed in our Form 10-K for the fiscal year ended April 2, 2011. There has been no material developments related to these proceedings during the current fiscal year.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Haemonetics Italia Matter</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2008, our subsidiary Haemonetics Italia, Srl. and two of its employees were found guilty by a court in Milan, Italy of charges arising from allegedly improper payments made under a consulting contract with a local physician and in pricing products under a tender from a public hospital. The two employees found guilty in this matter are no longer employed by the Company. This matter dates to 2004 and involved other unrelated companies and individuals. On June 14, 2011, the final level appeals court affirmed these verdicts. There are no further appeals available and the convictions are now final. When the matters first arose, our Board of Directors commissioned independent legal counsel to conduct investigations on its behalf. Based upon its evaluation of counsel's report, the Board concluded that no disciplinary action was warranted in either case. Neither the original ruling nor its final affirmation has impacted the Company's business in Italy to date.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April 2, 2011,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the May 2, 2011 press release, the Company announced that its Board of Directors approved the repurchase of up to $50.0 million worth of Company shares during fiscal year 2012. Through December 31, 2011, the Company repurchased 852,410 shares of its common stock for an aggregate purchase price of $50.0 million. We reflect stock repurchases in our financial statements on a “trade date” basis and as Authorized Unissued (Haemonetics is a Massachusetts company and under Massachusetts law repurchased shares are treated as authorized but unissued).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quarter were made under the publicly announced program. All purchases were made in the open market.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143"/>
              <w:spacing w:after="0"/>
              <w:rPr>
                <w:sz w:val="20"/>
                <w:szCs w:val="20"/>
                <w:color w:val="auto"/>
              </w:rPr>
            </w:pPr>
            <w:r>
              <w:rPr>
                <w:rFonts w:ascii="Arial" w:cs="Arial" w:eastAsia="Arial" w:hAnsi="Arial"/>
                <w:sz w:val="14"/>
                <w:szCs w:val="14"/>
                <w:color w:val="auto"/>
                <w:w w:val="95"/>
              </w:rPr>
              <w:t>Total Dollar Value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143"/>
              <w:spacing w:after="0"/>
              <w:rPr>
                <w:sz w:val="20"/>
                <w:szCs w:val="20"/>
                <w:color w:val="auto"/>
              </w:rPr>
            </w:pPr>
            <w:r>
              <w:rPr>
                <w:rFonts w:ascii="Arial" w:cs="Arial" w:eastAsia="Arial" w:hAnsi="Arial"/>
                <w:sz w:val="14"/>
                <w:szCs w:val="14"/>
                <w:color w:val="auto"/>
              </w:rPr>
              <w:t>Maximum Dollar</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Average Price</w:t>
            </w:r>
          </w:p>
        </w:tc>
        <w:tc>
          <w:tcPr>
            <w:tcW w:w="220" w:type="dxa"/>
            <w:vAlign w:val="bottom"/>
          </w:tcPr>
          <w:p>
            <w:pPr>
              <w:spacing w:after="0"/>
              <w:rPr>
                <w:sz w:val="12"/>
                <w:szCs w:val="12"/>
                <w:color w:val="auto"/>
              </w:rPr>
            </w:pPr>
          </w:p>
        </w:tc>
        <w:tc>
          <w:tcPr>
            <w:tcW w:w="1600" w:type="dxa"/>
            <w:vAlign w:val="bottom"/>
          </w:tcPr>
          <w:p>
            <w:pPr>
              <w:jc w:val="center"/>
              <w:ind w:right="123"/>
              <w:spacing w:after="0" w:line="149" w:lineRule="exact"/>
              <w:rPr>
                <w:sz w:val="20"/>
                <w:szCs w:val="20"/>
                <w:color w:val="auto"/>
              </w:rPr>
            </w:pPr>
            <w:r>
              <w:rPr>
                <w:rFonts w:ascii="Arial" w:cs="Arial" w:eastAsia="Arial" w:hAnsi="Arial"/>
                <w:sz w:val="14"/>
                <w:szCs w:val="14"/>
                <w:color w:val="auto"/>
                <w:w w:val="88"/>
              </w:rPr>
              <w:t>of Shares Purchased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3"/>
              <w:spacing w:after="0" w:line="149" w:lineRule="exact"/>
              <w:rPr>
                <w:sz w:val="20"/>
                <w:szCs w:val="20"/>
                <w:color w:val="auto"/>
              </w:rPr>
            </w:pPr>
            <w:r>
              <w:rPr>
                <w:rFonts w:ascii="Arial" w:cs="Arial" w:eastAsia="Arial" w:hAnsi="Arial"/>
                <w:sz w:val="14"/>
                <w:szCs w:val="14"/>
                <w:color w:val="auto"/>
                <w:w w:val="89"/>
              </w:rPr>
              <w:t>Value of Shares that</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4"/>
              </w:rPr>
              <w:t>Total Number</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9"/>
              </w:rPr>
              <w:t>Paid per Share</w:t>
            </w:r>
          </w:p>
        </w:tc>
        <w:tc>
          <w:tcPr>
            <w:tcW w:w="220" w:type="dxa"/>
            <w:vAlign w:val="bottom"/>
          </w:tcPr>
          <w:p>
            <w:pPr>
              <w:spacing w:after="0"/>
              <w:rPr>
                <w:sz w:val="12"/>
                <w:szCs w:val="12"/>
                <w:color w:val="auto"/>
              </w:rPr>
            </w:pPr>
          </w:p>
        </w:tc>
        <w:tc>
          <w:tcPr>
            <w:tcW w:w="1600" w:type="dxa"/>
            <w:vAlign w:val="bottom"/>
          </w:tcPr>
          <w:p>
            <w:pPr>
              <w:jc w:val="center"/>
              <w:ind w:right="143"/>
              <w:spacing w:after="0" w:line="149" w:lineRule="exact"/>
              <w:rPr>
                <w:sz w:val="20"/>
                <w:szCs w:val="20"/>
                <w:color w:val="auto"/>
              </w:rPr>
            </w:pPr>
            <w:r>
              <w:rPr>
                <w:rFonts w:ascii="Arial" w:cs="Arial" w:eastAsia="Arial" w:hAnsi="Arial"/>
                <w:sz w:val="14"/>
                <w:szCs w:val="14"/>
                <w:color w:val="auto"/>
                <w:w w:val="94"/>
              </w:rPr>
              <w:t>as Part of Publicly</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3"/>
              <w:spacing w:after="0" w:line="149" w:lineRule="exact"/>
              <w:rPr>
                <w:sz w:val="20"/>
                <w:szCs w:val="20"/>
                <w:color w:val="auto"/>
              </w:rPr>
            </w:pPr>
            <w:r>
              <w:rPr>
                <w:rFonts w:ascii="Arial" w:cs="Arial" w:eastAsia="Arial" w:hAnsi="Arial"/>
                <w:sz w:val="14"/>
                <w:szCs w:val="14"/>
                <w:color w:val="auto"/>
                <w:w w:val="93"/>
              </w:rPr>
              <w:t>May Yet be</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including</w:t>
            </w:r>
          </w:p>
        </w:tc>
        <w:tc>
          <w:tcPr>
            <w:tcW w:w="220" w:type="dxa"/>
            <w:vAlign w:val="bottom"/>
          </w:tcPr>
          <w:p>
            <w:pPr>
              <w:spacing w:after="0"/>
              <w:rPr>
                <w:sz w:val="12"/>
                <w:szCs w:val="12"/>
                <w:color w:val="auto"/>
              </w:rPr>
            </w:pPr>
          </w:p>
        </w:tc>
        <w:tc>
          <w:tcPr>
            <w:tcW w:w="1600" w:type="dxa"/>
            <w:vAlign w:val="bottom"/>
          </w:tcPr>
          <w:p>
            <w:pPr>
              <w:jc w:val="center"/>
              <w:ind w:right="123"/>
              <w:spacing w:after="0" w:line="149" w:lineRule="exact"/>
              <w:rPr>
                <w:sz w:val="20"/>
                <w:szCs w:val="20"/>
                <w:color w:val="auto"/>
              </w:rPr>
            </w:pPr>
            <w:r>
              <w:rPr>
                <w:rFonts w:ascii="Arial" w:cs="Arial" w:eastAsia="Arial" w:hAnsi="Arial"/>
                <w:sz w:val="14"/>
                <w:szCs w:val="14"/>
                <w:color w:val="auto"/>
                <w:w w:val="91"/>
              </w:rPr>
              <w:t>Announced Plans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63"/>
              <w:spacing w:after="0" w:line="149" w:lineRule="exact"/>
              <w:rPr>
                <w:sz w:val="20"/>
                <w:szCs w:val="20"/>
                <w:color w:val="auto"/>
              </w:rPr>
            </w:pPr>
            <w:r>
              <w:rPr>
                <w:rFonts w:ascii="Arial" w:cs="Arial" w:eastAsia="Arial" w:hAnsi="Arial"/>
                <w:sz w:val="14"/>
                <w:szCs w:val="14"/>
                <w:color w:val="auto"/>
                <w:w w:val="90"/>
              </w:rPr>
              <w:t>Purchased Under the</w:t>
            </w:r>
          </w:p>
        </w:tc>
        <w:tc>
          <w:tcPr>
            <w:tcW w:w="0" w:type="dxa"/>
            <w:vAlign w:val="bottom"/>
          </w:tcPr>
          <w:p>
            <w:pPr>
              <w:spacing w:after="0"/>
              <w:rPr>
                <w:sz w:val="1"/>
                <w:szCs w:val="1"/>
                <w:color w:val="auto"/>
              </w:rPr>
            </w:pPr>
          </w:p>
        </w:tc>
      </w:tr>
      <w:tr>
        <w:trPr>
          <w:trHeight w:val="188"/>
        </w:trPr>
        <w:tc>
          <w:tcPr>
            <w:tcW w:w="3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Period</w:t>
            </w:r>
          </w:p>
        </w:tc>
        <w:tc>
          <w:tcPr>
            <w:tcW w:w="12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Repurchased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color w:val="auto"/>
                <w:w w:val="92"/>
              </w:rPr>
              <w:t>Commissions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w w:val="93"/>
              </w:rPr>
              <w:t>or Programs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color w:val="auto"/>
                <w:w w:val="91"/>
              </w:rPr>
              <w:t>Plans or Programs</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August 1, 2011 to December 31, 2011</w:t>
            </w:r>
          </w:p>
        </w:tc>
        <w:tc>
          <w:tcPr>
            <w:tcW w:w="1840" w:type="dxa"/>
            <w:vAlign w:val="bottom"/>
          </w:tcPr>
          <w:p>
            <w:pPr>
              <w:jc w:val="right"/>
              <w:ind w:right="41"/>
              <w:spacing w:after="0"/>
              <w:rPr>
                <w:sz w:val="20"/>
                <w:szCs w:val="20"/>
                <w:color w:val="auto"/>
              </w:rPr>
            </w:pPr>
            <w:r>
              <w:rPr>
                <w:rFonts w:ascii="Arial" w:cs="Arial" w:eastAsia="Arial" w:hAnsi="Arial"/>
                <w:sz w:val="18"/>
                <w:szCs w:val="18"/>
                <w:color w:val="auto"/>
              </w:rPr>
              <w:t>852,410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2"/>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23"/>
              <w:spacing w:after="0"/>
              <w:rPr>
                <w:sz w:val="20"/>
                <w:szCs w:val="20"/>
                <w:color w:val="auto"/>
              </w:rPr>
            </w:pPr>
            <w:r>
              <w:rPr>
                <w:rFonts w:ascii="Arial" w:cs="Arial" w:eastAsia="Arial" w:hAnsi="Arial"/>
                <w:sz w:val="18"/>
                <w:szCs w:val="18"/>
                <w:color w:val="auto"/>
              </w:rPr>
              <w:t>49,997,524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3"/>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852,410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2"/>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49,997,524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3"/>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8"/>
                <w:szCs w:val="18"/>
                <w:color w:val="auto"/>
              </w:rPr>
              <w:t>Item 3. Defaults upon Senior Securities</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780" w:type="dxa"/>
            <w:vAlign w:val="bottom"/>
            <w:gridSpan w:val="4"/>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80" w:type="dxa"/>
            <w:vAlign w:val="bottom"/>
            <w:gridSpan w:val="4"/>
          </w:tcPr>
          <w:p>
            <w:pPr>
              <w:spacing w:after="0"/>
              <w:rPr>
                <w:sz w:val="20"/>
                <w:szCs w:val="20"/>
                <w:color w:val="auto"/>
              </w:rPr>
            </w:pPr>
            <w:r>
              <w:rPr>
                <w:rFonts w:ascii="Arial" w:cs="Arial" w:eastAsia="Arial" w:hAnsi="Arial"/>
                <w:sz w:val="18"/>
                <w:szCs w:val="18"/>
                <w:color w:val="auto"/>
              </w:rPr>
              <w:t>Not applicable.</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[Removed and Reserved]</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125" w:right="1440"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71" w:lineRule="exact"/>
        <w:rPr>
          <w:sz w:val="20"/>
          <w:szCs w:val="20"/>
          <w:color w:val="auto"/>
        </w:rPr>
      </w:pPr>
    </w:p>
    <w:p>
      <w:pPr>
        <w:ind w:left="1300" w:right="200" w:hanging="1255"/>
        <w:spacing w:after="0" w:line="277"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Section 302 of Sarbanes-Oxley Act of 2002, of Brian Concannon, President and Chief Executive Officer of the Company</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tcPr>
          <w:p>
            <w:pPr>
              <w:ind w:left="460"/>
              <w:spacing w:after="0"/>
              <w:rPr>
                <w:sz w:val="20"/>
                <w:szCs w:val="20"/>
                <w:color w:val="auto"/>
              </w:rPr>
            </w:pPr>
            <w:r>
              <w:rPr>
                <w:rFonts w:ascii="Arial" w:cs="Arial" w:eastAsia="Arial" w:hAnsi="Arial"/>
                <w:sz w:val="18"/>
                <w:szCs w:val="18"/>
                <w:color w:val="auto"/>
                <w:w w:val="95"/>
              </w:rPr>
              <w:t>Certification pursuant to Section 302 of Sarbanes-Oxley of 2002, of Christopher Lindop, Chief Financial Officer and Vice President</w:t>
            </w:r>
          </w:p>
        </w:tc>
      </w:tr>
      <w:tr>
        <w:trPr>
          <w:trHeight w:val="230"/>
        </w:trPr>
        <w:tc>
          <w:tcPr>
            <w:tcW w:w="80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Business Development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Pr>
          <w:p>
            <w:pPr>
              <w:ind w:left="460"/>
              <w:spacing w:after="0"/>
              <w:rPr>
                <w:sz w:val="20"/>
                <w:szCs w:val="20"/>
                <w:color w:val="auto"/>
              </w:rPr>
            </w:pPr>
            <w:r>
              <w:rPr>
                <w:rFonts w:ascii="Arial" w:cs="Arial" w:eastAsia="Arial" w:hAnsi="Arial"/>
                <w:sz w:val="18"/>
                <w:szCs w:val="18"/>
                <w:color w:val="auto"/>
                <w:w w:val="90"/>
              </w:rPr>
              <w:t>Certification Pursuant to 18 United States Code Section 1350, as adopted Pursuant to Section 906 of the Sarbanes-Oxley Act of 2002, of</w:t>
            </w:r>
          </w:p>
        </w:tc>
      </w:tr>
      <w:tr>
        <w:trPr>
          <w:trHeight w:val="230"/>
        </w:trPr>
        <w:tc>
          <w:tcPr>
            <w:tcW w:w="80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tcPr>
          <w:p>
            <w:pPr>
              <w:ind w:left="460"/>
              <w:spacing w:after="0"/>
              <w:rPr>
                <w:sz w:val="20"/>
                <w:szCs w:val="20"/>
                <w:color w:val="auto"/>
              </w:rPr>
            </w:pPr>
            <w:r>
              <w:rPr>
                <w:rFonts w:ascii="Arial" w:cs="Arial" w:eastAsia="Arial" w:hAnsi="Arial"/>
                <w:sz w:val="18"/>
                <w:szCs w:val="18"/>
                <w:color w:val="auto"/>
                <w:w w:val="90"/>
              </w:rPr>
              <w:t>Certification Pursuant to 18 United States Code Section 1350, as adopted Pursuant to Section 906 of the Sarbanes-Oxley Act of 2002, of</w:t>
            </w:r>
          </w:p>
        </w:tc>
      </w:tr>
      <w:tr>
        <w:trPr>
          <w:trHeight w:val="230"/>
        </w:trPr>
        <w:tc>
          <w:tcPr>
            <w:tcW w:w="80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Christopher Lindop, Chief Financial Officer and Vice President Business Development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340" w:type="dxa"/>
            <w:vAlign w:val="bottom"/>
          </w:tcPr>
          <w:p>
            <w:pPr>
              <w:ind w:left="460"/>
              <w:spacing w:after="0"/>
              <w:rPr>
                <w:sz w:val="20"/>
                <w:szCs w:val="20"/>
                <w:color w:val="auto"/>
              </w:rPr>
            </w:pPr>
            <w:r>
              <w:rPr>
                <w:rFonts w:ascii="Arial" w:cs="Arial" w:eastAsia="Arial" w:hAnsi="Arial"/>
                <w:sz w:val="18"/>
                <w:szCs w:val="18"/>
                <w:color w:val="auto"/>
                <w:w w:val="91"/>
              </w:rPr>
              <w:t>The following materials from Haemonetics Corporation on Form 10-Q for the quarter ended December 31, 2011, formatted in Extensible</w:t>
            </w:r>
          </w:p>
        </w:tc>
      </w:tr>
      <w:tr>
        <w:trPr>
          <w:trHeight w:val="216"/>
        </w:trPr>
        <w:tc>
          <w:tcPr>
            <w:tcW w:w="80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5"/>
              </w:rPr>
              <w:t>Business Reporting Language (XBRL); (i) Consolidated Statements of Income, (ii) Consolidated Balance Sheets, (iii) Consolidated</w:t>
            </w:r>
          </w:p>
        </w:tc>
      </w:tr>
      <w:tr>
        <w:trPr>
          <w:trHeight w:val="230"/>
        </w:trPr>
        <w:tc>
          <w:tcPr>
            <w:tcW w:w="80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hanging="685"/>
        <w:spacing w:after="0" w:line="26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Date: February 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Brian Concannon, President and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Date: February 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125" w:right="3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2012</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2012</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31, 2011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2012</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31, 2011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2012</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2019-12-09T07:48:32Z</dcterms:created>
  <dcterms:modified xsi:type="dcterms:W3CDTF">2019-12-09T07:48:32Z</dcterms:modified>
</cp:coreProperties>
</file>