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120" w:after="12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2"/>
        </w:rPr>
        <w:t xml:space="preserve">Date of Report (Date of earliest event reported): </w:t>
      </w:r>
      <w:r>
        <w:rPr>
          <w:rFonts w:ascii="Times New Roman;serif" w:hAnsi="Times New Roman;serif"/>
          <w:b/>
          <w:color w:val="000000"/>
          <w:sz w:val="22"/>
        </w:rPr>
        <w:t>August 18,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HAEMONETICS CORPORATION </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847" w:type="dxa"/>
        <w:jc w:val="center"/>
        <w:tblInd w:w="0" w:type="dxa"/>
        <w:tblLayout w:type="fixed"/>
        <w:tblCellMar>
          <w:top w:w="28" w:type="dxa"/>
          <w:left w:w="28" w:type="dxa"/>
          <w:bottom w:w="28" w:type="dxa"/>
          <w:right w:w="28" w:type="dxa"/>
        </w:tblCellMar>
      </w:tblPr>
      <w:tblGrid>
        <w:gridCol w:w="814"/>
        <w:gridCol w:w="717"/>
        <w:gridCol w:w="719"/>
        <w:gridCol w:w="109"/>
        <w:gridCol w:w="109"/>
        <w:gridCol w:w="109"/>
        <w:gridCol w:w="762"/>
        <w:gridCol w:w="762"/>
        <w:gridCol w:w="770"/>
        <w:gridCol w:w="109"/>
        <w:gridCol w:w="109"/>
        <w:gridCol w:w="109"/>
        <w:gridCol w:w="481"/>
        <w:gridCol w:w="481"/>
        <w:gridCol w:w="687"/>
      </w:tblGrid>
      <w:tr>
        <w:trPr/>
        <w:tc>
          <w:tcPr>
            <w:tcW w:w="8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001-14041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04-2882273</w:t>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88" w:before="0" w:after="4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4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125 Summer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Boston, MA 02110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lineRule="auto" w:line="288" w:before="120" w:after="24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781-848-7100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10205" w:type="dxa"/>
        <w:jc w:val="center"/>
        <w:tblInd w:w="0" w:type="dxa"/>
        <w:tblLayout w:type="fixed"/>
        <w:tblCellMar>
          <w:top w:w="28" w:type="dxa"/>
          <w:left w:w="28" w:type="dxa"/>
          <w:bottom w:w="28" w:type="dxa"/>
          <w:right w:w="28" w:type="dxa"/>
        </w:tblCellMar>
      </w:tblPr>
      <w:tblGrid>
        <w:gridCol w:w="1681"/>
        <w:gridCol w:w="1478"/>
        <w:gridCol w:w="1478"/>
        <w:gridCol w:w="1976"/>
        <w:gridCol w:w="1478"/>
        <w:gridCol w:w="2114"/>
      </w:tblGrid>
      <w:tr>
        <w:trPr/>
        <w:tc>
          <w:tcPr>
            <w:tcW w:w="1681"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Check the appropriate box below if the Form 8-K filing is intended to simultaneously satisfy the filing obligation of the registrant under any of the following provisions (see General Instruction A.2. below):</w:t>
            </w:r>
          </w:p>
        </w:tc>
      </w:tr>
      <w:tr>
        <w:trPr/>
        <w:tc>
          <w:tcPr>
            <w:tcW w:w="4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463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463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463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10109" w:type="dxa"/>
        <w:jc w:val="center"/>
        <w:tblInd w:w="0" w:type="dxa"/>
        <w:tblLayout w:type="fixed"/>
        <w:tblCellMar>
          <w:top w:w="28" w:type="dxa"/>
          <w:left w:w="28" w:type="dxa"/>
          <w:bottom w:w="28" w:type="dxa"/>
          <w:right w:w="28" w:type="dxa"/>
        </w:tblCellMar>
      </w:tblPr>
      <w:tblGrid>
        <w:gridCol w:w="1420"/>
        <w:gridCol w:w="1255"/>
        <w:gridCol w:w="1255"/>
        <w:gridCol w:w="620"/>
        <w:gridCol w:w="620"/>
        <w:gridCol w:w="620"/>
        <w:gridCol w:w="1258"/>
        <w:gridCol w:w="1258"/>
        <w:gridCol w:w="1803"/>
      </w:tblGrid>
      <w:tr>
        <w:trPr/>
        <w:tc>
          <w:tcPr>
            <w:tcW w:w="142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r>
      <w:tr>
        <w:trPr/>
        <w:tc>
          <w:tcPr>
            <w:tcW w:w="101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Securities registered pursuant to Section 12(b) of the Act:</w:t>
            </w:r>
          </w:p>
        </w:tc>
      </w:tr>
      <w:tr>
        <w:trPr/>
        <w:tc>
          <w:tcPr>
            <w:tcW w:w="101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Title of each class</w:t>
            </w:r>
          </w:p>
        </w:tc>
        <w:tc>
          <w:tcPr>
            <w:tcW w:w="186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Trading Symbol(s)</w:t>
            </w:r>
          </w:p>
        </w:tc>
        <w:tc>
          <w:tcPr>
            <w:tcW w:w="431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Name of each exchange on which registered</w:t>
            </w:r>
          </w:p>
        </w:tc>
      </w:tr>
      <w:tr>
        <w:trPr/>
        <w:tc>
          <w:tcPr>
            <w:tcW w:w="393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Common stock, $.01 par value per share</w:t>
            </w:r>
          </w:p>
        </w:tc>
        <w:tc>
          <w:tcPr>
            <w:tcW w:w="186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HAE</w:t>
            </w:r>
          </w:p>
        </w:tc>
        <w:tc>
          <w:tcPr>
            <w:tcW w:w="431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New York Stock Exchange</w:t>
            </w:r>
          </w:p>
        </w:tc>
      </w:tr>
    </w:tbl>
    <w:tbl>
      <w:tblPr>
        <w:tblW w:w="10205" w:type="dxa"/>
        <w:jc w:val="center"/>
        <w:tblInd w:w="0" w:type="dxa"/>
        <w:tblLayout w:type="fixed"/>
        <w:tblCellMar>
          <w:top w:w="28" w:type="dxa"/>
          <w:left w:w="28" w:type="dxa"/>
          <w:bottom w:w="28" w:type="dxa"/>
          <w:right w:w="28" w:type="dxa"/>
        </w:tblCellMar>
      </w:tblPr>
      <w:tblGrid>
        <w:gridCol w:w="3264"/>
        <w:gridCol w:w="2870"/>
        <w:gridCol w:w="4071"/>
      </w:tblGrid>
      <w:tr>
        <w:trPr/>
        <w:tc>
          <w:tcPr>
            <w:tcW w:w="3264"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Indicate by check mark whether the registrant is an emerging growth company as defined in Rule 405 of the Securities Act of 1933 (§230.405 of this chapter) or Rule 12b-2 of the Securities Exchange Act of 1934 (§240.12b-2 of this chapter).</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2"/>
              </w:rPr>
            </w:pPr>
            <w:r>
              <w:rPr>
                <w:rFonts w:ascii="Times New Roman;serif" w:hAnsi="Times New Roman;serif"/>
                <w:b w:val="false"/>
                <w:color w:val="000000"/>
                <w:sz w:val="22"/>
              </w:rPr>
              <w:t>Emerging Growth Company</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2"/>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7.01  Regulation FD Disclosure</w:t>
      </w:r>
    </w:p>
    <w:p>
      <w:pPr>
        <w:pStyle w:val="TextBody"/>
        <w:bidi w:val="0"/>
        <w:spacing w:lineRule="auto" w:line="288" w:before="0" w:after="180"/>
        <w:jc w:val="both"/>
        <w:rPr/>
      </w:pPr>
      <w:r>
        <w:rPr>
          <w:rFonts w:ascii="Times New Roman;serif" w:hAnsi="Times New Roman;serif"/>
          <w:b w:val="false"/>
          <w:color w:val="000000"/>
          <w:sz w:val="22"/>
        </w:rPr>
        <w:t>On August 14, 2026, Haemonetics Corporation (the “Company”) entered into a supply agreement with CSL Plasma Inc. (“CSL”) pursuant to which CSL may utilize the Company’s NexSys PCS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2"/>
        </w:rPr>
        <w:t>devices with Persona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2"/>
        </w:rPr>
        <w:t>PLUS technology and purchase related disposables in the United States. The supply agreement is non-exclusive and does not contain minimum purchase commitments.</w: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Haemonetics anticipates CSL to transition a portion of its U.S. plasma collection centers to the Company’s devices and disposables, but the scope and timing of implementation have not yet been determined. Accordingly, the Company is not updating its previously issued fiscal 2027 guidance at this time. The Company expects to provide an update regarding the anticipated impact of the agreement on its fiscal 2027 financial results in connection with its second fiscal quarter earnings call in November 2026.</w: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The foregoing information in this Item 7.01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pStyle w:val="TextBody"/>
        <w:bidi w:val="0"/>
        <w:spacing w:lineRule="auto" w:line="288" w:before="0" w:after="180"/>
        <w:jc w:val="both"/>
        <w:rPr>
          <w:rFonts w:ascii="Times New Roman;serif" w:hAnsi="Times New Roman;serif"/>
          <w:b/>
          <w:color w:val="000000"/>
          <w:sz w:val="22"/>
        </w:rPr>
      </w:pPr>
      <w:r>
        <w:rPr>
          <w:rFonts w:ascii="Times New Roman;serif" w:hAnsi="Times New Roman;serif"/>
          <w:b/>
          <w:color w:val="000000"/>
          <w:sz w:val="22"/>
        </w:rPr>
        <w:t>Cautionary Note Regarding Forward-Looking Statements</w: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This Current Report on Form 8-K contains forward-looking statements about the Company’s non-exclusive supply agreement with CSL, including, but not limited to, statements related to the expected utilization of Company products at CSL centers and the Company’s anticipated timing for updates relating to the impact of the agreement on the Company’s fiscal 2027 financial results. Such forward-looking statements are not meant to predict or guarantee actual results, performance, events or circumstances and may not be realized because they are based upon the Company’s current projections, plans, objectives, beliefs, expectations, estimates and assumptions and are subject to a number of risks and uncertainties and other influences. Actual results and the timing of certain events and circumstances may differ materially from those described by the forward-looking statements as a result of these risks and uncertainties, which include, without limitation, customer demand and adoption of the Company’s products, the timing and volume of any purchases by CSL under the agreement, the Company’s ability to manufacture and supply its products, and other factors described in the Company’s filings with the Securities and Exchange Commission. Investors should consult the Company’s filings with the Securities and Exchange Commission (including the Company’s reports on Forms 10-K, 10-Q and 8-K) for information about additional risks and uncertainties that could cause the Company’s actual results to differ materially from those described in this Current Report on Form 8-K. The Company undertakes no duty or obligation to update any forward-looking statements contained in this Current Report on Form 8-K as a result of new information, future events or changes in its expectations.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as amended, the registrant has duly caused this report to be signed on its behalf by the undersigned hereunto duly authorized.</w:t>
      </w:r>
    </w:p>
    <w:tbl>
      <w:tblPr>
        <w:tblW w:w="7519" w:type="dxa"/>
        <w:jc w:val="left"/>
        <w:tblInd w:w="0" w:type="dxa"/>
        <w:tblLayout w:type="fixed"/>
        <w:tblCellMar>
          <w:top w:w="28" w:type="dxa"/>
          <w:left w:w="28" w:type="dxa"/>
          <w:bottom w:w="28" w:type="dxa"/>
          <w:right w:w="28" w:type="dxa"/>
        </w:tblCellMar>
      </w:tblPr>
      <w:tblGrid>
        <w:gridCol w:w="613"/>
        <w:gridCol w:w="539"/>
        <w:gridCol w:w="543"/>
        <w:gridCol w:w="109"/>
        <w:gridCol w:w="109"/>
        <w:gridCol w:w="109"/>
        <w:gridCol w:w="603"/>
        <w:gridCol w:w="603"/>
        <w:gridCol w:w="603"/>
        <w:gridCol w:w="1064"/>
        <w:gridCol w:w="1064"/>
        <w:gridCol w:w="1079"/>
        <w:gridCol w:w="141"/>
        <w:gridCol w:w="141"/>
        <w:gridCol w:w="199"/>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HAEMONETICS CORPORATION</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August 18,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 Christopher A. Simon </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2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Christopher A. Simon</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6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President and Chief Executive Officer</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72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825</Words>
  <Characters>4665</Characters>
  <CharactersWithSpaces>5438</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