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28, 2015</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5900" w:type="dxa"/>
            <w:vAlign w:val="bottom"/>
            <w:gridSpan w:val="2"/>
          </w:tcPr>
          <w:p>
            <w:pPr>
              <w:jc w:val="right"/>
              <w:ind w:right="2264"/>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460" w:type="dxa"/>
            <w:vAlign w:val="bottom"/>
          </w:tcPr>
          <w:p>
            <w:pPr>
              <w:jc w:val="center"/>
              <w:spacing w:after="0"/>
              <w:rPr>
                <w:sz w:val="20"/>
                <w:szCs w:val="20"/>
                <w:color w:val="auto"/>
              </w:rPr>
            </w:pPr>
            <w:r>
              <w:rPr>
                <w:rFonts w:ascii="Arial" w:cs="Arial" w:eastAsia="Arial" w:hAnsi="Arial"/>
                <w:sz w:val="14"/>
                <w:szCs w:val="14"/>
                <w:i w:val="1"/>
                <w:iCs w:val="1"/>
                <w:color w:val="auto"/>
                <w:w w:val="95"/>
              </w:rPr>
              <w:t>(State or other jurisdiction of</w:t>
            </w:r>
          </w:p>
        </w:tc>
        <w:tc>
          <w:tcPr>
            <w:tcW w:w="34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460" w:type="dxa"/>
            <w:vAlign w:val="bottom"/>
          </w:tcPr>
          <w:p>
            <w:pPr>
              <w:jc w:val="center"/>
              <w:spacing w:after="0"/>
              <w:rPr>
                <w:sz w:val="20"/>
                <w:szCs w:val="20"/>
                <w:color w:val="auto"/>
              </w:rPr>
            </w:pPr>
            <w:r>
              <w:rPr>
                <w:rFonts w:ascii="Arial" w:cs="Arial" w:eastAsia="Arial" w:hAnsi="Arial"/>
                <w:sz w:val="14"/>
                <w:szCs w:val="14"/>
                <w:i w:val="1"/>
                <w:iCs w:val="1"/>
                <w:color w:val="auto"/>
                <w:w w:val="97"/>
              </w:rPr>
              <w:t>incorporation or organization)</w:t>
            </w:r>
          </w:p>
        </w:tc>
        <w:tc>
          <w:tcPr>
            <w:tcW w:w="34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58"/>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400 Wood Road,</w:t>
            </w:r>
          </w:p>
        </w:tc>
        <w:tc>
          <w:tcPr>
            <w:tcW w:w="3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8"/>
              </w:rPr>
              <w:t>Braintree, Massachusetts 02184-9114</w:t>
            </w:r>
          </w:p>
        </w:tc>
        <w:tc>
          <w:tcPr>
            <w:tcW w:w="5900" w:type="dxa"/>
            <w:vAlign w:val="bottom"/>
            <w:gridSpan w:val="2"/>
          </w:tcPr>
          <w:p>
            <w:pPr>
              <w:jc w:val="right"/>
              <w:ind w:right="2144"/>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460" w:type="dxa"/>
            <w:vAlign w:val="bottom"/>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340" w:type="dxa"/>
            <w:vAlign w:val="bottom"/>
          </w:tcPr>
          <w:p>
            <w:pPr>
              <w:spacing w:after="0"/>
              <w:rPr>
                <w:sz w:val="17"/>
                <w:szCs w:val="17"/>
                <w:color w:val="auto"/>
              </w:rPr>
            </w:pP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309"/>
        </w:trPr>
        <w:tc>
          <w:tcPr>
            <w:tcW w:w="1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9"/>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3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460" w:type="dxa"/>
            <w:vAlign w:val="bottom"/>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21"/>
                <w:szCs w:val="21"/>
                <w:color w:val="auto"/>
              </w:rPr>
            </w:pP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9"/>
        </w:trPr>
        <w:tc>
          <w:tcPr>
            <w:tcW w:w="1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34"/>
        </w:trPr>
        <w:tc>
          <w:tcPr>
            <w:tcW w:w="5460" w:type="dxa"/>
            <w:vAlign w:val="bottom"/>
          </w:tcPr>
          <w:p>
            <w:pPr>
              <w:spacing w:after="0"/>
              <w:rPr>
                <w:sz w:val="20"/>
                <w:szCs w:val="20"/>
                <w:color w:val="auto"/>
              </w:rPr>
            </w:pPr>
          </w:p>
        </w:tc>
        <w:tc>
          <w:tcPr>
            <w:tcW w:w="5900" w:type="dxa"/>
            <w:vAlign w:val="bottom"/>
            <w:gridSpan w:val="2"/>
          </w:tcPr>
          <w:p>
            <w:pPr>
              <w:jc w:val="center"/>
              <w:ind w:right="5304"/>
              <w:spacing w:after="0"/>
              <w:rPr>
                <w:sz w:val="20"/>
                <w:szCs w:val="20"/>
                <w:color w:val="auto"/>
              </w:rPr>
            </w:pPr>
            <w:r>
              <w:rPr>
                <w:rFonts w:ascii="Arial" w:cs="Arial" w:eastAsia="Arial" w:hAnsi="Arial"/>
                <w:sz w:val="18"/>
                <w:szCs w:val="18"/>
                <w:b w:val="1"/>
                <w:bCs w:val="1"/>
                <w:color w:val="auto"/>
                <w:w w:val="88"/>
              </w:rPr>
              <w:t>None</w:t>
            </w:r>
          </w:p>
        </w:tc>
      </w:tr>
    </w:tbl>
    <w:p>
      <w:pPr>
        <w:ind w:left="340" w:right="980"/>
        <w:spacing w:after="0" w:line="253"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whether the registrant is not required to file reports pursuant to Section 13 or 15(d) of the Act. Yes o No </w:t>
      </w:r>
      <w:r>
        <w:rPr>
          <w:rFonts w:ascii="MS PGothic" w:cs="MS PGothic" w:eastAsia="MS PGothic" w:hAnsi="MS PGothic"/>
          <w:sz w:val="16"/>
          <w:szCs w:val="16"/>
          <w:color w:val="auto"/>
        </w:rPr>
        <w:t>☑</w:t>
      </w:r>
    </w:p>
    <w:p>
      <w:pPr>
        <w:jc w:val="both"/>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ind w:right="16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jc w:val="both"/>
        <w:ind w:firstLine="324"/>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0" w:lineRule="exact"/>
        <w:rPr>
          <w:sz w:val="24"/>
          <w:szCs w:val="24"/>
          <w:color w:val="auto"/>
        </w:rPr>
      </w:pPr>
    </w:p>
    <w:p>
      <w:pPr>
        <w:ind w:left="2780" w:right="460" w:hanging="4603"/>
        <w:spacing w:after="0" w:line="238" w:lineRule="exact"/>
        <w:tabs>
          <w:tab w:leader="none" w:pos="27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44" w:lineRule="exact"/>
        <w:rPr>
          <w:sz w:val="24"/>
          <w:szCs w:val="24"/>
          <w:color w:val="auto"/>
        </w:rPr>
      </w:pPr>
    </w:p>
    <w:p>
      <w:pPr>
        <w:ind w:left="340"/>
        <w:spacing w:after="0" w:line="196" w:lineRule="exact"/>
        <w:tabs>
          <w:tab w:leader="none" w:pos="9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324"/>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(assuming for these purposes that all executive officers and directors are “affiliates” of the registrant) as of September 27, 2014, the last business day of the registrant’s most recently completed second fiscal quarter was $1,777,275,792 (based on the closing sale price of the registrant’s common stock on that date as reported on the New York Stock Exchange).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$0.01 par value common stock outstanding as of April 25, 2015 was 51,682,698.</w:t>
      </w:r>
    </w:p>
    <w:p>
      <w:pPr>
        <w:spacing w:after="0" w:line="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Portions of the definitive proxy statement for our Annual Meeting of Shareholders to be held on July 21, 2015 are incorporated by reference in Part III of this report.</w:t>
      </w:r>
    </w:p>
    <w:p>
      <w:pPr>
        <w:sectPr>
          <w:pgSz w:w="11900" w:h="16838" w:orient="portrait"/>
          <w:cols w:equalWidth="0" w:num="1">
            <w:col w:w="11360"/>
          </w:cols>
          <w:pgMar w:left="240" w:top="46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420" w:type="dxa"/>
            <w:vAlign w:val="bottom"/>
            <w:gridSpan w:val="19"/>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80" w:type="dxa"/>
            <w:vAlign w:val="bottom"/>
            <w:gridSpan w:val="11"/>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9">
              <w:r>
                <w:rPr>
                  <w:rFonts w:ascii="Arial" w:cs="Arial" w:eastAsia="Arial" w:hAnsi="Arial"/>
                  <w:sz w:val="17"/>
                  <w:szCs w:val="17"/>
                  <w:color w:val="0000EE"/>
                  <w:w w:val="73"/>
                </w:rPr>
                <w:t>17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Legal Proceedings</w:t>
              </w:r>
            </w:hyperlink>
          </w:p>
        </w:tc>
        <w:tc>
          <w:tcPr>
            <w:tcW w:w="8100" w:type="dxa"/>
            <w:vAlign w:val="bottom"/>
            <w:gridSpan w:val="15"/>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19">
              <w:r>
                <w:rPr>
                  <w:rFonts w:ascii="Arial" w:cs="Arial" w:eastAsia="Arial" w:hAnsi="Arial"/>
                  <w:sz w:val="17"/>
                  <w:szCs w:val="17"/>
                  <w:color w:val="0000EE"/>
                  <w:w w:val="73"/>
                </w:rPr>
                <w:t>17</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7640" w:type="dxa"/>
            <w:vAlign w:val="bottom"/>
            <w:gridSpan w:val="1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18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4A.</w:t>
            </w:r>
          </w:p>
        </w:tc>
        <w:tc>
          <w:tcPr>
            <w:tcW w:w="1320" w:type="dxa"/>
            <w:vAlign w:val="bottom"/>
            <w:gridSpan w:val="4"/>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Executive Officers</w:t>
              </w:r>
            </w:hyperlink>
          </w:p>
        </w:tc>
        <w:tc>
          <w:tcPr>
            <w:tcW w:w="460" w:type="dxa"/>
            <w:vAlign w:val="bottom"/>
            <w:gridSpan w:val="2"/>
          </w:tcPr>
          <w:p>
            <w:pPr>
              <w:spacing w:after="0"/>
              <w:rPr>
                <w:sz w:val="21"/>
                <w:szCs w:val="21"/>
                <w:color w:val="auto"/>
              </w:rPr>
            </w:pPr>
          </w:p>
        </w:tc>
        <w:tc>
          <w:tcPr>
            <w:tcW w:w="7640" w:type="dxa"/>
            <w:vAlign w:val="bottom"/>
            <w:gridSpan w:val="1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18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Consolidated Financial Data</w:t>
              </w:r>
            </w:hyperlink>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1"/>
                <w:szCs w:val="21"/>
                <w:color w:val="auto"/>
              </w:rPr>
            </w:pPr>
          </w:p>
        </w:tc>
        <w:tc>
          <w:tcPr>
            <w:tcW w:w="296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43</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Financial Statements and Supplementary Data</w:t>
              </w:r>
            </w:hyperlink>
          </w:p>
        </w:tc>
        <w:tc>
          <w:tcPr>
            <w:tcW w:w="980" w:type="dxa"/>
            <w:vAlign w:val="bottom"/>
          </w:tcPr>
          <w:p>
            <w:pPr>
              <w:spacing w:after="0"/>
              <w:rPr>
                <w:sz w:val="21"/>
                <w:szCs w:val="21"/>
                <w:color w:val="auto"/>
              </w:rPr>
            </w:pPr>
          </w:p>
        </w:tc>
        <w:tc>
          <w:tcPr>
            <w:tcW w:w="51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46</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1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 and Procedures</w:t>
              </w:r>
            </w:hyperlink>
          </w:p>
        </w:tc>
        <w:tc>
          <w:tcPr>
            <w:tcW w:w="294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7">
              <w:r>
                <w:rPr>
                  <w:rFonts w:ascii="Arial" w:cs="Arial" w:eastAsia="Arial" w:hAnsi="Arial"/>
                  <w:sz w:val="17"/>
                  <w:szCs w:val="17"/>
                  <w:color w:val="0000EE"/>
                  <w:w w:val="73"/>
                </w:rPr>
                <w:t>86</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Other Information</w:t>
              </w:r>
            </w:hyperlink>
          </w:p>
        </w:tc>
        <w:tc>
          <w:tcPr>
            <w:tcW w:w="380" w:type="dxa"/>
            <w:vAlign w:val="bottom"/>
          </w:tcPr>
          <w:p>
            <w:pPr>
              <w:spacing w:after="0"/>
              <w:rPr>
                <w:sz w:val="21"/>
                <w:szCs w:val="21"/>
                <w:color w:val="auto"/>
              </w:rPr>
            </w:pPr>
          </w:p>
        </w:tc>
        <w:tc>
          <w:tcPr>
            <w:tcW w:w="7720" w:type="dxa"/>
            <w:vAlign w:val="bottom"/>
            <w:gridSpan w:val="14"/>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88</w:t>
              </w:r>
            </w:hyperlink>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1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382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r>
      <w:tr>
        <w:trPr>
          <w:trHeight w:val="20"/>
        </w:trPr>
        <w:tc>
          <w:tcPr>
            <w:tcW w:w="11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21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1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20" w:type="dxa"/>
            <w:vAlign w:val="bottom"/>
            <w:tcBorders>
              <w:left w:val="single" w:sz="8" w:color="0000EE"/>
            </w:tcBorders>
            <w:gridSpan w:val="3"/>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10"/>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Principal Accounting Fees and Services</w:t>
              </w:r>
            </w:hyperlink>
          </w:p>
        </w:tc>
        <w:tc>
          <w:tcPr>
            <w:tcW w:w="2520" w:type="dxa"/>
            <w:vAlign w:val="bottom"/>
            <w:gridSpan w:val="3"/>
          </w:tcPr>
          <w:p>
            <w:pPr>
              <w:spacing w:after="0"/>
              <w:rPr>
                <w:sz w:val="21"/>
                <w:szCs w:val="21"/>
                <w:color w:val="auto"/>
              </w:rPr>
            </w:pPr>
          </w:p>
        </w:tc>
        <w:tc>
          <w:tcPr>
            <w:tcW w:w="4020" w:type="dxa"/>
            <w:vAlign w:val="bottom"/>
            <w:gridSpan w:val="6"/>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r>
      <w:tr>
        <w:trPr>
          <w:trHeight w:val="20"/>
        </w:trPr>
        <w:tc>
          <w:tcPr>
            <w:tcW w:w="1140" w:type="dxa"/>
            <w:vAlign w:val="bottom"/>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1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80" w:top="688"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347"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 When used in this report, the terms “we,” “us,” “our” and “the Company” mean Haemonetics.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Blood and its components (plasma, platelets, and red cells) have many vital - and frequently life-saving -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Haemonetics is committed to helping our customers create and maintain a safe and efficient blood supply chain. Specifically, we develop and market a wide range of blood collection and processing systems used with plasma and blood donors that collect and process blood into its components using both manual and automated methods. We also develop and market a variety of systems to hospitals that automate the cleaning and reinfusion of a surgical patient's own blood, automate the tracking and distribution of blood in the hospital, and enhance blood diagnostics. We also sell information technology platforms to promote efficient and compliant operations for all of our customer groups. Finally, we provide consulting services to reduce costs and improve operating efficiencies in blood management. By better understanding our customers' needs, we are creating comprehensive blood management solutions for blood collectors and healthcare systems in approximately 100 countries around the world.</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Haemonetics was founded in 1971 as a medical device company — a pioneer and market leader in developing and manufacturing automated blood component collection devices and surgical blood salvage devices. In May 1991, we completed an initial public offering and to this day remain an independent company.</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2012, we entered the market for manual whole blood collections with the acquisition of Pall Corporation’s blood collection, filtration and processing product lines. This acquisition provides access to whole blood markets, manual collection and control over filter manufacturing.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and Products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Lines</w:t>
      </w:r>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We serve three customer segments: manufacturers of plasma derived pharmaceuticals, blood collectors, and hospitals. We report revenues for multiple product lines under four global product categories: </w:t>
      </w:r>
      <w:r>
        <w:rPr>
          <w:rFonts w:ascii="Arial" w:cs="Arial" w:eastAsia="Arial" w:hAnsi="Arial"/>
          <w:sz w:val="17"/>
          <w:szCs w:val="17"/>
          <w:b w:val="1"/>
          <w:bCs w:val="1"/>
          <w:color w:val="auto"/>
        </w:rPr>
        <w:t>Plasma, Blood Center, Hospital,</w:t>
      </w:r>
      <w:r>
        <w:rPr>
          <w:rFonts w:ascii="Arial" w:cs="Arial" w:eastAsia="Arial" w:hAnsi="Arial"/>
          <w:sz w:val="17"/>
          <w:szCs w:val="17"/>
          <w:color w:val="auto"/>
        </w:rPr>
        <w:t xml:space="preserve"> and </w:t>
      </w:r>
      <w:r>
        <w:rPr>
          <w:rFonts w:ascii="Arial" w:cs="Arial" w:eastAsia="Arial" w:hAnsi="Arial"/>
          <w:sz w:val="17"/>
          <w:szCs w:val="17"/>
          <w:b w:val="1"/>
          <w:bCs w:val="1"/>
          <w:color w:val="auto"/>
        </w:rPr>
        <w:t>Software Solutions</w:t>
      </w:r>
      <w:r>
        <w:rPr>
          <w:rFonts w:ascii="Arial" w:cs="Arial" w:eastAsia="Arial" w:hAnsi="Arial"/>
          <w:sz w:val="17"/>
          <w:szCs w:val="17"/>
          <w:color w:val="auto"/>
        </w:rPr>
        <w:t>. “Plasma” includes plasma collection devices and disposables. “Blood Center” includes blood collection and processing devices and disposables. “Hospital” includes surgical blood salvage and blood demand diagnostic devices and disposables. “Software Solutions” includes information technology platforms and consulting services provided to all three markets. Although we address our customers' needs through multiple product lines, we manage our business as five operating segments based primarily on geography; North America Plasma, North America Blood Center and Hospital, Europe, Asia Pacific and Japan. However, for financial reporting purposes we aggregate our five operating segments into one reportable segment as they are economically similar.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financial information required for segments is included herein in Note 15 of the financial statements, entitled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134" w:lineRule="exact"/>
        <w:rPr>
          <w:rFonts w:ascii="Arial" w:cs="Arial" w:eastAsia="Arial" w:hAnsi="Arial"/>
          <w:sz w:val="18"/>
          <w:szCs w:val="18"/>
          <w:b w:val="1"/>
          <w:bCs w:val="1"/>
          <w:color w:val="auto"/>
        </w:rPr>
      </w:pPr>
    </w:p>
    <w:p>
      <w:pPr>
        <w:ind w:left="660" w:right="220"/>
        <w:spacing w:after="0" w:line="276"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The Plasma Collection Market for Fractionation </w:t>
      </w:r>
      <w:r>
        <w:rPr>
          <w:rFonts w:ascii="Arial" w:cs="Arial" w:eastAsia="Arial" w:hAnsi="Arial"/>
          <w:sz w:val="17"/>
          <w:szCs w:val="17"/>
          <w:color w:val="auto"/>
        </w:rPr>
        <w:t>— Human plasma is collected and processed by bio-pharmaceutical companies into therapeutic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diagnostic products that aid in the treatment of immune diseases and coagulation disorders. While plasma is also used to aid patients with extreme blood loss, such as trauma victims, bio-pharmaceutical companies solely focus on plasma's pharmaceutical uses. Automated plasma collection technology allows for the safe and efficient collection of plasma. We manufacture and market automated plasma collection devices and respective disposables, but do not make plasma-derived pharmaceuticals.</w:t>
      </w:r>
    </w:p>
    <w:p>
      <w:pPr>
        <w:spacing w:after="0" w:line="77"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Many bio-pharmaceutical companies are vertically integrated in all components of their business and thus are now collecting and fractionating the plasma required to manufacture their pharmaceuticals. This vertical integration paved the way for highly efficient plasma supply chain management and the plasma industry leverages information technology to manage operations from the point of plasma donation to fractionation to the production of the final product.</w:t>
      </w:r>
    </w:p>
    <w:p>
      <w:pPr>
        <w:spacing w:after="0" w:line="200"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Plasma Products </w:t>
      </w:r>
      <w:r>
        <w:rPr>
          <w:rFonts w:ascii="Arial" w:cs="Arial" w:eastAsia="Arial" w:hAnsi="Arial"/>
          <w:sz w:val="18"/>
          <w:szCs w:val="18"/>
          <w:color w:val="auto"/>
        </w:rPr>
        <w:t>— Our portfolio of products and services is designed to support multiple facets of plasma collector operations.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long-standing commitment to understanding our customers' collection and fractionation processes. As a result, we deliver product quality and reliability; design equipment that is durable, dependable, and easy to use; comprehensive training and support, and strong business continuity practices.</w:t>
      </w:r>
    </w:p>
    <w:p>
      <w:pPr>
        <w:spacing w:after="0" w:line="92" w:lineRule="exact"/>
        <w:rPr>
          <w:rFonts w:ascii="Arial" w:cs="Arial" w:eastAsia="Arial" w:hAnsi="Arial"/>
          <w:sz w:val="18"/>
          <w:szCs w:val="18"/>
          <w:b w:val="1"/>
          <w:bCs w:val="1"/>
          <w:color w:val="auto"/>
        </w:rPr>
      </w:pPr>
    </w:p>
    <w:p>
      <w:pPr>
        <w:ind w:left="660" w:right="6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Historically, plasma for fractionation was collected manually, which was time-consuming, labor-intensive, produced relatively poor yields, and posed risk to donors. 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automated plasma collection technology, more plasma can be collected during any one donation event because the other blood components are returned to the donor through the sterile disposable sets used for the plasma donation procedure.</w:t>
      </w:r>
    </w:p>
    <w:p>
      <w:pPr>
        <w:spacing w:after="0" w:line="73" w:lineRule="exact"/>
        <w:rPr>
          <w:rFonts w:ascii="Arial" w:cs="Arial" w:eastAsia="Arial" w:hAnsi="Arial"/>
          <w:sz w:val="18"/>
          <w:szCs w:val="18"/>
          <w:b w:val="1"/>
          <w:bCs w:val="1"/>
          <w:color w:val="auto"/>
        </w:rPr>
      </w:pPr>
    </w:p>
    <w:p>
      <w:pPr>
        <w:ind w:left="660" w:right="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plasma collection equipment and disposables, plasma collection containers, and intravenous solutions.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11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Our plasma disposables product line represented 35.1%, 31.1%, and 30.1% of our total revenue in fiscal 2015, 2014 and 2013, respectively.</w:t>
      </w:r>
    </w:p>
    <w:p>
      <w:pPr>
        <w:spacing w:after="0" w:line="246"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242" w:lineRule="exact"/>
        <w:rPr>
          <w:rFonts w:ascii="Arial" w:cs="Arial" w:eastAsia="Arial" w:hAnsi="Arial"/>
          <w:sz w:val="18"/>
          <w:szCs w:val="18"/>
          <w:b w:val="1"/>
          <w:bCs w:val="1"/>
          <w:color w:val="auto"/>
        </w:rPr>
      </w:pPr>
    </w:p>
    <w:p>
      <w:pPr>
        <w:ind w:left="660" w:right="42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Blood Collection Market for Transfusion </w:t>
      </w:r>
      <w:r>
        <w:rPr>
          <w:rFonts w:ascii="Arial" w:cs="Arial" w:eastAsia="Arial" w:hAnsi="Arial"/>
          <w:sz w:val="16"/>
          <w:szCs w:val="16"/>
          <w:color w:val="auto"/>
        </w:rPr>
        <w:t>— There are millions of blood donations throughout the world every year that produce blood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for transfusion to surgical, trauma, or chronically ill patients. Patients typically receive only the blood components necessary to treat a particular clinical condition: for example, red cells to surgical patients, platelets to cancer patients, and plasma to trauma victims.</w:t>
      </w:r>
    </w:p>
    <w:p>
      <w:pPr>
        <w:spacing w:after="0" w:line="52"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Platelet therapy is frequently used to alleviate the effects of chemotherapy and help patients with bleeding disorders. Red cells are often transfused to patients to replace blood lost during surgery. Red cells are also transfused to patients with blood disorders, such as sickle cell anemia or aplastic anemia. Plasma, in addition to its role in creating life-saving pharmaceuticals, is frequently transfused to trauma victims and to replace blood volume lost during surgery.</w:t>
      </w:r>
    </w:p>
    <w:p>
      <w:pPr>
        <w:spacing w:after="0" w:line="186" w:lineRule="exact"/>
        <w:rPr>
          <w:rFonts w:ascii="Arial" w:cs="Arial" w:eastAsia="Arial" w:hAnsi="Arial"/>
          <w:sz w:val="18"/>
          <w:szCs w:val="18"/>
          <w:b w:val="1"/>
          <w:bCs w:val="1"/>
          <w:color w:val="auto"/>
        </w:rPr>
      </w:pPr>
    </w:p>
    <w:p>
      <w:pPr>
        <w:ind w:left="6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demand for blood varies across the world. While overall we expect total demand to remain stable, demand in individual markets can vary greatly. Highly populated emerging market countries are seeing demand growth as they expand healthcare coverage. As greater numbers of people gain access to more advanced medical treatment, demand for blood components, plasma-derived drugs, and surgical procedures increases. In more mature markets, the development of less invasive, lower blood loss procedures and better blood management has offset the demand increases from aging populations. This is particularly true in the United States, where we saw collections decline by approximately 10% in fiscal 2015 and we expect this trend to moderate in fiscal 2016.</w:t>
      </w:r>
    </w:p>
    <w:p>
      <w:pPr>
        <w:spacing w:after="0" w:line="193"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Most donations worldwide are manual whole blood donations. In this process, whole blood is collected from the donor and then transported to a laboratory where it is separated into its components: red cells, platelets and/or plasma.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In addition to manual collections, there is a significant market for automated component blood collections. In this procedure, the blood 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 especially red cells where our automated system supports collection of two units from eligible donors.</w:t>
      </w:r>
    </w:p>
    <w:p>
      <w:pPr>
        <w:spacing w:after="0" w:line="202"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b w:val="1"/>
          <w:bCs w:val="1"/>
          <w:i w:val="1"/>
          <w:iCs w:val="1"/>
          <w:color w:val="auto"/>
        </w:rPr>
        <w:t xml:space="preserve">Haemonetics’ Blood Center Products </w:t>
      </w:r>
      <w:r>
        <w:rPr>
          <w:rFonts w:ascii="Arial" w:cs="Arial" w:eastAsia="Arial" w:hAnsi="Arial"/>
          <w:sz w:val="18"/>
          <w:szCs w:val="18"/>
          <w:color w:val="auto"/>
        </w:rPr>
        <w:t>— Today, Haemonetics offers automated blood component and manual whole blood collection systems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collection centers to collect blood products efficiently and cost effectively.</w:t>
      </w:r>
    </w:p>
    <w:p>
      <w:pPr>
        <w:spacing w:after="0" w:line="76" w:lineRule="exact"/>
        <w:rPr>
          <w:sz w:val="20"/>
          <w:szCs w:val="20"/>
          <w:color w:val="auto"/>
        </w:rPr>
      </w:pPr>
    </w:p>
    <w:p>
      <w:pPr>
        <w:ind w:left="660" w:right="20"/>
        <w:spacing w:after="0" w:line="217" w:lineRule="auto"/>
        <w:rPr>
          <w:sz w:val="20"/>
          <w:szCs w:val="20"/>
          <w:color w:val="auto"/>
        </w:rPr>
      </w:pPr>
      <w:r>
        <w:rPr>
          <w:rFonts w:ascii="Arial" w:cs="Arial" w:eastAsia="Arial" w:hAnsi="Arial"/>
          <w:sz w:val="17"/>
          <w:szCs w:val="17"/>
          <w:color w:val="auto"/>
        </w:rPr>
        <w:t>We market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(Multicomponent Collection System) brand apheresis equipment which is designed to collect specific blood components integrated from the donor. Utilizing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automated platelet collection protocols, blood centers collect one or more therapeutic “doses” of platelets during a single donation.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to collect one unit of red cells and a "jumbo" (double) unit of plasma, or one unit of red cells and one unit of platelets from a single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112" w:lineRule="exact"/>
        <w:rPr>
          <w:sz w:val="20"/>
          <w:szCs w:val="20"/>
          <w:color w:val="auto"/>
        </w:rPr>
      </w:pPr>
    </w:p>
    <w:p>
      <w:pPr>
        <w:ind w:left="660" w:right="20"/>
        <w:spacing w:after="0" w:line="260" w:lineRule="auto"/>
        <w:rPr>
          <w:sz w:val="20"/>
          <w:szCs w:val="20"/>
          <w:color w:val="auto"/>
        </w:rPr>
      </w:pPr>
      <w:r>
        <w:rPr>
          <w:rFonts w:ascii="Arial" w:cs="Arial" w:eastAsia="Arial" w:hAnsi="Arial"/>
          <w:sz w:val="16"/>
          <w:szCs w:val="16"/>
          <w:color w:val="auto"/>
        </w:rPr>
        <w:t>With the whole blood acquisition, Haemonetics now also offers a portfolio of products for manual whole blood collection and processing. The assets acquired provide us with filter technology and manufacturing capability as well as a broad portfolio of manual collection, filtration and processing products. Haemonetics' portfolio of disposable whole blood collection and component storage sets offer flexibility in collecting a unit of whole blood and the subsequent production and storage of the red blood cell, platelet, and/or plasma products, including options for in-line or dockable filters for leukoreduction of any blood component. In addition, our innovative Acrodose</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product line provides a closed system for the pooling, storage, and bacteria testing of leukoreduced whole blood derived platelet concentrates, an Acrodose</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Platelet, that is “transfusion ready” for the hospital. Use of Acrodose platelets lowers hospital handling costs by eliminating the need for pooling and bacteria testing at the hospital.</w:t>
      </w:r>
    </w:p>
    <w:p>
      <w:pPr>
        <w:spacing w:after="0" w:line="89"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small bench-top solution to automate the washing and freezing of red cell components in the lab.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catastrophe cases, storage of rare blood types, or enhanced inventory management.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blood center disposables product line represented 37.3%, 41.5%, and 40.1% of our total revenue in fiscal 2015, 2014 and 2013, respectively.</w:t>
      </w:r>
    </w:p>
    <w:p>
      <w:pPr>
        <w:spacing w:after="0" w:line="2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4" w:lineRule="exact"/>
        <w:rPr>
          <w:rFonts w:ascii="Arial" w:cs="Arial" w:eastAsia="Arial" w:hAnsi="Arial"/>
          <w:sz w:val="18"/>
          <w:szCs w:val="18"/>
          <w:b w:val="1"/>
          <w:bCs w:val="1"/>
          <w:color w:val="auto"/>
        </w:rPr>
      </w:pPr>
    </w:p>
    <w:p>
      <w:pPr>
        <w:ind w:left="660" w:right="4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Transfusion Market for Hospitals </w:t>
      </w:r>
      <w:r>
        <w:rPr>
          <w:rFonts w:ascii="Arial" w:cs="Arial" w:eastAsia="Arial" w:hAnsi="Arial"/>
          <w:sz w:val="18"/>
          <w:szCs w:val="18"/>
          <w:color w:val="auto"/>
        </w:rPr>
        <w:t>— Loss of blood is common in many surgical procedures, including open heart, trauma, transplant, vascular,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orthopedic procedures, and the need for transfusion of oxygen-carrying red cells to make up for lost blood volume is routine. Patients commonly receive donor blood, referred to as “allogeneic blood,” which carries various risks including risk of transfusion with the wrong blood type; risk of transfusion reactions including death, but more commonly chills, fevers or other side effects that can prolong a patient’s recovery; and risk of transfusion of blood with a blood-borne disease or infectious agent.</w:t>
      </w:r>
    </w:p>
    <w:p>
      <w:pPr>
        <w:spacing w:after="0" w:line="93" w:lineRule="exact"/>
        <w:rPr>
          <w:rFonts w:ascii="Arial" w:cs="Arial" w:eastAsia="Arial" w:hAnsi="Arial"/>
          <w:sz w:val="18"/>
          <w:szCs w:val="18"/>
          <w:b w:val="1"/>
          <w:bCs w:val="1"/>
          <w:color w:val="auto"/>
        </w:rPr>
      </w:pPr>
    </w:p>
    <w:p>
      <w:pPr>
        <w:ind w:left="6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and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surgical suite service providers.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With the whole blood acquisition, Haemonetics now offers filtration products for the hospital. These filters are used during the blood transfusion process for reduction of particulate debris, fat globules and leukocytes in the blood components.</w:t>
      </w:r>
    </w:p>
    <w:p>
      <w:pPr>
        <w:spacing w:after="0" w:line="184"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b w:val="1"/>
          <w:bCs w:val="1"/>
          <w:i w:val="1"/>
          <w:iCs w:val="1"/>
          <w:color w:val="auto"/>
        </w:rPr>
        <w:t xml:space="preserve">Haemonetics’ Hospital Products </w:t>
      </w:r>
      <w:r>
        <w:rPr>
          <w:rFonts w:ascii="Arial" w:cs="Arial" w:eastAsia="Arial" w:hAnsi="Arial"/>
          <w:sz w:val="17"/>
          <w:szCs w:val="17"/>
          <w:color w:val="auto"/>
        </w:rPr>
        <w:t>— Haemonetics offers a range of blood management solutions that significantly improve a hospital's systems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acquiring blood, storing it in the hospital, and dispensing it efficiently and correctly. Over the last few years, hospitals have become increasingly aware of their need to control costs and improve patient safety by managing blood more effectively. Our products and integrated solution platforms help hospitals optimize performance of blood acquisition, storage, and distribution.</w:t>
      </w:r>
    </w:p>
    <w:p>
      <w:pPr>
        <w:spacing w:after="0" w:line="171" w:lineRule="exact"/>
        <w:rPr>
          <w:sz w:val="20"/>
          <w:szCs w:val="20"/>
          <w:color w:val="auto"/>
        </w:rPr>
      </w:pPr>
    </w:p>
    <w:p>
      <w:pPr>
        <w:ind w:left="660" w:right="200"/>
        <w:spacing w:after="0" w:line="254" w:lineRule="auto"/>
        <w:rPr>
          <w:sz w:val="20"/>
          <w:szCs w:val="20"/>
          <w:color w:val="auto"/>
        </w:rPr>
      </w:pPr>
      <w:r>
        <w:rPr>
          <w:rFonts w:ascii="Arial" w:cs="Arial" w:eastAsia="Arial" w:hAnsi="Arial"/>
          <w:sz w:val="17"/>
          <w:szCs w:val="17"/>
          <w:color w:val="auto"/>
        </w:rPr>
        <w:t>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better care, which can lead to lower hospital costs through a reduction in unnecessary donor blood transfusions, reduced adverse transfusion reactions, and shorter intensive care unit and hospital stays. We have launched our next generation device, the TEG 6s, in certain markets in Europe and Asia. In North America, our largest market for TEG, we will launch the TEG 6s upon receipt of the final 510(k) clearance by the FDA.</w:t>
      </w:r>
    </w:p>
    <w:p>
      <w:pPr>
        <w:spacing w:after="0" w:line="101" w:lineRule="exact"/>
        <w:rPr>
          <w:sz w:val="20"/>
          <w:szCs w:val="20"/>
          <w:color w:val="auto"/>
        </w:rPr>
      </w:pPr>
    </w:p>
    <w:p>
      <w:pPr>
        <w:ind w:left="660" w:right="80"/>
        <w:spacing w:after="0" w:line="212" w:lineRule="auto"/>
        <w:rPr>
          <w:sz w:val="20"/>
          <w:szCs w:val="20"/>
          <w:color w:val="auto"/>
        </w:rPr>
      </w:pPr>
      <w:r>
        <w:rPr>
          <w:rFonts w:ascii="Arial" w:cs="Arial" w:eastAsia="Arial" w:hAnsi="Arial"/>
          <w:sz w:val="17"/>
          <w:szCs w:val="17"/>
          <w:color w:val="auto"/>
        </w:rPr>
        <w:t>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is a surgical blood salvage system targeted to procedures that involve rapid, high-volume blood loss, such as cardiovascular surgeries. It has become the standard of care for high blood-loss surgeries. In fiscal 2012, we launched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Elite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which is our most advanced autotransfusion option to minimize allogeneic blood use for surgeries with medium to high blood loss.</w:t>
      </w:r>
    </w:p>
    <w:p>
      <w:pPr>
        <w:spacing w:after="0" w:line="110" w:lineRule="exact"/>
        <w:rPr>
          <w:sz w:val="20"/>
          <w:szCs w:val="20"/>
          <w:color w:val="auto"/>
        </w:rPr>
      </w:pPr>
    </w:p>
    <w:p>
      <w:pPr>
        <w:ind w:left="660" w:right="80"/>
        <w:spacing w:after="0" w:line="232"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 Its Quick-Connect feature permits customers to utilize the blood processing set selectively, depending on the patient's need.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hospital disposables product line represented 13.7%, 13.3%, and 14.7% of our total revenue in fiscal 2015, 2014 and 2013, respectively.</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Software Solutions</w:t>
      </w:r>
    </w:p>
    <w:p>
      <w:pPr>
        <w:spacing w:after="0" w:line="134" w:lineRule="exact"/>
        <w:rPr>
          <w:rFonts w:ascii="Arial" w:cs="Arial" w:eastAsia="Arial" w:hAnsi="Arial"/>
          <w:sz w:val="18"/>
          <w:szCs w:val="18"/>
          <w:b w:val="1"/>
          <w:bCs w:val="1"/>
          <w:i w:val="1"/>
          <w:iCs w:val="1"/>
          <w:color w:val="auto"/>
        </w:rPr>
      </w:pPr>
    </w:p>
    <w:p>
      <w:pPr>
        <w:ind w:left="6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Haemonetics' Software Products and Services </w:t>
      </w:r>
      <w:r>
        <w:rPr>
          <w:rFonts w:ascii="Arial" w:cs="Arial" w:eastAsia="Arial" w:hAnsi="Arial"/>
          <w:sz w:val="18"/>
          <w:szCs w:val="18"/>
          <w:color w:val="auto"/>
        </w:rPr>
        <w:t>— We have a suite of integrated software solutions for improving efficiencies and helping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donor and patient safety. This includes solutions for blood drive planning, donor recruitment and retention, blood collection, component manufacturing and distribution, transfusion management, and remote blood allocation. For our plasma customers, we also provide information technology platforms for managing donors and information associated with the collection of plasma products and their processing within fractionation facilities. While each Haemonetics information technology platform can be used independently, our mission to provide "Arm to Arm®" blood management solutions means they can also work together through integration to further improve process workflows. Also, the ability to evaluate information based on the integration of these systems allows customers to continually improve their business processes. Leveraging information to make more informed decisions is a significant component of Haemonetics' overall commitment to improving blood management systems globally.</w:t>
      </w:r>
    </w:p>
    <w:p>
      <w:pPr>
        <w:spacing w:after="0" w:line="102" w:lineRule="exact"/>
        <w:rPr>
          <w:rFonts w:ascii="Arial" w:cs="Arial" w:eastAsia="Arial" w:hAnsi="Arial"/>
          <w:sz w:val="18"/>
          <w:szCs w:val="18"/>
          <w:b w:val="1"/>
          <w:bCs w:val="1"/>
          <w:i w:val="1"/>
          <w:iCs w:val="1"/>
          <w:color w:val="auto"/>
        </w:rPr>
      </w:pPr>
    </w:p>
    <w:p>
      <w:pPr>
        <w:ind w:left="660" w:right="20"/>
        <w:spacing w:after="0" w:line="241"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Blood Management Solutions </w:t>
      </w:r>
      <w:r>
        <w:rPr>
          <w:rFonts w:ascii="Arial" w:cs="Arial" w:eastAsia="Arial" w:hAnsi="Arial"/>
          <w:sz w:val="18"/>
          <w:szCs w:val="18"/>
          <w:color w:val="auto"/>
        </w:rPr>
        <w:t>— Combining software solutions with devices, we meet our goal of offering customers powerful tools for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management while driving growth of our disposables. For example, a hospital may use our consulting services to analyze its transfusion practices and recommend improvements that result in improved blood management and reduced cost. Then, the hospital can leverage our systems and services to analyze blood utilization, manage blood inventory, and potentially reduce demand for donated blood. Finally, hospitals can use our IMPACT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Online blood management business intelligence portal to monitor the results of its new blood management practices. The positive patient impact and reduced costs from this integrated blood management approach can be significant. Likewise, by understanding best practices, blood demand, and discrete patient needs, hospitals can more frequently deploy our devices for hemostasis diagnosis and cell salvage to ensure best patient care.</w:t>
      </w:r>
    </w:p>
    <w:p>
      <w:pPr>
        <w:spacing w:after="0" w:line="106" w:lineRule="exact"/>
        <w:rPr>
          <w:rFonts w:ascii="Arial" w:cs="Arial" w:eastAsia="Arial" w:hAnsi="Arial"/>
          <w:sz w:val="18"/>
          <w:szCs w:val="18"/>
          <w:b w:val="1"/>
          <w:bCs w:val="1"/>
          <w:i w:val="1"/>
          <w:iCs w:val="1"/>
          <w:color w:val="auto"/>
        </w:rPr>
      </w:pPr>
    </w:p>
    <w:p>
      <w:pPr>
        <w:ind w:left="660" w:right="20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While each of our products, platforms, and services can be marketed individually, our blood management solutions vision is to offer integrated closed-loop solutions for blood supply chain management. Our software solutions — information technology platforms and consulting services — can be combined with our devices and sold through our plasma, blood center, and hospital sales forces.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left="660"/>
        <w:spacing w:after="0" w:line="239" w:lineRule="auto"/>
        <w:rPr>
          <w:sz w:val="20"/>
          <w:szCs w:val="20"/>
          <w:color w:val="auto"/>
        </w:rPr>
      </w:pPr>
      <w:r>
        <w:rPr>
          <w:rFonts w:ascii="Arial" w:cs="Arial" w:eastAsia="Arial" w:hAnsi="Arial"/>
          <w:sz w:val="17"/>
          <w:szCs w:val="17"/>
          <w:color w:val="auto"/>
        </w:rPr>
        <w:t>Our software products help hospitals track and safely deliver stored blood products. SafeTrace Tx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our software solution that helps manage blood product inventory, perform patient cross-matching, and manage transfusions. In addition, our BloodTrack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suite of solutions manages tracking and control of blood products from the hospital blood center through to transfusion to the patient. “Smart” refrigerators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 We released our new BloodTrack HaemoBank, which received 510(k), CE and multi-regional clearances, in fiscal 2015 and expect that this will further expand this solution's growth in fiscal 2016.</w:t>
      </w:r>
    </w:p>
    <w:p>
      <w:pPr>
        <w:spacing w:after="0" w:line="111" w:lineRule="exact"/>
        <w:rPr>
          <w:sz w:val="20"/>
          <w:szCs w:val="20"/>
          <w:color w:val="auto"/>
        </w:rPr>
      </w:pPr>
    </w:p>
    <w:p>
      <w:pPr>
        <w:ind w:left="660" w:right="80"/>
        <w:spacing w:after="0" w:line="212" w:lineRule="auto"/>
        <w:rPr>
          <w:sz w:val="20"/>
          <w:szCs w:val="20"/>
          <w:color w:val="auto"/>
        </w:rPr>
      </w:pPr>
      <w:r>
        <w:rPr>
          <w:rFonts w:ascii="Arial" w:cs="Arial" w:eastAsia="Arial" w:hAnsi="Arial"/>
          <w:sz w:val="18"/>
          <w:szCs w:val="18"/>
          <w:color w:val="auto"/>
        </w:rPr>
        <w:t>We believe a key example of our blood management solutions is the potential to balance blood demand with supply and mitigate shortages of blood components and reduce collection costs. Our software solutions, such as our SafeTrace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 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help to improve recruitment and retention. Combined, our solutions help blood collectors improve the safety, regulatory compliance, and efficiency of blood collection and supply.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software solutions product line represented 7.9%, 7.5%, and 7.8% of our total revenue in fiscal 2015, 2014 and 2013, respectively.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market and sell our products to bio-pharmaceutical companies, blood collection groups and independent blood centers, hospitals and hospital service providers, group purchasing organizations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13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 xml:space="preserve">In fiscal 2015, 2014 and 2013 approximately 54.4%, 53.4%, and 51.0%, respectively, of consolidated net revenues were generated in the U.S., where we primarily use a direct sales force to sell our products. See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statements contained in Item 8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Outside the United States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fiscal 2015, 2014 and 2013 approximately 45.6%, 46.6%, and 49.0%, respectively, of consolidated net revenues were generated through sales to non-U.S. customers. Outside the United States, we use a combination of direct sales force and distributors. See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 contained in Item 8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research and development centers in the United States and Switzerland ensure that protocol variations are incorporated to closely match local customer requirements. In addition, our Haemonetics Software Solutions also maintains development operations in Canada and France.</w:t>
      </w:r>
    </w:p>
    <w:p>
      <w:pPr>
        <w:spacing w:after="0" w:line="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Customer collaborations are also an important part of our technical strength and competitive advantage. These collaborations with customers and transfusion experts provide us with ideas for new products and applications, enhanced protocols, and potential test sites as well as objective evaluations and expert opinions regarding technical and performance issues.</w:t>
      </w:r>
    </w:p>
    <w:p>
      <w:pPr>
        <w:spacing w:after="0" w:line="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Research and development expense was $54.2 million in fiscal 2015, $54.2 million in fiscal 2014 and $44.4 million in fiscal 2013, representing approximately 5.0% - 6.0% of our net sales each year.</w:t>
      </w:r>
    </w:p>
    <w:p>
      <w:pPr>
        <w:spacing w:after="0" w:line="170" w:lineRule="exact"/>
        <w:rPr>
          <w:sz w:val="20"/>
          <w:szCs w:val="20"/>
          <w:color w:val="auto"/>
        </w:rPr>
      </w:pPr>
    </w:p>
    <w:p>
      <w:pPr>
        <w:ind w:right="540"/>
        <w:spacing w:after="0" w:line="216" w:lineRule="auto"/>
        <w:rPr>
          <w:sz w:val="20"/>
          <w:szCs w:val="20"/>
          <w:color w:val="auto"/>
        </w:rPr>
      </w:pPr>
      <w:r>
        <w:rPr>
          <w:rFonts w:ascii="Arial" w:cs="Arial" w:eastAsia="Arial" w:hAnsi="Arial"/>
          <w:sz w:val="18"/>
          <w:szCs w:val="18"/>
          <w:color w:val="auto"/>
        </w:rPr>
        <w:t>In fiscal 2015, research and development resources were allocated to supporting next generation plasma collection and software systems, a new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Thrombelastograph Hemostasis Analyzer, and several other enhancements to our legacy product portfolios.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30"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manufacturing operations are located in the United States, Mexico, Scotland and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These include facilities in Mexico and Puerto Rico purchased in 2012 as part of our acquisition of the whole blood business from Pall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On May 1, 2013, we announced a plan to pursue identified Value Creation and Capture (“VCC”) opportunities. These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increased competitiveness and growth.</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manufacturing network transformation plan, part of our larger VCC activities previously discussed, includes (i) discontinuing manufacturing activities at our Braintree, Massachusetts, Ascoli-Piceno, Italy and Bothwell, Scotland facilities, (ii) creating a technology center of excellence for product development in Braintree, Massachusetts, (iii) expanding of our current facility in Tijuana, Mexico, (iv) engaging Sanmina Corporation as a contract manufacturer to produce certain medical equipment, and (v) building a new manufacturing facility in Penang, Malaysia closer to our customers in Asia.</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VCC initiatives are moving forward according to plan, we have engaged Sanmina Corporation to be the sole manufacturer of certain equipment, and we have commenced production in our new manufacturing facility in Penang, Malaysia and in our expanded facility in Tijuana, Mexico allowing us to consolidate the manufacturing of product formerly produced in the U.S., Italy and Scotland.</w:t>
      </w:r>
    </w:p>
    <w:p>
      <w:pPr>
        <w:spacing w:after="0" w:line="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 Our equipment and disposable manufacturing sites are certified to the ISO 13485 standard and to the Medical Device Directive allowing placement of the CE mark of conformity.</w:t>
      </w:r>
    </w:p>
    <w:p>
      <w:pPr>
        <w:spacing w:after="0" w:line="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Contractors manufacture some component-sets and equipment according to our specifications. We maintain important relationships with two Japanese manufacturers that produce finished disposables in Singapore, Japan, and Thailand. We have also engaged Sanmina Corporation to be the sole manufacturer of certain equipment. Certain parts and components are purchased from sole source vendors. We believe that if necessary, alternative sources of supply are available in most cases, and could be secured within a relatively short period of time. Nevertheless, an interruption in supply could temporarily interfere with production schedules and affect our operations.</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equipment is designed in-house and assembled by us or our contracted manufacturer from components that are manufactured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may also license patent rights from third parties that cover technologies that we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established a record of innovation and leadership in each of the areas in which we compete. 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which meet our customer's needs, (iii) obtaining regulatory approvals for our products in key markets, (iv) obtaining patents which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which favor a competitor's technology or reduce revenues in key areas of our business.</w:t>
      </w:r>
    </w:p>
    <w:p>
      <w:pPr>
        <w:spacing w:after="0" w:line="24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addition, we face competition from several large, global companies with product offerings similar to ours, such as Terumo BCT, Sorin Biomedica and Fresenius SE &amp; Co. KGaA. Terumo and Fresenius, in particular, have significantly greater financial and other resources than we do and are strong competitors in a number of our businesses. The following provides an overview of the key competitors in each of our four global product categories.</w:t>
      </w:r>
    </w:p>
    <w:p>
      <w:pPr>
        <w:spacing w:after="0" w:line="1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Plasma</w:t>
      </w:r>
    </w:p>
    <w:p>
      <w:pPr>
        <w:spacing w:after="0" w:line="184" w:lineRule="exact"/>
        <w:rPr>
          <w:rFonts w:ascii="Arial" w:cs="Arial" w:eastAsia="Arial" w:hAnsi="Arial"/>
          <w:sz w:val="18"/>
          <w:szCs w:val="18"/>
          <w:i w:val="1"/>
          <w:iCs w:val="1"/>
          <w:color w:val="auto"/>
        </w:rPr>
      </w:pPr>
    </w:p>
    <w:p>
      <w:pPr>
        <w:ind w:left="660"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the automated plasma collection market, we principally compete with Fresenius, which acquired Fenwal, Inc. in November 2012, on the basis of quality, reliability, ease of use, services and technical features of the collection systems, and on the long-term cost-effectiveness of equipment and disposables. In China, the market is populated by local producers of a product that is intended to be similar to ours. Recently, those competitors have expanded to markets beyond China, into European and South American countries.</w:t>
      </w:r>
    </w:p>
    <w:p>
      <w:pPr>
        <w:spacing w:after="0" w:line="146"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Blood Center</w:t>
      </w:r>
    </w:p>
    <w:p>
      <w:pPr>
        <w:spacing w:after="0" w:line="184" w:lineRule="exact"/>
        <w:rPr>
          <w:rFonts w:ascii="Arial" w:cs="Arial" w:eastAsia="Arial" w:hAnsi="Arial"/>
          <w:sz w:val="18"/>
          <w:szCs w:val="18"/>
          <w:i w:val="1"/>
          <w:iCs w:val="1"/>
          <w:color w:val="auto"/>
        </w:rPr>
      </w:pPr>
    </w:p>
    <w:p>
      <w:pPr>
        <w:ind w:left="660" w:right="5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We have several competitors in the Blood Center product lines, some of which compete across all blood components and others that are more specialized.</w:t>
      </w:r>
    </w:p>
    <w:p>
      <w:pPr>
        <w:spacing w:after="0" w:line="129" w:lineRule="exact"/>
        <w:rPr>
          <w:rFonts w:ascii="Arial" w:cs="Arial" w:eastAsia="Arial" w:hAnsi="Arial"/>
          <w:sz w:val="18"/>
          <w:szCs w:val="18"/>
          <w:i w:val="1"/>
          <w:iCs w:val="1"/>
          <w:color w:val="auto"/>
        </w:rPr>
      </w:pPr>
    </w:p>
    <w:p>
      <w:pPr>
        <w:ind w:left="660" w:right="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Terumo BCT, and Fresenius are our major competitors in platelet collection. In platelet collections, there are two areas of competition - automated collection and pooled random donor. In the automated collection area, competition is based on continual performance improvement, as measured by the time and efficiency of platelet collection and the quality of the platelets collected. Each of these companies has taken a different technological approach in designing their systems for automated platelet collection. In addition to automated platelet collection offerings, we now also compete in the pooled random donor platelet segment from whole blood collections from which pooled platelets are derived with the Acrodose product or buffy coat pooling sets.</w:t>
      </w:r>
    </w:p>
    <w:p>
      <w:pPr>
        <w:spacing w:after="0" w:line="152" w:lineRule="exact"/>
        <w:rPr>
          <w:rFonts w:ascii="Arial" w:cs="Arial" w:eastAsia="Arial" w:hAnsi="Arial"/>
          <w:sz w:val="18"/>
          <w:szCs w:val="18"/>
          <w:i w:val="1"/>
          <w:iCs w:val="1"/>
          <w:color w:val="auto"/>
        </w:rPr>
      </w:pPr>
    </w:p>
    <w:p>
      <w:pPr>
        <w:ind w:left="660" w:right="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 xml:space="preserve">Terumo BCT and Fresenius (following its acquisition of Fenwal in 2012) are also competitors in the automated red cell collection market. However, it is important to note that most double red cell collection is done in the U.S. and less than 10% of the red cells collected in the U.S. annually are collected via automation. Therefore, we also compete with the traditional method of collecting red cells from the manual collection of whole blood. As discussed in our </w:t>
      </w:r>
      <w:r>
        <w:rPr>
          <w:rFonts w:ascii="Arial" w:cs="Arial" w:eastAsia="Arial" w:hAnsi="Arial"/>
          <w:sz w:val="18"/>
          <w:szCs w:val="18"/>
          <w:i w:val="1"/>
          <w:iCs w:val="1"/>
          <w:color w:val="auto"/>
        </w:rPr>
        <w:t>Company Overview</w:t>
      </w:r>
      <w:r>
        <w:rPr>
          <w:rFonts w:ascii="Arial" w:cs="Arial" w:eastAsia="Arial" w:hAnsi="Arial"/>
          <w:sz w:val="18"/>
          <w:szCs w:val="18"/>
          <w:color w:val="auto"/>
        </w:rPr>
        <w:t>, we entered the whole blood collections market during fiscal 2013 through the acquisition of the whole blood business from Pall Corporation. We compete on the basis of total cost, type-specific collection, process control, product quality, and inventory management.</w:t>
      </w:r>
    </w:p>
    <w:p>
      <w:pPr>
        <w:spacing w:after="0" w:line="193" w:lineRule="exact"/>
        <w:rPr>
          <w:rFonts w:ascii="Arial" w:cs="Arial" w:eastAsia="Arial" w:hAnsi="Arial"/>
          <w:sz w:val="18"/>
          <w:szCs w:val="18"/>
          <w:i w:val="1"/>
          <w:iCs w:val="1"/>
          <w:color w:val="auto"/>
        </w:rPr>
      </w:pPr>
    </w:p>
    <w:p>
      <w:pPr>
        <w:jc w:val="both"/>
        <w:ind w:left="660" w:right="14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Our whole blood business faces competition on the basis of quality and price. In North America, Europe and Asia-Pacific our main competitors are Fresenius, MacoPharma and Terumo BCT. We do not have significant whole blood revenues in Japan today. We have a competitive cost advantage in the supply of filtration needed for leukoreduced whole blood collection because we are vertically integrated in the production of our own filters.</w:t>
      </w:r>
    </w:p>
    <w:p>
      <w:pPr>
        <w:spacing w:after="0" w:line="146" w:lineRule="exact"/>
        <w:rPr>
          <w:rFonts w:ascii="Arial" w:cs="Arial" w:eastAsia="Arial" w:hAnsi="Arial"/>
          <w:sz w:val="18"/>
          <w:szCs w:val="18"/>
          <w:i w:val="1"/>
          <w:iCs w:val="1"/>
          <w:color w:val="auto"/>
        </w:rPr>
      </w:pPr>
    </w:p>
    <w:p>
      <w:pPr>
        <w:ind w:left="660" w:right="8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In the cell processing market, competition is based on the level of automation, labor-intensiveness, and system type (open versus closed). Open systems may be weaker in good manufacturing process compliance. Moreover, blood processed through open systems has a 24-hour shelf life. 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Haemonetics offers a closed system cell processor which gives blood processed through it, a 14-day shelf life. We compete with Terumo BCT's open systems in this market.</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Hospital</w:t>
      </w:r>
    </w:p>
    <w:p>
      <w:pPr>
        <w:spacing w:after="0" w:line="225" w:lineRule="exact"/>
        <w:rPr>
          <w:rFonts w:ascii="Arial" w:cs="Arial" w:eastAsia="Arial" w:hAnsi="Arial"/>
          <w:sz w:val="18"/>
          <w:szCs w:val="18"/>
          <w:i w:val="1"/>
          <w:iCs w:val="1"/>
          <w:color w:val="auto"/>
        </w:rPr>
      </w:pPr>
    </w:p>
    <w:p>
      <w:pPr>
        <w:ind w:left="660" w:right="4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Within our hospital business, in the diagnostics market, the TEG Thrombelastograph Hemostasis Analyzer is used primarily in surgical applications. One direct competitor, ROTEM, is a competitor in Europe and in the United States. Other competitive technologies include standard coagulation tests and platelet function testing. The TEG analyzer competes with other laboratory tests based on its ability to provide a complete picture of a patient's hemostasis at a single point in time, and the ability to measure the clinically relevant platelet function for an individual patient.</w:t>
      </w:r>
    </w:p>
    <w:p>
      <w:pPr>
        <w:spacing w:after="0" w:line="154" w:lineRule="exact"/>
        <w:rPr>
          <w:rFonts w:ascii="Arial" w:cs="Arial" w:eastAsia="Arial" w:hAnsi="Arial"/>
          <w:sz w:val="18"/>
          <w:szCs w:val="18"/>
          <w:i w:val="1"/>
          <w:iCs w:val="1"/>
          <w:color w:val="auto"/>
        </w:rPr>
      </w:pPr>
    </w:p>
    <w:p>
      <w:pPr>
        <w:jc w:val="both"/>
        <w:ind w:left="660" w:right="3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intraoperative surgical blood salvage market, competition is based on reliability, ease of use, service, support, and price. For high-volume platforms, each manufacturer's technology is similar, and our Cell Saver technology competes principally with Sorin Biomedica, Medtronic, and Fresenius.</w:t>
      </w:r>
    </w:p>
    <w:p>
      <w:pPr>
        <w:spacing w:after="0" w:line="140" w:lineRule="exact"/>
        <w:rPr>
          <w:rFonts w:ascii="Arial" w:cs="Arial" w:eastAsia="Arial" w:hAnsi="Arial"/>
          <w:sz w:val="18"/>
          <w:szCs w:val="18"/>
          <w:i w:val="1"/>
          <w:iCs w:val="1"/>
          <w:color w:val="auto"/>
        </w:rPr>
      </w:pPr>
    </w:p>
    <w:p>
      <w:pPr>
        <w:ind w:left="660" w:right="2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perioperative surgical blood salvage market, our OrthoPAT system competes primarily against (i) non-automated processing systems whose end product is an unwashed red blood cell unit for transfusion to the patient, (ii) transfusions of donated blood and (iii) coagulation therapies such as tranexamic acid.</w:t>
      </w:r>
    </w:p>
    <w:p>
      <w:pPr>
        <w:spacing w:after="0" w:line="140"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Software Solution</w:t>
      </w:r>
    </w:p>
    <w:p>
      <w:pPr>
        <w:spacing w:after="0" w:line="225" w:lineRule="exact"/>
        <w:rPr>
          <w:rFonts w:ascii="Arial" w:cs="Arial" w:eastAsia="Arial" w:hAnsi="Arial"/>
          <w:sz w:val="18"/>
          <w:szCs w:val="18"/>
          <w:i w:val="1"/>
          <w:iCs w:val="1"/>
          <w:color w:val="auto"/>
        </w:rPr>
      </w:pPr>
    </w:p>
    <w:p>
      <w:pPr>
        <w:jc w:val="both"/>
        <w:ind w:left="660" w:right="30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the software market, we compete with MAK Systems, Mediware, Sunquest Information Systems and applications developed internally by our customers. These companies provide software to blood and plasma collectors and to hospitals for managing donors, collections, and blood units. None of these companies competes with Haemonetics' non-software products.</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staffing at their disposal. There can be no assurance that competitors will not direct substantial efforts and resources toward the development and marketing of products competitive with those of Haemonetics.</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customers that accounted for greater than 10% of our net revenues in fiscal 2015 and fiscal 2014.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 Regulation</w:t>
      </w:r>
    </w:p>
    <w:p>
      <w:pPr>
        <w:spacing w:after="0" w:line="13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the FDA to be medical devices, subject to 510(k) pre-market notification. Intravenous solutions (blood anticoagulants and solutions for storage of red blood cells) marketed by us for use with our manual collection and automated systems requires us to obtain an approved New Drug Application (“NDA”) or Abbreviated New Drug Application (“ANDA”) from the CBER. A 510(k) pre-market clearance indicates the FDA’s agreement with an applicant’s determination that the product for which clearance is sought is substantially equivalent to another legally marketed medical device. The process of obtaining a 510(k) clearance may involve the submission of clinical data and supporting information. The process of obtaining NDA approval for solutions is likely to take much longer than 510(k) clearances because the FDA review process is more complicated.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FDA’s Quality System regulations set forth standards for our product design and manufacturing processes, require the maintenance of certain records and provide for inspections of our facilities. There are also certain requirements of state, local and foreign governments that must be complied with in the manufacturing and marketing of our products. 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 the Food, Drug and Cosmetic Act and the Safe Medical Devices Act pertaining to medical devices, or initiate action for criminal prosecution of such violations.</w:t>
      </w:r>
    </w:p>
    <w:p>
      <w:pPr>
        <w:spacing w:after="0" w:line="9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also subject to regulation in the countries outside the United States in which we market our products. The member states of the European Union (EU) have adopted the European Medical Device Directives, which create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complied with these regulations and have obtained such registrations where we market our products. Federal, state and foreign regulations regarding the manufacture and sale of products such as ours are subject to change. We cannot predict what impact, if any, such changes might have on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various environmental, health and general safety laws, directives and regulations both in the U.S. and abroad.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March 28, 2015, we employed the full-time equivalent of 3,383 persons assigned to the following functional areas: manufacturing, 1,913; sales and marketing, 722; general and administrative, 278; research and development, 209; and quality control and field service, 261.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the Business Conduct Policy and the charters of the Audit, Compensation, and Nominating and Governance Committees are published on the Investor Relations section of our website at </w:t>
      </w:r>
      <w:r>
        <w:rPr>
          <w:rFonts w:ascii="Arial" w:cs="Arial" w:eastAsia="Arial" w:hAnsi="Arial"/>
          <w:sz w:val="18"/>
          <w:szCs w:val="18"/>
          <w:u w:val="single" w:color="auto"/>
          <w:color w:val="003399"/>
        </w:rPr>
        <w:t>http://phx.corporate-ir.net/phoenix.zhtml?c=72118&amp;p=irol-IRHome</w:t>
      </w:r>
      <w:r>
        <w:rPr>
          <w:rFonts w:ascii="Arial" w:cs="Arial" w:eastAsia="Arial" w:hAnsi="Arial"/>
          <w:sz w:val="18"/>
          <w:szCs w:val="18"/>
          <w:color w:val="000000"/>
        </w:rPr>
        <w:t>. On this web site the public can also access, free of charge, our annual, quarterly and current reports and other</w:t>
      </w:r>
      <w:r>
        <w:rPr>
          <w:rFonts w:ascii="Arial" w:cs="Arial" w:eastAsia="Arial" w:hAnsi="Arial"/>
          <w:sz w:val="18"/>
          <w:szCs w:val="18"/>
          <w:color w:val="003399"/>
        </w:rPr>
        <w:t xml:space="preserve"> </w:t>
      </w:r>
      <w:r>
        <w:rPr>
          <w:rFonts w:ascii="Arial" w:cs="Arial" w:eastAsia="Arial" w:hAnsi="Arial"/>
          <w:sz w:val="18"/>
          <w:szCs w:val="18"/>
          <w:color w:val="000000"/>
        </w:rPr>
        <w:t>documents filed or furnished to the Securities and Exchange Commission, or SEC, as soon as reasonably practicable after we electronically file such material with, or furnish it to,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other information contained in this Annual Report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You should refer to the explanation of the qualifications and limitations on forward-looking statements at the end of Item 1 and Item 7 of this Annual Report.</w:t>
      </w:r>
    </w:p>
    <w:p>
      <w:pPr>
        <w:spacing w:after="0" w:line="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&amp; development and acquisitions, our business may be materially and adversely affected.</w:t>
      </w:r>
    </w:p>
    <w:p>
      <w:pPr>
        <w:spacing w:after="0" w:line="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technological innovation or acquisition of new products. The creation and adoption of technological advances is only one step. We must also efficiently develop the technology into a product which confers a competitive advantage, represents a cost effective solution or provides improved patient care. Finally, as a part of the regulatory process of obtaining marketing clearance for new products, we conduct and participate in numerous clinical trials, the results of which may be unfavorable, or perceived as unfavorable by the market, and could have a material adverse effect on our business,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risks of missteps and set backs are an inherent part of the innovation and development processes in the medical device industry.</w:t>
      </w:r>
    </w:p>
    <w:p>
      <w:pPr>
        <w:spacing w:after="0" w:line="13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business relationships and acquisitions, our business may be materially and adversely affected.</w:t>
      </w:r>
    </w:p>
    <w:p>
      <w:pPr>
        <w:spacing w:after="0" w:line="7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the investment of significant resources. The economic environment may constrain our ability to access the capital needed for acquisitions and other capital investments.</w:t>
      </w:r>
    </w:p>
    <w:p>
      <w:pPr>
        <w:spacing w:after="0" w:line="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significant portion of our revenue derives from the sale of blood collection supplies. Future declines in the number of blood collection procedures may have an adverse effect on our business, financial condition and results of operations.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Sales to blood collectors represented 43.3% of our consolidated disposables revenues in fiscal 2015. In certain markets, changes in medical protocols and the development of less invasive, lower blood loss procedures has reduced the number of transfusions of red blood cells, which has in turn led to a decline in the number of blood collection procedures. This is particularly true in the United States where we saw collections decline by approximately 10% in fiscal 2014 and 2015, however we expect this trend to moderate in fiscal 2016. If we are unable to gain and maintain higher market share, lower procedure levels could result in lower net revenues and higher product costs.</w:t>
      </w:r>
    </w:p>
    <w:p>
      <w:pPr>
        <w:spacing w:after="0" w:line="9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Consolidation of the healthcare providers and blood collectors has increased demand for price concessions and caused the exclusion of suppliers from significant market segments, which could have an adverse effect on our business, financial condition and results of operations.</w:t>
      </w:r>
    </w:p>
    <w:p>
      <w:pPr>
        <w:spacing w:after="0" w:line="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costs of healthcare in the United States have risen significantly over the past decade. Numerous initiatives and reform by legislators, regulators and third-party payers to curb these costs has reduced reimbursement rates which is causing hospitals to consolidate into larger integrated delivery networks and group purchasing organizations in an effort to reduce administrative costs and increase purchasing power. This consolidation has resulted in greater pricing pressure on suppliers, decreased average selling prices and a greater number of sole source relationships. This pressure impacts our Hospital and Blood Center businesses.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expansion among hospitals in the United States of group purchasing organizations, integrated delivery networks and large single accounts directly puts price pressure on our Hospital business. It also puts price pressure on our United States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spacing w:after="0" w:line="9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products and services. If we fail to meet these standards or fail to adapt to evolving standards, our reputation could be damaged, we could lose customers, and our revenue and results of operations could decline.</w:t>
      </w:r>
    </w:p>
    <w:p>
      <w:pPr>
        <w:spacing w:after="0" w:line="8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As approximately half of our revenue comes from outside the United States, we are subject to currency fluctuation, geopolitical risk, economic volatility, anti-corruption laws, export and import restrictions, local regulatory authorities and the laws and medical practices in foreign jurisdictions.</w:t>
      </w:r>
    </w:p>
    <w:p>
      <w:pPr>
        <w:spacing w:after="0" w:line="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do business in over 100 countries and have distributors in approximately 90 countries. This exposes us to currency fluctuation, geopolitical risk, economic volatility, anti-corruption laws, export and import restrictions, local regulatory authorities and the laws and medical practices in foreign jurisdictions.</w:t>
      </w:r>
    </w:p>
    <w:p>
      <w:pPr>
        <w:spacing w:after="0" w:line="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there are sanctions or restrictions on the flow of capital which prevent product importation or receipt of payments in Russia or China, our business could be adversely affected.</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international operations are governed by the U.S. Foreign Corrupt Practices Act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90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Export of U.S. technology or goods manufactured in the United States to some jurisdictions requires special U.S. export authorization or local market controls that may be influenced by factors, including political dynamics, outside our control.</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interruption in our ability to manufacture our products or an inability to obtain key components or raw materials may adversely affect our business.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key products are manufactured at single locations, with limited alternate facilities. If an event occurs that results in damage to one or more of our facilities, we may be unable to manufacture the relevant products at previous levels or at all. In addition, for reasons of quality assurance or cost effectiveness, we purchase certain finished goods, components and raw materials from sole suppliers, notably JMS Co. Ltd., Kawasumi Laboratories and Sanmina Corporation. 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ability to complete our share repurchase program or cost of borrowing.</w:t>
      </w:r>
    </w:p>
    <w:p>
      <w:pPr>
        <w:spacing w:after="0" w:line="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$429.4 million in debt outstanding at March 28, 2015 which was incurred to acquire the whole blood business. The obligations to pay interest and repay the borrowed amounts may restrict our ability to adjust to adverse economic conditions, our ability to fund working capital, capital expenditures, acquisition or other general corporate requirements. The interest rate on the loan is variable and subject to change based on market forces. Fluctuations in interest rates could adversely affect our profitability and cash flows.</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These balances may not be immediately available to repay our debt.</w:t>
      </w:r>
    </w:p>
    <w:p>
      <w:pPr>
        <w:spacing w:after="0" w:line="7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and no assurance can be made that our lenders would grant such waivers on favorable terms, or at all, and we could be required to repay any borrowed amounts on short notice.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manufacture, distribution and marketing of our products are subject to regulation by the FDA and other non-United States regulatory bodies. We must obtain specific regulatory clearance prior to selling any new product or service, a process which is costly and time consuming. If we are unable to obtain the necessary regulatory clearance we will be unable to introduce new enhanced product.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If our products were determined to have design or manufacturing flaws, this could result in their recall or seizure. Either of these situations could also result in the imposition of fines.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means and resources, which may allow them to more rapidly develop new technologies and more quickly address changes in customer requirements.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fiscal 2015, although no one customer represented more than 10% of our revenues, our ten largest customers accounted for approximately 48.1% of our revenue. If any of our largest customers materially reduce their purchases from us or terminate their relationship with us for any reason, we could experience an adverse effect on our results of operations or financial condition.</w:t>
      </w:r>
    </w:p>
    <w:p>
      <w:pPr>
        <w:spacing w:after="0" w:line="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from our Value Creation and Capture initiatives; our plans will result in higher short-term expenses and require more cash expenditures.</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2013, we announced a multi-year Value Creation and Capture initiatives which is intended to reduce our manufacturing costs by changing our current manufacturing footprint and supply chain strategy. This program has reduced manufacturing costs and improved supply chain efficiency and we expect further benefits upon completion. However, there are no assurances these further cost savings or supply chain efficiencies will be achieved, and completion of the program could introduce risks such as management distraction, business disruption, and attrition beyond our planned reduction in workforce and reduced employee productivity which may reduce our revenue or increase our costs. In addition, the activities involve the relocation of several product lines to new manufacturing facilities. During these transitions, we may experience challenges in transferring production to the new locations, additional costs, or unacceptable quality. These may lead to additional working capital, warranty or inventory costs. Finally, implementing the program will result in charges and expenses that impact our operating results and increase our level of capital expenditures. We expect the investment in this program to be completed in fiscal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or worsening economic conditions may adversely affect our business and financial condition.</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Worsening economic conditions may lead to the rationing of care or reduced order patterns. Although, we have not incurred significant losses on government receivables to date,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9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As a global corporation, we are exposed to fluctuations in currency exchange rates, which could adversely affect our cash flows and results of operations.</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International revenues and expenses account for a substantial portion of our operations and we intend to continue expanding our presence in international markets. In fiscal 2015, our international revenues accounted for 45.6%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record future goodwill impairment charges or other asset impairment charges, which could materially adversely impact our results of operations.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reviewed for impairment at least annually in accordance with ASC Topic 350, Intangibles - Goodwill and Other, or on an interim basis between annual tests when events or circumstances indicate that it is more likely than not that the fair value is less than its carrying value. We perform our annual impairment test on the first day of the fiscal fourth quarter. We first perform a qualitative test and if necessary, perform a quantitative test. The quantitative test is based on a discounted cash flow analysis or other valuation techniques, such as the market approach. We review intangible assets subject to amortization at least annually or more frequently if certain conditions arise to determine if any adverse conditions exist that would indicate that the carrying value of an asset or asset group may not be recoverable, or that a change in the remaining useful life is required. If an impairment indicator exists, we test the intangible asset for recoverability.</w:t>
      </w:r>
    </w:p>
    <w:p>
      <w:pPr>
        <w:spacing w:after="0" w:line="9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Goodwill impairment charges or other asset impairment charges could materially adversely impact our results of operations in the period in which they are recorded. Refer to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within our Management's Discussion and Analysis of Financial Condition and Results of Operations contained in Item 7 of this Annual Report on Form 10-K for a discussion of key assumptions used in our testing.</w:t>
      </w:r>
    </w:p>
    <w:p>
      <w:pPr>
        <w:spacing w:after="0" w:line="87"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76"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the Company’s intellectual property may be subject to misappropriation in some countries.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(“IP”) rights with the same degree of vigor as is available under the U.S. and European systems of justice.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order to aggressively protect our IP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IP, and it is still possible that even patented technologies may not be protected absolutely from infringement.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that support our products are the subject of active patent prosecution.</w:t>
      </w:r>
    </w:p>
    <w:p>
      <w:pPr>
        <w:spacing w:after="0" w:line="13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our products in certain emerging economies.</w:t>
      </w:r>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 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30"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Russia and Asia, our employees, agents or distributors offer to sell our products in response to public tenders issued by various governmental agencies.</w:t>
      </w:r>
    </w:p>
    <w:p>
      <w:pPr>
        <w:spacing w:after="0" w:line="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complex global supply chain which includes key sole source suppliers.</w:t>
      </w:r>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a complex global supply chain which involves integrating key suppliers and our manufacturing capacity into a global movement of components and finished goods.</w:t>
      </w:r>
    </w:p>
    <w:p>
      <w:pPr>
        <w:spacing w:after="0" w:line="7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We have certain key suppliers, including JMS Co. Ltd. ("JMS"), Kawasumi Laboratories ("Kawasumi") and Sanmina Corporation, who have their own complex supply chains. JMS and Kawasumi make certain finished goods and important sub components in locations throughout Asia. We have engaged Sanmina Corporation to be the sole manufacturer of certain equipment as part of our manufacturing network optimization activities.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disruption to one or more of our suppliers’ production or delivery of sufficient volumes of subcomponents conforming to our specifications could disrupt or delay our ability to deliver finished products to our customers. For example, we purchase components in Asia for use in manufacturing in the United States, Puerto Rico, Mexico and Scotland. We also regularly ship finished goods from the United States, Puerto Rico, Mexico and Scotland to Europe and Asia.</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 Any change in the price, composition or availability of the plastics we purchase could adversely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three risks with this key raw material: price, composition and availability.</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may affect our procurement costs to a lesser degree.</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composition of the plastic we purchase is also important. Today, we purchase plastics which contain phthalates, which are used to make plastic malleable. Should plastics with phthalates become unavailable due to regulatory changes, we may be required to obtain new FDA or foreign approvals for a number of products.</w:t>
      </w:r>
    </w:p>
    <w:p>
      <w:pPr>
        <w:spacing w:after="0" w:line="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While we have not experienced shortages in the past, any interruption in the supply for certain plastics could have a material impact on our business by limiting our ability to manufacture and sell the products which represent a significant portion of our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made with materials which are subject to regulation by governmental agencies.</w:t>
      </w:r>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Environmental regulations may prohibit the use of certain compounds in products we market and sell in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entrusted with sensitive personal information relating to surgical patients, blood donors, employees and other persons in the course of operating our business and serving our customers.</w:t>
      </w:r>
    </w:p>
    <w:p>
      <w:pPr>
        <w:spacing w:after="0" w:line="7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Government agencies require that we implement measures to ensure the integrity and security of such personal data and, in the event of a breach of protocol, we inform affected individuals. If our systems are not properly designed or implemented, or should suffer a breach of security or an intrusion (e.g., “hacking”) by unauthorized persons, the Company’s reputation could be harmed, and it could incur costs and liabilities to affected persons and enforcement agencies.</w:t>
      </w:r>
    </w:p>
    <w:p>
      <w:pPr>
        <w:spacing w:after="0" w:line="52"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rely on the proper function, availability and security of information technology systems to operate our business and to serve our customers and a cyber-attack or other breach of these systems could have a material adverse effect on our business, financial condition or results of operations.</w:t>
      </w:r>
    </w:p>
    <w:p>
      <w:pPr>
        <w:spacing w:after="0" w:line="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a cyber-attack, malicious intrusion, breakdown, destruction, loss of data privacy, or other significant disruption.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such litigation could damage our reputation and, therefore, impair our ability to market our products, obtain professional or product liability insurance, or increase the cost of such insurance. While we believe that our current product liability insurance coverage is sufficient, there is no assurance that such coverage will be adequate to cover incurred liabilities or that we will be able to obtain acceptable product and professional liability coverage in the future.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Our headquarters facility, which the Company owns,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w:t>
      </w:r>
    </w:p>
    <w:p>
      <w:pPr>
        <w:spacing w:after="0" w:line="52"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The Company leases approximately 82,000 square foot facility in Leetsdale, Pennsylvania. This facility is used for warehousing, distribution and manufacturing operations supporting our plasma business. Annual lease expense is approximately $0.4 million for this facility.</w:t>
      </w:r>
    </w:p>
    <w:p>
      <w:pPr>
        <w:spacing w:after="0" w:line="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owns approximately 100,000 square feet in Draper, Utah. This facility is used for distribution and manufacturing operations supporting our plasma business. During fiscal 2015, the Company purchased this facility for $6.6 million.</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owns a facility in Union, South Carolina. This facility is used to manufacture sterile solutions that support our blood center and plasma businesses. The facility is approximately 69,000 square feet.</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leases a facility in Niles, Illinois, which performs research and manufacturing for the Company. This facility is approximately 16,000 square feet of office and manufacturing space. Annual lease expense is approximately $0.2 million.</w:t>
      </w:r>
    </w:p>
    <w:p>
      <w:pPr>
        <w:spacing w:after="0" w:line="7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 leases a facility in Fajardo, Puerto Rico that is approximately 115,000 square feet under an agreement with Pall Corporation executed in connection with the Company's acquisition of Pall's transfusion medicine business on August 1, 2012. This facility is used for production of blood filters.</w:t>
      </w:r>
    </w:p>
    <w:p>
      <w:pPr>
        <w:spacing w:after="0" w:line="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owns two facilities in Covina, California that occupy approximately 71,000 square feet, dedicated to manufacturing and engineering functions. The facilities also include general administration space. The Company also leases approximately 40,000 square feet of space for warehousing and logistic operations. Annual lease expense is approximately $0.3 million. These facilities are used for the production of whole blood collection kits.</w:t>
      </w:r>
    </w:p>
    <w:p>
      <w:pPr>
        <w:spacing w:after="0" w:line="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leases approximately 166,000 square feet in Nashville, TN. This facility is used for warehousing and distribution. Annual lease expense is approximately $0.4 million for this facility.</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owns a facility in Bothwell, Scotland used to manufacture disposable products for our European and Asian customers. This facility is approximately 40,000 square feet. During fiscal 2015, the Company announced it will discontinue manufacturing activities at this location as part of its VCC initiatives.</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owns a facility in Ascoli, Italy, used for the production of whole blood collection kits. This facility is approximately 87,000 square feet. During fiscal 2014, the Company discontinued manufacturing activities at this location as part of its VCC initiatives.</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127,000 square feet of space in Tijuana, Mexico with an Annual lease expense of approximately $0.7 million. The Company also owns a facility in Tijuana, Mexico that is approximately 182,000 square feet. These facilities are used for the production of whole blood collection kits, blood center and hospital disposables, and intra-plant components.</w:t>
      </w:r>
    </w:p>
    <w:p>
      <w:pPr>
        <w:spacing w:after="0" w:line="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owns approximately 240,000 square feet of space in Penang, Malaysia used to manufacture disposable products for our European and Asian customers. The facility was completed in February, 2015. The Company leases the land on which the facility was built and the lease payments have been prepaid. The lease term of 30 years expires in 2043 with an option to renew for a period of no less than 10 years.</w:t>
      </w:r>
    </w:p>
    <w:p>
      <w:pPr>
        <w:spacing w:after="0" w:line="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leases approximately 26,000 square feet of office space in Signy, Switzerland. This facility is used for sales, marketing, finance and other administrative services, as well as supply chain and procurement management activities related to our manufacturing operations. Annual lease expense for this space is approximately $0.9 million.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leases administration, sales, marketing, service, and distribution facilities in locations around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Italian Employment Litigation</w:t>
      </w:r>
    </w:p>
    <w:p>
      <w:pPr>
        <w:spacing w:after="0" w:line="3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March 28, 2015, the total amount of damages claimed by the plaintiffs in these matters is approximately $3.7 million; however, it is not possible at this point in the proceedings to accurately evaluate the likelihood or amount of any potential losses. We may receive other similar claims in the future.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PETER ALLEN </w:t>
      </w:r>
      <w:r>
        <w:rPr>
          <w:rFonts w:ascii="Arial" w:cs="Arial" w:eastAsia="Arial" w:hAnsi="Arial"/>
          <w:sz w:val="16"/>
          <w:szCs w:val="16"/>
          <w:color w:val="auto"/>
        </w:rPr>
        <w:t>(age 56), President, Global Plasma joined Haemonetics in 2003 as President of the Donor Division. In March 2008, Mr. Allen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Chief Marketing Officer. In October 2011, he was promoted to President of Global Plasma. Prior to joining Haemonetics, 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services. Previously, Mr. Allen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BRIAN BURNS </w:t>
      </w:r>
      <w:r>
        <w:rPr>
          <w:rFonts w:ascii="Arial" w:cs="Arial" w:eastAsia="Arial" w:hAnsi="Arial"/>
          <w:sz w:val="18"/>
          <w:szCs w:val="18"/>
          <w:color w:val="auto"/>
        </w:rPr>
        <w:t>(age 51) Executive Vice President, Global Quality and Regulatory Affairs joined Haemonetics in January 2014. Mr. Burns most recently held</w:t>
      </w:r>
      <w:r>
        <w:rPr>
          <w:rFonts w:ascii="Arial" w:cs="Arial" w:eastAsia="Arial" w:hAnsi="Arial"/>
          <w:sz w:val="18"/>
          <w:szCs w:val="18"/>
          <w:i w:val="1"/>
          <w:iCs w:val="1"/>
          <w:color w:val="auto"/>
        </w:rPr>
        <w:t xml:space="preserve"> </w:t>
      </w:r>
      <w:r>
        <w:rPr>
          <w:rFonts w:ascii="Arial" w:cs="Arial" w:eastAsia="Arial" w:hAnsi="Arial"/>
          <w:sz w:val="18"/>
          <w:szCs w:val="18"/>
          <w:color w:val="auto"/>
        </w:rPr>
        <w:t>the position of Senior Vice President, North America QA, RA for Fresenius Medical Corporation, Dialysis Division, where he was also the Corporate Management Representative. Brian was previously with Boston Scientific as Executive Vice President, Global QA, RA and Safety. During his tenure, he held leadership positions at the Senior Vice President and Vice President levels with accountability and expertise in global quality, CAPA, Complaints, Clinical, and Regulatory functions.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BRIAN CONCANNON </w:t>
      </w:r>
      <w:r>
        <w:rPr>
          <w:rFonts w:ascii="Arial" w:cs="Arial" w:eastAsia="Arial" w:hAnsi="Arial"/>
          <w:sz w:val="16"/>
          <w:szCs w:val="16"/>
          <w:color w:val="auto"/>
        </w:rPr>
        <w:t>(age 57) , President and Chief Executive Officer joined Haemonetics in 2003 as the President, Patient Division and was promoted to</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Global Markets in 2006. In 2007, Mr. Concannon was promoted to Chief Operating Officer and in April 2009, Mr. Concannon was promoted to President and Chief Executive Officer, and elected to the Haemonetics Board of Directors. Immediately prior to joining the Company, Mr. Concannon was the President, Northeast Region, for Cardinal Health Medical Products and Services where he was employed since 1998. From 1985 to 1998, he was employed by American Hospital Supply Corporation, Baxter Healthcare Corp and Allegiance Healthcare in a series of sales and operations management positions of increasing responsibility. He has served in leadership roles within the healthcare industry for more than 30 years. Mr. Concannon is also a member of the board of directors of CONMED Corporation since July 2013, a member of the board of directors of South Shore Health &amp; Educational Corporation since January 2014, and is the Chairman of the Board of My Brother’s Keeper. Mr. Concannon is a 1979 graduate of West Point.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i w:val="1"/>
          <w:iCs w:val="1"/>
          <w:color w:val="auto"/>
        </w:rPr>
        <w:t xml:space="preserve">KENT DAVIES </w:t>
      </w:r>
      <w:r>
        <w:rPr>
          <w:rFonts w:ascii="Arial" w:cs="Arial" w:eastAsia="Arial" w:hAnsi="Arial"/>
          <w:sz w:val="18"/>
          <w:szCs w:val="18"/>
          <w:color w:val="auto"/>
        </w:rPr>
        <w:t>(age 52), Chief Operating Officer joined Haemonetics as President, Global Markets in April 2014. In April 2015, he was promoted to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In this role, he is responsible for worldwide oversight of all of Haemonetics’ commercial operations, including product development and product management. Previously, Mr. Davies was the Chief Executive Officer of RoundTable Healthcare Partners' RoundTable III Platform Development Corporation ("RPDC") where he focused on the identification and development of new investment opportunities in the medical device market. Prior to RPDC, he held executive roles of increasing responsibility, including Chief Executive Officer of Gaymar Industries, a privately held medical device and equipment company that was acquired by Stryker Corp., Division President and corporate officer of publicly-traded Solutia, Inc., in addition to a variety of global general management, commercial, and product leadership roles with Kimberly-Clark Healthcare and 3M Healthcare, amongst a number of other successful business growth and leadership roles throughout his career. Mr. Davies holds a Bachelor of Arts degree from the University of California, Berkeley, an MBA from the University of Minnesota, and has completed advanced course work in Finance at The Wharton School at the University of Pennsylvania.</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SUSAN HANLON </w:t>
      </w:r>
      <w:r>
        <w:rPr>
          <w:rFonts w:ascii="Arial" w:cs="Arial" w:eastAsia="Arial" w:hAnsi="Arial"/>
          <w:sz w:val="18"/>
          <w:szCs w:val="18"/>
          <w:color w:val="auto"/>
        </w:rPr>
        <w:t>(age 47), Vice President Finance and Chief Accounting Officer joined our Company in 2002 as Vice President and Corporate Controller.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she was promoted to Vice President Planning and Control, and in 2008, Ms. Hanlon was promoted to Vice President Finance. She presently has responsibility for Controllership, Financial Planning, Tax, and Treasury. Prior to joining Haemonetics, Ms. Hanlon was a partner with Arthur Andersen LLP in Boston.</w:t>
      </w:r>
    </w:p>
    <w:p>
      <w:pPr>
        <w:spacing w:after="0" w:line="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DAVID HELSEL </w:t>
      </w:r>
      <w:r>
        <w:rPr>
          <w:rFonts w:ascii="Arial" w:cs="Arial" w:eastAsia="Arial" w:hAnsi="Arial"/>
          <w:sz w:val="17"/>
          <w:szCs w:val="17"/>
          <w:color w:val="auto"/>
        </w:rPr>
        <w:t>(age 51) Executive Vice President, Global Manufacturing joined Haemonetics as Vice President of Global Manufacturing in March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responsible for worldwide oversight of the Company’s manufacturing and supply chain organizations. Mr. Helsel was previously with Covidien, Ltd. for 16 years, where he most recently was Vice President of Operations for the Surgical Solutions global business unit. During his tenure with Covidien, his previous roles included Vice President of Operations for the Medical Supplies segment and Global Director of Operational Excellence – Manufacturing. Mr. Helsel holds a Bachelor of Science degree in Mechanical Engineering from LeTourneau University.</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SANDRA JESSE </w:t>
      </w:r>
      <w:r>
        <w:rPr>
          <w:rFonts w:ascii="Arial" w:cs="Arial" w:eastAsia="Arial" w:hAnsi="Arial"/>
          <w:sz w:val="17"/>
          <w:szCs w:val="17"/>
          <w:color w:val="auto"/>
        </w:rPr>
        <w:t>(age 62) Chief Legal Officer joined Haemonetics as Vice President, Chief Legal Officer in September 2011, and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world-wide Legal, Compliance and Corporate Audit and Controls groups. Ms. Jesse was previously the Executive Vice President and Chief Legal Officer of Blue Cross Blue Shield of Massachusetts, a Partner in the Boston law firm of Choate, Hall and Stewart, and Press Secretary for United States Congressman, Lee Hamilton. She has served on a number of Boards of Directors, including the New England Legal Foundation, Longy School of Music, Boston Harbor Island Alliance and the Landmark School. Ms. Jesse is a former President of the Boston Bar Foundation.</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CHRISTOPHER LINDOP </w:t>
      </w:r>
      <w:r>
        <w:rPr>
          <w:rFonts w:ascii="Arial" w:cs="Arial" w:eastAsia="Arial" w:hAnsi="Arial"/>
          <w:sz w:val="17"/>
          <w:szCs w:val="17"/>
          <w:color w:val="auto"/>
        </w:rPr>
        <w:t>(age 57) Executive Vice President, Business Development and Chief Financial Officer joined Haemonetics in January of 2007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In 2007, Mr. Lindop assumed responsibility for business development. Prior to joining Haemonetics, he was Chief Financial Officer at Inverness Medical Innovations, a rapidly growing global developer of advanced consumer and professional diagnostic products from 2003 to 2006. Prior to this, Mr. Lindop was a Partner in the Boston offices of Ernst &amp; Young LLP and Arthur Andersen LLP.</w:t>
      </w:r>
    </w:p>
    <w:p>
      <w:pPr>
        <w:spacing w:after="0" w:line="7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DR. JONATHAN WHITE </w:t>
      </w:r>
      <w:r>
        <w:rPr>
          <w:rFonts w:ascii="Arial" w:cs="Arial" w:eastAsia="Arial" w:hAnsi="Arial"/>
          <w:sz w:val="18"/>
          <w:szCs w:val="18"/>
          <w:color w:val="auto"/>
        </w:rPr>
        <w:t>(age 55) Chief Science and Technology Officer joined Haemonetics in 2008 as Vice President of Research and Development. Dr.</w:t>
      </w:r>
      <w:r>
        <w:rPr>
          <w:rFonts w:ascii="Arial" w:cs="Arial" w:eastAsia="Arial" w:hAnsi="Arial"/>
          <w:sz w:val="18"/>
          <w:szCs w:val="18"/>
          <w:i w:val="1"/>
          <w:iCs w:val="1"/>
          <w:color w:val="auto"/>
        </w:rPr>
        <w:t xml:space="preserve"> </w:t>
      </w:r>
      <w:r>
        <w:rPr>
          <w:rFonts w:ascii="Arial" w:cs="Arial" w:eastAsia="Arial" w:hAnsi="Arial"/>
          <w:sz w:val="18"/>
          <w:szCs w:val="18"/>
          <w:color w:val="auto"/>
        </w:rPr>
        <w:t>White joined Haemonetics from Pfizer where he held a number of roles including Chief Information Officer. He previously worked at McKinsey and Company in New York. Dr. White is a Fellow of the Royal College of Surgery in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Information</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Fourth</w:t>
            </w:r>
          </w:p>
        </w:tc>
      </w:tr>
      <w:tr>
        <w:trPr>
          <w:trHeight w:val="234"/>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Quarter</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28, 2015:</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29, 2014:</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31.80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246 holders of record of the Company’s common stock as of March 28,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never paid cash dividends on shares of its common stock and does not expect to pay cash dividends in the foreseeable future.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Performance</w:t>
      </w:r>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following graph compares the cumulative 5-year total return provided to shareholders on Haemonetics Corporation’s common stock relative to the cumulative total returns of the S&amp;P 500 index and the S&amp;P Health Care Equipment index. An investment of $100 (with reinvestment of all dividends) is assumed to have been made in our common stock and in each of the indexes on 4/3/2010 and its relative performance is tracked through 3/28/2015.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866130" cy="3790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195" w:lineRule="exact"/>
        <w:rPr>
          <w:sz w:val="20"/>
          <w:szCs w:val="20"/>
          <w:color w:val="auto"/>
        </w:rPr>
      </w:pPr>
    </w:p>
    <w:p>
      <w:pPr>
        <w:ind w:left="720" w:right="4820" w:hanging="685"/>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invested on 4/3/2010 in stock or index, including reinvestment of dividends. Fiscal year ended March 28, 2015.</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00" w:type="dxa"/>
            <w:vAlign w:val="bottom"/>
            <w:tcBorders>
              <w:top w:val="single" w:sz="8" w:color="auto"/>
              <w:left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4/10</w:t>
            </w:r>
          </w:p>
        </w:tc>
        <w:tc>
          <w:tcPr>
            <w:tcW w:w="10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4/11</w:t>
            </w:r>
          </w:p>
        </w:tc>
        <w:tc>
          <w:tcPr>
            <w:tcW w:w="10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3/12</w:t>
            </w:r>
          </w:p>
        </w:tc>
        <w:tc>
          <w:tcPr>
            <w:tcW w:w="10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3/13</w:t>
            </w:r>
          </w:p>
        </w:tc>
        <w:tc>
          <w:tcPr>
            <w:tcW w:w="10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3/14</w:t>
            </w:r>
          </w:p>
        </w:tc>
        <w:tc>
          <w:tcPr>
            <w:tcW w:w="9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3/15</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Haemonetics Corporation</w:t>
            </w:r>
          </w:p>
        </w:tc>
        <w:tc>
          <w:tcPr>
            <w:tcW w:w="10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104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117.89</w:t>
            </w:r>
          </w:p>
        </w:tc>
        <w:tc>
          <w:tcPr>
            <w:tcW w:w="10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123.41</w:t>
            </w:r>
          </w:p>
        </w:tc>
        <w:tc>
          <w:tcPr>
            <w:tcW w:w="102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147.57</w:t>
            </w:r>
          </w:p>
        </w:tc>
        <w:tc>
          <w:tcPr>
            <w:tcW w:w="102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113.74</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156.61</w:t>
            </w:r>
          </w:p>
        </w:tc>
      </w:tr>
      <w:tr>
        <w:trPr>
          <w:trHeight w:val="237"/>
        </w:trPr>
        <w:tc>
          <w:tcPr>
            <w:tcW w:w="5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S&amp;P 500</w:t>
            </w:r>
          </w:p>
        </w:tc>
        <w:tc>
          <w:tcPr>
            <w:tcW w:w="10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100.00</w:t>
            </w:r>
          </w:p>
        </w:tc>
        <w:tc>
          <w:tcPr>
            <w:tcW w:w="10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112.21</w:t>
            </w:r>
          </w:p>
        </w:tc>
        <w:tc>
          <w:tcPr>
            <w:tcW w:w="10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118.61</w:t>
            </w:r>
          </w:p>
        </w:tc>
        <w:tc>
          <w:tcPr>
            <w:tcW w:w="10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132.15</w:t>
            </w:r>
          </w:p>
        </w:tc>
        <w:tc>
          <w:tcPr>
            <w:tcW w:w="10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156.44</w:t>
            </w:r>
          </w:p>
        </w:tc>
        <w:tc>
          <w:tcPr>
            <w:tcW w:w="9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173.57</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44"/>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S&amp;P Health Care Equipment</w:t>
            </w:r>
          </w:p>
        </w:tc>
        <w:tc>
          <w:tcPr>
            <w:tcW w:w="10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104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101.23</w:t>
            </w:r>
          </w:p>
        </w:tc>
        <w:tc>
          <w:tcPr>
            <w:tcW w:w="10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106.91</w:t>
            </w:r>
          </w:p>
        </w:tc>
        <w:tc>
          <w:tcPr>
            <w:tcW w:w="102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118.36</w:t>
            </w:r>
          </w:p>
        </w:tc>
        <w:tc>
          <w:tcPr>
            <w:tcW w:w="10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147.44</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179.78</w:t>
            </w:r>
          </w:p>
        </w:tc>
      </w:tr>
      <w:tr>
        <w:trPr>
          <w:trHeight w:val="20"/>
        </w:trPr>
        <w:tc>
          <w:tcPr>
            <w:tcW w:w="5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Note: The stock price performance included in this graph is not necessarily indicative of future stock price performance. This graph shall not be deemed "filed" for purposes of Section18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130" w:right="2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April 28, 2014 press release, the Company announced that its Board of Directors approved the repurchase of up to $100.0 million worth of Company shares, subject to compliance with its loan covenants. Through March 28, 2015, the Company repurchased 1,174,111 shares of its common stock for an aggregate purchase price of $39.0 million. We reflect stock repurchases in our financial statements on a “trade date” basis and as Authorized Unissued (Haemonetics is a Massachusetts company and under Massachusetts law repurchased shares are treated as authorized but unissued).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year were made under the publicly announced program and were made in the open market.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Dollar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including</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Repurchased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Commissions</w:t>
            </w: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Plans or Programs</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30, 2014 - April 26,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100,000,000</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April 27, 2014 - May 24, 2014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694,162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22,079,008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77,920,992</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25, 2014 - June 28,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139,595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4,778,988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73,142,004</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June 29, 2014 - July 26, 2014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75,185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2,668,606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70,473,398</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27, 2014 - August 23,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63,730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2,302,197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68,171,201</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August 24, 2014 - September 27, 2014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62,144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2,209,060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65,962,141</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28, 2014 - October 25,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66,089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63,646,076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October 26, 2014 - November 22, 2014</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45,129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1,646,262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61,999,814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23, 2014 - December 27, 2014</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61,299,392</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December 28, 2014 - January 24, 2015</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6,877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253,942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61,045,450</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25, 2015 - February 21, 2015</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60,966,256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February 22, 2015 - March 28, 2015</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60,966,256</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1,174,111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39,033,744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2080" w:hanging="5615"/>
        <w:spacing w:after="0" w:line="559" w:lineRule="auto"/>
        <w:rPr>
          <w:sz w:val="20"/>
          <w:szCs w:val="20"/>
          <w:color w:val="auto"/>
        </w:rPr>
      </w:pPr>
      <w:r>
        <w:rPr>
          <w:rFonts w:ascii="Arial" w:cs="Arial" w:eastAsia="Arial" w:hAnsi="Arial"/>
          <w:sz w:val="18"/>
          <w:szCs w:val="18"/>
          <w:color w:val="auto"/>
        </w:rPr>
        <w:t>We expect to complete the remaining $61.0 million of purchases in fiscal 2016 and remain in compliance with all loan covenants. 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910,373</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938,509</w:t>
            </w:r>
          </w:p>
        </w:tc>
        <w:tc>
          <w:tcPr>
            <w:tcW w:w="20" w:type="dxa"/>
            <w:vAlign w:val="bottom"/>
          </w:tcPr>
          <w:p>
            <w:pPr>
              <w:spacing w:after="0"/>
              <w:rPr>
                <w:sz w:val="21"/>
                <w:szCs w:val="21"/>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891,990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727,844</w:t>
            </w:r>
          </w:p>
        </w:tc>
        <w:tc>
          <w:tcPr>
            <w:tcW w:w="40" w:type="dxa"/>
            <w:vAlign w:val="bottom"/>
          </w:tcPr>
          <w:p>
            <w:pPr>
              <w:spacing w:after="0"/>
              <w:rPr>
                <w:sz w:val="21"/>
                <w:szCs w:val="21"/>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676,694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475,955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470,144</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463,859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358,604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321,485</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434,418</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468,365</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428,131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369,240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355,209</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54,187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54,200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32,656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366,022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243,681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212,005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393,878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421,933</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371,694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280,482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244,661</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40,540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46,432</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56,437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88,758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110,548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31,165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36,401</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49,897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89,498</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110,081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30,101</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16,897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35,148</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38,800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66,886</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79,980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21"/>
                <w:szCs w:val="21"/>
                <w:color w:val="auto"/>
              </w:rPr>
            </w:pP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1"/>
                <w:szCs w:val="21"/>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51,611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51,349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50,154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2"/>
              </w:rPr>
              <w:t>Weighted average number of common and common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equivalent shares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52,089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52,377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51,590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51,192</w:t>
            </w:r>
          </w:p>
        </w:tc>
      </w:tr>
      <w:tr>
        <w:trPr>
          <w:trHeight w:val="426"/>
        </w:trPr>
        <w:tc>
          <w:tcPr>
            <w:tcW w:w="3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381,185</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406,048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416,866</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396,385</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340,160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321,948</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271,437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256,953</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161,657</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155,528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53,198</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46,669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86,053</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81,740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65,481</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49,966</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48,145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7"/>
              </w:rPr>
              <w:t>1,485,417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1,514,178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1,461,917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911,135</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833,264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427,891</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437,687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480,094</w:t>
            </w:r>
          </w:p>
        </w:tc>
        <w:tc>
          <w:tcPr>
            <w:tcW w:w="120" w:type="dxa"/>
            <w:vAlign w:val="bottom"/>
          </w:tcPr>
          <w:p>
            <w:pPr>
              <w:spacing w:after="0"/>
              <w:rPr>
                <w:sz w:val="21"/>
                <w:szCs w:val="21"/>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3,771</w:t>
            </w:r>
          </w:p>
        </w:tc>
        <w:tc>
          <w:tcPr>
            <w:tcW w:w="40" w:type="dxa"/>
            <w:vAlign w:val="bottom"/>
          </w:tcPr>
          <w:p>
            <w:pPr>
              <w:spacing w:after="0"/>
              <w:rPr>
                <w:sz w:val="21"/>
                <w:szCs w:val="21"/>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4,879</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826,122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837,888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769,182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732,631</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686,136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2,201</w:t>
            </w:r>
          </w:p>
        </w:tc>
      </w:tr>
      <w:tr>
        <w:trPr>
          <w:trHeight w:val="72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23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patient care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Russian Economic Conditions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Economic weakness in Russia has impacted our financial results for fiscal 2015 and we expect that our Russian business performance in fiscal 2016 will be similar to fiscal 2015. While the needs for our products in the Russian marketplace continue, the challenging macro-economic conditions in Russia have resulted in reduced government healthcare spending and, as a result, our distributors are placing fewer orders. Russia currently represents approximately 3% of our revenue and we continue to work closely with our Russian distributors to monitor market conditions and credit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Sales to U.S. blood centers of our whole blood disposables represent approximately 7% of our total revenue. The demand for these disposable products in the U.S. declined in fiscal 2014 and 2015 due to a rapid decline in demand for blood products associated with actions taken by hospitals to improve blood management techniques and protocols. We believe the decline in U.S. blood center collections of approximately 10% in fiscal 2015 will moderate in fiscal 2016. While it will continue to negatively impact red cell and whole blood revenue, the magnitude of the negative impact will be reduced.</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response to this trend, certain large U.S. blood center collection groups pursued single source vendors for whole blood collection products which required significant reductions in average selling prices in order to retain or increase our share of their business. During fiscal 2014 we entered into a multi-year agreement to supply the HemeXcel Purchasing Alliance, LLC with certain whole blood collection components during the calendar years 2014-2016. The agreement included a reduction in average selling prices which negatively impacted our financial results in fiscal 2015. In March 2014, the American Red Cross selected another exclusive supplier to provide certain whole blood products. This reduced annualized revenues by approximately $25.0 million beginning in the second quarter of fiscal 2015.</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U.S. blood collection groups are pursuing arrangements for our red cell business similar to the single source agreements pursued in whole blood. This may affect our red cell revenues in the future.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30"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2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in Braintree, Massachusetts, (iii) expanding our current facility in Tijuana, Mexico, (iv) engaging Sanmina Corporation as a contract manufacturer to produce certain medical equipment, and</w:t>
      </w:r>
    </w:p>
    <w:p>
      <w:pPr>
        <w:spacing w:after="0" w:line="5" w:lineRule="exact"/>
        <w:rPr>
          <w:sz w:val="20"/>
          <w:szCs w:val="20"/>
          <w:color w:val="auto"/>
        </w:rPr>
      </w:pPr>
    </w:p>
    <w:p>
      <w:pPr>
        <w:ind w:right="32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building a new manufacturing facility in Penang, Malaysia closer to our customers in Asia. See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discussion of this MD&amp;A for further discussion of the costs of these activities.</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VCC initiatives are moving forward according to plan. We have engaged Sanmina Corporation to be the sole manufacturer of certain equipment, and we have commenced production in our new manufacturing facility in Penang, Malaysia and in our expanded facility in Tijuana, Mexico allowing us to consolidate the manufacturing of product formerly produced in the U.S., Italy and Scotland.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Changes in demand for plasma-derived pharmaceuticals, particularly immunoglobulin (“IG”), are the key driver of plasma collection volumes in the bio-pharmaceutical market. Various factors related to the supply of plasma and the production of plasma-derived pharmaceuticals also affect collection volume, including the following:</w:t>
      </w:r>
    </w:p>
    <w:p>
      <w:pPr>
        <w:spacing w:after="0" w:line="19" w:lineRule="exact"/>
        <w:rPr>
          <w:sz w:val="20"/>
          <w:szCs w:val="20"/>
          <w:color w:val="auto"/>
        </w:rPr>
      </w:pPr>
    </w:p>
    <w:p>
      <w:pPr>
        <w:ind w:left="660" w:right="5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Several blood collectors supply additional plasma to fractionators, and thus plasma supply can rise overall but not directly impact our plasma business.</w:t>
      </w:r>
    </w:p>
    <w:p>
      <w:pPr>
        <w:spacing w:after="0" w:line="8"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Bio-pharmaceutical companies are seeking more efficient production processes, to meet growing demand for pharmaceuticals without requiring an equivalent increase in plasma supply.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guidelines affect the demand for end product pharmaceuticals, although off-label use of pharmaceuticals is growing, in particular for Alzheimer's treatment.</w:t>
      </w:r>
    </w:p>
    <w:p>
      <w:pPr>
        <w:spacing w:after="0" w:line="8"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Newly approved indications for, and the growing understanding and thus diagnosis of auto-immune diseases treated with plasma derived therapies increase the demand for plasma, as do longer lifespans and a growing aging patient population.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Demand for our plasma products in fiscal 2015 was particularly strong in North America as collection volumes benefited from a robust end user market for plasma-derived biopharmaceuticals with U.S. produced plasma meeting an increasing percentage of plasma volume demand worldwide.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blood center market, we sell products used in the collection of platelets, red cells and whole blood. Whole blood is collected from the donor and then transported to a laboratory where it is separated into its components: red cells, platelets or plasma.</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With changes in healthcare and social security systems in emerging markets, a larger number of people are gaining access to state of the art medical treatments, which drives the demand for platelet transfusions and represent a faster growing market.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Blood management is an approach to optimizing the care of patients that may need a transfusion that includes a wide range of practices and protocols which influence the need for, and use of, blood products in hospitals. Adoption of blood management practices by hospitals, particularly in the United States, continues to gain momentum. Blood management efforts reduce the demand for red cells, which in turn can reduce the demand for our red cell and whole blood collection products.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30" w:right="2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above, we believe the decline in U.S. blood center collections of approximately 10% in fiscal 2015 will moderate in fiscal 2016. Demand for red cells has declined in mature markets due to better blood management and the development of less invasive, lower blood loss medical procedures. However, highly populated emerging market countries are increasing their demand for blood components as they are advancing their health care coverage, and as greater numbers of people gain access to more advanced medical treatment, demand for blood components, including red cells increases directly.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the hospital market, we sell cardiovascular surgical blood salvage systems, orthopedic surgical blood salvage systems, and a blood diagnostic instrument.</w:t>
      </w:r>
    </w:p>
    <w:p>
      <w:pPr>
        <w:spacing w:after="0" w:line="15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Cell Saver surgical blood salvage system was designed as a solution for rapid, high volume blood loss procedures, such as cardiovascular surgeries. In recent years, more efficient blood use and less invasive cardiovascular surgeries have reduced demand for this device and contributed to intense competition in mature markets, while increased access to healthcare in emerging economies has provided new markets and sources of growth.</w:t>
      </w:r>
    </w:p>
    <w:p>
      <w:pPr>
        <w:spacing w:after="0" w:line="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OrthoPAT technology is used to salvage red cells in high blood loss orthopedic procedures, including hip and knee replacement surgeries. The OrthoPAT is designed to collect, separate and wash a patient’s shed blood both during and after orthopedic surgery, such as hip and knee replacement. Recently, improved blood management practices, including the use of tranexamic acid to treat and prevent post-operative bleeding, have reduced the use of OrthoPAT.</w:t>
      </w:r>
    </w:p>
    <w:p>
      <w:pPr>
        <w:spacing w:after="0" w:line="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TEG Thrombelastograph Hemostasis Analyzer is a diagnostic tool which provides a comprehensive assessment of a patient’s overall hemostasis. This information enables caregivers to decide the best blood-related clinical treatment for the individual patient in order to minimize blood loss. The test is expanding beyond cardiac surgery into trauma, as well as helping manage surgical timing of patients on anti-platelet medications. TEG product line sales further strengthened in fiscal 2015, with strong performance in North America and China. This product’s growth is dependent on hospitals adopting this technology in their blood management programs. We have launched our next generation device, the TEG 6s, in certain markets in Europe and Asia. In North America, our largest market for TEG, we will launch the TEG 6s upon receipt of the final 510(k) clearance.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Market</w:t>
      </w:r>
    </w:p>
    <w:p>
      <w:pPr>
        <w:spacing w:after="0" w:line="13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software solutions portfolio addresses many of the critical data collection and data management needs within the plasma, blood center, and hospital markets and is also a key component of our blood management solutions. In fiscal 2015, the pressures to improve efficiencies, reduce cost, and improve patient outcomes continued to be key drivers in all three markets.</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fiscal 2015, we released our Next Generation Donor Management Software, which has been favorably received by the market and purchased by two significant plasma collectors, one of which is planning global adoption.</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blood center market for software, we currently participate most actively in the United States, where expansion to new or emerging technology platforms such as our El Dorado Software Solution Suite has been slow due to industry consolidation and the relatively high cost of migrating to new information technology platforms. This trend has limited revenue growth, but the high switching costs and recurring maintenance revenue streams from existing customers has provided relative revenue stability in this segment.</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currently participate in the hospital software market primarily in the United States and Europe. In the United States, we have experienced growth in our installed base for our hospital transfusion solution, SafeTraceTX, due to demand for reliable, proven safety systems within transfusion services. However, growth in the United States continues to be constrained due to hospital IT organization focus on the electronic medical records mandates. Revenues from BloodTrack, a blood inventory and transfusion management system, have increased in the United States and Europe recently as hospitals seek means to improve efficiencies and meet compliance guidelines for tracking and dispositioning blood components to patients. We released our new BloodTrack HaemoBank, which received 510(k), CE and multi-regional clearances, in fiscal 2015 and expect that this will further expand this solution's growth in fiscal 2016.</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Increase/(Decrease)</w:t>
            </w:r>
          </w:p>
        </w:tc>
        <w:tc>
          <w:tcPr>
            <w:tcW w:w="1600" w:type="dxa"/>
            <w:vAlign w:val="bottom"/>
          </w:tcPr>
          <w:p>
            <w:pPr>
              <w:jc w:val="right"/>
              <w:ind w:right="33"/>
              <w:spacing w:after="0"/>
              <w:rPr>
                <w:sz w:val="20"/>
                <w:szCs w:val="20"/>
                <w:color w:val="auto"/>
              </w:rPr>
            </w:pPr>
            <w:r>
              <w:rPr>
                <w:rFonts w:ascii="Arial" w:cs="Arial" w:eastAsia="Arial" w:hAnsi="Arial"/>
                <w:sz w:val="14"/>
                <w:szCs w:val="14"/>
                <w:b w:val="1"/>
                <w:bCs w:val="1"/>
                <w:color w:val="auto"/>
                <w:w w:val="98"/>
              </w:rPr>
              <w:t>% Increase/(Decrease)</w:t>
            </w: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15 vs. 14</w:t>
            </w: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14 vs. 13</w:t>
            </w: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910,373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938,509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891,990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434,418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468,365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428,131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393,878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421,933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371,694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46,432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56,437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31,165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36,401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49,897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3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2015, 2014 and 2013 each included 52 weeks with each quarter having 13 weeks.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2016 will have 53 weeks.</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 for fiscal 2015 decreased 3.0% compared to fiscal 2014. Without the effects of foreign exchange, net revenue decreased 1.3% compared to fiscal 2014. Revenue increases in plasma and diagnostic disposables were more than offset by declines in the whole blood disposables for the fiscal year ended March 28, 2015.</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revenue for fiscal 2014 increased 5.2% compared to fiscal 2013. Without the effects of foreign exchange, net revenue increased 6.9% over fiscal 2013. Revenue increased due to a full year of sales from the whole blood business acquired August 1, 2012 as compared to eight months of sales in the prior year, as well as growth in our plasma and diagnostics disposable products. These increases were partially offset by declines across other product lines for the fiscal year ended March 29, 2014.</w:t>
      </w:r>
    </w:p>
    <w:p>
      <w:pPr>
        <w:spacing w:after="0" w:line="9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fiscal 2015, operating income decreased 12.7% compared to fiscal 2014. Without the effects of foreign currency, operating income decreased 0.9% compared to fiscal 2014. Operating income decreased primarily due to lower whole blood disposables volume and pricing and the associated reduced manufacturing efficiency. These decreases were partially offset by reduced restructuring and transformation costs, and organizational cost savings initiatives. Restructuring and transformation costs were $66.8 million for fiscal 2015, as compared to $84.8 million for the comparative prior year period.</w:t>
      </w:r>
    </w:p>
    <w:p>
      <w:pPr>
        <w:spacing w:after="0" w:line="6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During fiscal 2014, operating income decreased 17.7% compared to fiscal 2013. Without the effects of foreign currency, operating income decreased 4.1% compared to fiscal 2013. Operating income decreased as gross profit growth was more than offset by higher restructuring and transformation costs and other operating expense growth associated with the whole blood acquisition. Restructuring and transformation costs were $84.8 million for the fiscal year ended March 29, 2014, as compared to $72.5 million for the comparative prior year period. Restructuring and transformation costs in fiscal 2014 are primarily associated with VCC initiatives, and in fiscal 2013 were primarily associated with the acquisition and integration of the whole blood business.</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decreased 51.9% during fiscal 2015. Without the effects of foreign exchange, net income decreased 20.8% for fiscal 2015. The decrease in net income was primarily attributable to an increase in tax expense and the decrease in operating income described above. The increase in tax expense is attributable to the establishment of a valuation allowance for our U.S. net deferred tax assets following three years of cumulative losses directly related to our substantial restructuring and transformation spending.</w:t>
      </w:r>
    </w:p>
    <w:p>
      <w:pPr>
        <w:spacing w:after="0" w:line="9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Net income decreased 9.4% during fiscal 2014. Without the effects of foreign exchange, net income decreased 3.4% for fiscal 2014. The decrease in net income was attributable to the decrease in operating income described above and additional interest expense associated with a full year of term loan borrowing following the whole blood acquisition. These were partially offset by a reduction in tax expense due to lower income before taxes and a lower income tax 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Increase/(Decrease)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15 vs. 14</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14 vs. 13</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494,788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454,874</w:t>
            </w:r>
          </w:p>
        </w:tc>
        <w:tc>
          <w:tcPr>
            <w:tcW w:w="16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415,585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437,790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437,116</w:t>
            </w:r>
          </w:p>
        </w:tc>
        <w:tc>
          <w:tcPr>
            <w:tcW w:w="1620" w:type="dxa"/>
            <w:vAlign w:val="bottom"/>
            <w:gridSpan w:val="2"/>
          </w:tcPr>
          <w:p>
            <w:pPr>
              <w:ind w:left="10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910,373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938,509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891,990</w:t>
            </w:r>
          </w:p>
        </w:tc>
        <w:tc>
          <w:tcPr>
            <w:tcW w:w="16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and independent distributors and agents.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 generated in our principle operating regions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28,</w:t>
            </w: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29,</w:t>
            </w: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68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Japan</w:t>
            </w:r>
          </w:p>
        </w:tc>
        <w:tc>
          <w:tcPr>
            <w:tcW w:w="14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6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68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6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International sales are generally conducted in local currencies, primarily the Japanese Yen, the Euro, the Chinese Yuan and the Australian Dollar. Our results of operations are impacted by changes in foreign exchange rates, particularly in the value of the Yen, the Euro and Australian Dollar relative to the U.S. Dollar.</w:t>
      </w:r>
    </w:p>
    <w:p>
      <w:pPr>
        <w:spacing w:after="0" w:line="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placed foreign currency hedges to minimize the risk of currency fluctuations. For fiscal 2015 as compared to fiscal 2014, the effects of foreign exchange resulted in a 1.7% decrease in sales. The primary reason is the relative strength of the U.S. Dollar to the Japanese Yen, Euro and Australian Dollar. We expect this relative strength of the U.S. Dollar to continue to negatively impact operating income in fiscal 2016 and fiscal 2017. For fiscal 2014 as compared to fiscal 2013, the effects of foreign exchange also accounted for a 1.7% decrease in sales.</w:t>
      </w:r>
    </w:p>
    <w:p>
      <w:pPr>
        <w:spacing w:after="0" w:line="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Increase/(Decrease)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15 vs. 14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14 vs. 13</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783,426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806,834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757,765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70,441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69,952</w:t>
            </w:r>
          </w:p>
        </w:tc>
        <w:tc>
          <w:tcPr>
            <w:tcW w:w="1620" w:type="dxa"/>
            <w:vAlign w:val="bottom"/>
            <w:gridSpan w:val="2"/>
          </w:tcPr>
          <w:p>
            <w:pPr>
              <w:jc w:val="right"/>
              <w:ind w:right="8"/>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54,762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61,234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64,273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910,373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938,509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891,990</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5.2 %</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85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Increase/(Decrease)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15 vs. 14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14 vs. 13</w:t>
            </w: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319,190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291,895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268,900</w:t>
            </w:r>
          </w:p>
        </w:tc>
        <w:tc>
          <w:tcPr>
            <w:tcW w:w="16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Blood center disposables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169,602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Red cell</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42,378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49,733</w:t>
            </w:r>
          </w:p>
        </w:tc>
        <w:tc>
          <w:tcPr>
            <w:tcW w:w="1620" w:type="dxa"/>
            <w:vAlign w:val="bottom"/>
            <w:gridSpan w:val="2"/>
          </w:tcPr>
          <w:p>
            <w:pPr>
              <w:jc w:val="right"/>
              <w:ind w:right="8"/>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190,698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138,436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37.8 %</w:t>
            </w:r>
          </w:p>
        </w:tc>
      </w:tr>
      <w:tr>
        <w:trPr>
          <w:trHeight w:val="237"/>
        </w:trPr>
        <w:tc>
          <w:tcPr>
            <w:tcW w:w="39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339,193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389,719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357,771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Surgical</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62,540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66,876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73,508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30,230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Diagnostics</w:t>
            </w:r>
          </w:p>
        </w:tc>
        <w:tc>
          <w:tcPr>
            <w:tcW w:w="2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27,356</w:t>
            </w:r>
          </w:p>
        </w:tc>
        <w:tc>
          <w:tcPr>
            <w:tcW w:w="1620" w:type="dxa"/>
            <w:vAlign w:val="bottom"/>
            <w:gridSpan w:val="2"/>
          </w:tcPr>
          <w:p>
            <w:pPr>
              <w:jc w:val="right"/>
              <w:ind w:right="8"/>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21.7 %</w:t>
            </w: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64"/>
        </w:trPr>
        <w:tc>
          <w:tcPr>
            <w:tcW w:w="3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125,220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131,094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disposables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783,426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806,834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757,765</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6.5 %</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 Revenue</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Disposables include the Plasma, Blood Center, and Hospital product lines. Disposables revenue decreased 2.9% during fiscal 2015 and increased 6.5% during fiscal 2014. Without the effects of foreign exchange, disposables revenue decreased 1.1% and increased 8.3% for fiscal 2015 and 2014, respectively. In fiscal 2015, the decrease was primarily driven by significantly reduced whole blood disposables revenue and was partially offset by growth in plasma and diagnostic disposables revenue. In fiscal 2014, the increase was primarily due to a full year of sales from the whole blood business as compared to eight months of sales in the prior year, as well as growth in our plasma and diagnostics disposable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Plasma disposables revenue increased 9.4% during fiscal 2015. Without the effects of foreign exchange, plasma disposables revenue increased 10.4% during fiscal 2015 compared to fiscal 2014. Plasma revenue increased due to higher volumes in the United States associated with end market growth for plasma-derived biopharmaceuticals and benefits from the transition to a direct sales model in Australia and New Zealand which occurred in the second quarter of fiscal 2014. We expect the demand for plasma-derived biopharmaceuticals to continue to grow in fiscal 2016 and incremental growth associated with our expanded saline solutions offering.</w:t>
      </w:r>
    </w:p>
    <w:p>
      <w:pPr>
        <w:spacing w:after="0" w:line="21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Plasma disposables revenue increased 8.6% during fiscal 2014. Without the effects of foreign exchange, plasma disposables revenue increased 10.3% during fiscal 2014. Plasma revenue increased due to higher volumes in the United States and the transition to a direct sales model in Australia and New Zealand.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Collection efficiencies which increase the yield of platelets per collection and more efficient use of collected platelets reduce the number of collections required to meet market demand. Where we see adoption of these techniques we experience reduced demand for our products; however, not all markets have adopted these collection efficiencies at the same level.</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These significant differences in platelet use and collection impact the performance of our platelet business across our different geographies. Japan recently began adoption of more efficient collection techniques which has negatively impacted revenue from platelet collection disposables, while emerging markets revenues continue to grow due to increasing use of platelets in patient care.</w:t>
      </w:r>
    </w:p>
    <w:p>
      <w:pPr>
        <w:spacing w:after="0" w:line="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Platelet disposables revenue decreased 2.6% during fiscal 2015. Without the effects of foreign exchange, platelet disposable revenue increased 3.0% during fiscal 2015. Without the effect of foreign exchange, the increase was due to growth in emerging markets and the benefit of order timing in North America offset by the impact of the collection trends in Japan noted above.</w:t>
      </w:r>
    </w:p>
    <w:p>
      <w:pPr>
        <w:sectPr>
          <w:pgSz w:w="11900" w:h="16838" w:orient="portrait"/>
          <w:cols w:equalWidth="0" w:num="1">
            <w:col w:w="11420"/>
          </w:cols>
          <w:pgMar w:left="240" w:top="130"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Platelet disposables revenue decreased 7.6% during fiscal 2014. Without the effects of foreign exchange, platelet disposable revenue decreased 3.8% during fiscal 2014, due primarily to lower revenues in Canada and lower revenues in emerging markets associated with order timing and reductions of distributor inventory levels.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Cells and Whole Blood</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Sales to U.S. blood centers represent approximately 75% of our total U.S. red cell and whole blood disposable revenue. The demand for these disposable products in the U.S. has recently declined due to a rapid reduction in demand for blood products associated with actions taken by hospitals to improve blood management techniques and protocols.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Red cell disposables revenue increased 0.8% during fiscal 2015. Without the effects of foreign exchange, red cell disposables revenue increased 0.8% during fiscal 2015. The increase was driven by North American sales due to changes in red cell collection practices and was partially offset by declines in Europe and Latin America. We have seen a modest shift in order patterns from whole blood to red cell disposables due to customer efforts to more efficiently collect red cells.</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Red cell disposables revenue decreased 14.8% during fiscal 2014. Without the effects of foreign exchange, red cell disposables revenue decreased 14.3% during fiscal 2014, due to the market factors discussed above.</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Whole blood revenue decreased 24.5% during fiscal 2015. Without the effect of foreign exchange, whole blood revenue decreased 24.1% during fiscal 2015, due to the loss of the American Red Cross business, lower pricing to HemeXcel, the loss of a European tender early in fiscal 2014 and macro-economic conditions in Russia. Declines in North American transfusion rates of 10% contributed approximately $8.0 million to the fiscal 2015 decline. As noted above, we expect that the rate of decline in transfusion rates in the United States will moderate in fiscal 2016.</w:t>
      </w:r>
    </w:p>
    <w:p>
      <w:pPr>
        <w:spacing w:after="0" w:line="19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Whole blood revenue increased 37.8% during fiscal 2014. Without the effect of foreign exchange, whole blood revenue increased 37.4% during fiscal 2014, due to a full period of sales from the whole blood business acquired August 1, 2012 as compared to eight months of sales in the prior year period. The increase was partially offset by the negative impact of the U.S. collection market, a European tender loss and a decline in contract manufacturing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Hospital disposable revenue includes Surgical, OrthoPAT, and Diagnostics products. The hospital product line includes the following brand platforms: the Cell Saver brand, the TEG brand and the OrthoPAT brand.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w:t>
      </w:r>
    </w:p>
    <w:p>
      <w:pPr>
        <w:spacing w:after="0" w:line="25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Surgical disposables revenue consists principally of the Cell Saver products. Revenue from our surgical disposables decreased 6.5% during fiscal 2015. Without the effect of foreign exchange, surgical disposables revenue decreased 3.3% during fiscal 2015. The decline in surgical revenue in developed markets, partially offset by growth in emerging markets.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Revenue from our surgical disposables decreased 9.0% during fiscal 2014. Without the effect of foreign exchange, surgical disposables revenue decreased</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5.4% during fiscal 2014. Surgical revenue decreased due to the return to the market of a competitor with aggressive pricing whose operations were limited by a natural disaster in the prior year, and by a reduction in demand for surgical procedures. This decrease was partially offset by growth in emerging markets, primarily China.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OrthoPAT</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from our OrthoPAT disposables decreased 18.9% during fiscal 2015. Without the effect of foreign exchange, OrthoPAT disposables revenue decreased 16.5% as better blood management has reduced orthopedic blood loss and demand for OrthoPAT disposables. Recent trends in blood management particularly the adoption of tranexamic acid to treat and prevent orthopedic post-operative blood loss have continued to reduce hospital use of OrthoPAT disposables and we expect this trend to continue.</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from our OrthoPAT disposables decreased 17.2% during fiscal 2014. Without the effect of foreign exchange, OrthoPAT disposables revenue decreased 14.7% as better blood management has reduced orthopedic blood loss and demand for OrthoPAT disposables. Recent trends in blood management, particularly the adoption of tranexamic acid to treat and prevent orthopedic post-operative blood loss, have continued to reduce hospital use of OrthoPAT disposables.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Diagnostics</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Diagnostics product revenue consists of the TEG products. Revenue from diagnostic products increased 26.7% during fiscal 2015. Without the effect of foreign exchange, diagnostic product revenue increased 23.4%. The revenue increase is due to continued adoption of our TEG analyzer, principally in the United States and China.</w:t>
      </w:r>
    </w:p>
    <w:p>
      <w:pPr>
        <w:sectPr>
          <w:pgSz w:w="11900" w:h="16838" w:orient="portrait"/>
          <w:cols w:equalWidth="0" w:num="1">
            <w:col w:w="11380"/>
          </w:cols>
          <w:pgMar w:left="240" w:top="130" w:right="279" w:bottom="1440" w:gutter="0" w:footer="0" w:header="0"/>
        </w:sect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130" w:right="27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Revenue from our diagnostic products increased 21.7% during fiscal 2014. Without the effect of foreign exchange, diagnostic product revenue increased 20.0%. The revenue increase is due to continued adoption of our TEG analyzer, principally in the United States and China.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 Increase/(Decrease)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Increase/(Decrease)</w:t>
            </w:r>
          </w:p>
        </w:tc>
      </w:tr>
      <w:tr>
        <w:trPr>
          <w:trHeight w:val="192"/>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15 vs. 14</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14 vs. 13</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69,952</w:t>
            </w:r>
          </w:p>
        </w:tc>
        <w:tc>
          <w:tcPr>
            <w:tcW w:w="16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54,762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64,273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other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126,947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131,675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134,225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software solutions revenue includes sales of our information technology software platforms and consulting services.</w:t>
      </w:r>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Software solutions revenue increased 2.5% during fiscal 2015. Without the effects of foreign exchange, software solutions revenue increased 2.9% during fiscal 2015. During fiscal 2015, software revenue increased due to strong BloodTrack sales in the U.S. and Europe.</w:t>
      </w:r>
    </w:p>
    <w:p>
      <w:pPr>
        <w:spacing w:after="0" w:line="76"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Software solutions revenue increased 0.7% during fiscal 2014. Without the effects of foreign exchange, software solutions revenue increased 0.1% during fiscal 2014. During fiscal 2014, growth in hospital software revenue was offset by lower hosting fees associated with a large bio-pharmaceutical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&amp; Other</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 to period more than our disposable product line due to the timing of order patterns, particularly in our distribution markets.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Equipment and other revenue decreased 10.6% during fiscal 2015. Without the effects of currency exchange, equipment and other revenue decreased 8.7%.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revenue during fiscal 2015 is due primarily to the impact of order timing and macro-economic conditions in Russia.</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Equipment and other revenue decreased 4.7% during fiscal 2014. Without the effect of currency exchange, equipment and other revenue decreased 2.0%. The decrease in revenue during fiscal 2014 is due primarily to benefits in the prior year from a competitor whose operations were limited by a natural disaster and the successful launch of the Cell Saver Elite, partially offset by higher services revenue associated with a transition to a direct sales model in Australia and New Zealand.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30,</w:t>
            </w: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 Increase/(Decrease)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8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15 vs. 14</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14 vs. 13</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434,418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468,365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428,131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gross profit decreased 7.2% during fiscal 2015. Without the effects of foreign exchange, gross profit decreased 5.1% during fiscal 2015. Our gross profit margin percentage decreased by 220 basis points for fiscal 2015 as compared to fiscal 2014. The decrease in gross profit margin for the fiscal year ended March 28, 2015 was primarily due to price reductions in the blood collection markets, reduced manufacturing efficiency related to lower whole blood volumes and relatively higher sales from products with lower gross margins. These decreases were partially offset by cost savings from our VCC initiatives implemented during fiscal 2014 and 2015.</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gross profit amount increased 9.4% during fiscal 2014. Without the effects of foreign exchange, gross profit increased 12.0% during fiscal 2014. Our gross profit margin percentage decreased by 190 basis points for fiscal 2014 as compared to fiscal 2013. The increase in gross profit margin for the fiscal year ended March 29, 2014 was primarily driven by lower whole blood related inventory charges. During fiscal 2013, we recorded inventory reserves associated with the removal of certain whole blood collection sets from inventory based on a quality matter detected during the year. We also recorded significant inventory step-up charges related to acquired whole blood inventory. Improvements to reported gross margin excluding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inventory adjustments noted also included improvements in manufacturing efficiencies. These increases were partially offset by the impact of foreign currency.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15 vs. 14</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14 vs. 13</w:t>
            </w: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44,394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334,250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366,022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323,053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393,878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421,933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371,694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remained flat during fiscal 2015. Without the effect of the increased restructuring and transformation costs of $2.8 million in fiscal 2015, as compared to the prior year, research and development decreased by approximately 6.0% as a result of reduced program spending related to the whole blood acquisition.</w:t>
      </w:r>
    </w:p>
    <w:p>
      <w:pPr>
        <w:spacing w:after="0" w:line="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increased 22.1% during fiscal 2014. This increase includes a $3.6 million in-process research and development charge related to the acquisition of certain technology and manufacturing rights to be used in a next generation device. Excluding the impact of the in-process research and development charge, research and development was 5.4% of net revenues. Other increases are primarily due to additional staff and program spending related to the whole blood acquisition, new research initiatives and development programs.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fiscal 2015, selling, general and administrative expenses decreased 8.7%. Without the effects of foreign exchange, selling, general and administrative expenses decreased 6.4% during fiscal 2015. The decrease during fiscal 2015 is primarily related to a $20.1 million decrease in restructuring and transformation costs related to VCC initiatives. This decrease was partially offset by our increased commercial investment in plasma and emerging markets and increased variable compensation.</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2014, selling, general and administrative expenses increased 13.3%. Without the effects of foreign exchange, selling, general and administrative expenses increased 15.0% during fiscal 2014. The increase during fiscal 2014 is primarily related to a $21.1 million increase in restructuring and transformation costs due to VCC initiatives. We also incurred incremental costs of approximately $21.0 million associated with operating the whole blood business for the entire year as compared to eight months in the prior year, of which approximately $7.0 million relates to the amortization of acquired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Write-Down</w:t>
      </w:r>
    </w:p>
    <w:p>
      <w:pPr>
        <w:spacing w:after="0" w:line="13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recorded asset write-downs of $5.4 million in fiscal 2015 associated with exit activities related to our VCC initiatives and certain research and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recorded asset write-downs of $1.7 million in the fourth quarter of fiscal 2014 associated with exit activities related to our VCC and integration initiatives.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recorded an asset write-down of $4.2 million in the fourth quarter of fiscal 2013 associated with exit activities related to technologies originally acquired from Arryx,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3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Other expense, net, decreased 6.5% during fiscal 2015 as compared to fiscal 2014. Interest expense from our term loan borrowings constitutes the majority of expense reported in both periods. The effective interest rate on total debt outstanding for the fiscal year ended March 28, 2015 was approximately 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March 28,</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March 29,</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March 30,</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0" w:type="dxa"/>
            <w:vAlign w:val="bottom"/>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0" w:type="dxa"/>
            <w:vAlign w:val="bottom"/>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0" w:type="dxa"/>
            <w:vAlign w:val="bottom"/>
          </w:tcPr>
          <w:p>
            <w:pPr>
              <w:jc w:val="right"/>
              <w:ind w:right="48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15 vs. 14</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14 vs. 13</w:t>
            </w: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Tax Rate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and the United States. Historically, our reported tax rate was lower than the U.S. statutory tax rate due primarily to our jurisdictional mix of earnings as the income earned in our foreign subsidiaries is generally taxed at a lower tax rate. For the year ended March 28, 2015, the Company established a valuation allowance against a portion of its U.S. deferred tax assets that it concluded are not more-likely-than-not realizable. In fiscal 2015, we entered into a three year cumulative book loss position in the U.S. which primarily relates to ongoing restructuring and transformation spending.</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reported tax rate for the year ended March 28, 2015 was 45.8%. Our current tax rate is higher than our tax rates of 3.4% and 22.2% for the years ended March 29, 2014 and March 30, 2013, respectively. The increase in the tax rate is primarily due to the establishment of a valuation allowance against a portion of our domestic deferred tax assets that we concluded were not more-likely-than-not realizable.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381,185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406,048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debt position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(267,229)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(245,218)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previously discussed, during fiscal 2015 and 2014 our business was negatively impacted by reductions in the demand for blood products caused by changes in blood management practices and actions taken by U.S. blood center customers in response to reductions in demand. This includes the loss of the American Red Cross whole blood contract which impacted our results beginning in the first quarter of fiscal 2015.</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VCC initiatives require cash expenditures for plant closure costs and employee separation benefits, new plant construction and temporary increases in inventory levels as manufacturing is transitioned to new facilities. We paid $114.3 million and $72.9 million in cash related to restructuring costs, transformation costs and capital expenditures associated with the VCC initiatives during fiscal 2015 and 2014, respectively. We estimate we will spend $27.0 million to complete these initiatives in fiscal 2016.</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28, 2015, we had $160.7 million in cash and cash equivalents. We currently have a credit facility which provides for a $475.0 million term loan and a $100.0 million revolving loan. The credit facility matures on July 1, 2019. At March 28, 2015, $379.4 million was outstanding under the term loan and $50.0 million was outstanding on the revolving loan. We also have $62.1 million of uncommitted operating lines of credit to fund our global operations and there are no outstanding borrowings as of March 28, 2015.</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facility contains covenants that limit the use of cash and require us to maintain certain financial ratios. Any failure to comply with the financial and or other operating covenants of the credit facility would prevent us from borrowing under the revolving credit facility and would constitute a default, which could result in, among other things, the amounts outstanding including all accrued interest and unpaid fees, becoming immediately due and payable. As of March 28, 2015, we were in compliance with all covenants.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Our primary sources of liquidity are cash and cash equivalents, internally generated cash flow from operations and option exercises. Although cash flow from operations will be negatively impacted by the trends noted above, we believe these sources are sufficient to fund our cash requirements over at least the next twelve months, which are primarily payments associated with VCC initiatives described above, share repurchases, capital expenditures, cash payments under the loan agreement, investments and other acquisitions. These are described in more detail in </w:t>
      </w:r>
      <w:r>
        <w:rPr>
          <w:rFonts w:ascii="Arial" w:cs="Arial" w:eastAsia="Arial" w:hAnsi="Arial"/>
          <w:sz w:val="16"/>
          <w:szCs w:val="16"/>
          <w:i w:val="1"/>
          <w:iCs w:val="1"/>
          <w:color w:val="auto"/>
        </w:rPr>
        <w:t>Contractual Obligations</w:t>
      </w:r>
      <w:r>
        <w:rPr>
          <w:rFonts w:ascii="Arial" w:cs="Arial" w:eastAsia="Arial" w:hAnsi="Arial"/>
          <w:sz w:val="16"/>
          <w:szCs w:val="16"/>
          <w:color w:val="auto"/>
        </w:rPr>
        <w:t xml:space="preserve">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Overview: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4"/>
                <w:szCs w:val="14"/>
                <w:color w:val="auto"/>
              </w:rPr>
            </w:pPr>
          </w:p>
        </w:tc>
        <w:tc>
          <w:tcPr>
            <w:tcW w:w="1140" w:type="dxa"/>
            <w:vAlign w:val="bottom"/>
          </w:tcPr>
          <w:p>
            <w:pPr>
              <w:jc w:val="right"/>
              <w:ind w:right="295"/>
              <w:spacing w:after="0"/>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15 vs. 14</w:t>
            </w:r>
          </w:p>
        </w:tc>
        <w:tc>
          <w:tcPr>
            <w:tcW w:w="26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14 vs. 13</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127,178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139,524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85,074</w:t>
            </w: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(12,346)</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54,450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(490,565)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461,853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(482,553)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 (1)</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88"/>
              </w:rPr>
              <w:t>Net increase/(decrease)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13,349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eliminated the effect of foreign currency throughout our cash flow statement, except for its effect on our cash and cash equivalents.</w:t>
      </w:r>
    </w:p>
    <w:p>
      <w:pPr>
        <w:spacing w:after="0" w:line="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fiscal 2015, the Company repurchased approximately 1.2 million shares of its common stock for an aggregate purchase price of $39.0 million. This was part of a $100.0 million share repurchase program that was announced in April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fiscal 2014, the Company did not repurchase shares of its common stock.</w:t>
      </w:r>
    </w:p>
    <w:p>
      <w:pPr>
        <w:spacing w:after="0" w:line="1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2013, the Company repurchased approximately 1.2 million shares of its common stock for an aggregate purchase price of $50.0 million. This completed a $50.0 million share repurchase program that was announced in April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cash provided by operating activities was $127.2 million during fiscal 2015, a decrease of $12.3 million as compared to fiscal 2014 primarily due to lower earnings.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operating activities was $139.5 million during fiscal 2014, an increase of $54.5 million as compared to fiscal 2013 primarily due to higher cash receipts associated with strong collections which more than offset increased expenditures for inventory. Additionally, initial investments in accounts receivable were required in fiscal 2013 as existing accounts receivable were not acquired in the whole blood acquisition, negatively impacting net cash provided by operating activities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Net cash used in investing activities was $121.8 million during fiscal 2015, an increase of $15.9 million as compared to fiscal 2014 primarily due to $122.2 million of capital expenditures including $44.9 million related to our manufacturing network transformation activities. The increase was partially offset by a reduction in acquisition related investments of $32.7 million in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$105.8 million during fiscal 2014, a decrease of $490.6 million as compared to fiscal 2013 primarily due to the</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$535.2 million paid for the whole blood acquisition, of which $475.0 million was funded by term loan borrowings discussed above. Investing activities also included $23.1 million paid for the acquisition of Hemerus Medical, LLC, and $73.6 million of capital expenditures including $18.0 million related to our manufacturing network transformation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financing activities was $33.2 million during fiscal 2015, an increase of $12.5 million as compared to fiscal 2014 primarily due to $39.0 million used to repurchase approximately 1.2 million shares of common stock. The increase was partially offset by reduced payments towards the term loan in fiscal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$20.7 million during fiscal 2014, a decrease of $482.6 million as compared to fiscal 2013 primarily due to the</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$475.0 million term loan borrowed in fiscal 2013 to finance the whole blood acquisition. Financing activities included $22.8 million of proceeds from the exercise of share-based compensation, offset by $37.1 million of debt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repayments related to term loan repayments and an additional $5.5 million of short term debt repayments in foreign jurisdictions.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28, 2015,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4-5 years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427,891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21,522</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related commitments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601,911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142,353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266,147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176,153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17,258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right="140" w:hanging="465"/>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amounts we are committed to spend on purchase orders entered in the normal course of business for capital equipment and for the purpose of manufacturing our products including contract manufacturers, specifically JMS Co. Ltd., Kawasumi Laboratories and Sanmina Corporation for the manufacture of certain disposable products and equipment. The majority of our operating expense spending does not require any advance commitment.</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$4.0 million recorded in accordance with ASC Topic 740, Income Taxes. We cannot reasonably make a reliable estimate of the period in which we expect to settle these long-term liabilities due to factors outside of our control, such as tax examinations.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the closing of the whole blood acquisition, we anticipate paying an additional $15.0 million upon replication and delivery of certain manufacturing assets of Pall's filter media business to Haemonetics by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Although we have not incurred significant losses on government receivables to date,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Commitments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2014, we acquired the business assets of Hemerus Medical, LLC, a company that develops innovative technologies for the collection of whole blood and processing and storage of blood components, including SOLX storage solutions. We paid $24.1 million and will pay an additional $3.0 million upon a further FDA approval of the SOLX solution for 24 hour storage of whole blood prior to processing. We will also pay up to $14.0 million based on future sales of SOLX-based products through fiscal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Italian Employment Litigation</w:t>
      </w:r>
    </w:p>
    <w:p>
      <w:pPr>
        <w:spacing w:after="0" w:line="3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2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March 28, 2015, the total amount of damages claimed by the plaintiffs in these matters is approximately $3.7 million; however, it is not possible at this point in the proceedings to accurately evaluate the likelihood or amount of any potential losses. We may receive other similar claims in the future.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2015, approximately 45.6%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contracts are designated as cash flow hedges. The final impact of currency fluctuations on the results of operations is dependent on the local currency amounts hedged and the actual local currency results.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30" w:right="2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years 2013, 2014 and 2015 or are presently outstanding. These hedges cover our long foreign currency positions that result from our sales designated in Euro, Japanese Yen and Australian Dollars. These hedges include our short positions associated with costs incurred in Canadian Dollars, British Pounds, Swiss Francs and Mexican Pesos. The table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Favorable /</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Second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Favorable /</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Third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Favorable /</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Fourth</w:t>
            </w:r>
          </w:p>
        </w:tc>
        <w:tc>
          <w:tcPr>
            <w:tcW w:w="1260" w:type="dxa"/>
            <w:vAlign w:val="bottom"/>
          </w:tcPr>
          <w:p>
            <w:pPr>
              <w:jc w:val="right"/>
              <w:ind w:right="216"/>
              <w:spacing w:after="0"/>
              <w:rPr>
                <w:sz w:val="20"/>
                <w:szCs w:val="20"/>
                <w:color w:val="auto"/>
              </w:rPr>
            </w:pPr>
            <w:r>
              <w:rPr>
                <w:rFonts w:ascii="Arial" w:cs="Arial" w:eastAsia="Arial" w:hAnsi="Arial"/>
                <w:sz w:val="14"/>
                <w:szCs w:val="14"/>
                <w:color w:val="auto"/>
              </w:rPr>
              <w:t>Favorable /</w:t>
            </w:r>
          </w:p>
        </w:tc>
      </w:tr>
      <w:tr>
        <w:trPr>
          <w:trHeight w:val="188"/>
        </w:trPr>
        <w:tc>
          <w:tcPr>
            <w:tcW w:w="134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Quarter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(Unfavorable)</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Quarter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(Unfavorable)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Quarter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(Unfavorable)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Quarter</w:t>
            </w:r>
          </w:p>
        </w:tc>
        <w:tc>
          <w:tcPr>
            <w:tcW w:w="1260" w:type="dxa"/>
            <w:vAlign w:val="bottom"/>
          </w:tcPr>
          <w:p>
            <w:pPr>
              <w:jc w:val="right"/>
              <w:ind w:right="136"/>
              <w:spacing w:after="0"/>
              <w:rPr>
                <w:sz w:val="20"/>
                <w:szCs w:val="20"/>
                <w:color w:val="auto"/>
              </w:rPr>
            </w:pPr>
            <w:r>
              <w:rPr>
                <w:rFonts w:ascii="Arial" w:cs="Arial" w:eastAsia="Arial" w:hAnsi="Arial"/>
                <w:sz w:val="14"/>
                <w:szCs w:val="14"/>
                <w:color w:val="auto"/>
              </w:rPr>
              <w:t>(Unfavorable)</w:t>
            </w:r>
          </w:p>
        </w:tc>
      </w:tr>
      <w:tr>
        <w:trPr>
          <w:trHeight w:val="236"/>
        </w:trPr>
        <w:tc>
          <w:tcPr>
            <w:tcW w:w="1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880" w:type="dxa"/>
            <w:vAlign w:val="bottom"/>
            <w:gridSpan w:val="5"/>
          </w:tcPr>
          <w:p>
            <w:pPr>
              <w:ind w:left="220"/>
              <w:spacing w:after="0"/>
              <w:rPr>
                <w:sz w:val="20"/>
                <w:szCs w:val="20"/>
                <w:color w:val="auto"/>
              </w:rPr>
            </w:pPr>
            <w:r>
              <w:rPr>
                <w:rFonts w:ascii="Arial" w:cs="Arial" w:eastAsia="Arial" w:hAnsi="Arial"/>
                <w:sz w:val="18"/>
                <w:szCs w:val="18"/>
                <w:b w:val="1"/>
                <w:bCs w:val="1"/>
                <w:color w:val="auto"/>
              </w:rPr>
              <w:t>Euro - Hedge Spot Rate (USD per Euro)</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FY13</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340" w:type="dxa"/>
            <w:vAlign w:val="bottom"/>
          </w:tcPr>
          <w:p>
            <w:pPr>
              <w:ind w:left="220"/>
              <w:spacing w:after="0"/>
              <w:rPr>
                <w:sz w:val="20"/>
                <w:szCs w:val="20"/>
                <w:color w:val="auto"/>
              </w:rPr>
            </w:pPr>
            <w:r>
              <w:rPr>
                <w:rFonts w:ascii="Arial" w:cs="Arial" w:eastAsia="Arial" w:hAnsi="Arial"/>
                <w:sz w:val="18"/>
                <w:szCs w:val="18"/>
                <w:color w:val="auto"/>
              </w:rPr>
              <w:t>FY14</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FY15</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1340" w:type="dxa"/>
            <w:vAlign w:val="bottom"/>
          </w:tcPr>
          <w:p>
            <w:pPr>
              <w:ind w:left="220"/>
              <w:spacing w:after="0"/>
              <w:rPr>
                <w:sz w:val="20"/>
                <w:szCs w:val="20"/>
                <w:color w:val="auto"/>
              </w:rPr>
            </w:pPr>
            <w:r>
              <w:rPr>
                <w:rFonts w:ascii="Arial" w:cs="Arial" w:eastAsia="Arial" w:hAnsi="Arial"/>
                <w:sz w:val="18"/>
                <w:szCs w:val="18"/>
                <w:color w:val="auto"/>
              </w:rPr>
              <w:t>FY16</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Japanese Yen - Hedge Spot Rate (JPY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ind w:left="220"/>
              <w:spacing w:after="0"/>
              <w:rPr>
                <w:sz w:val="20"/>
                <w:szCs w:val="20"/>
                <w:color w:val="auto"/>
              </w:rPr>
            </w:pPr>
            <w:r>
              <w:rPr>
                <w:rFonts w:ascii="Arial" w:cs="Arial" w:eastAsia="Arial" w:hAnsi="Arial"/>
                <w:sz w:val="18"/>
                <w:szCs w:val="18"/>
                <w:color w:val="auto"/>
              </w:rPr>
              <w:t>FY13</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79.40</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76.65</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77.58</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5 %</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78.69</w:t>
            </w: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79.85</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79.68</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84.32</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3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93.92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220" w:type="dxa"/>
            <w:vAlign w:val="bottom"/>
          </w:tcPr>
          <w:p>
            <w:pPr>
              <w:ind w:left="220"/>
              <w:spacing w:after="0"/>
              <w:rPr>
                <w:sz w:val="20"/>
                <w:szCs w:val="20"/>
                <w:color w:val="auto"/>
              </w:rPr>
            </w:pPr>
            <w:r>
              <w:rPr>
                <w:rFonts w:ascii="Arial" w:cs="Arial" w:eastAsia="Arial" w:hAnsi="Arial"/>
                <w:sz w:val="18"/>
                <w:szCs w:val="18"/>
                <w:color w:val="auto"/>
              </w:rPr>
              <w:t>FY15</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97.16</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98.18</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101.09</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102.44</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102.05</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106.84</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118.46</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117.25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Australian Dollar - Hedge Spot Rate (USD per AUD)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1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0.92</w:t>
            </w:r>
          </w:p>
        </w:tc>
        <w:tc>
          <w:tcPr>
            <w:tcW w:w="13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FY15</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0.90</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0.94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0.90</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1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0.94</w:t>
            </w:r>
          </w:p>
        </w:tc>
        <w:tc>
          <w:tcPr>
            <w:tcW w:w="15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4 %</w:t>
            </w:r>
          </w:p>
        </w:tc>
        <w:tc>
          <w:tcPr>
            <w:tcW w:w="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0.85</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0.79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540"/>
        </w:trPr>
        <w:tc>
          <w:tcPr>
            <w:tcW w:w="1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380" w:type="dxa"/>
            <w:vAlign w:val="bottom"/>
            <w:gridSpan w:val="3"/>
          </w:tcPr>
          <w:p>
            <w:pPr>
              <w:ind w:left="220"/>
              <w:spacing w:after="0"/>
              <w:rPr>
                <w:sz w:val="20"/>
                <w:szCs w:val="20"/>
                <w:color w:val="auto"/>
              </w:rPr>
            </w:pPr>
            <w:r>
              <w:rPr>
                <w:rFonts w:ascii="Arial" w:cs="Arial" w:eastAsia="Arial" w:hAnsi="Arial"/>
                <w:sz w:val="18"/>
                <w:szCs w:val="18"/>
                <w:b w:val="1"/>
                <w:bCs w:val="1"/>
                <w:color w:val="auto"/>
                <w:w w:val="96"/>
              </w:rPr>
              <w:t>Canadian Dollar - Hedge Spot Rate (CAD per USD)</w:t>
            </w:r>
          </w:p>
        </w:tc>
        <w:tc>
          <w:tcPr>
            <w:tcW w:w="9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FY13</w:t>
            </w:r>
          </w:p>
        </w:tc>
        <w:tc>
          <w:tcPr>
            <w:tcW w:w="11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0.98</w:t>
            </w:r>
          </w:p>
        </w:tc>
        <w:tc>
          <w:tcPr>
            <w:tcW w:w="15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0.99</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1.01</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FY14</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3 %</w:t>
            </w: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1.00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FY15</w:t>
            </w:r>
          </w:p>
        </w:tc>
        <w:tc>
          <w:tcPr>
            <w:tcW w:w="11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1.08</w:t>
            </w:r>
          </w:p>
        </w:tc>
        <w:tc>
          <w:tcPr>
            <w:tcW w:w="13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700" w:type="dxa"/>
            <w:vAlign w:val="bottom"/>
          </w:tcPr>
          <w:p>
            <w:pPr>
              <w:ind w:left="220"/>
              <w:spacing w:after="0"/>
              <w:rPr>
                <w:sz w:val="20"/>
                <w:szCs w:val="20"/>
                <w:color w:val="auto"/>
              </w:rPr>
            </w:pPr>
            <w:r>
              <w:rPr>
                <w:rFonts w:ascii="Arial" w:cs="Arial" w:eastAsia="Arial" w:hAnsi="Arial"/>
                <w:sz w:val="18"/>
                <w:szCs w:val="18"/>
                <w:color w:val="auto"/>
              </w:rPr>
              <w:t>FY16</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1.13</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1.14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1.17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9 %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1.24</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British Pound - Hedge Spot Rate (USD per GBP)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220"/>
              <w:spacing w:after="0"/>
              <w:rPr>
                <w:sz w:val="20"/>
                <w:szCs w:val="20"/>
                <w:color w:val="auto"/>
              </w:rPr>
            </w:pPr>
            <w:r>
              <w:rPr>
                <w:rFonts w:ascii="Arial" w:cs="Arial" w:eastAsia="Arial" w:hAnsi="Arial"/>
                <w:sz w:val="18"/>
                <w:szCs w:val="18"/>
                <w:color w:val="auto"/>
              </w:rPr>
              <w:t>FY13</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1.62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1.63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1.60</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5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1.59</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320" w:type="dxa"/>
            <w:vAlign w:val="bottom"/>
          </w:tcPr>
          <w:p>
            <w:pPr>
              <w:ind w:left="220"/>
              <w:spacing w:after="0"/>
              <w:rPr>
                <w:sz w:val="20"/>
                <w:szCs w:val="20"/>
                <w:color w:val="auto"/>
              </w:rPr>
            </w:pPr>
            <w:r>
              <w:rPr>
                <w:rFonts w:ascii="Arial" w:cs="Arial" w:eastAsia="Arial" w:hAnsi="Arial"/>
                <w:sz w:val="18"/>
                <w:szCs w:val="18"/>
                <w:color w:val="auto"/>
              </w:rPr>
              <w:t>FY15</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1.56</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1.57</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1.62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1.65</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5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1.64</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320" w:type="dxa"/>
            <w:vAlign w:val="bottom"/>
          </w:tcPr>
          <w:p>
            <w:pPr>
              <w:ind w:left="220"/>
              <w:spacing w:after="0"/>
              <w:rPr>
                <w:sz w:val="20"/>
                <w:szCs w:val="20"/>
                <w:color w:val="auto"/>
              </w:rPr>
            </w:pPr>
            <w:r>
              <w:rPr>
                <w:rFonts w:ascii="Arial" w:cs="Arial" w:eastAsia="Arial" w:hAnsi="Arial"/>
                <w:sz w:val="18"/>
                <w:szCs w:val="18"/>
                <w:color w:val="auto"/>
              </w:rPr>
              <w:t>FY17</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1.55</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5 %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Swiss Franc - Hedge Spot Rate (CHF per USD)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ind w:left="220"/>
              <w:spacing w:after="0"/>
              <w:rPr>
                <w:sz w:val="20"/>
                <w:szCs w:val="20"/>
                <w:color w:val="auto"/>
              </w:rPr>
            </w:pPr>
            <w:r>
              <w:rPr>
                <w:rFonts w:ascii="Arial" w:cs="Arial" w:eastAsia="Arial" w:hAnsi="Arial"/>
                <w:sz w:val="18"/>
                <w:szCs w:val="18"/>
                <w:color w:val="auto"/>
              </w:rPr>
              <w:t>FY13</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0.82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0.85</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0.92</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0.96</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0.95</w:t>
            </w:r>
          </w:p>
        </w:tc>
        <w:tc>
          <w:tcPr>
            <w:tcW w:w="13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0.92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0.93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320" w:type="dxa"/>
            <w:vAlign w:val="bottom"/>
          </w:tcPr>
          <w:p>
            <w:pPr>
              <w:ind w:left="220"/>
              <w:spacing w:after="0"/>
              <w:rPr>
                <w:sz w:val="20"/>
                <w:szCs w:val="20"/>
                <w:color w:val="auto"/>
              </w:rPr>
            </w:pPr>
            <w:r>
              <w:rPr>
                <w:rFonts w:ascii="Arial" w:cs="Arial" w:eastAsia="Arial" w:hAnsi="Arial"/>
                <w:sz w:val="18"/>
                <w:szCs w:val="18"/>
                <w:color w:val="auto"/>
              </w:rPr>
              <w:t>FY15</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0.94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0.92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0.90</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0.89</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0.90</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0.95</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3 %</w:t>
            </w: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0.94</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4 %</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0.92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Mexican Peso - Hedge Spot Rate (MXN per USD)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FY14</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12.34</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12.35</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12.22</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280" w:type="dxa"/>
            <w:vAlign w:val="bottom"/>
          </w:tcPr>
          <w:p>
            <w:pPr>
              <w:ind w:left="220"/>
              <w:spacing w:after="0"/>
              <w:rPr>
                <w:sz w:val="20"/>
                <w:szCs w:val="20"/>
                <w:color w:val="auto"/>
              </w:rPr>
            </w:pPr>
            <w:r>
              <w:rPr>
                <w:rFonts w:ascii="Arial" w:cs="Arial" w:eastAsia="Arial" w:hAnsi="Arial"/>
                <w:sz w:val="18"/>
                <w:szCs w:val="18"/>
                <w:color w:val="auto"/>
              </w:rPr>
              <w:t>FY15</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12.40</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13.06</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13.09</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7 %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13.08</w:t>
            </w:r>
          </w:p>
        </w:tc>
        <w:tc>
          <w:tcPr>
            <w:tcW w:w="9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FY16</w:t>
            </w:r>
          </w:p>
        </w:tc>
        <w:tc>
          <w:tcPr>
            <w:tcW w:w="1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13.10</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6 %</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13.07</w:t>
            </w:r>
          </w:p>
        </w:tc>
        <w:tc>
          <w:tcPr>
            <w:tcW w:w="1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13.63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4 %</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14.46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1280" w:type="dxa"/>
            <w:vAlign w:val="bottom"/>
          </w:tcPr>
          <w:p>
            <w:pPr>
              <w:ind w:left="220"/>
              <w:spacing w:after="0"/>
              <w:rPr>
                <w:sz w:val="20"/>
                <w:szCs w:val="20"/>
                <w:color w:val="auto"/>
              </w:rPr>
            </w:pPr>
            <w:r>
              <w:rPr>
                <w:rFonts w:ascii="Arial" w:cs="Arial" w:eastAsia="Arial" w:hAnsi="Arial"/>
                <w:sz w:val="18"/>
                <w:szCs w:val="18"/>
                <w:color w:val="auto"/>
              </w:rPr>
              <w:t>FY17</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14.93</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14 %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ectPr>
          <w:pgSz w:w="11900" w:h="16838" w:orient="portrait"/>
          <w:cols w:equalWidth="0" w:num="1">
            <w:col w:w="11420"/>
          </w:cols>
          <w:pgMar w:left="240" w:top="13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contained in Item 8 of this Annual Report on Form 10-K for additional information on Standards Implemented and Standards to be Implemented.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We recognize revenue from product sales, software and services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 is recognized when persuasive evidence of an arrangement exists, product delivery, including customer acceptance, has occurred or services have been rendered, the price is fixed or determinable and collectability is reasonably assured.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which constitutes vendor specific objective evidence as defined under ASC Topic 985-605,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Intangible Assets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Intangible assets acquired in a business combination are recorded under the purchase method of accounting at their estimated fair values at the date of acquisition. Costs associated with the application and award of patents in the U.S. and various other countries are capitalized and amortized on a straight-line basis over their estimated useful life. Goodwill represents the excess purchase price over the fair value of the net tangible and other identifiable intangible assets acquired. We amortize our other intangible assets over their estimated useful lives.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is not amortized. Instead goodwill is reviewed for impairment at least annually in accordance with ASC Topic 350, Intangibles - Goodwill and Other,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We first perform a qualitative test and if necessary, perform a quantitative test.</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Prior to fiscal 2014, we determined we operated a single operating segment, blood management solutions, based on our chief operating decision maker ("CODM") primarily using consolidated results to make operating and strategic decisions. Our reporting units for purposes of assessing goodwill impairment prior to fiscal 2014 were medical devices and software. During fiscal 2014, our CODM utilized financial results by operating units organized primarily on geography to make operating and strategic decisions due to changes in the composition in the executive staff reporting to the CODM. Based on these changes we determined the five operating units represent operating segments as defined under ASC 280 - Segment Reporting. Following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change, we determined our reporting units for purposes of assessing goodwill impairment by identifying our operating segments and assessing whether segment management regularly reviews the operating results of any components. Through this process, we concluded that our reporting units were the same as our operating segments, which are the following operating units organized based primarily on geography: North America Plasma, North America Blood Center and Hospital, Europe, Asia-Pacific and Japan. During fiscal 2014, goodwill was reallocated from the medical device and software reporting units to the new reporting units based on a relative fair value basis. For fiscal 2015, there were no changes to operating segments or reporting units for purposes of assessing goodwill impairment.</w:t>
      </w:r>
    </w:p>
    <w:p>
      <w:pPr>
        <w:spacing w:after="0" w:line="15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ASC 350, Intangibles - Goodwill and Other defines the fair value of a reporting unit as the price that would be received to sell the unit as a whole in an orderly transaction between market participants at the measurement date. The quantitative test is based on a discounted cash flow analysis or other valuation techniques, such as the market approach, for each reporting unit. The fair values of our reporting units in fiscal 2013 were determined using the income approach. Under the income approach, the fair value of a reporting unit is based on the present value of future cash flows using appropriate discount rates, growth rates, operating margins and future market conditions amongst others. We changed our valuation approach to assessing goodwill impairment in fiscal 2014 in connection with the change in reporting units. In fiscal 2015 and 2014, we determined the fair value of our reporting units based on the market approach. We utilized the market approach as we determined relevant comparable information was available, and accordingly such method was an appropriate alternative to the income method. Under the market approach, we estimate the fair value of our reporting units based on a combination of, a) market multiples of projected earnings before interest, taxes, depreciation and amortization (“EBITDA”) and b) market multiples of projected net revenues for each individual reporting unit. For the market approach, we use judgment in identifying the relevant comparable-company market multiples, such as recent divestitures/acquisitions, facts and circumstances surrounding the market and growth rates. Management assesses the relevance and reliability of the multiples by considering factors unique to its reporting units, including recent operating results, business plans, economic projections, anticipated future cash flows, and other data. EBITDA and revenue multiples can also be significantly impacted by future growth opportunities for the reporting unit as well as for the company itself, general market and geographic sentiment, and pending or recently completed merger transactions.</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tests showed no evidence of impairment to our goodwill for fiscal 2015, 2014 or 2013 and demonstrated that the fair value of each reporting unit exceeded the reporting unit’s carrying value in each period. During March 2014, circumstances arose that indicated a potential impairment. We performed an interim impairment test and noted that the fair value of our reporting units still exceeded their carrying values.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review intangible assets subject to amortization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During March 2014, circumstances arose that indicated a potential impairment of certain intangible assets subject to amortization. We performed the recoverability test described below for the relevant asset group and determined expected undiscounted cash flows exceeded the carrying value of the asset group.</w:t>
      </w:r>
    </w:p>
    <w:p>
      <w:pPr>
        <w:spacing w:after="0" w:line="14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If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1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30" w:right="29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base our provisions for excess, expired and obsolete inventory primarily on our estimates of forecasted net sales. A significant change in the timing or level of demand for our products as compared to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of Acquisitions</w:t>
      </w:r>
    </w:p>
    <w:p>
      <w:pPr>
        <w:spacing w:after="0" w:line="13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and forecasted information and market assumptions based upon the assumptions of a market participant. We allocate any excess purchase price over the fair value of the net tangible and intangible assets acquired to goodwill.</w:t>
      </w:r>
    </w:p>
    <w:p>
      <w:pPr>
        <w:spacing w:after="0" w:line="6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current fair value and record the change in the fair value as contingent consideration income or expense within selling, general and administrative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self-insurance and other claims are based on judgment, the probability of losses and, where applicable, the consideration of opinions of internal and/or external legal counsel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right="3960"/>
        <w:spacing w:after="0" w:line="462"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The Company’s exposures relative to market risk are due to foreign exchange risk and interest rate risk.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At March 28, 2015, we had the following significant foreign exchange contracts to hedge the anticipated foreign currency cash flows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(BUY)/SELL</w:t>
            </w:r>
          </w:p>
        </w:tc>
        <w:tc>
          <w:tcPr>
            <w:tcW w:w="172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Currency</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Spot</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Local Currency</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 Rate</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Gain/(Loss)</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36"/>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9,499,000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2,523,176</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Mar 2015 - May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8,700,000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1,768,500</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Jun 2015 - Aug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11,450,000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1,748,953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Sep 2015 - Nov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13,008,000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533,176</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2015 - Feb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JPY</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701,018,000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102.10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101.83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986,543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Mar 2015 - May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JPY</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979,914,000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106.84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106.42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944,966</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Jun 2015 - Aug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JPY</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1,229,976,000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118.46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117.91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67,338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Sep 2015 - Nov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JPY</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1,242,192,000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117.25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116.56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157,349</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Dec 2015 - Feb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(51,935)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Feb 2015 - Apr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(1,874,000)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(141,298)</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2015 - Jul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(1,589,000)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(113,125)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Aug 2015 - Oct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(1,264,000)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1.528</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(43,871)</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Nov 2015 - Jan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(19,354)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Feb 2015 - Apr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(5,189,000)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0.90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0.89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(392,208)</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Apr 2015 - Jun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(5,439,000)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0.95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0.94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(82,370)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 2015 - Sep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(5,103,000)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0.94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0.93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(113,002)</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 2015 - Dec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(4,689,000)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0.92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0.90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(252,731)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Jan 2016 - Mar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(1,333,000)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1.13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1.14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(105,925)</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Apr 2015 - Jun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(1,611,000)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(117,024)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 2015 - Sep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(1,483,000)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1.18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1.18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(68,843)</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 2015 - Dec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1.25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Jan 2016 - Mar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(12,750,000)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12.99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13.27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(118,655)</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Feb 2015 - Apr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(40,240,000)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13.07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13.36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(360,073)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2015 - Jul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(42,679,000)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13.63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13.90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(274,061)</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Aug 2015 - Oct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(45,630,000)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14.46 per USD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14.76 per USD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(125,057)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Nov 2015 - Jan 2016</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(14,299,000)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14.93 per USD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15.29 per USD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(11,117)</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Feb 2016 - Apr 2016</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Q1 FY17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1,835,000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0.938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259,896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Jan 2015 - Mar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Q1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2,634,000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0.911</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0.891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304,346</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Apr 2015 - Jun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Q2 FY16</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0.849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156,488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 2015 - Sep 2015</w:t>
            </w:r>
          </w:p>
        </w:tc>
        <w:tc>
          <w:tcPr>
            <w:tcW w:w="1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w w:val="96"/>
              </w:rPr>
              <w:t>Q3 FY16</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AUD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2,559,000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0.792</w:t>
            </w:r>
          </w:p>
        </w:tc>
        <w:tc>
          <w:tcPr>
            <w:tcW w:w="12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0.777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24,312</w:t>
            </w:r>
          </w:p>
        </w:tc>
        <w:tc>
          <w:tcPr>
            <w:tcW w:w="10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 2015 - Dec 2015</w:t>
            </w:r>
          </w:p>
        </w:tc>
        <w:tc>
          <w:tcPr>
            <w:tcW w:w="1240" w:type="dxa"/>
            <w:vAlign w:val="bottom"/>
          </w:tcPr>
          <w:p>
            <w:pPr>
              <w:ind w:left="600"/>
              <w:spacing w:after="0"/>
              <w:rPr>
                <w:sz w:val="20"/>
                <w:szCs w:val="20"/>
                <w:color w:val="auto"/>
              </w:rPr>
            </w:pPr>
            <w:r>
              <w:rPr>
                <w:rFonts w:ascii="Arial" w:cs="Arial" w:eastAsia="Arial" w:hAnsi="Arial"/>
                <w:sz w:val="16"/>
                <w:szCs w:val="16"/>
                <w:color w:val="auto"/>
                <w:w w:val="96"/>
              </w:rPr>
              <w:t>Q4 FY16</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7,079,799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$7.8 million increase in the fair value of the forward contracts; whereas a 10% weakening of the U.S. dollar would result in a $8.1 million decrease in the fair value of the forward contracts.</w:t>
      </w:r>
    </w:p>
    <w:p>
      <w:pPr>
        <w:sectPr>
          <w:pgSz w:w="11900" w:h="16838" w:orient="portrait"/>
          <w:cols w:equalWidth="0" w:num="1">
            <w:col w:w="11420"/>
          </w:cols>
          <w:pgMar w:left="240" w:top="13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exposure to changes in interest rates is associated with borrowings on our Credit Agreement, all of which is variable rate debt. All other long-term debt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fixed rates. Total outstanding debt under our Credit Facilities for the fiscal year ended March 28, 2015 was $429.4 million with an interest rate of 1.563%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prevailing Adjusted LIBOR rates. An increase of 100 basis points in Adjusted LIBOR rates would result in additional annual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 million. On December 21, 2012, we entered into interest rate swap agreements to effectively convert $250.0 million of borrowings from a variable rate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fixed rate. The interest rate swaps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Haemonetics Corporation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audited the accompanying consolidated balance sheets of Haemonetics Corporation and subsidiaries as of March 28, 2015 and March 29, 2014, and the related consolidated statements of income, comprehensive (loss) income, shareholders' equity and cash flows for each of the three years in the period ended March 28, 2015.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Haemonetics Corporation and subsidiaries at March 28, 2015 and March 29, 2014, and the consolidated results of their operations and their cash flows for each of the three years in the period ended March 28,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Haemonetics Corporation and subsidiaries' internal control over financial reporting as of March 28, 2015, based on criteria established in Internal Control-Integrated Framework issued by the Committee of Sponsoring Organizations of the Treadway Commission (2013 framework) and our report dated May 22,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2015</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30" w:right="27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29,</w:t>
            </w:r>
          </w:p>
        </w:tc>
        <w:tc>
          <w:tcPr>
            <w:tcW w:w="260" w:type="dxa"/>
            <w:vAlign w:val="bottom"/>
          </w:tcPr>
          <w:p>
            <w:pPr>
              <w:spacing w:after="0"/>
              <w:rPr>
                <w:sz w:val="13"/>
                <w:szCs w:val="13"/>
                <w:color w:val="auto"/>
              </w:rPr>
            </w:pPr>
          </w:p>
        </w:tc>
        <w:tc>
          <w:tcPr>
            <w:tcW w:w="122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70"/>
        </w:trPr>
        <w:tc>
          <w:tcPr>
            <w:tcW w:w="6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891,990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475,955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470,144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463,859</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468,365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428,131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334,250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366,022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323,053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393,878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421,933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371,694</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11,097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16,897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38,800</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51,349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52,089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52,377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52,259</w:t>
            </w: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2015</w:t>
            </w:r>
          </w:p>
        </w:tc>
        <w:tc>
          <w:tcPr>
            <w:tcW w:w="2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 2014</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b w:val="1"/>
                <w:bCs w:val="1"/>
                <w:color w:val="auto"/>
              </w:rPr>
              <w:t>March 30, 2013</w:t>
            </w:r>
          </w:p>
        </w:tc>
      </w:tr>
      <w:tr>
        <w:trPr>
          <w:trHeight w:val="324"/>
        </w:trPr>
        <w:tc>
          <w:tcPr>
            <w:tcW w:w="6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38,800</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 on cash flow hedges, net of tax</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4,594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gains,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31,125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35,123</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52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160,662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192,469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less allowance of $1,749 at March 28, 2015 and $1,676 at March 29, 2014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211,077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197,661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40,103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54,099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570,277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622,976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321,948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271,437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271,159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334,310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336,768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long 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11,271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10,654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1,485,417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1,514,178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21,522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48,425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53,562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51,115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54,913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64,211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59,710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189,092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216,928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406,369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392,057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31,737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37,641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2"/>
              </w:rPr>
              <w:t>Common stock, $0.01 par value; Authorized — 150,000,000 shares; Issued and outstanding — 51,670,969 shares at March</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28, 2015 and 52,041,189 shares at March 29, 2014</w:t>
            </w:r>
          </w:p>
        </w:tc>
        <w:tc>
          <w:tcPr>
            <w:tcW w:w="2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426,964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402,611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420,365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433,347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826,122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837,888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1,485,417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1,514,178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4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106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74"/>
        </w:trPr>
        <w:tc>
          <w:tcPr>
            <w:tcW w:w="4240" w:type="dxa"/>
            <w:vAlign w:val="bottom"/>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5"/>
                <w:szCs w:val="15"/>
                <w:color w:val="auto"/>
              </w:rPr>
            </w:pPr>
          </w:p>
        </w:tc>
        <w:tc>
          <w:tcPr>
            <w:tcW w:w="1060" w:type="dxa"/>
            <w:vAlign w:val="bottom"/>
          </w:tcPr>
          <w:p>
            <w:pPr>
              <w:jc w:val="center"/>
              <w:ind w:right="129"/>
              <w:spacing w:after="0"/>
              <w:rPr>
                <w:sz w:val="20"/>
                <w:szCs w:val="20"/>
                <w:color w:val="auto"/>
              </w:rPr>
            </w:pPr>
            <w:r>
              <w:rPr>
                <w:rFonts w:ascii="Arial" w:cs="Arial" w:eastAsia="Arial" w:hAnsi="Arial"/>
                <w:sz w:val="13"/>
                <w:szCs w:val="13"/>
                <w:b w:val="1"/>
                <w:bCs w:val="1"/>
                <w:color w:val="auto"/>
                <w:w w:val="86"/>
              </w:rPr>
              <w:t>Stockholders’</w:t>
            </w:r>
          </w:p>
        </w:tc>
      </w:tr>
      <w:tr>
        <w:trPr>
          <w:trHeight w:val="264"/>
        </w:trPr>
        <w:tc>
          <w:tcPr>
            <w:tcW w:w="4240" w:type="dxa"/>
            <w:vAlign w:val="bottom"/>
          </w:tcPr>
          <w:p>
            <w:pPr>
              <w:spacing w:after="0"/>
              <w:rPr>
                <w:sz w:val="22"/>
                <w:szCs w:val="22"/>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80" w:type="dxa"/>
            <w:vAlign w:val="bottom"/>
          </w:tcPr>
          <w:p>
            <w:pPr>
              <w:spacing w:after="0"/>
              <w:rPr>
                <w:sz w:val="22"/>
                <w:szCs w:val="22"/>
                <w:color w:val="auto"/>
              </w:rPr>
            </w:pPr>
          </w:p>
        </w:tc>
        <w:tc>
          <w:tcPr>
            <w:tcW w:w="1060" w:type="dxa"/>
            <w:vAlign w:val="bottom"/>
          </w:tcPr>
          <w:p>
            <w:pPr>
              <w:jc w:val="center"/>
              <w:ind w:right="109"/>
              <w:spacing w:after="0"/>
              <w:rPr>
                <w:sz w:val="20"/>
                <w:szCs w:val="20"/>
                <w:color w:val="auto"/>
              </w:rPr>
            </w:pPr>
            <w:r>
              <w:rPr>
                <w:rFonts w:ascii="Arial" w:cs="Arial" w:eastAsia="Arial" w:hAnsi="Arial"/>
                <w:sz w:val="13"/>
                <w:szCs w:val="13"/>
                <w:b w:val="1"/>
                <w:bCs w:val="1"/>
                <w:color w:val="auto"/>
                <w:w w:val="90"/>
              </w:rPr>
              <w:t>Equity</w:t>
            </w: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2012</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322,232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732,631</w:t>
            </w: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4,142</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35,815</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Stock-based compensation adjustment related to acquisition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504</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(50,003)</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10,969</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38,800</w:t>
            </w: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30, 2013</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51,032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365,040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398,199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5,433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769,182</w:t>
            </w: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5,229</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19,263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19,270</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13,081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13,081</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35,148</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(4,023)</w:t>
            </w: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29, 2014</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402,611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433,347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837,888</w:t>
            </w: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4,763</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14,645</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(39,033)</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14,095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14,095</w:t>
            </w: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16,897</w:t>
            </w: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(23,134)</w:t>
            </w: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28, 2015</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426,964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420,365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826,122</w:t>
            </w: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29,</w:t>
            </w:r>
          </w:p>
        </w:tc>
        <w:tc>
          <w:tcPr>
            <w:tcW w:w="260" w:type="dxa"/>
            <w:vAlign w:val="bottom"/>
          </w:tcPr>
          <w:p>
            <w:pPr>
              <w:spacing w:after="0"/>
              <w:rPr>
                <w:sz w:val="13"/>
                <w:szCs w:val="13"/>
                <w:color w:val="auto"/>
              </w:rPr>
            </w:pPr>
          </w:p>
        </w:tc>
        <w:tc>
          <w:tcPr>
            <w:tcW w:w="12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16,897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35,148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38,800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65,481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financing costs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tax expense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Purchased in process 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Loss on sale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(gain)/loss from hedging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fair value of contingent consideration</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write-down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Decrease/(increase)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(38,080)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in inventories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(18,685)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prepaid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Decrease/(increase) in other assets and other long-term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in accounts payable and accrued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25,581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139,524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85,074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(62,188)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Whole Blood Business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(535,175)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Hemerus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(121,768)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(596,395)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(decrease)/increase in short-term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term loan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27,517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 repurchase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in)/provided by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461,853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192,469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179,120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228,861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160,662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192,469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179,120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11,211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7,261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13,178</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37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379"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Haemonetics is a global healthcare company dedicated to providing innovative blood management solutions for our customers — plasma collectors, blood collectors, and hospitals. Anchored by our strong brand name in medical device systems for the transfusion industry, we also provide information technology platforms and value added services to provide customers with business solutions which support improved care for patients and efficiency in the blood supply chain.</w:t>
      </w:r>
    </w:p>
    <w:p>
      <w:pPr>
        <w:spacing w:after="0" w:line="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systems automate the collection and processing of donated blood; perform blood diagnostics; salvage and process surgical patient blood; and dispense blood within the hospital. These systems include devices and single-use, proprietary disposable sets that operate only on our specialized equipment. Our manual blood collection and filtration systems enable the manual collection of all blood components while detecting bacteria, thus reducing the risks of infection through transfusion. Our blood processing systems allow users to collect and process only the blood component(s) they target — plasma, platelets, or red blood cells — increasing donor and patient safety as well as collection efficiencies. Our blood diagnostics system assesses the likelihood of a patient’s blood loss allowing clinicians to make informed decisions about a patient’s treatment as it relates to blood loss in surgery. Our surgical blood salvage systems collect blood lost by a patient in surgery, clean the blood, and make it available for reinfusion to the patient, in this way giving the patient the safest blood possible — his or her own. Our blood distribution systems are “smart” refrigerators located throughout hospitals which automate the storage, inventory tracking, and dispositioning of blood in key blood use areas.</w:t>
      </w:r>
    </w:p>
    <w:p>
      <w:pPr>
        <w:spacing w:after="0" w:line="8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information technology platforms are used by blood and plasma collectors to improve the safety and efficiency of blood collection logistics by eliminating previously manual functions at not-for-profit blood centers and commercial plasma centers which are operated by our bio-pharmaceutical customers. Our platforms are also used by hospitals to enable hospital administrators to monitor and measure blood management practices and to manage processes within transfusion services. Our information technology platforms allow all customers to better manage processes across the blood supply chain, comply with regulatory requirements, and identify increased opportunities to reduce costs.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30, 2012 we completed a two-for-one split of our common stock in the form of a stock dividend. Unless otherwise indicated, all common stock shares and per share information referenced within the Consolidated Financial Statements have been retroactively adjusted to reflect the stock split. The exercise price of each outstanding option has also been proportionately and retroactively adjusted for all periods presented. Par value per share and authorized shares were however not affected by the stock split.</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The accompanying consolidated financial statements present separately our financial position, results of operations, cash flows, and changes in shareholders’ equity. All amounts presented, except per share amounts, are stated in thousands of U.S. dollars, unless otherwise indicated.</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consider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there were no material items that arose after the balance sheet date but prior to the issuance of the financial statements that would be considered recognized subsequent events.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years 2015, 2014 and 2013 each includes 52 weeks with each quarter having 13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30" w:right="27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amounts to conform to the current year's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self-insurance and other claims are based on judgment, the probability of losses and, where applicable, the consideration of opinions of internal and/or external legal counsel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We may have multiple contracts with the same customer and each contract is typically treated as a separate arrangement.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7"/>
          <w:szCs w:val="17"/>
          <w:i w:val="1"/>
          <w:iCs w:val="1"/>
          <w:color w:val="auto"/>
        </w:rPr>
        <w:t>Software</w:t>
      </w:r>
      <w:r>
        <w:rPr>
          <w:rFonts w:ascii="Arial" w:cs="Arial" w:eastAsia="Arial" w:hAnsi="Arial"/>
          <w:sz w:val="17"/>
          <w:szCs w:val="17"/>
          <w:color w:val="auto"/>
        </w:rPr>
        <w:t>, we establish fair value of undelivered elements based upon vendor specific objective evidence.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Product sales consist of the sale of our disposable blood component collection and processing sets and the related equipment.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Payments from distributors are not contingent upon resale of the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Revenues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software solutions business provides support to our plasma, blood collection and hospital customers.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For hospitals, we provide solutions to help improve patient safety, reduce cost and ensure compliance.</w:t>
      </w:r>
    </w:p>
    <w:p>
      <w:pPr>
        <w:spacing w:after="0" w:line="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software solutions revenues also include revenue from software sales which includes per collection or monthly subscription fees for the license and support of the software as well as hosting services. A significant portion of our software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sales are perpetual licenses typically accompanied with significant implementation service fees related to software customization as well as other professional and technical service fees.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are also required to pay a medical device excise tax relating to U.S. sales of Class I, II and III medical devices. This excise tax went into effect January 1, 2013, established as part of the March 2010 U.S. healthcare reform legislation, and has been included in selling, general and administrative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income, net on the consolidated statements of income. The impact of foreign exchange on long-term intercompany loans, for which repayment has not been scheduled or planned, are recorded in accumulated other comprehensive income on the consolidated balance sheet.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28, 2015, our cash and cash equivalents consisted of investments in United States Government Agency and institutional money market funds.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and our collection history. We establish allowances for balances not yet due and past due accounts based on past experience.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6940" w:type="dxa"/>
            <w:vAlign w:val="bottom"/>
          </w:tcPr>
          <w:p>
            <w:pPr>
              <w:jc w:val="center"/>
              <w:ind w:left="571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6940" w:type="dxa"/>
            <w:vAlign w:val="bottom"/>
            <w:tcBorders>
              <w:bottom w:val="single" w:sz="8" w:color="auto"/>
            </w:tcBorders>
          </w:tcPr>
          <w:p>
            <w:pPr>
              <w:jc w:val="center"/>
              <w:ind w:left="5734"/>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6940" w:type="dxa"/>
            <w:vAlign w:val="bottom"/>
            <w:tcBorders>
              <w:bottom w:val="single" w:sz="8" w:color="CCEEFF"/>
            </w:tcBorders>
            <w:shd w:val="clear" w:color="auto" w:fill="CCEEFF"/>
          </w:tcPr>
          <w:p>
            <w:pPr>
              <w:jc w:val="center"/>
              <w:ind w:left="5714"/>
              <w:spacing w:after="0"/>
              <w:rPr>
                <w:sz w:val="20"/>
                <w:szCs w:val="20"/>
                <w:color w:val="auto"/>
              </w:rPr>
            </w:pPr>
            <w:r>
              <w:rPr>
                <w:rFonts w:ascii="Arial" w:cs="Arial" w:eastAsia="Arial" w:hAnsi="Arial"/>
                <w:sz w:val="18"/>
                <w:szCs w:val="18"/>
                <w:color w:val="auto"/>
                <w:w w:val="85"/>
              </w:rPr>
              <w:t>30 Years</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Building improvements</w:t>
            </w:r>
          </w:p>
        </w:tc>
        <w:tc>
          <w:tcPr>
            <w:tcW w:w="6940" w:type="dxa"/>
            <w:vAlign w:val="bottom"/>
          </w:tcPr>
          <w:p>
            <w:pPr>
              <w:jc w:val="center"/>
              <w:ind w:left="5714"/>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6940" w:type="dxa"/>
            <w:vAlign w:val="bottom"/>
            <w:tcBorders>
              <w:bottom w:val="single" w:sz="8" w:color="CCEEFF"/>
            </w:tcBorders>
            <w:shd w:val="clear" w:color="auto" w:fill="CCEEFF"/>
          </w:tcPr>
          <w:p>
            <w:pPr>
              <w:jc w:val="center"/>
              <w:ind w:left="5714"/>
              <w:spacing w:after="0"/>
              <w:rPr>
                <w:sz w:val="20"/>
                <w:szCs w:val="20"/>
                <w:color w:val="auto"/>
              </w:rPr>
            </w:pPr>
            <w:r>
              <w:rPr>
                <w:rFonts w:ascii="Arial" w:cs="Arial" w:eastAsia="Arial" w:hAnsi="Arial"/>
                <w:sz w:val="18"/>
                <w:szCs w:val="18"/>
                <w:color w:val="auto"/>
                <w:w w:val="88"/>
              </w:rPr>
              <w:t>3-15 Years</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6940" w:type="dxa"/>
            <w:vAlign w:val="bottom"/>
          </w:tcPr>
          <w:p>
            <w:pPr>
              <w:jc w:val="center"/>
              <w:ind w:left="5714"/>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6940" w:type="dxa"/>
            <w:vAlign w:val="bottom"/>
            <w:tcBorders>
              <w:bottom w:val="single" w:sz="8" w:color="CCEEFF"/>
            </w:tcBorders>
            <w:shd w:val="clear" w:color="auto" w:fill="CCEEFF"/>
          </w:tcPr>
          <w:p>
            <w:pPr>
              <w:jc w:val="center"/>
              <w:ind w:left="5714"/>
              <w:spacing w:after="0"/>
              <w:rPr>
                <w:sz w:val="20"/>
                <w:szCs w:val="20"/>
                <w:color w:val="auto"/>
              </w:rPr>
            </w:pPr>
            <w:r>
              <w:rPr>
                <w:rFonts w:ascii="Arial" w:cs="Arial" w:eastAsia="Arial" w:hAnsi="Arial"/>
                <w:sz w:val="18"/>
                <w:szCs w:val="18"/>
                <w:color w:val="auto"/>
                <w:w w:val="89"/>
              </w:rPr>
              <w:t>3-7 Years</w:t>
            </w:r>
          </w:p>
        </w:tc>
        <w:tc>
          <w:tcPr>
            <w:tcW w:w="0" w:type="dxa"/>
            <w:vAlign w:val="bottom"/>
          </w:tcPr>
          <w:p>
            <w:pPr>
              <w:spacing w:after="0"/>
              <w:rPr>
                <w:sz w:val="1"/>
                <w:szCs w:val="1"/>
                <w:color w:val="auto"/>
              </w:rPr>
            </w:pPr>
          </w:p>
        </w:tc>
      </w:tr>
      <w:tr>
        <w:trPr>
          <w:trHeight w:val="621"/>
        </w:trPr>
        <w:tc>
          <w:tcPr>
            <w:tcW w:w="4480" w:type="dxa"/>
            <w:vAlign w:val="bottom"/>
          </w:tcPr>
          <w:p>
            <w:pPr>
              <w:spacing w:after="0"/>
              <w:rPr>
                <w:sz w:val="24"/>
                <w:szCs w:val="24"/>
                <w:color w:val="auto"/>
              </w:rPr>
            </w:pPr>
          </w:p>
        </w:tc>
        <w:tc>
          <w:tcPr>
            <w:tcW w:w="6940" w:type="dxa"/>
            <w:vAlign w:val="bottom"/>
          </w:tcPr>
          <w:p>
            <w:pPr>
              <w:jc w:val="right"/>
              <w:ind w:right="553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18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installed base of devices includes devices owned by us and devices sold to the customer. The asset on our balance sheet classified as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14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Consistent with the impairment tests noted below for other intangible assets subject to amortization, we review Haemonetics equipment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disposables used with these devices, from which we generate revenues. Changes in expected demand can result in additional depreciation expense, which is classified as cost of goods sold. Any significant unanticipated changes in demand could impact the value of our devices and our reported operating results.</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statements of income.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Intangible assets acquired in a business combination are recorded under the purchase method of accounting at their estimated fair values at the date of acquisition. Costs associated with the application and award of patents in the U.S. and various other countries are capitalized and amortized on a straight-line basis over their estimated useful life. Goodwill represents the excess purchase price over the fair value of the net tangible and other identifiable intangible assets acquired. We amortize our other intangible assets over their estimated useful lives.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is not amortized. Instead goodwill is reviewed for impairment at least annually in accordance with ASC Topic 350, Intangibles - Goodwill and Other, or on an interim basis between annual tests when events or circumstances indicate that it is more likely than not that the fair value of a reporting unit is less than its carrying value. We perform our annual impairment test on the first day of the fiscal fourth quarter for each of our reporting units. We first perform a qualitative test and if necessary, perform a quantitative test.</w:t>
      </w:r>
    </w:p>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Prior to fiscal 2014, we determined we operated a single operating segment, blood management solutions, based on our chief operating decision maker ("CODM") primarily using consolidated results to make operating and strategic decisions. Our reporting units for purposes of assessing goodwill impairment prior to fiscal 2014 were medical devices and software. During fiscal 2014, our CODM utilized financial results by operating units organized primarily on geography to make operating and strategic decisions due to changes in the composition in the executive staff reporting to the CODM. Based on these changes we determined the five operating units represent operating segments as defined under ASC 280 - Segment Reporting. Following this change, we determined our reporting units for purposes of assessing goodwill impairment by identifying our operating segments and assessing whether segment management regularly reviews the operating results of any components. Through this process, we concluded that our reporting units were the same as our operating segments, which are the following operating units organized based primarily on geography: North America Plasma, North America Blood Center and Hospital, Europe, Asia-Pacific and Japan. During fiscal 2014, goodwill was reallocated from the medical device and software reporting units to the new reporting units based on a relative fair value basis. For fiscal 2015, there were no changes to operating segments or reporting units for purposes of assessing goodwill impairment.</w:t>
      </w:r>
    </w:p>
    <w:p>
      <w:pPr>
        <w:spacing w:after="0" w:line="14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ASC 350, Intangibles - Goodwill and Other defines the fair value of a reporting unit as the price that would be received to sell the unit as a whole in an orderly transaction between market participants at the measurement date. The quantitative test is based on a discounted cash flow analysis or other valuation techniques, such as the market approach, for each reporting unit. The fair values of our reporting units in fiscal 2013 were determined using the income approach. Under the income approach, the fair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value of a reporting unit is based on the present value of future cash flows using appropriate discount rates, growth rates, operating margins and future market conditions amongst others. We changed our valuation approach to assessing goodwill impairment in fiscal 2014 in connection with the change in reporting units. In fiscal 2015 and 2014, we determined the fair value of our reporting units based on the market approach. We utilized the market approach as we determined relevant comparable information was available, and accordingly such method was an appropriate alternative to the income method. Under the market approach, we estimate the fair value of our reporting units based on a combination of, a) market multiples of projected earnings before interest, taxes, depreciation and amortization (“EBITDA”) and b) market multiples of projected net revenues for each individual reporting unit. For the market approach, we use judgment in identifying the relevant comparable-company market multiples, such as recent divestitures/acquisitions, facts and circumstances surrounding the market and growth rates. Management assesses the relevance and reliability of the multiples by considering factors unique to its reporting units, including recent operating results, business plans, economic projections, anticipated future cash flows, and other data. EBITDA and revenue multiples can also be significantly impacted by future growth opportunities for the reporting unit as well as for the company itself, general market and geographic sentiment, and pending or recently completed merger transactions.</w:t>
      </w:r>
    </w:p>
    <w:p>
      <w:pPr>
        <w:spacing w:after="0" w:line="14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tests showed no evidence of impairment to our goodwill for fiscal 2015, 2014 or 2013 and demonstrated that the fair value of each reporting unit exceeded the reporting unit’s carrying value in each period. During March 2014, circumstances arose that indicated a potential impairment. We performed an interim impairment test and noted that the fair value of our reporting units still exceeded their carrying values.</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review intangible assets subject to amortization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During March 2014, circumstances arose that indicated a potential impairment of certain intangible assets subject to amortization. We performed the recoverability test described below for the relevant asset group and determined expected undiscounted cash flows exceeded the carrying value of the asset group.</w:t>
      </w:r>
    </w:p>
    <w:p>
      <w:pPr>
        <w:spacing w:after="0" w:line="14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If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1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five to 10 years. Technological feasibility is established when we have a detailed design of the software and when research and development activities on the underlying device, if applicable, are completed.</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In the future, the net realizable value may be adversely affected by the loss of a significant customer or a significant change in the market place, which could result in an impairment being recorded.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6" w:right="27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represent items payable or expected to settle within the next twelve months. The items included in the fiscal year end balances were: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1,255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34,987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26,564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64,211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59,710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$4.5 million, $3.6 million, and $4.6 million for 2015, 2014 and 2013,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Shipping and Handling Costs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Shipping and handling costs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income tax provision is calculated for all jurisdictions in which we operate. The income tax provision process involves calculating current taxes due and assessing temporary differences arising from items which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which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Tax reserves are reversed when the statute of limitations expires or the matter is considered effectively settled.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account for our derivative financial instruments in accordance with ASC Topic 815, Derivatives and Hedging (“ASC 815”) and ASC Topic 820, Fair Value Measurements and Disclosures (“ASC 820”). In accordance with ASC 815, we record all derivatives on the balance sheet at fair value. The accounting for the change in the fair value of derivatives depends on the intended use of the derivative, whether we have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We do not use derivative financial instruments for trading or speculation purposes.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gains or losses on the forward foreign exchange rate contracts designated as hedges are recorded in net revenues, cost of goods sold, operating expenses and other (expense) income, net in our consolidated statements of income, depending on the nature of the underlying hedged transactions, when the underlying hedged transaction affects earnings.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We recorded foreign currency losses of $1.1 million, $0.5 million, and $0.8 million in fiscal 2015, 2014 and 2013, respectively.</w:t>
      </w:r>
    </w:p>
    <w:p>
      <w:pPr>
        <w:spacing w:after="0" w:line="18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a quarterly basis, we assess whether the cash flow hedges are highly effective in offsetting changes in the cash flow of the hedged item. We manage the credit risk of the counterparties by dealing only with institutions that we consider financially sound and consider the risk of non-performance to be remote.</w:t>
      </w:r>
    </w:p>
    <w:p>
      <w:pPr>
        <w:spacing w:after="0" w:line="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calculate the grant-date fair value of our stock options we use the Black-Scholes option-pricing model and for performance share units and market stock units we use Monte Carlo Simulation models.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allocate the amounts we pay for each acquisition to the assets acquired and liabilities assumed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w:t>
      </w:r>
    </w:p>
    <w:p>
      <w:pPr>
        <w:spacing w:after="0" w:line="9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certain acquisitions, we have earn-out arrangements or contingent consideration to provide potential future payments to the seller for achieving certain agreed-upon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current fair value and record the change in the fair value as contingent consideration income or expense within selling, general and administrative expense. These changes are recorded in selling, general and administrative expense. Increases or decreases in the fair value of the contingent consideration obligations can result from changes in assumed discount periods and rates, changes in the assumed timing and amount of revenue and expense estimates, and changes in assumed probability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and accounts receivable. In fiscal 2015 and 2014, no one customer accounted for more than 10% of our revenues. Sales to one unaffiliated Japanese customer, the Japanese Red Cross Society, amounted to $90.1 million for fiscal 2013.</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other markets and industries can expose us to concentrations of credit risk. For example, in our plasma business, our sales are concentrated with several large customers. As a result, our accounts receivable extended to any one of these bio-pharmaceutical customers can be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April 2014, the Financial Accounting Standards Board (“FASB”) issued Accounting Standards Update (“ASU”) No. 2014-08, </w:t>
      </w:r>
      <w:r>
        <w:rPr>
          <w:rFonts w:ascii="Arial" w:cs="Arial" w:eastAsia="Arial" w:hAnsi="Arial"/>
          <w:sz w:val="16"/>
          <w:szCs w:val="16"/>
          <w:i w:val="1"/>
          <w:iCs w:val="1"/>
          <w:color w:val="auto"/>
        </w:rPr>
        <w:t>Presentation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(Topic 205) and Property, Plant, and Equipment (Topic 360): Reporting Discontinued Operations and Disclosures of Disposals of Components of an Entity</w:t>
      </w:r>
      <w:r>
        <w:rPr>
          <w:rFonts w:ascii="Arial" w:cs="Arial" w:eastAsia="Arial" w:hAnsi="Arial"/>
          <w:sz w:val="16"/>
          <w:szCs w:val="16"/>
          <w:color w:val="auto"/>
        </w:rPr>
        <w:t>. ASU No. 2014-08 limits the requirement to report discontinued operations to disposals of components of an entity that represent strategic shifts that</w:t>
      </w:r>
      <w:r>
        <w:rPr>
          <w:rFonts w:ascii="Arial" w:cs="Arial" w:eastAsia="Arial" w:hAnsi="Arial"/>
          <w:sz w:val="16"/>
          <w:szCs w:val="16"/>
          <w:i w:val="1"/>
          <w:iCs w:val="1"/>
          <w:color w:val="auto"/>
        </w:rPr>
        <w:t xml:space="preserve"> </w:t>
      </w:r>
      <w:r>
        <w:rPr>
          <w:rFonts w:ascii="Arial" w:cs="Arial" w:eastAsia="Arial" w:hAnsi="Arial"/>
          <w:sz w:val="16"/>
          <w:szCs w:val="16"/>
          <w:color w:val="auto"/>
        </w:rPr>
        <w:t>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ASU No. 2014-08 are effective prospectively for reporting periods beginning on or after December 15, 2014, with early adoption permitted. Management does not believe that the adoption of ASU No. 2014-08 will have a material effect on our Financial Statements.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the Company retrospectively beginning April 2, 2017, with early adoption not permitted. The impact of adopting ASU No. 2014-09 on our Financial Statements is being assessed by management.</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June 2014, the FASB issued ASU No. 2014-12, </w:t>
      </w:r>
      <w:r>
        <w:rPr>
          <w:rFonts w:ascii="Arial" w:cs="Arial" w:eastAsia="Arial" w:hAnsi="Arial"/>
          <w:sz w:val="17"/>
          <w:szCs w:val="17"/>
          <w:i w:val="1"/>
          <w:iCs w:val="1"/>
          <w:color w:val="auto"/>
        </w:rPr>
        <w:t>Compensation—Stock Compensation (Topic 718): Accounting for Share-Based Payments When the 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an Award Provide That a Performance Target Could Be Achieved after the Requisite Service Period</w:t>
      </w:r>
      <w:r>
        <w:rPr>
          <w:rFonts w:ascii="Arial" w:cs="Arial" w:eastAsia="Arial" w:hAnsi="Arial"/>
          <w:sz w:val="17"/>
          <w:szCs w:val="17"/>
          <w:color w:val="auto"/>
        </w:rPr>
        <w:t>. ASU No. 2014-12 requires that a performance target</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affects vesting and could be achieved after the requisite service period be treated as a performance condition. A reporting entity should apply existing guidance in ASC 718, Compensation—Stock Compensation, as it relates to such awards. ASU No.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No. 2014-12 as an adjustment to the opening retained earnings balance as of the beginning of the earliest annual period presented in the financial statements. Management does not believe that the adoption of ASU No. 2014-12 will have a material effect on our Financial Statements.</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Statements.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January 2015, the FASB issued ASU No. 2015-01, </w:t>
      </w:r>
      <w:r>
        <w:rPr>
          <w:rFonts w:ascii="Arial" w:cs="Arial" w:eastAsia="Arial" w:hAnsi="Arial"/>
          <w:sz w:val="16"/>
          <w:szCs w:val="16"/>
          <w:i w:val="1"/>
          <w:iCs w:val="1"/>
          <w:color w:val="auto"/>
        </w:rPr>
        <w:t>Income Statement-Extraordinary and Unusual Items (Subtopic 225-20): Simplifying Income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by Eliminating the Concept of Extraordinary Items</w:t>
      </w:r>
      <w:r>
        <w:rPr>
          <w:rFonts w:ascii="Arial" w:cs="Arial" w:eastAsia="Arial" w:hAnsi="Arial"/>
          <w:sz w:val="16"/>
          <w:szCs w:val="16"/>
          <w:color w:val="auto"/>
        </w:rPr>
        <w:t>. ASU No. 2015-01 eliminates from GAAP the concept of extraordinary items. An entity will</w:t>
      </w:r>
      <w:r>
        <w:rPr>
          <w:rFonts w:ascii="Arial" w:cs="Arial" w:eastAsia="Arial" w:hAnsi="Arial"/>
          <w:sz w:val="16"/>
          <w:szCs w:val="16"/>
          <w:i w:val="1"/>
          <w:iCs w:val="1"/>
          <w:color w:val="auto"/>
        </w:rPr>
        <w:t xml:space="preserve"> </w:t>
      </w:r>
      <w:r>
        <w:rPr>
          <w:rFonts w:ascii="Arial" w:cs="Arial" w:eastAsia="Arial" w:hAnsi="Arial"/>
          <w:sz w:val="16"/>
          <w:szCs w:val="16"/>
          <w:color w:val="auto"/>
        </w:rPr>
        <w:t>no longer be required to (1) segregate an extraordinary item from the results of ordinary operations; (2) separately present an extraordinary item on its income statement, net of tax, after income from continuing operations; and (3) disclose income taxes and earnings-per-share data applicable to an extraordinary item. ASU No. 2015-01 will be effective for fiscal years beginning after December 15, 2015. An entity may apply the amendments prospectively or retrospectively to all prior periods presented in the financial statements. Early adoption is permitted provided that the guidance is applied from the beginning of the fiscal year of adoption. Management does not believe that the adoption of ASU No. 2015-01 will have a material effect on our Financial Statements.</w:t>
      </w:r>
    </w:p>
    <w:p>
      <w:pPr>
        <w:spacing w:after="0" w:line="16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ASU No. 2015-02 amended the process that a reporting entity must perform to determine whether it should consolidate certain types of legal entities. ASU No. 2015-02 is effective for annual periods ending after December 15, 2015, and for annual periods and interim periods thereafter with early adoption permitted. Management does not believe that the adoption of ASU No. 2015-02 will have a material effect on our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ASU No. 2015-03 requires that debt issuance costs related to a recognized debt liability be presented in the balance sheet as a direct deduction from the carrying amount of that debt liability, consistent with debt discounts. ASU No. 2015-03 is effective for annual periods beginning after December 15, 2015, and interim periods within those annual periods. Management does not believe that the adoption of ASU No. 2015-03 will have a material effect on our Financial Statements.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April 2015, the FASB issued ASU No. 2015-04, </w:t>
      </w:r>
      <w:r>
        <w:rPr>
          <w:rFonts w:ascii="Arial" w:cs="Arial" w:eastAsia="Arial" w:hAnsi="Arial"/>
          <w:sz w:val="18"/>
          <w:szCs w:val="18"/>
          <w:i w:val="1"/>
          <w:iCs w:val="1"/>
          <w:color w:val="auto"/>
        </w:rPr>
        <w:t>Compensation—Retirement Benefits (Topic 715): Practical Expedient for the Measurement Date of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Employer’s Defined Benefit Obligation and Plan Assets. </w:t>
      </w:r>
      <w:r>
        <w:rPr>
          <w:rFonts w:ascii="Arial" w:cs="Arial" w:eastAsia="Arial" w:hAnsi="Arial"/>
          <w:sz w:val="18"/>
          <w:szCs w:val="18"/>
          <w:color w:val="auto"/>
        </w:rPr>
        <w:t>ASU No. 2015-04 provides a practical expedient, for an entity with a fiscal year-end that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coincide with a month-end, that permits the entity to measure defined benefit plan assets and obligations using the month-end that is closest to the entity's fiscal year-end and apply that practical expedient consistently from year to year. ASU No. 2015-04 is effective for fiscal years beginning after December 15, 2015, and interim periods within those fiscal years. Early application is permitted. The impact of adopting ASU No. 2015-04 on our Financial Statements is being assessed by management.</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Fees Paid in a Cloud Computing Arrangement</w:t>
      </w:r>
      <w:r>
        <w:rPr>
          <w:rFonts w:ascii="Arial" w:cs="Arial" w:eastAsia="Arial" w:hAnsi="Arial"/>
          <w:sz w:val="18"/>
          <w:szCs w:val="18"/>
          <w:color w:val="auto"/>
        </w:rPr>
        <w:t>. ASU No. 2015-05 will help entities evaluate the accounting for fees paid by a customer in a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ASU No. 2015-05 is effective for interim and annual periods beginning after December 15, 2015 with early adoption permitted. The impact of adopting ASU No. 2015-05 on our Financial Statements is being assessed by management.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Acquisitions were completed in fiscal 2014 and fiscal 2013. We did not complete any acquisitions in fiscal 2015.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2014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 Acquisition</w:t>
      </w:r>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On April 30, 2013, we completed the acquisition of certain assets of Hemerus Medical, LLC ("Hemerus"), a Minnesota based company that develops innovative technologies for the collection of whole blood and processing and storage of blood components. Hemerus has received U.S Food and Drug Administration (FDA) approval for SOLX® whole blood collection system for eight hour storage of whole blood prior to processing. Hemerus previously received Conformité Européenne or CE Mark in the European Union to market SOLX as the world's first 56-day red blood cell storage solution. We paid $24.1 million and will pay an additional $3.0 million upon a further FDA approval of the SOLX solution for 24 hour storage of whole blood prior to processing. We will also pay up to $14.0 million based on future sales of SOLX-based products through fiscal 2025.</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acquired Hemerus to complement the portfolio of whole blood collection, filtration and processing product lines we recently acquired and to bring greater efficiency and productivity to whole blood collection and processing. Hemerus manufactures and sells manual blood collection systems and filters and has operations in North America. Revenue from the sale of SOLX will be reported within the blood center disposables product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assets acquired from Hemerus were recorded at fair value at the date of acquisition.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6" w:right="27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allocation is as follows:</w:t>
      </w:r>
    </w:p>
    <w:p>
      <w:pPr>
        <w:sectPr>
          <w:pgSz w:w="11900" w:h="16838" w:orient="portrait"/>
          <w:cols w:equalWidth="0" w:num="1">
            <w:col w:w="11420"/>
          </w:cols>
          <w:pgMar w:left="240" w:top="126" w:right="2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wp:posOffset>
            </wp:positionV>
            <wp:extent cx="712660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Acquired technology</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Customer relationship</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6605" cy="18859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106"/>
        <w:spacing w:after="0"/>
        <w:rPr>
          <w:sz w:val="20"/>
          <w:szCs w:val="20"/>
          <w:color w:val="auto"/>
        </w:rPr>
      </w:pPr>
      <w:r>
        <w:rPr>
          <w:rFonts w:ascii="Arial" w:cs="Arial" w:eastAsia="Arial" w:hAnsi="Arial"/>
          <w:sz w:val="12"/>
          <w:szCs w:val="12"/>
          <w:b w:val="1"/>
          <w:bCs w:val="1"/>
          <w:color w:val="auto"/>
        </w:rPr>
        <w:t>Amounts recognized as</w:t>
      </w:r>
    </w:p>
    <w:p>
      <w:pPr>
        <w:spacing w:after="0" w:line="27" w:lineRule="exact"/>
        <w:rPr>
          <w:sz w:val="20"/>
          <w:szCs w:val="20"/>
          <w:color w:val="auto"/>
        </w:rPr>
      </w:pPr>
    </w:p>
    <w:p>
      <w:pPr>
        <w:jc w:val="center"/>
        <w:ind w:right="106"/>
        <w:spacing w:after="0"/>
        <w:rPr>
          <w:sz w:val="20"/>
          <w:szCs w:val="20"/>
          <w:color w:val="auto"/>
        </w:rPr>
      </w:pPr>
      <w:r>
        <w:rPr>
          <w:rFonts w:ascii="Arial" w:cs="Arial" w:eastAsia="Arial" w:hAnsi="Arial"/>
          <w:sz w:val="14"/>
          <w:szCs w:val="14"/>
          <w:b w:val="1"/>
          <w:bCs w:val="1"/>
          <w:color w:val="auto"/>
        </w:rPr>
        <w:t>of March 29, 2014</w:t>
      </w:r>
    </w:p>
    <w:p>
      <w:pPr>
        <w:spacing w:after="0" w:line="47" w:lineRule="exact"/>
        <w:rPr>
          <w:sz w:val="20"/>
          <w:szCs w:val="20"/>
          <w:color w:val="auto"/>
        </w:rPr>
      </w:pPr>
    </w:p>
    <w:p>
      <w:pPr>
        <w:ind w:left="934" w:hanging="934"/>
        <w:spacing w:after="0"/>
        <w:tabs>
          <w:tab w:leader="none" w:pos="9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22,800</w:t>
      </w:r>
    </w:p>
    <w:p>
      <w:pPr>
        <w:spacing w:after="0" w:line="74" w:lineRule="exact"/>
        <w:rPr>
          <w:rFonts w:ascii="Arial" w:cs="Arial" w:eastAsia="Arial" w:hAnsi="Arial"/>
          <w:sz w:val="17"/>
          <w:szCs w:val="17"/>
          <w:color w:val="auto"/>
        </w:rPr>
      </w:pPr>
    </w:p>
    <w:p>
      <w:pPr>
        <w:ind w:left="1034"/>
        <w:spacing w:after="0"/>
        <w:rPr>
          <w:rFonts w:ascii="Arial" w:cs="Arial" w:eastAsia="Arial" w:hAnsi="Arial"/>
          <w:sz w:val="17"/>
          <w:szCs w:val="17"/>
          <w:color w:val="auto"/>
        </w:rPr>
      </w:pPr>
      <w:r>
        <w:rPr>
          <w:rFonts w:ascii="Arial" w:cs="Arial" w:eastAsia="Arial" w:hAnsi="Arial"/>
          <w:sz w:val="17"/>
          <w:szCs w:val="17"/>
          <w:color w:val="auto"/>
        </w:rPr>
        <w:t>1,900</w:t>
      </w:r>
    </w:p>
    <w:p>
      <w:pPr>
        <w:spacing w:after="0" w:line="74" w:lineRule="exact"/>
        <w:rPr>
          <w:rFonts w:ascii="Arial" w:cs="Arial" w:eastAsia="Arial" w:hAnsi="Arial"/>
          <w:sz w:val="17"/>
          <w:szCs w:val="17"/>
          <w:color w:val="auto"/>
        </w:rPr>
      </w:pPr>
    </w:p>
    <w:p>
      <w:pPr>
        <w:ind w:left="1154"/>
        <w:spacing w:after="0"/>
        <w:rPr>
          <w:rFonts w:ascii="Arial" w:cs="Arial" w:eastAsia="Arial" w:hAnsi="Arial"/>
          <w:sz w:val="17"/>
          <w:szCs w:val="17"/>
          <w:color w:val="auto"/>
        </w:rPr>
      </w:pPr>
      <w:r>
        <w:rPr>
          <w:rFonts w:ascii="Arial" w:cs="Arial" w:eastAsia="Arial" w:hAnsi="Arial"/>
          <w:sz w:val="18"/>
          <w:szCs w:val="18"/>
          <w:color w:val="auto"/>
        </w:rPr>
        <w:t>600</w:t>
      </w:r>
    </w:p>
    <w:p>
      <w:pPr>
        <w:spacing w:after="0" w:line="63" w:lineRule="exact"/>
        <w:rPr>
          <w:rFonts w:ascii="Arial" w:cs="Arial" w:eastAsia="Arial" w:hAnsi="Arial"/>
          <w:sz w:val="17"/>
          <w:szCs w:val="17"/>
          <w:color w:val="auto"/>
        </w:rPr>
      </w:pPr>
    </w:p>
    <w:p>
      <w:pPr>
        <w:ind w:left="1034"/>
        <w:spacing w:after="0"/>
        <w:rPr>
          <w:rFonts w:ascii="Arial" w:cs="Arial" w:eastAsia="Arial" w:hAnsi="Arial"/>
          <w:sz w:val="17"/>
          <w:szCs w:val="17"/>
          <w:color w:val="auto"/>
        </w:rPr>
      </w:pPr>
      <w:r>
        <w:rPr>
          <w:rFonts w:ascii="Arial" w:cs="Arial" w:eastAsia="Arial" w:hAnsi="Arial"/>
          <w:sz w:val="17"/>
          <w:szCs w:val="17"/>
          <w:color w:val="auto"/>
        </w:rPr>
        <w:t>6,425</w:t>
      </w:r>
    </w:p>
    <w:p>
      <w:pPr>
        <w:spacing w:after="0" w:line="84" w:lineRule="exact"/>
        <w:rPr>
          <w:sz w:val="20"/>
          <w:szCs w:val="20"/>
          <w:color w:val="auto"/>
        </w:rPr>
      </w:pPr>
    </w:p>
    <w:p>
      <w:pPr>
        <w:ind w:left="934" w:hanging="934"/>
        <w:spacing w:after="0"/>
        <w:tabs>
          <w:tab w:leader="none" w:pos="934"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31,725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59055</wp:posOffset>
            </wp:positionV>
            <wp:extent cx="995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9066" w:space="720"/>
            <w:col w:w="1634"/>
          </w:cols>
          <w:pgMar w:left="240" w:top="126" w:right="2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fair value of the acquired assets and liabilities are reflected in the Consolidated Balance Sheets. The acquired assets are amortized over the estimate of their useful lives on a straight-line basis. We recorded $2.5 million and $2.3 million in amortization expense relating to the acquired intangible assets for the fiscal years ended March 28, 2015 and March 29, 2014, respectively.</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the net assets. Goodwill of $6.4 million primarily represents future economic benefits expected to arise from the work force and synergies expected to be gained from the integration of SOLX into our whole blood products. Prior to the acquisition, we had not conducted any business with Hemerus.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described above, we will pay the sellers of the Hemerus assets up to $14.0 million based on future sales of SOLX. We recognized a liability equal to the fair value of the contingent payments we expect to make as of the acquisition date. We revalue this liability each reporting period and record necessary changes in the fair value in our consolidated statements of income. As of March 28, 2015, the maximum amount of future contingent consideration (undiscounted) that we could be required to pay related to future SOLX sales is $14.0 million. Additionally, we will pay $3.0 million upon FDA approval of the SOLX solution for 24 hour storage of whole blood prior to processing. The carrying value of this liability is $4.7 million as of March 28, 2015.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3 fair value measurement was performed using a probability-weighted discounted cash flow analysis over a ten year period.</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forecast and analysis.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2013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 Blood Acquisition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(the “Purchase Agreement”) with Pall. We refer to the acquired business as the “whole blood business.”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closing of the transaction, we paid a total consideration of $535.2 million in cash and $0.5 million in shares following resolution of post-closing adjustments for working capital and historical earnings levels. We anticipate paying an additional $15.0 million upon replication and delivery of certain manufacturing assets of Pall's filter media business to Haemonetics by 2018. Until that time, Pall will manufacture and sell filter media to Haemonetics under a supply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entered into a credit agreement on August 1, 2012 in connection with the transaction which includes a $475.0 million term loan to fund the majority of the cash paid to Pall. See Note 8 for a detailed description of the key terms and provisions of the credit agreement.</w:t>
      </w:r>
    </w:p>
    <w:p>
      <w:pPr>
        <w:spacing w:after="0" w:line="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acquired the whole blood business to provide access to the manual collection and whole blood markets and provide scope for introduction of automated solutions in those markets. The whole blood business manufactures and sells manual blood collection systems and filters and has operations in North America, Europe and Asia Pacific countries. Revenue from the sale of whole blood disposables has been reported within the blood center disposables product line since the date of acquisition.</w:t>
      </w:r>
    </w:p>
    <w:p>
      <w:pPr>
        <w:spacing w:after="0" w:line="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assets and liabilities acquired from Pall were recorded at fair value at the date of acquisition. We completed the allocation of the purchase price to the estimated fair value of the acquired assets and liabilities in June 2013 and is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Amounts Recognized as</w:t>
            </w:r>
          </w:p>
        </w:tc>
        <w:tc>
          <w:tcPr>
            <w:tcW w:w="0" w:type="dxa"/>
            <w:vAlign w:val="bottom"/>
          </w:tcPr>
          <w:p>
            <w:pPr>
              <w:spacing w:after="0"/>
              <w:rPr>
                <w:sz w:val="1"/>
                <w:szCs w:val="1"/>
                <w:color w:val="auto"/>
              </w:rPr>
            </w:pPr>
          </w:p>
        </w:tc>
      </w:tr>
      <w:tr>
        <w:trPr>
          <w:trHeight w:val="186"/>
        </w:trPr>
        <w:tc>
          <w:tcPr>
            <w:tcW w:w="9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 class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of March 30, 2013</w:t>
            </w:r>
          </w:p>
        </w:tc>
        <w:tc>
          <w:tcPr>
            <w:tcW w:w="0" w:type="dxa"/>
            <w:vAlign w:val="bottom"/>
          </w:tcPr>
          <w:p>
            <w:pPr>
              <w:spacing w:after="0"/>
              <w:rPr>
                <w:sz w:val="1"/>
                <w:szCs w:val="1"/>
                <w:color w:val="auto"/>
              </w:rPr>
            </w:pPr>
          </w:p>
        </w:tc>
      </w:tr>
      <w:tr>
        <w:trPr>
          <w:trHeight w:val="161"/>
        </w:trPr>
        <w:tc>
          <w:tcPr>
            <w:tcW w:w="9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8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49,917</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85,984</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188,500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Other assets/liabilities, net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216,940</w:t>
            </w:r>
          </w:p>
        </w:tc>
        <w:tc>
          <w:tcPr>
            <w:tcW w:w="0" w:type="dxa"/>
            <w:vAlign w:val="bottom"/>
          </w:tcPr>
          <w:p>
            <w:pPr>
              <w:spacing w:after="0"/>
              <w:rPr>
                <w:sz w:val="1"/>
                <w:szCs w:val="1"/>
                <w:color w:val="auto"/>
              </w:rPr>
            </w:pPr>
          </w:p>
        </w:tc>
      </w:tr>
      <w:tr>
        <w:trPr>
          <w:trHeight w:val="257"/>
        </w:trPr>
        <w:tc>
          <w:tcPr>
            <w:tcW w:w="98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 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535,175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the acquired assets and liabilities are reflected in the Consolidated Balance Sheets. The $188.5 million of acquired intangible assets was allocated to acquired technology and customer relationships at fair values of $61.0 million and $127.5 million, respectively. The acquired intangible assets were initially amortized over their estimated useful lives of 12 years on a straight-line basis. We adopted the straight-line amortization of 12 years as it best reflected the pattern of benefits. As of March 29, 2014, the remaining estimated useful life of the customer relationship assets was adjusted to 8 years to better reflect its current pattern of benefits. We recorded $18.8 million, $15.7 million and $10.5 million in amortization expense relating to the acquired intangible assets for the fiscal years ended March 28, 2015, March 29, 2014 and March 30, 2013, respectively.</w:t>
      </w:r>
    </w:p>
    <w:p>
      <w:pPr>
        <w:spacing w:after="0" w:line="1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the net assets. Goodwill of $216.9 million represents future economic benefits expected to arise from work force at the various plants and locations and significant technological know-how in filter manufacturing. All of the goodwill is deductible for tax purposes.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for the acquired whole blood business included in our operating results was $143.9 million in fiscal 2015, $190.7 million in fiscal 2014 and $138.4 million in fiscal 2013.</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represents the pro forma consolidated statements of income for the fiscal year ended March 30, 2013, as if the acquisition had been included in our consolidated results as beginning April 1,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5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6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963,923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56,540</w:t>
            </w:r>
          </w:p>
        </w:tc>
      </w:tr>
      <w:tr>
        <w:trPr>
          <w:trHeight w:val="27"/>
        </w:trPr>
        <w:tc>
          <w:tcPr>
            <w:tcW w:w="4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6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6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1.08</w:t>
            </w:r>
          </w:p>
        </w:tc>
      </w:tr>
      <w:tr>
        <w:trPr>
          <w:trHeight w:val="878"/>
        </w:trPr>
        <w:tc>
          <w:tcPr>
            <w:tcW w:w="4020" w:type="dxa"/>
            <w:vAlign w:val="bottom"/>
          </w:tcPr>
          <w:p>
            <w:pPr>
              <w:spacing w:after="0"/>
              <w:rPr>
                <w:sz w:val="24"/>
                <w:szCs w:val="24"/>
                <w:color w:val="auto"/>
              </w:rPr>
            </w:pPr>
          </w:p>
        </w:tc>
        <w:tc>
          <w:tcPr>
            <w:tcW w:w="5800" w:type="dxa"/>
            <w:vAlign w:val="bottom"/>
          </w:tcPr>
          <w:p>
            <w:pPr>
              <w:jc w:val="right"/>
              <w:ind w:right="393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PRODUCT WARRANTIES</w:t>
      </w:r>
    </w:p>
    <w:p>
      <w:pPr>
        <w:spacing w:after="0" w:line="13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Warranty accrual as of the end of the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590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with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126,821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117,770</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Inventory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211,077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197,661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6. GOODWILL AND INTANGIBLE ASSETS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tcPr>
          <w:p>
            <w:pPr>
              <w:spacing w:after="0"/>
              <w:rPr>
                <w:sz w:val="20"/>
                <w:szCs w:val="20"/>
                <w:color w:val="auto"/>
              </w:rPr>
            </w:pPr>
            <w:r>
              <w:rPr>
                <w:rFonts w:ascii="Arial" w:cs="Arial" w:eastAsia="Arial" w:hAnsi="Arial"/>
                <w:sz w:val="18"/>
                <w:szCs w:val="18"/>
                <w:color w:val="auto"/>
              </w:rPr>
              <w:t>The changes in the carrying amount of goodwill for fiscal 2015 and 2014 are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30, 2013</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330,474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Hemerus acquisition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 in foreign currency exchange rates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Carrying amount as of March 29, 2014</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336,768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 in foreign currency exchange rates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Carrying amount as of March 28, 2015</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334,310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8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Intangible assets include the value assigned to license rights and other developed technology, patents, customer contracts and relationships and trade names. The estimated useful lives for all of these intangible assets are 2 to 19 years. The gross carrying amount of intangible assets and the related accumulated amortization as of March 28, 2015 and March 29, 2014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28, 2015</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39,690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34,036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78,099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195,985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70,440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125,545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377,763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133,175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244,588</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3"/>
                <w:szCs w:val="23"/>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23"/>
                <w:szCs w:val="23"/>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29, 2014</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29,336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86,893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200,694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52,741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147,953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372,853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101,694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271,159</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changes to the net carrying value of our intangible assets from March 29, 2014 to March 28, 2015 reflect investment in capitalized software and other less significant intangible assets, amortization expense and the effect of exchange rate changes in the translation of our intangible assets held by our international subsidiaries.</w:t>
      </w:r>
    </w:p>
    <w:p>
      <w:pPr>
        <w:spacing w:after="0" w:line="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Aggregate amortization expense for amortized intangible assets for fiscal year 2015, 2014, and 2013 was $33.5 million, $29.2 million, and $22.1 million, respectively. Future annual amortization expense on intangible assets is estimated to be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Fiscal Year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w:t>
            </w:r>
          </w:p>
        </w:tc>
        <w:tc>
          <w:tcPr>
            <w:tcW w:w="0" w:type="dxa"/>
            <w:vAlign w:val="bottom"/>
          </w:tcPr>
          <w:p>
            <w:pPr>
              <w:spacing w:after="0"/>
              <w:rPr>
                <w:sz w:val="1"/>
                <w:szCs w:val="1"/>
                <w:color w:val="auto"/>
              </w:rPr>
            </w:pPr>
          </w:p>
        </w:tc>
      </w:tr>
      <w:tr>
        <w:trPr>
          <w:trHeight w:val="230"/>
        </w:trPr>
        <w:tc>
          <w:tcPr>
            <w:tcW w:w="9720" w:type="dxa"/>
            <w:vAlign w:val="bottom"/>
            <w:gridSpan w:val="2"/>
            <w:vMerge w:val="continue"/>
          </w:tcPr>
          <w:p>
            <w:pPr>
              <w:spacing w:after="0"/>
              <w:rPr>
                <w:sz w:val="20"/>
                <w:szCs w:val="20"/>
                <w:color w:val="auto"/>
              </w:rPr>
            </w:pPr>
          </w:p>
        </w:tc>
        <w:tc>
          <w:tcPr>
            <w:tcW w:w="1700" w:type="dxa"/>
            <w:vAlign w:val="bottom"/>
            <w:gridSpan w:val="2"/>
          </w:tcPr>
          <w:p>
            <w:pPr>
              <w:jc w:val="right"/>
              <w:ind w:right="370"/>
              <w:spacing w:after="0"/>
              <w:rPr>
                <w:sz w:val="20"/>
                <w:szCs w:val="20"/>
                <w:color w:val="auto"/>
              </w:rPr>
            </w:pPr>
            <w:r>
              <w:rPr>
                <w:rFonts w:ascii="Arial" w:cs="Arial" w:eastAsia="Arial" w:hAnsi="Arial"/>
                <w:sz w:val="18"/>
                <w:szCs w:val="18"/>
                <w:i w:val="1"/>
                <w:iCs w:val="1"/>
                <w:color w:val="auto"/>
              </w:rPr>
              <w:t>thousands)</w:t>
            </w:r>
          </w:p>
        </w:tc>
        <w:tc>
          <w:tcPr>
            <w:tcW w:w="0" w:type="dxa"/>
            <w:vAlign w:val="bottom"/>
          </w:tcPr>
          <w:p>
            <w:pPr>
              <w:spacing w:after="0"/>
              <w:rPr>
                <w:sz w:val="1"/>
                <w:szCs w:val="1"/>
                <w:color w:val="auto"/>
              </w:rPr>
            </w:pP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32,998</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32,165</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30,470</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2020 and thereafter</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104,544</w:t>
            </w:r>
          </w:p>
        </w:tc>
        <w:tc>
          <w:tcPr>
            <w:tcW w:w="0" w:type="dxa"/>
            <w:vAlign w:val="bottom"/>
          </w:tcPr>
          <w:p>
            <w:pPr>
              <w:spacing w:after="0"/>
              <w:rPr>
                <w:sz w:val="1"/>
                <w:szCs w:val="1"/>
                <w:color w:val="auto"/>
              </w:rPr>
            </w:pP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13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manufacture, market and sell our products globally. For the fiscal year ended March 28, 2015, approximately 45.6% of our sales were generated outside the U.S. in local currencies. We also incur certain manufacturing, marketing and selling costs in international markets in local currency.</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6" w:right="2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forward contracts to hedge the anticipated cash flows from transactions denominated in foreign currencies, primarily the Japanese Yen and the Euro, and to a lesser extent the Swiss Franc, Australian Dollar, British Pound Sterling, Canadian Dollar and the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March 28, 2015 and March 29, 2014 were cash flow hedges under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w:t>
      </w:r>
      <w:r>
        <w:rPr>
          <w:rFonts w:ascii="Arial" w:cs="Arial" w:eastAsia="Arial" w:hAnsi="Arial"/>
          <w:sz w:val="18"/>
          <w:szCs w:val="18"/>
          <w:color w:val="auto"/>
        </w:rPr>
        <w:t>. We record the effective portion of any change in the fair value of designated foreign currency hedge contracts in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$145.8 million as of March 28, 2015 and $157.9 million as of March 29, 2014.</w:t>
      </w:r>
    </w:p>
    <w:p>
      <w:pPr>
        <w:spacing w:after="0" w:line="9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fiscal 2015, we recognized net gains of $6.5 million in earnings on our cash flow hedges, compared to recognized net gains of $8.6 million and $2.7 million during fiscal 2014 and 2013, respectively. For the fiscal year ended March 28, 2015, $12.2 million of gains, net of tax, were recorded in Accumulated Other Comprehensive Income to recognize the effective portion of the fair value of any designated foreign currency hedge contracts that are, or previously were, designated as foreign currency cash flow hedges, as compared to net gains of $3.7 million, net of tax, for the fiscal year ended March 29, 2014 and net gains of $5.1 million, net of tax, for the fiscal year ended March 30, 2013. At March 28, 2015, gains of $12.2 million, net of tax, will be reclassified to earnings within the next twelve months. All currency cash flow hedges outstanding as of March 28, 2015 mature within twelve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$45.8 million as of March 28, 2015 and $72.9 million as of March 29,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3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 xml:space="preserve">On August 1, 2012, we entered into a Credit Agreement which provided for a $475.0 million term loan (“Term Loan”). 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w:t>
      </w:r>
      <w:r>
        <w:rPr>
          <w:rFonts w:ascii="Arial" w:cs="Arial" w:eastAsia="Arial" w:hAnsi="Arial"/>
          <w:sz w:val="17"/>
          <w:szCs w:val="17"/>
          <w:color w:val="auto"/>
        </w:rPr>
        <w:t>1/16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1% (“Adjusted LIBOR”). The terms of the Credit Agreement also allow us to borrow in multiple tranches. As of March 28, 2015, we have four tranches outstanding.</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December 21, 2012, we entered into two interest rate swap agreements ("the swaps"), whereby we receive Adjusted LIBOR and pay an average fixed rate of 0.68% on a total notional value of $250.0 million of debt. The interest rate swaps mature on August 1, 2017. The Company designated the interest rate swaps as a cash flow hedge of variable interest rate risk associated with $250.0 million of indebtedness. For the fiscal years ended March 28, 2015, March 29, 2014 and March 30, 2013, $0.9 million of losses, $1.3 million of gains and $0.8 million of losses, net of tax, were recorded in Accumulated Other Comprehensive Income to recognize the effective portion of the fair value of interest rate swaps that qualify as cash flow hedges,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statements of income for the fiscal year ended March 28,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Gain/(Loss)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from OCI into</w:t>
            </w:r>
          </w:p>
        </w:tc>
        <w:tc>
          <w:tcPr>
            <w:tcW w:w="18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Location in</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 OCI</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6"/>
                <w:szCs w:val="16"/>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Statement of 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Testing (*)</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6,464</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8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20" w:hanging="585"/>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did not have fair value hedges or net investment hedges outstanding as of March 28, 2015 or March 29, 2014. As of March 28, 2015, the amount recognized as a deferred tax liability for designated foreign currency hedges was $0.8 million and the amount recognized as a deferred tax asset for interest rate swap hedges was $0.1 million.</w:t>
      </w:r>
    </w:p>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28, 2015,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March 28, 2015 and March 29, 2014 by type of contract and whether it is a qualifying hedge under ASC Topic 815.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ind w:left="1080"/>
              <w:spacing w:after="0"/>
              <w:rPr>
                <w:sz w:val="20"/>
                <w:szCs w:val="20"/>
                <w:color w:val="auto"/>
              </w:rPr>
            </w:pPr>
            <w:r>
              <w:rPr>
                <w:rFonts w:ascii="Arial" w:cs="Arial" w:eastAsia="Arial" w:hAnsi="Arial"/>
                <w:sz w:val="14"/>
                <w:szCs w:val="14"/>
                <w:b w:val="1"/>
                <w:bCs w:val="1"/>
                <w:color w:val="auto"/>
              </w:rPr>
              <w:t>Location in</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as of March</w:t>
            </w: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Balance as of March</w:t>
            </w: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w:t>
            </w: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28, 2015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29, 2014</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9,740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3,824</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1,255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vMerge w:val="restart"/>
          </w:tcPr>
          <w:p>
            <w:pPr>
              <w:ind w:left="2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3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fiscal years ended March 28, 2015 and March 29, 2014,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March 28, 2015 and March 29,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Quoted Market Prices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 of March 28, 2015</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20" w:type="dxa"/>
            <w:vAlign w:val="bottom"/>
          </w:tcPr>
          <w:p>
            <w:pPr>
              <w:spacing w:after="0"/>
              <w:rPr>
                <w:sz w:val="12"/>
                <w:szCs w:val="12"/>
                <w:color w:val="auto"/>
              </w:rPr>
            </w:pPr>
          </w:p>
        </w:tc>
        <w:tc>
          <w:tcPr>
            <w:tcW w:w="12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119,946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119,946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9,740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129,686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hedge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2,658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4,727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7,385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77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Quoted Market Prices</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As of March 29, 2014</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220" w:type="dxa"/>
            <w:vAlign w:val="bottom"/>
          </w:tcPr>
          <w:p>
            <w:pPr>
              <w:spacing w:after="0"/>
              <w:rPr>
                <w:sz w:val="12"/>
                <w:szCs w:val="12"/>
                <w:color w:val="auto"/>
              </w:rPr>
            </w:pPr>
          </w:p>
        </w:tc>
        <w:tc>
          <w:tcPr>
            <w:tcW w:w="12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1"/>
              </w:rPr>
              <w:t>(In thousands)</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1"/>
              </w:rPr>
              <w:t>(In thousands)</w:t>
            </w: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1"/>
              </w:rPr>
              <w:t>(In thousands)</w:t>
            </w:r>
          </w:p>
        </w:tc>
        <w:tc>
          <w:tcPr>
            <w:tcW w:w="220" w:type="dxa"/>
            <w:vAlign w:val="bottom"/>
          </w:tcPr>
          <w:p>
            <w:pPr>
              <w:spacing w:after="0"/>
              <w:rPr>
                <w:sz w:val="21"/>
                <w:szCs w:val="21"/>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135,378</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Forward currency hedge contracts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135,378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3,824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139,202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Forward currency hedge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1,255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7,645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8,900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fiscal years ended March 28, 2015 and March 29, 2014, non-designated foreign currency hedge contracts were not significant and are not disclosed separately in the above tables.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 description of the methods used to determine the fair value of the Level 3 liabilities is included within Note 3, Acquisitions. The table below provides a reconciliation of the beginning and ending Level 3 liabilities for the year ended March 28,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Fair value measurements using</w:t>
            </w:r>
          </w:p>
        </w:tc>
      </w:tr>
      <w:tr>
        <w:trPr>
          <w:trHeight w:val="149"/>
        </w:trPr>
        <w:tc>
          <w:tcPr>
            <w:tcW w:w="9360" w:type="dxa"/>
            <w:vAlign w:val="bottom"/>
          </w:tcPr>
          <w:p>
            <w:pPr>
              <w:spacing w:after="0"/>
              <w:rPr>
                <w:sz w:val="12"/>
                <w:szCs w:val="12"/>
                <w:color w:val="auto"/>
              </w:rPr>
            </w:pP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significant unobservable inputs</w:t>
            </w:r>
          </w:p>
        </w:tc>
      </w:tr>
      <w:tr>
        <w:trPr>
          <w:trHeight w:val="19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4"/>
              </w:rPr>
              <w:t>(Level 3)</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March 29, 2014</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adjustment</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4,727</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adjustment to contingent consideration was a result of updated assumptions pertaining to timing and unit volumes.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Term Loan is carried at amortized cost and accounts receivable and accounts payable are also reported at their cost which approximates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 AND 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 2015</w:t>
            </w:r>
          </w:p>
        </w:tc>
        <w:tc>
          <w:tcPr>
            <w:tcW w:w="320" w:type="dxa"/>
            <w:vAlign w:val="bottom"/>
          </w:tcPr>
          <w:p>
            <w:pPr>
              <w:spacing w:after="0"/>
              <w:rPr>
                <w:sz w:val="16"/>
                <w:szCs w:val="16"/>
                <w:color w:val="auto"/>
              </w:rPr>
            </w:pPr>
          </w:p>
        </w:tc>
        <w:tc>
          <w:tcPr>
            <w:tcW w:w="162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435,338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 estate mortgage</w:t>
            </w: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1,906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loans and other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(45,630)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406,369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392,057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1, 2012 in connection with the acquisition of the whole blood business, we entered into a credit agreement ("Credit Agreement") with certain lenders (together, “Lenders”) which provided for a $475.0 million term loan and a $50.0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revolving loan (the “Revolving Credit Facility”), and together with the Term Loan, (the “Credit Facilities”). The Credit Facilities had a term of five years and matured on August 1, 2017.</w:t>
      </w:r>
    </w:p>
    <w:p>
      <w:pPr>
        <w:spacing w:after="0" w:line="170"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The terms of the Credit Agreement also allow the Company to borrow in multiple tranches. The Company currently borrows in four tranches.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closing, we borrowed the Term Loan and used the proceeds to pay Pall for the acquisition of the assets described in Note 3. Interest for the Credit Facilities was based on Adjusted LIBOR plus a range of 1.125% to 1.500% depending on the achievement of leverage ratios and customary credit terms which included financial and negative covenants. Revolving loans may be borrowed, repaid and re-borrowed to fund our working capital needs and for other general corporate purposes. The current margin of the Term Loan is 1.375% over Adjusted LIBOR and our effective interest rate inclusive of prepaid financing costs and other fees was approximately 2.0% as of March 28, 2015. The Term Loan or portions thereof may be prepaid at any time, or from time to time without penalty. Once repaid, such amount may not be re-borrowed.</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to 1.500% depending on certain conditions. At March 28, 2015, $379.4 million was outstanding under the Term Loan and $50.0 million was outstanding on the Revolving Credit Facility, both with an interest rate of 1.5625%. No additional amounts were borrowed as a result of this modification. The fair value of debt approximates its current value of approximately $429.4 million as of March 28, 2015.</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March 28, 2015, we were in compliance with the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fee</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Pursuant to the Credit Agreement we are required to pay the Lenders,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0.250%.</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interest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Expenses associated with the issuance of the Term Loan were capitalized and are amortized as additional interest expense over the five years using the effective interest method. In connection with the Term Loan, we initially recorded deferred financing costs of $5.5 million and we recorded additional deferred financing costs of $1.0 million in connection with the June 30, 2014 modification, of which $2.6 million remains as a debt discount. The debt discount is netted against the $429.4 million balance, resulting in a net note payable of $426.8 million. The debt discount will also be amortized as additional interest expense over the life of the term loan.</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Interest expense was $8.5 million and $8.9 million for the fiscal years ended March 28, 2015 and March 29, 2014, respectively. Accrued interest associated with our outstanding debt is included as a component of accrued expenses and other current liabilities in the accompanying consolidated balance sheets. As of March 28, 2015, accrued interest totaled $0.6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 Facilities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other debt as of March 28, 2015 includes the real estate mortgage loan of $0.9 million and short term bank borrowings of $0.2 million under operating lines of credit.</w:t>
      </w:r>
    </w:p>
    <w:p>
      <w:pPr>
        <w:spacing w:after="0" w:line="7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Mortgage Agreement provides for interest to accrue on the unpaid principal balance at a rate of 8.41% per annum. Borrowings under the Mortgage Agreement, with a carrying value of approximately $0.9 million and $1.9 million as of March 28, 2015 and March 29, 2014, respectively, are secured by the land, building and building improvements at our headquarters and manufacturing facility in the U.S. There are no financial covenants in the terms and conditions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Profile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profile of all gross long-term debt, exclusive of debt discounts, as of March 28, 2015 is presented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Fiscal year </w:t>
            </w:r>
            <w:r>
              <w:rPr>
                <w:rFonts w:ascii="Arial" w:cs="Arial" w:eastAsia="Arial" w:hAnsi="Arial"/>
                <w:sz w:val="14"/>
                <w:szCs w:val="14"/>
                <w:i w:val="1"/>
                <w:iCs w:val="1"/>
                <w:color w:val="auto"/>
              </w:rPr>
              <w:t>(in thousands)</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Mortgage</w:t>
            </w:r>
          </w:p>
        </w:tc>
        <w:tc>
          <w:tcPr>
            <w:tcW w:w="120" w:type="dxa"/>
            <w:vAlign w:val="bottom"/>
          </w:tcPr>
          <w:p>
            <w:pPr>
              <w:spacing w:after="0"/>
              <w:rPr>
                <w:sz w:val="14"/>
                <w:szCs w:val="14"/>
                <w:color w:val="auto"/>
              </w:rPr>
            </w:pPr>
          </w:p>
        </w:tc>
        <w:tc>
          <w:tcPr>
            <w:tcW w:w="11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Credit Facilities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Bank loans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Obligation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other borrowings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6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22,337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2017</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42,748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45,071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2019</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151,763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151,763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168,564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168,564</w:t>
            </w: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48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429,406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430,483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360" w:type="dxa"/>
            <w:vAlign w:val="bottom"/>
            <w:vMerge w:val="restart"/>
          </w:tcPr>
          <w:p>
            <w:pPr>
              <w:jc w:val="right"/>
              <w:ind w:right="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income before provision for income tax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29,</w:t>
            </w:r>
          </w:p>
        </w:tc>
        <w:tc>
          <w:tcPr>
            <w:tcW w:w="260" w:type="dxa"/>
            <w:vAlign w:val="bottom"/>
          </w:tcPr>
          <w:p>
            <w:pPr>
              <w:spacing w:after="0"/>
              <w:rPr>
                <w:sz w:val="14"/>
                <w:szCs w:val="1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48,430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32,537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31,165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36,401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49,897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The income tax provision contains the following components: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29,</w:t>
            </w:r>
          </w:p>
        </w:tc>
        <w:tc>
          <w:tcPr>
            <w:tcW w:w="260" w:type="dxa"/>
            <w:vAlign w:val="bottom"/>
          </w:tcPr>
          <w:p>
            <w:pPr>
              <w:spacing w:after="0"/>
              <w:rPr>
                <w:sz w:val="24"/>
                <w:szCs w:val="24"/>
                <w:color w:val="auto"/>
              </w:rPr>
            </w:pPr>
          </w:p>
        </w:tc>
        <w:tc>
          <w:tcPr>
            <w:tcW w:w="12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11,097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Our subsidiary in Puerto Rico has been granted a fifteen year tax grant which expires in 2027. Our qualification for the tax grant is dependent on the continuation of our manufacturing activities in Puerto Rico. We benefit from a reduced tax rate on our earnings in Puerto Rico under the tax grant.</w:t>
      </w:r>
    </w:p>
    <w:p>
      <w:pPr>
        <w:spacing w:after="0" w:line="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subsidiary in Switzerland operates as a principle company for direct federal tax purposes. Operating under this structure affords our Swiss subsidiary a reduced tax rate in Switzerland. Our Swiss subsidiary also operates under a 10 year tax holiday set to expire in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Hedging</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reserves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1,507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credit carry-forward, net</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2,660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valuation allowance increased by $12.9 million during 2015, primarily due to recording a valuation allowance against domestic deferred tax assets that we have determined are not more-likely-than-not realizable. In determining the need for a valuation allowance, we have assessed the available means of recovering deferred tax assets, including the ability to carryback net operating losses, the existence of reversing temporary differences, the availability of tax planning strategies and available</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6"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sources of future taxable income. We have also considered the ability to implement certain strategies that would, if necessary, be implemented to accelerate taxable income and use expiring deferred tax assets. We believe we are able to support the deferred tax assets recognized as of the end of the year based on all of the available evidence. The worldwide net deferred tax liability as of March 28, 2015 includes deferred tax liabilities related to amortizable goodwill, which are indefinite lived and are not considered to be a source of taxable income. As of March 28, 2015, we maintain a valuation allowance against the portion of our U.S. net deferred tax assets that are not more-likely-than-not realizable and a full valuation allowance against the net deferred tax assets of certain foreign subsidiaries.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March 28, 2015, we have U.S. federal net operating loss carry-forwards of approximately $11.7 million, U.S. state net operating loss carry-forwards of $23.6 million, federal tax credit carry-forwards of $6.4 million and state tax credit carry-forwards of $4.0 million that are available to reduce future taxable income. A portion of the federal net operating losses are subject to an annual limitation due to the ownership change limitations set forth under Internal Revenue Code Sections 382. Certain of the aforementioned amounts have not been recognized because they relate to excess stock based compensation. At March 28, 2015, $1.5 million of the federal net operating loss carry-forwards, $4.0 million of the state net operating loss carry-forwards, none of the federal tax credit carry-forwards and none of the state tax credit carry-forwards relate to excess stock based compensation tax deductions for which the benefit will be recorded to additional paid-in capital when recognized. The federal and state net operating losses begin to expire in 2022 and 2019, respectively. The federal and state tax credits begin to expire in 2023 and 2025, respectively.</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28, 2015, we have foreign net operating losses of approximately $6.6 million that are available to reduce future income. Substantially all of our foreign net operating loss carry-forwards have unlimited carryover periods.</w:t>
      </w:r>
    </w:p>
    <w:p>
      <w:pPr>
        <w:spacing w:after="0" w:line="11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Income taxes have not been provided on the undistributed earnings of foreign subsidiaries of approximately $300.2 million, because such earnings are considered to be indefinitely reinvested in the business. The accumulated earnings in the foreign subsidiaries are primarily utilized to fund working capital requirements as our subsidiaries continue to expand their operations, to service existing debt obligations and to fund future foreign acquisitions. We do not believe it is practicable to estimate the amount of income taxes payable on the earnings that are indefinitely reinvested in foreign operations.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provision from operations differs from tax provision computed at the 35.0% U.S. federal statutory income tax rate due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9"/>
              </w:rPr>
              <w:t>March 28,</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tcPr>
          <w:p>
            <w:pPr>
              <w:jc w:val="center"/>
              <w:ind w:left="333"/>
              <w:spacing w:after="0"/>
              <w:rPr>
                <w:sz w:val="20"/>
                <w:szCs w:val="20"/>
                <w:color w:val="auto"/>
              </w:rPr>
            </w:pPr>
            <w:r>
              <w:rPr>
                <w:rFonts w:ascii="Arial" w:cs="Arial" w:eastAsia="Arial" w:hAnsi="Arial"/>
                <w:sz w:val="14"/>
                <w:szCs w:val="14"/>
                <w:b w:val="1"/>
                <w:bCs w:val="1"/>
                <w:color w:val="auto"/>
                <w:w w:val="99"/>
              </w:rPr>
              <w:t>March 29,</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9"/>
              </w:rPr>
              <w:t>March 30,</w:t>
            </w:r>
          </w:p>
        </w:tc>
        <w:tc>
          <w:tcPr>
            <w:tcW w:w="780" w:type="dxa"/>
            <w:vAlign w:val="bottom"/>
          </w:tcPr>
          <w:p>
            <w:pPr>
              <w:spacing w:after="0"/>
              <w:rPr>
                <w:sz w:val="14"/>
                <w:szCs w:val="14"/>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16"/>
                <w:szCs w:val="16"/>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380" w:type="dxa"/>
            <w:vAlign w:val="bottom"/>
          </w:tcPr>
          <w:p>
            <w:pPr>
              <w:spacing w:after="0"/>
              <w:rPr>
                <w:sz w:val="21"/>
                <w:szCs w:val="21"/>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between U.S. and foreign tax</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Intercompany loan deduction</w:t>
            </w:r>
          </w:p>
        </w:tc>
        <w:tc>
          <w:tcPr>
            <w:tcW w:w="380" w:type="dxa"/>
            <w:vAlign w:val="bottom"/>
          </w:tcPr>
          <w:p>
            <w:pPr>
              <w:spacing w:after="0"/>
              <w:rPr>
                <w:sz w:val="21"/>
                <w:szCs w:val="21"/>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Naked Credit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Income tax provision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14,268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45.8 %</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11,097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22.2 %</w:t>
            </w:r>
          </w:p>
        </w:tc>
      </w:tr>
      <w:tr>
        <w:trPr>
          <w:trHeight w:val="20"/>
        </w:trPr>
        <w:tc>
          <w:tcPr>
            <w:tcW w:w="3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28, 2015, we had $7.1 million of unrecognized tax benefits, of which $2.0 million would impact the effective tax rate, if recognized. As of March 29, 2014, we had $5.6 million of unrecognized tax benefits, all of which would impact the effective tax rate, if recognized. At March 30, 2013, we had $6.9 million of unrecognized tax benefits, of which $6.7 million would impact the effective tax rate, if recognized.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fiscal year ended March 28, 2015 our unrecognized tax benefits were increased by $1.5 million due primarily to tax reserve increases for prior year additions, partially offset by the release of certain previously established reserves in connection with the closure of tax statutes of limitations.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fiscal years ended March 28, 2015, March 29,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30, 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upon positions related to the current year</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1,192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Settlements with taxing authorities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of statute of limitations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7,070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5,604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6,930</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28, 2015 we anticipate that the liability for unrecognized tax benefits for uncertain tax positions could change by up to $0.9 million in the next twelve months, as a result of closure of various statutes of limitations.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historic practice has been and continues to be to recognize interest and penalties related to Federal, state and foreign income tax matters in income tax expense. Approximately $0.7 million and $0.8 million of gross interest and penalties were accrued at March 28, 2015 and March 29, 2014, respectively and is not included in the amounts above. There was a benefit included in tax expense of $0.3 million, zero and $0.1 million for the periods ended March 28, 2015, March 29, 2014 and March 30, 2013, respectively.</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overseas, we are no longer subject to U.S. federal, state and local, or foreign income tax examinations for years before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2028. Facility leases require us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March 28, 2015 are as follows (in thousands):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 Ending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4,780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2,427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and 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11,585</w:t>
            </w:r>
          </w:p>
        </w:tc>
      </w:tr>
      <w:tr>
        <w:trPr>
          <w:trHeight w:val="237"/>
        </w:trPr>
        <w:tc>
          <w:tcPr>
            <w:tcW w:w="99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29,347</w:t>
            </w:r>
          </w:p>
        </w:tc>
      </w:tr>
      <w:tr>
        <w:trPr>
          <w:trHeight w:val="27"/>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in fiscal 2015, 2014, and 2013 was $6.3 million, $7.7 million and $7.0 million, respectively. Some of the Company's operating leases include renewal provisions, escalation clauses and options to purchase the facilities that we lease.</w:t>
      </w:r>
    </w:p>
    <w:p>
      <w:pPr>
        <w:spacing w:after="0" w:line="19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We are presently engaged in various legal actions, and although our ultimate liability cannot be determined at the present time, we believe, based on consultation with counsel, that any such liability will not materially affect our consolidated financial position or our results of operations.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30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22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2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7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March 28, 2015, the total amount of damages claimed by the plaintiffs in these matters is approximately $3.7 million; however, it is not possible at this point in the proceedings to accurately evaluate the likelihood or amount of any potential losses. We may receive other similar claims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CAPITAL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2005 Long-Term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maximum number of shares available for award under the 2005 Incentive Compensation Plan is 15,024,920. The maximum number of shares that may be issued pursuant to incentive stock options may not exceed 500,000. Any shares that are subject to the award of stock options shall be counted against this limit as one (1) share for every one (1) share issued. Any shares that are subject to awards other than stock options shall be counted against this limit as 3.26 shares for every one (1) share granted.</w:t>
      </w:r>
    </w:p>
    <w:p>
      <w:pPr>
        <w:spacing w:after="0" w:line="9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Each award has different terms under the 2005 Incentive Compensation Plan.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The exercise price for options granted under the 2005 Incentive Compensation Plan is determined by the Committee, but in no event shall such exercise price be less than the fair market value of the common stock at the time of the grant. Holders of market stock units are eligible to receive a share of Haemonetics’ stock for each market stock unit based on the performance of the stock through March 31, 2017. If our stock is below a minimum threshold price of $50 per share during the relevant measurement period, the holders receive no market share units. If the stock achieves certain price levels, the holders are eligible to receive up</w:t>
      </w:r>
    </w:p>
    <w:p>
      <w:pPr>
        <w:spacing w:after="0" w:line="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to three times the “target” amount of market share units. As a result, we may issue up to 863,046 shares at a stock price of $85 per share or higher in connection with these grants.</w:t>
      </w:r>
    </w:p>
    <w:p>
      <w:pPr>
        <w:spacing w:after="0" w:line="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March 28, 2015, there were outstanding options to purchase 3,761,666 shares, 357,547 shares of restricted stock outstanding and 287,682 market stock units outstanding under this plan and 999,243 shares available for future grant.</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had a long-term incentive stock option plan and a non-qualified stock option plan, (the “2000 Long-term Incentive Plan”) which permitted the issuance of a maximum of 7,000,000 shares of our common stock pursuant to incentive and non-qualified stock options granted to key employees, officers and directors. The plan was terminated in connection with the adoption of the 2005 Incentive Compensation Plan. The remaining 55,750 options outstanding under this plan were exercised in fiscal 2015 and no further options will be granted under this plan.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6" w:right="2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1,400,000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Stock-based compensation expense of $14.1 million, $13.1 million, and $11.0 million was recognized under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the fiscal year ended March 28, 2015, March 29, 2014, and March 30, 2013, respectively. The related income tax benefit recognized was</w:t>
      </w:r>
      <w:r>
        <w:rPr>
          <w:rFonts w:ascii="Arial" w:cs="Arial" w:eastAsia="Arial" w:hAnsi="Arial"/>
          <w:sz w:val="18"/>
          <w:szCs w:val="18"/>
          <w:i w:val="1"/>
          <w:iCs w:val="1"/>
          <w:color w:val="auto"/>
        </w:rPr>
        <w:t xml:space="preserve"> </w:t>
      </w:r>
      <w:r>
        <w:rPr>
          <w:rFonts w:ascii="Arial" w:cs="Arial" w:eastAsia="Arial" w:hAnsi="Arial"/>
          <w:sz w:val="18"/>
          <w:szCs w:val="18"/>
          <w:color w:val="auto"/>
        </w:rPr>
        <w:t>$4.5 million, $4.3 million, and $3.5 million for the fiscal year ended March 28, 2015, March 29, 2014, and March 30, 2013, respectively. We recognize stock-based compensation on a straight line basis.</w:t>
      </w:r>
    </w:p>
    <w:p>
      <w:pPr>
        <w:spacing w:after="0" w:line="9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ASC Topic 718 requires that cash flows relating to the benefits of tax deductions in excess of stock compensation cost recognized be reported as a financing cash flow, rather than as an operating cash flow. This excess tax benefit was $1.6 million, $2.4 million, and $4.1 million for the fiscal year ended March 28, 2015, March 29, 2014, and March 30, 2013,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28, 2015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29, 2014</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3,834,372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592,024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(164,627)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28, 2015</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3,761,666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33.90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37,067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28, 2015</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2,281,022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28, 2015</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3,596,493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36,066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$5.6 million, $11.7 million, and $20.9 million during fiscal 2015, 2014, and 2013, respectively.</w:t>
      </w:r>
    </w:p>
    <w:p>
      <w:pPr>
        <w:spacing w:after="0" w:line="13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28, 2015, there was $9.2 million of total unrecognized compensation cost related to non-vested stock options. This cost is expected to be recognized over a weighted average period of 2.37 years.</w:t>
      </w:r>
    </w:p>
    <w:p>
      <w:pPr>
        <w:spacing w:after="0" w:line="7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utilized for option grants during the periods presented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28,</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29,</w:t>
            </w: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weighted average grant date fair value of options to purchase one share granted during 2015, 2014, and 2013 was approximately $7.91, $10.15, and $9.76, respectively.</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applied, based on an analysis of our historical forfeitures, an annual forfeiture rate of 8% to all unvested stock options as of March 28, 2015 and March 29, 2014, which represents the portion that we expect will be forfeited each year over the vesting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28,</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29,</w:t>
            </w:r>
          </w:p>
        </w:tc>
        <w:tc>
          <w:tcPr>
            <w:tcW w:w="154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(months)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$7.09, $8.25, and $8.50 during fiscal 2015, 2014, and 2013,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 Restricted Stock Units and Market Stock Units</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22, 2014, the Company issued a new type of equity award under its 2005 Incentive Compensation Plan, Performance Share Units, with a target award level of 129,130 shares for 14 senior executives.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value of these Performance Share Units is based upon the Company’s total shareholder return for the period from October 1, 2014 to their vesting date of September 30, 2017 relative to the total shareholder return of the companies comprising the Standard &amp; Poor's Health Care Equipment Index (the "Index"). These awards are conditioned upon the employees’ continued employment with the Company through the vesting date. If an employee is no longer employed by the Company at the vesting date as a result of a Qualifying Retirement, then the continued employment requirement shall cease to apply and prorated shares awarded will be determined as of the vesting date.</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shareholder return is equal to the appreciation of the share price during a performance period, plus any dividends paid on the applicable company’s common stock. Relative total shareholder return compares the company's total shareholder return to the Index.</w:t>
      </w:r>
    </w:p>
    <w:p>
      <w:pPr>
        <w:spacing w:after="0" w:line="7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actual number of shares awarded under a Performance Share Unit may range from 0% to a maximum of 200% of the target award depending upon the Company’s relative total shareholder return. If the Company’s total shareholder return for the performance period is negative, then any share payout will be capped at 100% of the target award, regardless of the Company's performance relative to the Index.</w:t>
      </w:r>
    </w:p>
    <w:p>
      <w:pPr>
        <w:spacing w:after="0" w:line="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Grant date fair values for the Performance Share Units were estimated using a Monte Carlo Simulation of the Company's and the Index's stock price correlation over three-year time horizons matching the Performance Share Units performance period with a risk free rate of 0.78%, volatility of 20% and 12 months of dividend history.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estimated fair value, potential shares to be awarded, recognized compensation expense and future compensation expense to be recognized, including estimated forfeitures, for Performance Share Unit awards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3"/>
          </w:tcPr>
          <w:p>
            <w:pPr>
              <w:jc w:val="right"/>
              <w:ind w:right="304"/>
              <w:spacing w:after="0"/>
              <w:rPr>
                <w:sz w:val="20"/>
                <w:szCs w:val="20"/>
                <w:color w:val="auto"/>
              </w:rPr>
            </w:pPr>
            <w:r>
              <w:rPr>
                <w:rFonts w:ascii="Arial" w:cs="Arial" w:eastAsia="Arial" w:hAnsi="Arial"/>
                <w:sz w:val="14"/>
                <w:szCs w:val="14"/>
                <w:b w:val="1"/>
                <w:bCs w:val="1"/>
                <w:color w:val="auto"/>
              </w:rPr>
              <w:t>For Year Ended March 28, 2015</w:t>
            </w: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1860" w:type="dxa"/>
            <w:vAlign w:val="bottom"/>
            <w:gridSpan w:val="2"/>
            <w:vMerge w:val="restart"/>
          </w:tcPr>
          <w:p>
            <w:pPr>
              <w:jc w:val="center"/>
              <w:ind w:left="402"/>
              <w:spacing w:after="0"/>
              <w:rPr>
                <w:sz w:val="20"/>
                <w:szCs w:val="20"/>
                <w:color w:val="auto"/>
              </w:rPr>
            </w:pPr>
            <w:r>
              <w:rPr>
                <w:rFonts w:ascii="Arial" w:cs="Arial" w:eastAsia="Arial" w:hAnsi="Arial"/>
                <w:sz w:val="14"/>
                <w:szCs w:val="14"/>
                <w:b w:val="1"/>
                <w:bCs w:val="1"/>
                <w:color w:val="auto"/>
                <w:w w:val="94"/>
              </w:rPr>
              <w:t>Award Fair Value as</w:t>
            </w:r>
          </w:p>
        </w:tc>
        <w:tc>
          <w:tcPr>
            <w:tcW w:w="200" w:type="dxa"/>
            <w:vAlign w:val="bottom"/>
          </w:tcPr>
          <w:p>
            <w:pPr>
              <w:spacing w:after="0"/>
              <w:rPr>
                <w:sz w:val="14"/>
                <w:szCs w:val="14"/>
                <w:color w:val="auto"/>
              </w:rPr>
            </w:pPr>
          </w:p>
        </w:tc>
        <w:tc>
          <w:tcPr>
            <w:tcW w:w="1140" w:type="dxa"/>
            <w:vAlign w:val="bottom"/>
          </w:tcPr>
          <w:p>
            <w:pPr>
              <w:jc w:val="center"/>
              <w:ind w:right="85"/>
              <w:spacing w:after="0"/>
              <w:rPr>
                <w:sz w:val="20"/>
                <w:szCs w:val="20"/>
                <w:color w:val="auto"/>
              </w:rPr>
            </w:pPr>
            <w:r>
              <w:rPr>
                <w:rFonts w:ascii="Arial" w:cs="Arial" w:eastAsia="Arial" w:hAnsi="Arial"/>
                <w:sz w:val="14"/>
                <w:szCs w:val="14"/>
                <w:b w:val="1"/>
                <w:bCs w:val="1"/>
                <w:color w:val="auto"/>
                <w:w w:val="89"/>
              </w:rPr>
              <w:t>Recognized</w:t>
            </w:r>
          </w:p>
        </w:tc>
        <w:tc>
          <w:tcPr>
            <w:tcW w:w="220" w:type="dxa"/>
            <w:vAlign w:val="bottom"/>
          </w:tcPr>
          <w:p>
            <w:pPr>
              <w:spacing w:after="0"/>
              <w:rPr>
                <w:sz w:val="14"/>
                <w:szCs w:val="14"/>
                <w:color w:val="auto"/>
              </w:rPr>
            </w:pPr>
          </w:p>
        </w:tc>
        <w:tc>
          <w:tcPr>
            <w:tcW w:w="120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Unrecognized</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2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86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w w:val="92"/>
              </w:rPr>
              <w:t>of October 22, 2014</w:t>
            </w:r>
          </w:p>
        </w:tc>
        <w:tc>
          <w:tcPr>
            <w:tcW w:w="200" w:type="dxa"/>
            <w:vAlign w:val="bottom"/>
          </w:tcPr>
          <w:p>
            <w:pPr>
              <w:spacing w:after="0"/>
              <w:rPr>
                <w:sz w:val="16"/>
                <w:szCs w:val="16"/>
                <w:color w:val="auto"/>
              </w:rPr>
            </w:pPr>
          </w:p>
        </w:tc>
        <w:tc>
          <w:tcPr>
            <w:tcW w:w="1140" w:type="dxa"/>
            <w:vAlign w:val="bottom"/>
          </w:tcPr>
          <w:p>
            <w:pPr>
              <w:jc w:val="center"/>
              <w:ind w:right="65"/>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6"/>
                <w:szCs w:val="16"/>
                <w:color w:val="auto"/>
              </w:rPr>
            </w:pPr>
          </w:p>
        </w:tc>
        <w:tc>
          <w:tcPr>
            <w:tcW w:w="120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Expense</w:t>
            </w: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Performance Period</w:t>
            </w: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i w:val="1"/>
                <w:iCs w:val="1"/>
                <w:color w:val="auto"/>
                <w:w w:val="94"/>
              </w:rPr>
              <w:t>(Per share)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i w:val="1"/>
                <w:iCs w:val="1"/>
                <w:color w:val="auto"/>
                <w:w w:val="93"/>
              </w:rPr>
              <w:t>(In thousands)</w:t>
            </w: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Minimum Shares</w:t>
            </w: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Target Shares</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Maximum Shares</w:t>
            </w:r>
          </w:p>
        </w:tc>
        <w:tc>
          <w:tcPr>
            <w:tcW w:w="0" w:type="dxa"/>
            <w:vAlign w:val="bottom"/>
          </w:tcPr>
          <w:p>
            <w:pPr>
              <w:spacing w:after="0"/>
              <w:rPr>
                <w:sz w:val="1"/>
                <w:szCs w:val="1"/>
                <w:color w:val="auto"/>
              </w:rPr>
            </w:pPr>
          </w:p>
        </w:tc>
      </w:tr>
      <w:tr>
        <w:trPr>
          <w:trHeight w:val="243"/>
        </w:trPr>
        <w:tc>
          <w:tcPr>
            <w:tcW w:w="2740" w:type="dxa"/>
            <w:vAlign w:val="bottom"/>
            <w:shd w:val="clear" w:color="auto" w:fill="BFE4FF"/>
          </w:tcPr>
          <w:p>
            <w:pPr>
              <w:ind w:left="180"/>
              <w:spacing w:after="0"/>
              <w:rPr>
                <w:sz w:val="20"/>
                <w:szCs w:val="20"/>
                <w:color w:val="auto"/>
              </w:rPr>
            </w:pPr>
            <w:r>
              <w:rPr>
                <w:rFonts w:ascii="Arial" w:cs="Arial" w:eastAsia="Arial" w:hAnsi="Arial"/>
                <w:sz w:val="18"/>
                <w:szCs w:val="18"/>
                <w:color w:val="auto"/>
              </w:rPr>
              <w:t>Oct 1, 2014 - Sept 30, 2017</w:t>
            </w:r>
          </w:p>
        </w:tc>
        <w:tc>
          <w:tcPr>
            <w:tcW w:w="720" w:type="dxa"/>
            <w:vAlign w:val="bottom"/>
            <w:shd w:val="clear" w:color="auto" w:fill="BFE4FF"/>
          </w:tcPr>
          <w:p>
            <w:pPr>
              <w:jc w:val="right"/>
              <w:ind w:right="62"/>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19"/>
              <w:spacing w:after="0"/>
              <w:rPr>
                <w:sz w:val="20"/>
                <w:szCs w:val="20"/>
                <w:color w:val="auto"/>
              </w:rPr>
            </w:pPr>
            <w:r>
              <w:rPr>
                <w:rFonts w:ascii="Arial" w:cs="Arial" w:eastAsia="Arial" w:hAnsi="Arial"/>
                <w:sz w:val="18"/>
                <w:szCs w:val="18"/>
                <w:color w:val="auto"/>
              </w:rPr>
              <w:t>35.09</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BFE4FF"/>
          </w:tcPr>
          <w:p>
            <w:pPr>
              <w:jc w:val="right"/>
              <w:ind w:right="5"/>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FE4FF"/>
          </w:tcPr>
          <w:p>
            <w:pPr>
              <w:jc w:val="right"/>
              <w:ind w:right="44"/>
              <w:spacing w:after="0"/>
              <w:rPr>
                <w:sz w:val="20"/>
                <w:szCs w:val="20"/>
                <w:color w:val="auto"/>
              </w:rPr>
            </w:pPr>
            <w:r>
              <w:rPr>
                <w:rFonts w:ascii="Arial" w:cs="Arial" w:eastAsia="Arial" w:hAnsi="Arial"/>
                <w:sz w:val="18"/>
                <w:szCs w:val="18"/>
                <w:color w:val="auto"/>
              </w:rPr>
              <w:t>3,869</w:t>
            </w:r>
          </w:p>
        </w:tc>
        <w:tc>
          <w:tcPr>
            <w:tcW w:w="1400" w:type="dxa"/>
            <w:vAlign w:val="bottom"/>
            <w:shd w:val="clear" w:color="auto" w:fill="BFE4FF"/>
          </w:tcPr>
          <w:p>
            <w:pPr>
              <w:ind w:left="10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FE4FF"/>
          </w:tcPr>
          <w:p>
            <w:pPr>
              <w:jc w:val="right"/>
              <w:ind w:right="19"/>
              <w:spacing w:after="0"/>
              <w:rPr>
                <w:sz w:val="20"/>
                <w:szCs w:val="20"/>
                <w:color w:val="auto"/>
              </w:rPr>
            </w:pPr>
            <w:r>
              <w:rPr>
                <w:rFonts w:ascii="Arial" w:cs="Arial" w:eastAsia="Arial" w:hAnsi="Arial"/>
                <w:sz w:val="18"/>
                <w:szCs w:val="18"/>
                <w:color w:val="auto"/>
              </w:rPr>
              <w:t>129,130</w:t>
            </w:r>
          </w:p>
        </w:tc>
        <w:tc>
          <w:tcPr>
            <w:tcW w:w="1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258,260</w:t>
            </w:r>
          </w:p>
        </w:tc>
        <w:tc>
          <w:tcPr>
            <w:tcW w:w="0" w:type="dxa"/>
            <w:vAlign w:val="bottom"/>
          </w:tcPr>
          <w:p>
            <w:pPr>
              <w:spacing w:after="0"/>
              <w:rPr>
                <w:sz w:val="1"/>
                <w:szCs w:val="1"/>
                <w:color w:val="auto"/>
              </w:rPr>
            </w:pPr>
          </w:p>
        </w:tc>
      </w:tr>
      <w:tr>
        <w:trPr>
          <w:trHeight w:val="27"/>
        </w:trPr>
        <w:tc>
          <w:tcPr>
            <w:tcW w:w="2740" w:type="dxa"/>
            <w:vAlign w:val="bottom"/>
            <w:shd w:val="clear" w:color="auto" w:fill="BFE4FF"/>
          </w:tcPr>
          <w:p>
            <w:pPr>
              <w:spacing w:after="0"/>
              <w:rPr>
                <w:sz w:val="2"/>
                <w:szCs w:val="2"/>
                <w:color w:val="auto"/>
              </w:rPr>
            </w:pPr>
          </w:p>
        </w:tc>
        <w:tc>
          <w:tcPr>
            <w:tcW w:w="72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400" w:type="dxa"/>
            <w:vAlign w:val="bottom"/>
            <w:shd w:val="clear" w:color="auto" w:fill="BFE4FF"/>
          </w:tcPr>
          <w:p>
            <w:pPr>
              <w:spacing w:after="0"/>
              <w:rPr>
                <w:sz w:val="2"/>
                <w:szCs w:val="2"/>
                <w:color w:val="auto"/>
              </w:rPr>
            </w:pPr>
          </w:p>
        </w:tc>
        <w:tc>
          <w:tcPr>
            <w:tcW w:w="1360" w:type="dxa"/>
            <w:vAlign w:val="bottom"/>
            <w:shd w:val="clear" w:color="auto" w:fill="BFE4FF"/>
          </w:tcPr>
          <w:p>
            <w:pPr>
              <w:spacing w:after="0"/>
              <w:rPr>
                <w:sz w:val="2"/>
                <w:szCs w:val="2"/>
                <w:color w:val="auto"/>
              </w:rPr>
            </w:pPr>
          </w:p>
        </w:tc>
        <w:tc>
          <w:tcPr>
            <w:tcW w:w="130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of March 28, 2015, there were 287,682 market stock units outstanding. We determined the fair value of each market stock unit to be $37.42, utilizing a Monte Carlo simulation model based on an expected term of 3.7 years, a risk free rate of 0.9%, volatility of 20% and no dividends. The grant date fair value of these awards totaled $11.2 million and will be expensed evenly over the 3.7 year period through the cliff-vesting date of March 31, 2017.</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As of March 28, 2015, there was $13.2 million of total unrecognized compensation cost related to non-vested restricted stock units and market stock units.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cost is expected to be recognized over a weighted average period of 2.37 years.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performance stock units, restricted stock units and market stock units activity for the fiscal year ended March 28, 2015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at Grant Date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29, 2014</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599,673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Awarded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351,666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(66,932)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March 28, 2015</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774,359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36.70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 (“EPS”)</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38,800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51,349</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0.76</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38,800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910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52,259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Diluted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0.74</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Weighted average shares outstanding, assuming dilution, excludes the impact of 1.6 million, 1.1 million and 0.5 million stock options for fiscal years 2015, 2014 and 2013, respectively, because these securities were anti-dilutive during the noted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7720" w:firstLine="8"/>
        <w:spacing w:after="0" w:line="453" w:lineRule="auto"/>
        <w:tabs>
          <w:tab w:leader="none" w:pos="27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and equipment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28, 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83,439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236,539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111,925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262,784</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731,762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701,855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(430,418)</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321,948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271,437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$52.6 million, $52.6 million, and $43.4 million for fiscal 2015, 2014, and 2013,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$5.8 million in 2015, $6.2 million in 2014, and $4.9 million in 2013. Upon Board approval, additional discretionary contributions can also be made. No discretionary contributions were made for the Savings Plan in fiscal 2015, 2014, or 2013.</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Some of our subsidiaries also have defined contribution plans, to which both the employee and the employer make contributions. The employer contributions to these plans totaled $1.0 million, $0.8 million, and $2.4 million in fiscal 2015, 2014, and 2013,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income on its Statement of Stockholders’ Equity and Comprehensive Income.</w:t>
      </w:r>
    </w:p>
    <w:p>
      <w:pPr>
        <w:spacing w:after="0" w:line="9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our foreign subsidiaries have defined benefit pension plans covering substantially all full time employees at those subsidiaries. Net periodic benefit costs for the plans in the aggregate include the following components: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29,</w:t>
            </w:r>
          </w:p>
        </w:tc>
        <w:tc>
          <w:tcPr>
            <w:tcW w:w="260" w:type="dxa"/>
            <w:vAlign w:val="bottom"/>
          </w:tcPr>
          <w:p>
            <w:pPr>
              <w:spacing w:after="0"/>
              <w:rPr>
                <w:sz w:val="14"/>
                <w:szCs w:val="14"/>
                <w:color w:val="auto"/>
              </w:rPr>
            </w:pPr>
          </w:p>
        </w:tc>
        <w:tc>
          <w:tcPr>
            <w:tcW w:w="1220" w:type="dxa"/>
            <w:vAlign w:val="bottom"/>
          </w:tcPr>
          <w:p>
            <w:pPr>
              <w:jc w:val="center"/>
              <w:ind w:right="192"/>
              <w:spacing w:after="0"/>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(return)/loss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Actuarial loss/(gain)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3,339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3,215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The activity under those defined benefit plans are as follows: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28,</w:t>
            </w:r>
          </w:p>
        </w:tc>
        <w:tc>
          <w:tcPr>
            <w:tcW w:w="260" w:type="dxa"/>
            <w:vAlign w:val="bottom"/>
          </w:tcPr>
          <w:p>
            <w:pPr>
              <w:spacing w:after="0"/>
              <w:rPr>
                <w:sz w:val="24"/>
                <w:szCs w:val="24"/>
                <w:color w:val="auto"/>
              </w:rPr>
            </w:pPr>
          </w:p>
        </w:tc>
        <w:tc>
          <w:tcPr>
            <w:tcW w:w="1220" w:type="dxa"/>
            <w:vAlign w:val="bottom"/>
          </w:tcPr>
          <w:p>
            <w:pPr>
              <w:jc w:val="center"/>
              <w:ind w:right="192"/>
              <w:spacing w:after="0"/>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(30,126)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Actuarial (loss)/gain</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Benefit obligation, end of year</w:t>
            </w: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(40,567)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19,981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Fair value of Plan Assets, end of year</w:t>
            </w: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23,165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19,981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net actuarial loss/(gain)</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initial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One of the benefit plans is funded by benefit payments made by the Company. Accordingly that plan has no assets included in the information presented above. The total liability for this plan was $9.2 million and $7.4 million as of March 28, 2015 and March 29, 2014, respectively.</w:t>
      </w:r>
    </w:p>
    <w:p>
      <w:pPr>
        <w:spacing w:after="0" w:line="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accumulated benefit obligation for all plans was $34.9 million and $30.9 million for the fiscal year ended March 28, 2015 and March 29, 2014, respectively.</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projected benefit obligation, accumulated benefit obligation, and fair value of plan assets for the pension plans with an accumulated benefit obligation in excess of plan assets were $40.6 million, $34.9 million and $23.2 million, respectively, as of</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6" w:right="239" w:bottom="1440" w:gutter="0" w:footer="0" w:header="0"/>
          <w:type w:val="continuous"/>
        </w:sectPr>
      </w:pPr>
    </w:p>
    <w:bookmarkStart w:id="80" w:name="page81"/>
    <w:bookmarkEnd w:id="8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March 28, 2015 and $32.6 million, $30.9 million and $20.0 million, respectively, as of March 29, 2014. There were no plans where the plan assets were greater than the accumulated benefit obligation as of March 28, 2015 and March 29, 2014.</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income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March 31, 2012</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30, 2013</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29, 2014</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28, 2015</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92"/>
              </w:rPr>
              <w:t>We expect to amortize $0.6 million from accumulated other comprehensive loss during 2016.</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8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940" w:type="dxa"/>
            <w:vAlign w:val="bottom"/>
            <w:gridSpan w:val="7"/>
          </w:tcPr>
          <w:p>
            <w:pPr>
              <w:spacing w:after="0"/>
              <w:rPr>
                <w:sz w:val="20"/>
                <w:szCs w:val="20"/>
                <w:color w:val="auto"/>
              </w:rPr>
            </w:pPr>
            <w:r>
              <w:rPr>
                <w:rFonts w:ascii="Arial" w:cs="Arial" w:eastAsia="Arial" w:hAnsi="Arial"/>
                <w:sz w:val="18"/>
                <w:szCs w:val="18"/>
                <w:color w:val="auto"/>
                <w:w w:val="98"/>
              </w:rPr>
              <w:t>The weighted average rates used to determine the net periodic benefit costs and projected benefit obligations were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170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12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 policy for pension plans is to balance risk and return through a diversified portfolio to reduce interest rate and market risk. Maturities are managed so that sufficient liquidity exists to meet immediate and future benefit payment requirements.</w:t>
      </w:r>
    </w:p>
    <w:p>
      <w:pPr>
        <w:spacing w:after="0" w:line="7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guidance for reporting and measuring the plan assets of our defined benefit pension plan at fair value as of March 28, 2015. Using the same three-level valuation hierarchy for disclosure of fair value measurements as described in Note 7, all of the assets of the Company’s plan are classified within Level 2 of the fair value hierarchy because the plan assets are primarily insurance contracts.</w:t>
      </w:r>
    </w:p>
    <w:p>
      <w:pPr>
        <w:spacing w:after="0" w:line="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28, 2015.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benefit payments during the next five years and in the aggregate for the five fiscal years thereafter,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4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2016</w:t>
            </w:r>
          </w:p>
        </w:tc>
        <w:tc>
          <w:tcPr>
            <w:tcW w:w="4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Fiscal Year 2017</w:t>
            </w:r>
          </w:p>
        </w:tc>
        <w:tc>
          <w:tcPr>
            <w:tcW w:w="4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1,654</w:t>
            </w:r>
          </w:p>
        </w:tc>
      </w:tr>
      <w:tr>
        <w:trPr>
          <w:trHeight w:val="27"/>
        </w:trPr>
        <w:tc>
          <w:tcPr>
            <w:tcW w:w="6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2018</w:t>
            </w:r>
          </w:p>
        </w:tc>
        <w:tc>
          <w:tcPr>
            <w:tcW w:w="4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Fiscal Year 2019</w:t>
            </w:r>
          </w:p>
        </w:tc>
        <w:tc>
          <w:tcPr>
            <w:tcW w:w="4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1,610</w:t>
            </w:r>
          </w:p>
        </w:tc>
      </w:tr>
      <w:tr>
        <w:trPr>
          <w:trHeight w:val="27"/>
        </w:trPr>
        <w:tc>
          <w:tcPr>
            <w:tcW w:w="6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2020</w:t>
            </w:r>
          </w:p>
        </w:tc>
        <w:tc>
          <w:tcPr>
            <w:tcW w:w="44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Fiscal Year 2021-2024</w:t>
            </w:r>
          </w:p>
        </w:tc>
        <w:tc>
          <w:tcPr>
            <w:tcW w:w="4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7,493</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contributions for fiscal 2016 are expected to be consistent with the current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225"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manage a global business which designs, manufactures and markets blood management solutions. Our solutions are marketed through operating segments organized primarily on geography: North America Plasma, North America Blood Center and Hospital, Europe, Asia Pacific and Japan.</w:t>
      </w:r>
    </w:p>
    <w:p>
      <w:pPr>
        <w:spacing w:after="0" w:line="12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ASC 280, Segment Reporting, permits the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believes aggregating the operating segments noted above is consistent with the key principles of ASC 280, based on the determination that they are economically similar. The Company believes a single reportable segment is consistent with its basic organizational structure and believes aggregation is consistent with its primary basis for decision making and accordingly does not conflict with the basic principles of ASC 280.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Wide Disclosures About Product and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 targeted to procedures that involve rapid, high volume blood loss such as cardiovascular surgeries),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hemostasis during and after surgery).</w:t>
      </w:r>
    </w:p>
    <w:p>
      <w:pPr>
        <w:spacing w:after="0" w:line="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4"/>
          </w:tcPr>
          <w:p>
            <w:pPr>
              <w:jc w:val="center"/>
              <w:ind w:left="176"/>
              <w:spacing w:after="0"/>
              <w:rPr>
                <w:sz w:val="20"/>
                <w:szCs w:val="20"/>
                <w:color w:val="auto"/>
              </w:rPr>
            </w:pPr>
            <w:r>
              <w:rPr>
                <w:rFonts w:ascii="Arial" w:cs="Arial" w:eastAsia="Arial" w:hAnsi="Arial"/>
                <w:sz w:val="14"/>
                <w:szCs w:val="14"/>
                <w:b w:val="1"/>
                <w:bCs w:val="1"/>
                <w:color w:val="auto"/>
                <w:w w:val="95"/>
              </w:rPr>
              <w:t>March 28,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319,190</w:t>
            </w:r>
          </w:p>
        </w:tc>
        <w:tc>
          <w:tcPr>
            <w:tcW w:w="5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291,895</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152,588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156,643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169,602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143,905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190,698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339,193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389,719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357,771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Hospital disposables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62,540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25,042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42,187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33,302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5"/>
              </w:rPr>
              <w:t>125,043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8"/>
              </w:rPr>
              <w:t>125,220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131,094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783,426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806,834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72,185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70,441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910,373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8"/>
              </w:rPr>
              <w:t>938,509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891,990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3"/>
          </w:tcPr>
          <w:p>
            <w:pPr>
              <w:jc w:val="right"/>
              <w:spacing w:after="0"/>
              <w:rPr>
                <w:sz w:val="20"/>
                <w:szCs w:val="20"/>
                <w:color w:val="auto"/>
              </w:rPr>
            </w:pPr>
            <w:r>
              <w:rPr>
                <w:rFonts w:ascii="Arial" w:cs="Arial" w:eastAsia="Arial" w:hAnsi="Arial"/>
                <w:sz w:val="18"/>
                <w:szCs w:val="18"/>
                <w:b w:val="1"/>
                <w:bCs w:val="1"/>
                <w:color w:val="auto"/>
              </w:rPr>
              <w:t>Enterprise Wide Disclosures About Product and Services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(in thousands)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28, 2015</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Japan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States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America</w:t>
            </w:r>
          </w:p>
        </w:tc>
        <w:tc>
          <w:tcPr>
            <w:tcW w:w="3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87"/>
              </w:rPr>
              <w:t>Asia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494,788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504,405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88,298</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102,095</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215,575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910,373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810,159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240,610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w w:val="97"/>
              </w:rPr>
              <w:t>1,050,769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41,621</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79,084</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313,943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1,485,417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532,187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212,548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744,735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46,857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114,318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915,140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29, 2014</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Japan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States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America</w:t>
            </w:r>
          </w:p>
        </w:tc>
        <w:tc>
          <w:tcPr>
            <w:tcW w:w="3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87"/>
              </w:rPr>
              <w:t>Asia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500,719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510,276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108,679</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94,762</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224,792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938,509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810,409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225,998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w w:val="97"/>
              </w:rPr>
              <w:t>1,036,407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53,207</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53,055</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371,509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1,514,178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34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36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519,396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211,624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731,020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17,269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131,391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891,202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Japan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States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America</w:t>
            </w:r>
          </w:p>
        </w:tc>
        <w:tc>
          <w:tcPr>
            <w:tcW w:w="3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87"/>
              </w:rPr>
              <w:t>Asia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454,874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461,725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120,726</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84,860</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224,679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891,990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830,754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225,849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w w:val="97"/>
              </w:rPr>
              <w:t>1,056,603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44,189</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41,037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320,088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1,461,917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34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36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503,606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209,439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713,045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117,717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851,815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Long-Lived Assets reported above include Goodwill, Intangibles and Net Property, Plant and Equipment.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On an ongoing basis, we review the global economy, the healthcare industry, and the markets in which we compete. From these reviews we identify opportunities to improve efficiencies, enhance commercial capabilities, better align our resources and offer customers better comprehensive solutions. In order to realize these opportunities, from time to time, we undertake restructuring and other initiatives to transform our business.</w:t>
      </w:r>
    </w:p>
    <w:p>
      <w:pPr>
        <w:spacing w:after="0" w:line="14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in Braintree, Massachusetts, (iii) expanding our current facility in Tijuana, Mexico, (iv) engaging Sanmina Corporation as a contract manufacturer to produce certain medical equipment, and</w:t>
      </w:r>
    </w:p>
    <w:p>
      <w:pPr>
        <w:spacing w:after="0" w:line="5" w:lineRule="exact"/>
        <w:rPr>
          <w:sz w:val="20"/>
          <w:szCs w:val="20"/>
          <w:color w:val="auto"/>
        </w:rPr>
      </w:pPr>
    </w:p>
    <w:p>
      <w:pPr>
        <w:ind w:right="18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building a new manufacturing facility in Penang, Malaysia closer to our customers in Asia. See liquidity and capital resources discussion of this MD&amp;A for further discussion of the costs of these activities.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estimate we will incur approximately $45.0 million of restructuring and restructuring related expense and spend approximately $27.0 million to complete these initiatives in fiscal 2016.</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year ended March 28, 2015, we incurred $36.9 million of restructuring and restructuring related charges and paid approximately $42.3 million with approximately $13.3 million payable within the next twelve months. The substantial majority of restructuring expenses have been included as a component of selling, general and administrative expense in the accompanying consolidated statements of income and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restructuring activity for the fiscal year ended March 28, 2015, March 29, 2014, and March 30, 2013,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Balance at March 29,</w:t>
            </w:r>
          </w:p>
        </w:tc>
        <w:tc>
          <w:tcPr>
            <w:tcW w:w="28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Balance at March 28,</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16,393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23,636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36,863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540" w:type="dxa"/>
            <w:vAlign w:val="bottom"/>
          </w:tcPr>
          <w:p>
            <w:pPr>
              <w:spacing w:after="0"/>
              <w:rPr>
                <w:sz w:val="24"/>
                <w:szCs w:val="2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Balance at March 30,</w:t>
            </w:r>
          </w:p>
        </w:tc>
        <w:tc>
          <w:tcPr>
            <w:tcW w:w="280" w:type="dxa"/>
            <w:vAlign w:val="bottom"/>
          </w:tcPr>
          <w:p>
            <w:pPr>
              <w:spacing w:after="0"/>
              <w:rPr>
                <w:sz w:val="24"/>
                <w:szCs w:val="2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Less Non-Cash</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 write down</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49,051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23,636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5"/>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Balance at March 31,</w:t>
            </w:r>
          </w:p>
        </w:tc>
        <w:tc>
          <w:tcPr>
            <w:tcW w:w="300" w:type="dxa"/>
            <w:vAlign w:val="bottom"/>
          </w:tcPr>
          <w:p>
            <w:pPr>
              <w:spacing w:after="0"/>
              <w:rPr>
                <w:sz w:val="14"/>
                <w:szCs w:val="14"/>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Less Non-Cash</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Balance at March 30,</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 down</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10,892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(5,377)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(4,247)</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deployed significant financial resources for these activities. Many of the activities necessary to complete the VCC initiatives include severance and other costs which qualify as restructuring expenses under ASC 420, Exit or Disposal Cost Obligations. We incurred $36.9 million in severance, asset write-offs and other restructuring charges in fiscal 2015. In addition, we also incurred $29.9 million of costs that do not constitute restructuring under ASC 420, which we refer to as "Transformation Costs". These costs consist primarily of expenditures directly related to our transformation activities including program management, integration and product line transfer teams, infrastructure related costs, accelerated depreciation and asset disposals.</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table below presents restructuring and transformation costs recorded in cost of goods sold, research and development, selling, general and administrative expenses and other (expense) income, net in our statements of income and comprehensive income for the periods presented. In fiscal 2015 and 2014, Transformation Costs were primarily related to our VCC initiatives. In fiscal 2013, the majority of our Transformation Costs were related to the integration of the whole blood acquisition.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2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2014</w:t>
            </w:r>
          </w:p>
        </w:tc>
        <w:tc>
          <w:tcPr>
            <w:tcW w:w="200" w:type="dxa"/>
            <w:vAlign w:val="bottom"/>
          </w:tcPr>
          <w:p>
            <w:pPr>
              <w:spacing w:after="0"/>
              <w:rPr>
                <w:sz w:val="24"/>
                <w:szCs w:val="24"/>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30, 2013</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and other costs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Accelerated depreciation</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29,916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61,565</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March 28, 2015</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March 29, 2014</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March 30, 2013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Severance and other employee costs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19,879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31,492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Accelerated depreciation</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36,863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49,051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74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restructuring and transformation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66,779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84,751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72,457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CAPITALIZATION OF SOFTWARE DEVELOPMENT COSTS</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cost of software that is developed or obtained for internal use is accounted for pursuant to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costs capitalized for each project are included in intangible assets in the consolidated financial statements.</w:t>
      </w:r>
    </w:p>
    <w:p>
      <w:pPr>
        <w:spacing w:after="0" w:line="9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capitalized $9.5 million and $6.0 million in software development costs for ongoing initiatives during the fiscal years ended March 28, 2015 and March 29, 2014, respectively. At March 28, 2015 and March 29, 2014, we have a total of $39.7 million and $31.7 million of software costs capitalized, of which $7.9 million and $15.6 million are related to in process software development initiatives, respectively. In connection with these development activities, we capitalized interest of $0.2 million and $0.4 million in fiscal 2015 and 2014, respectively. We amortize capitalized costs when the products are released for sale. During fiscal 2015, $15.7 million of capitalized costs were placed into service, compared to $10.4 million of capitalized costs placed into service during fiscal 2014. Amortization of capitalized software development cost expense was $3.2 million, $1.1 million and $0.9 million for fiscal 2015, 2014 and 2013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18. SUMMARY OF QUARTERLY DATA (UNAUDITED)</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62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2015</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28,</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224,488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227,580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231,827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226,478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108,365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18,260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2014</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241,091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111,412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119,884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121,629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115,440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16,548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16,290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84</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roll-forward of the components of Accumulated Other Comprehensive Income, net of tax, for the years ended March 28,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29, 2014:</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Foreign currency</w:t>
            </w:r>
          </w:p>
        </w:tc>
        <w:tc>
          <w:tcPr>
            <w:tcW w:w="100" w:type="dxa"/>
            <w:vAlign w:val="bottom"/>
            <w:vMerge w:val="restart"/>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Defined benefit plans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30, 2013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Balance as of March 29,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March 28,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(20,512)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7,711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details about the amount reclassified from Accumulated Other Comprehensive Income for the years ended March 28, 2015 and March 29, 2014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Amounts Reclassified from Other</w:t>
            </w:r>
          </w:p>
        </w:tc>
        <w:tc>
          <w:tcPr>
            <w:tcW w:w="2960" w:type="dxa"/>
            <w:vAlign w:val="bottom"/>
          </w:tcPr>
          <w:p>
            <w:pPr>
              <w:ind w:left="920"/>
              <w:spacing w:after="0"/>
              <w:rPr>
                <w:sz w:val="20"/>
                <w:szCs w:val="20"/>
                <w:color w:val="auto"/>
              </w:rPr>
            </w:pPr>
            <w:r>
              <w:rPr>
                <w:rFonts w:ascii="Arial" w:cs="Arial" w:eastAsia="Arial" w:hAnsi="Arial"/>
                <w:sz w:val="14"/>
                <w:szCs w:val="14"/>
                <w:b w:val="1"/>
                <w:bCs w:val="1"/>
                <w:color w:val="auto"/>
              </w:rPr>
              <w:t>Affected Line in the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Comprehensive Income</w:t>
            </w:r>
          </w:p>
        </w:tc>
        <w:tc>
          <w:tcPr>
            <w:tcW w:w="29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152"/>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instruments reclassified to income statement</w:t>
            </w:r>
          </w:p>
        </w:tc>
        <w:tc>
          <w:tcPr>
            <w:tcW w:w="120" w:type="dxa"/>
            <w:vAlign w:val="bottom"/>
          </w:tcPr>
          <w:p>
            <w:pPr>
              <w:spacing w:after="0"/>
              <w:rPr>
                <w:sz w:val="13"/>
                <w:szCs w:val="13"/>
                <w:color w:val="auto"/>
              </w:rPr>
            </w:pPr>
          </w:p>
        </w:tc>
        <w:tc>
          <w:tcPr>
            <w:tcW w:w="13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Year ended March</w:t>
            </w:r>
          </w:p>
        </w:tc>
        <w:tc>
          <w:tcPr>
            <w:tcW w:w="1360" w:type="dxa"/>
            <w:vAlign w:val="bottom"/>
            <w:gridSpan w:val="2"/>
          </w:tcPr>
          <w:p>
            <w:pPr>
              <w:jc w:val="right"/>
              <w:ind w:right="13"/>
              <w:spacing w:after="0" w:line="153" w:lineRule="exact"/>
              <w:rPr>
                <w:sz w:val="20"/>
                <w:szCs w:val="20"/>
                <w:color w:val="auto"/>
              </w:rPr>
            </w:pPr>
            <w:r>
              <w:rPr>
                <w:rFonts w:ascii="Arial" w:cs="Arial" w:eastAsia="Arial" w:hAnsi="Arial"/>
                <w:sz w:val="14"/>
                <w:szCs w:val="14"/>
                <w:b w:val="1"/>
                <w:bCs w:val="1"/>
                <w:color w:val="auto"/>
              </w:rPr>
              <w:t>Year ended March</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57"/>
              <w:spacing w:after="0"/>
              <w:rPr>
                <w:sz w:val="20"/>
                <w:szCs w:val="20"/>
                <w:color w:val="auto"/>
              </w:rPr>
            </w:pPr>
            <w:r>
              <w:rPr>
                <w:rFonts w:ascii="Arial" w:cs="Arial" w:eastAsia="Arial" w:hAnsi="Arial"/>
                <w:sz w:val="14"/>
                <w:szCs w:val="14"/>
                <w:b w:val="1"/>
                <w:bCs w:val="1"/>
                <w:color w:val="auto"/>
              </w:rPr>
              <w:t>28, 2015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29, 2014</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cost of goods sold, other</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8,960</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w:t>
            </w:r>
          </w:p>
        </w:tc>
        <w:tc>
          <w:tcPr>
            <w:tcW w:w="296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of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8,570</w:t>
            </w:r>
          </w:p>
        </w:tc>
        <w:tc>
          <w:tcPr>
            <w:tcW w:w="2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Pension items reclassified to income statement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Realized net loss on pension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29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of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258</w:t>
            </w: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0"/>
        <w:spacing w:after="0" w:line="42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 There has been no change in our internal control over financial reporting during the fiscal year ended March 28, 2015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management assessed the effectiveness of its internal control over financial reporting as of March 28, 2015. In making this assessment, the management used the criteria set forth by the Committee of Sponsoring Organizations of the Treadway Commission (COSO) in Internal Control-Integrated Framework (2013 framework). Based on our assessment we believe that, as of March 28, 2015, the Company’s internal control over financial reporting is effective based on those criteria.</w:t>
      </w:r>
    </w:p>
    <w:p>
      <w:pPr>
        <w:spacing w:after="0" w:line="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130" w:right="29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Haemonetics Corporation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audited Haemonetics Corporation and subsidiaries’ internal control over financial reporting as of March 28, 2015, based on criteria established in Internal Control-Integrated Framework issued by the Committee of Sponsoring Organizations of the Treadway Commission (2013 framework) (the COSO criteria). Haemonetics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our opinion, Haemonetics Corporation and subsidiaries maintained, in all material respects, effective internal control over financial reporting as of March 28, 2015,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Haemonetics Corporation and subsidiaries as of March 28, 2015 and March 29, 2014, and the related consolidated statements of income, comprehensive (loss) income, shareholders’ equity and cash flows for each of the three years in the period ended March 28, 2015 of Haemonetics Corporation and subsidiaries and our report dated May 22,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9" w:right="27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ind w:right="240" w:firstLine="440"/>
        <w:spacing w:after="0" w:line="264" w:lineRule="auto"/>
        <w:tabs>
          <w:tab w:leader="none" w:pos="6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from our Proxy Statement for the Annual Meeting to be held July 21, 2015.</w:t>
      </w:r>
    </w:p>
    <w:p>
      <w:pPr>
        <w:spacing w:after="0" w:line="86" w:lineRule="exact"/>
        <w:rPr>
          <w:rFonts w:ascii="Arial" w:cs="Arial" w:eastAsia="Arial" w:hAnsi="Arial"/>
          <w:sz w:val="18"/>
          <w:szCs w:val="18"/>
          <w:color w:val="auto"/>
        </w:rPr>
      </w:pPr>
    </w:p>
    <w:p>
      <w:pPr>
        <w:ind w:left="620" w:hanging="180"/>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at the end of Part I hereof.</w:t>
      </w:r>
    </w:p>
    <w:p>
      <w:pPr>
        <w:spacing w:after="0" w:line="130" w:lineRule="exact"/>
        <w:rPr>
          <w:rFonts w:ascii="Arial" w:cs="Arial" w:eastAsia="Arial" w:hAnsi="Arial"/>
          <w:sz w:val="18"/>
          <w:szCs w:val="18"/>
          <w:color w:val="auto"/>
        </w:rPr>
      </w:pPr>
    </w:p>
    <w:p>
      <w:pPr>
        <w:ind w:firstLine="440"/>
        <w:spacing w:after="0" w:line="297" w:lineRule="auto"/>
        <w:tabs>
          <w:tab w:leader="none" w:pos="6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balance of the information required by this item, including information concerning our Audit Committee and the Audit Committee Financial Expert and compliance with Item 407(c)(3) of S-K, is incorporated by reference from the Company’s Proxy Statement for the Annual Meeting to be held July 21, 2015.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6"/>
          <w:szCs w:val="16"/>
          <w:u w:val="single" w:color="auto"/>
          <w:color w:val="003399"/>
        </w:rPr>
        <w:t>http://phx.corporate-ir.net/phoenix.zhtml?</w:t>
      </w:r>
      <w:r>
        <w:rPr>
          <w:rFonts w:ascii="Arial" w:cs="Arial" w:eastAsia="Arial" w:hAnsi="Arial"/>
          <w:sz w:val="16"/>
          <w:szCs w:val="16"/>
          <w:color w:val="auto"/>
        </w:rPr>
        <w:t xml:space="preserve"> </w:t>
      </w:r>
      <w:r>
        <w:rPr>
          <w:rFonts w:ascii="Arial" w:cs="Arial" w:eastAsia="Arial" w:hAnsi="Arial"/>
          <w:sz w:val="16"/>
          <w:szCs w:val="16"/>
          <w:u w:val="single" w:color="auto"/>
          <w:color w:val="003399"/>
        </w:rPr>
        <w:t>c=72118&amp;p=irol-IRHome</w:t>
      </w:r>
      <w:r>
        <w:rPr>
          <w:rFonts w:ascii="Arial" w:cs="Arial" w:eastAsia="Arial" w:hAnsi="Arial"/>
          <w:sz w:val="16"/>
          <w:szCs w:val="16"/>
          <w:color w:val="003399"/>
        </w:rPr>
        <w:t xml:space="preserve"> </w:t>
      </w:r>
      <w:r>
        <w:rPr>
          <w:rFonts w:ascii="Arial" w:cs="Arial" w:eastAsia="Arial" w:hAnsi="Arial"/>
          <w:sz w:val="16"/>
          <w:szCs w:val="16"/>
          <w:color w:val="000000"/>
        </w:rPr>
        <w:t>and it is available in print to any shareholder who requests it. Such requests should be directed to our Company’s Secretary.</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21, 2015. Notwithstanding the foregoing, the Compensation Committee Report included within the Proxy Statement is only being “furnished” hereunder and shall not be deemed “filed” for purposes of Section 18 of the Securities and Exchange Act of 1934.</w:t>
      </w:r>
    </w:p>
    <w:p>
      <w:pPr>
        <w:spacing w:after="0" w:line="23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from the Company’s Proxy Statement for the Annual Meeting to be held July 21, 2015.</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21,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30" w:right="27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16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098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250"/>
        </w:trPr>
        <w:tc>
          <w:tcPr>
            <w:tcW w:w="180" w:type="dxa"/>
            <w:vAlign w:val="bottom"/>
          </w:tcPr>
          <w:p>
            <w:pPr>
              <w:spacing w:after="0"/>
              <w:rPr>
                <w:sz w:val="21"/>
                <w:szCs w:val="21"/>
                <w:color w:val="auto"/>
              </w:rPr>
            </w:pPr>
          </w:p>
        </w:tc>
        <w:tc>
          <w:tcPr>
            <w:tcW w:w="2560" w:type="dxa"/>
            <w:vAlign w:val="bottom"/>
            <w:tcBorders>
              <w:top w:val="single" w:sz="8" w:color="0000EE"/>
              <w:bottom w:val="single" w:sz="8" w:color="0000FF"/>
            </w:tcBorders>
            <w:gridSpan w:val="3"/>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Consolidated Statements of Income</w:t>
              </w:r>
            </w:hyperlink>
          </w:p>
        </w:tc>
        <w:tc>
          <w:tcPr>
            <w:tcW w:w="1640" w:type="dxa"/>
            <w:vAlign w:val="bottom"/>
            <w:tcBorders>
              <w:top w:val="single" w:sz="8" w:color="0000EE"/>
            </w:tcBorders>
            <w:gridSpan w:val="6"/>
          </w:tcPr>
          <w:p>
            <w:pPr>
              <w:spacing w:after="0"/>
              <w:rPr>
                <w:sz w:val="21"/>
                <w:szCs w:val="21"/>
                <w:color w:val="auto"/>
              </w:rPr>
            </w:pPr>
          </w:p>
        </w:tc>
        <w:tc>
          <w:tcPr>
            <w:tcW w:w="678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180" w:type="dxa"/>
            <w:vAlign w:val="bottom"/>
          </w:tcPr>
          <w:p>
            <w:pPr>
              <w:spacing w:after="0"/>
              <w:rPr>
                <w:sz w:val="21"/>
                <w:szCs w:val="21"/>
                <w:color w:val="auto"/>
              </w:rPr>
            </w:pPr>
          </w:p>
        </w:tc>
        <w:tc>
          <w:tcPr>
            <w:tcW w:w="10980" w:type="dxa"/>
            <w:vAlign w:val="bottom"/>
            <w:gridSpan w:val="1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Comprehensive Income</w:t>
              </w:r>
            </w:hyperlink>
          </w:p>
        </w:tc>
        <w:tc>
          <w:tcPr>
            <w:tcW w:w="180" w:type="dxa"/>
            <w:vAlign w:val="bottom"/>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180" w:type="dxa"/>
            <w:vAlign w:val="bottom"/>
          </w:tcPr>
          <w:p>
            <w:pPr>
              <w:spacing w:after="0"/>
              <w:rPr>
                <w:sz w:val="21"/>
                <w:szCs w:val="21"/>
                <w:color w:val="auto"/>
              </w:rPr>
            </w:pPr>
          </w:p>
        </w:tc>
        <w:tc>
          <w:tcPr>
            <w:tcW w:w="2080" w:type="dxa"/>
            <w:vAlign w:val="bottom"/>
            <w:tcBorders>
              <w:top w:val="single" w:sz="8" w:color="0000FF"/>
              <w:bottom w:val="single" w:sz="8" w:color="0000EE"/>
            </w:tcBorders>
            <w:gridSpan w:val="2"/>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Balance Sheets</w:t>
              </w:r>
            </w:hyperlink>
          </w:p>
        </w:tc>
        <w:tc>
          <w:tcPr>
            <w:tcW w:w="1640" w:type="dxa"/>
            <w:vAlign w:val="bottom"/>
            <w:tcBorders>
              <w:top w:val="single" w:sz="8" w:color="0000FF"/>
            </w:tcBorders>
            <w:gridSpan w:val="6"/>
          </w:tcPr>
          <w:p>
            <w:pPr>
              <w:spacing w:after="0"/>
              <w:rPr>
                <w:sz w:val="21"/>
                <w:szCs w:val="21"/>
                <w:color w:val="auto"/>
              </w:rPr>
            </w:pPr>
          </w:p>
        </w:tc>
        <w:tc>
          <w:tcPr>
            <w:tcW w:w="726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50"/>
        </w:trPr>
        <w:tc>
          <w:tcPr>
            <w:tcW w:w="180" w:type="dxa"/>
            <w:vAlign w:val="bottom"/>
          </w:tcPr>
          <w:p>
            <w:pPr>
              <w:spacing w:after="0"/>
              <w:rPr>
                <w:sz w:val="21"/>
                <w:szCs w:val="21"/>
                <w:color w:val="auto"/>
              </w:rPr>
            </w:pPr>
          </w:p>
        </w:tc>
        <w:tc>
          <w:tcPr>
            <w:tcW w:w="35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 xml:space="preserve">Consolidated Statements of Stockholders’ </w:t>
              </w:r>
            </w:hyperlink>
            <w:r>
              <w:rPr>
                <w:rFonts w:ascii="Arial" w:cs="Arial" w:eastAsia="Arial" w:hAnsi="Arial"/>
                <w:sz w:val="18"/>
                <w:szCs w:val="18"/>
                <w:color w:val="0000FF"/>
                <w:w w:val="90"/>
              </w:rPr>
              <w:t>Equity</w:t>
            </w:r>
          </w:p>
        </w:tc>
        <w:tc>
          <w:tcPr>
            <w:tcW w:w="74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250"/>
        </w:trPr>
        <w:tc>
          <w:tcPr>
            <w:tcW w:w="180" w:type="dxa"/>
            <w:vAlign w:val="bottom"/>
          </w:tcPr>
          <w:p>
            <w:pPr>
              <w:spacing w:after="0"/>
              <w:rPr>
                <w:sz w:val="21"/>
                <w:szCs w:val="21"/>
                <w:color w:val="auto"/>
              </w:rPr>
            </w:pPr>
          </w:p>
        </w:tc>
        <w:tc>
          <w:tcPr>
            <w:tcW w:w="28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Cash Flows</w:t>
              </w:r>
            </w:hyperlink>
          </w:p>
        </w:tc>
        <w:tc>
          <w:tcPr>
            <w:tcW w:w="812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78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91"/>
        </w:trPr>
        <w:tc>
          <w:tcPr>
            <w:tcW w:w="1116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II Valuation and Qualifying Accounts</w:t>
              </w:r>
            </w:hyperlink>
          </w:p>
        </w:tc>
        <w:tc>
          <w:tcPr>
            <w:tcW w:w="8280" w:type="dxa"/>
            <w:vAlign w:val="bottom"/>
            <w:gridSpan w:val="6"/>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95</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248" w:lineRule="exact"/>
        <w:rPr>
          <w:sz w:val="20"/>
          <w:szCs w:val="20"/>
          <w:color w:val="auto"/>
        </w:rPr>
      </w:pPr>
    </w:p>
    <w:p>
      <w:pPr>
        <w:ind w:left="840" w:hanging="832"/>
        <w:spacing w:after="0"/>
        <w:tabs>
          <w:tab w:leader="none" w:pos="84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beginning at page 91, which is incorporated herein by</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130" w:right="3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2015</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2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71"/>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Brian Concannon</w:t>
            </w: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Brian Concannon</w:t>
            </w:r>
          </w:p>
        </w:tc>
        <w:tc>
          <w:tcPr>
            <w:tcW w:w="50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8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Executive Vice President Business</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Christopher Lindop</w:t>
            </w: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Development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3"/>
              </w:rPr>
              <w:t>Christopher Lindop</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 Susan Hanlon</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Vice President Finance</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Hanlon</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Charles Dockendorff</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Charles Dockendorff</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89"/>
              </w:rPr>
              <w:t>/s/ Susan Bartlett Foote</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Bartlett Foote</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Ronald Gelbman</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Ronald Gelbman</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Pedro Granadillo</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Pedro Granadillo</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7"/>
              </w:rPr>
              <w:t>/s/ Mark Kroll</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rPr>
              <w:t>Mark Kroll</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Richard Meelia</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Richard Meelia</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Ronald Merriman</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2"/>
              </w:rPr>
              <w:t>Ronald Merriman</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Ellen Zane</w:t>
            </w: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ind w:left="111"/>
              <w:spacing w:after="0"/>
              <w:rPr>
                <w:sz w:val="20"/>
                <w:szCs w:val="20"/>
                <w:color w:val="auto"/>
              </w:rPr>
            </w:pPr>
            <w:r>
              <w:rPr>
                <w:rFonts w:ascii="Arial" w:cs="Arial" w:eastAsia="Arial" w:hAnsi="Arial"/>
                <w:sz w:val="18"/>
                <w:szCs w:val="18"/>
                <w:color w:val="auto"/>
                <w:w w:val="93"/>
              </w:rPr>
              <w:t>May 22, 2015</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5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Ellen Zane</w:t>
            </w:r>
          </w:p>
        </w:tc>
        <w:tc>
          <w:tcPr>
            <w:tcW w:w="5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30"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240" w:top="130" w:right="41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2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760" w:type="dxa"/>
            <w:vAlign w:val="bottom"/>
          </w:tcPr>
          <w:p>
            <w:pPr>
              <w:spacing w:after="0"/>
              <w:rPr>
                <w:sz w:val="24"/>
                <w:szCs w:val="24"/>
                <w:color w:val="auto"/>
              </w:rPr>
            </w:pPr>
          </w:p>
        </w:tc>
        <w:tc>
          <w:tcPr>
            <w:tcW w:w="1052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Pro forma Amended and Restated Articles of Organization of the Company reflecting Articles of Amendment dated August 23, 1993 and</w:t>
            </w:r>
          </w:p>
        </w:tc>
      </w:tr>
      <w:tr>
        <w:trPr>
          <w:trHeight w:val="216"/>
        </w:trPr>
        <w:tc>
          <w:tcPr>
            <w:tcW w:w="76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August 21, 2006 (filed as Exhibit 3.1 to the Company's Quarterly Report on Form 10-Q for the Quarter ended December 29, 2012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3B*</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By-Laws of the Company, as amended through January 21, 2015 (filed as Exhibit 99.1 to the Company's Form 8-K dated January 27, 2015).</w:t>
            </w:r>
          </w:p>
        </w:tc>
      </w:tr>
      <w:tr>
        <w:trPr>
          <w:trHeight w:val="783"/>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76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770"/>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dated July 17, 1990 between the Buncher Company and the Company of property in Pittsburgh, Pennsylvania (filed as Exhibit 10K to</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the Company's Form S-1 No. 33-39490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First Amendment to lease dated July 17, 1990, made as of July 17, 1996 between Buncher Company and the Company of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Pittsburgh, Pennsylvania (filed as Exhibit 10AI to the Company's Form 10-Q for the quarter ended December 28, 1996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10C*</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Second Amendment to lease dated July 17, 1990, made as of October 18, 2000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property in Pittsburgh, Pennsylvania (filed as Exhibit 10AG to the Company's Form 10-K for the year ended March 29, 2003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10D*</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Third Amendment to lease dated July 17, 1990, made as of March 23, 2004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10D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10E*</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Fourth Amendment to lease dated July 17, 1990, made as of March 12, 2008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10E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10F*</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10F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10G*</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Pittsburgh, Pennsylvania (filed as Exhibit 10G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Seventh Amendment to lease dated July 17, 1990, made as of March 31, 2011 between Buncher Company and the Company for the property</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in Pittsburgh, Pennsylvania (filed as Exhibit 10H to the Company's Form 10-K for the year ended March 30, 2013 and incorporated herein</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10I*</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property in Pittsburgh, Pennsylvania (filed as Exhibit 10I to the Company's Form 10-K for the year ended March 30, 2013 and incorporated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10J*</w:t>
            </w: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Lease dated February 21, 2000 between BBVA Bancomer Servicios, S.A., as Trustee of the “Submetropoli de Tijuana” Trust and</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Haemonetics Mexico Manufacturing, S. de R.L. de C.V., as successor in interest to Ensatec, S.A. de C.V. with authorization of El Florido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California, S.A. de C.V., for property located in Tijuana, Mexico (filed as Exhibit 10J to the Company's Form 10-K for the year ended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30, 2013 and 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“Submetropoli de Tijuana” Trust Haemonetics Mexico Manufacturing, S. de R.L. de C.V., as successor in interest to Ensatec, S.A. de C.V.,</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9"/>
              </w:rPr>
              <w:t>for property located in Tijuana, Mexico (filed as Exhibit 10K to the Company's Form 10-K for the year ended March 30, 2013 and</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10L*</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Extension to Lease dated February 21, 2000, made as of August 14, 2011 between PROCADEF 1, S.A.P.I. de C.V. and Haemonetics Mexico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Manufacturing, S. de R.L. de C.V., as successor in interest to Ensatec, S.A. de C.V., for property located in Tijuana, Mexico (Spanish to</w:t>
            </w:r>
          </w:p>
        </w:tc>
      </w:tr>
      <w:tr>
        <w:trPr>
          <w:trHeight w:val="216"/>
        </w:trPr>
        <w:tc>
          <w:tcPr>
            <w:tcW w:w="76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English translation filed as Exhibit 10L to the Company's Form 10-K for the year ended March 30, 2013 and incorporated herein by</w:t>
            </w:r>
          </w:p>
        </w:tc>
      </w:tr>
      <w:tr>
        <w:trPr>
          <w:trHeight w:val="230"/>
        </w:trPr>
        <w:tc>
          <w:tcPr>
            <w:tcW w:w="76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320"/>
          </w:cols>
          <w:pgMar w:left="240" w:top="130" w:right="339" w:bottom="1440" w:gutter="0" w:footer="0" w:header="0"/>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20"/>
          </w:cols>
          <w:pgMar w:left="240" w:top="130"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2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10M*</w:t>
            </w:r>
          </w:p>
        </w:tc>
        <w:tc>
          <w:tcPr>
            <w:tcW w:w="10120" w:type="dxa"/>
            <w:vAlign w:val="bottom"/>
          </w:tcPr>
          <w:p>
            <w:pPr>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the “Submetropoli de Tijuana” Trust and Haemonetics Mexico Manufacturing, S. de R.L. de C.V., as successor in interest to Ensatec, S.A.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de C.V., for property located in Tijuana, Mexico (filed as Exhibit 10M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10N*</w:t>
            </w:r>
          </w:p>
        </w:tc>
        <w:tc>
          <w:tcPr>
            <w:tcW w:w="10120" w:type="dxa"/>
            <w:vAlign w:val="bottom"/>
          </w:tcPr>
          <w:p>
            <w:pPr>
              <w:spacing w:after="0"/>
              <w:rPr>
                <w:sz w:val="20"/>
                <w:szCs w:val="20"/>
                <w:color w:val="auto"/>
              </w:rPr>
            </w:pPr>
            <w:r>
              <w:rPr>
                <w:rFonts w:ascii="Arial" w:cs="Arial" w:eastAsia="Arial" w:hAnsi="Arial"/>
                <w:sz w:val="18"/>
                <w:szCs w:val="18"/>
                <w:color w:val="auto"/>
                <w:w w:val="95"/>
              </w:rPr>
              <w:t>Notice of Assignment to Lease dated February 21, 2000, made as of February 23, 2012 between BBVA Bancomer Servicios, S.A., as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4"/>
              </w:rPr>
              <w:t>Trustee of the “Submetropoli de Tijuana” Trust and Haemonetics Mexico Manufacturing, S. de R.L. de C.V., as successor in interest to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Ensatec, S.A. de C.V. for property located in Tijuana, Mexico (Spanish to English translation filed as Exhibit 10N to the Company's Form</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10O*</w:t>
            </w:r>
          </w:p>
        </w:tc>
        <w:tc>
          <w:tcPr>
            <w:tcW w:w="10120" w:type="dxa"/>
            <w:vAlign w:val="bottom"/>
          </w:tcPr>
          <w:p>
            <w:pPr>
              <w:spacing w:after="0"/>
              <w:rPr>
                <w:sz w:val="20"/>
                <w:szCs w:val="20"/>
                <w:color w:val="auto"/>
              </w:rPr>
            </w:pPr>
            <w:r>
              <w:rPr>
                <w:rFonts w:ascii="Arial" w:cs="Arial" w:eastAsia="Arial" w:hAnsi="Arial"/>
                <w:sz w:val="18"/>
                <w:szCs w:val="18"/>
                <w:color w:val="auto"/>
                <w:w w:val="93"/>
              </w:rPr>
              <w:t>Note and Mortgage dated December 12, 2000 between the Company and General Electric Capital Business Asset Funding Corporation</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9"/>
              </w:rPr>
              <w:t>relating to the Braintree facility (filed as Exhibit 10B to the Company's Form 10-Q for the quarter ended December 30, 2000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10P*</w:t>
            </w:r>
          </w:p>
        </w:tc>
        <w:tc>
          <w:tcPr>
            <w:tcW w:w="10120" w:type="dxa"/>
            <w:vAlign w:val="bottom"/>
          </w:tcPr>
          <w:p>
            <w:pPr>
              <w:spacing w:after="0"/>
              <w:rPr>
                <w:sz w:val="20"/>
                <w:szCs w:val="20"/>
                <w:color w:val="auto"/>
              </w:rPr>
            </w:pPr>
            <w:r>
              <w:rPr>
                <w:rFonts w:ascii="Arial" w:cs="Arial" w:eastAsia="Arial" w:hAnsi="Arial"/>
                <w:sz w:val="18"/>
                <w:szCs w:val="18"/>
                <w:color w:val="auto"/>
                <w:w w:val="91"/>
              </w:rPr>
              <w:t>Real Estate Lease Agreement dated November 2, 2002 between Haemonetics Produzione Italia S.r.l. as successor in interest to Pall Italia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6"/>
              </w:rPr>
              <w:t>S.r.l and Tempera Infissi S.r.l for premises located in Ascoli, Italy (Italian to English translation filed as Exhibit 10P to the Company's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10Q*</w:t>
            </w:r>
          </w:p>
        </w:tc>
        <w:tc>
          <w:tcPr>
            <w:tcW w:w="10120" w:type="dxa"/>
            <w:vAlign w:val="bottom"/>
          </w:tcPr>
          <w:p>
            <w:pPr>
              <w:spacing w:after="0"/>
              <w:rPr>
                <w:sz w:val="20"/>
                <w:szCs w:val="20"/>
                <w:color w:val="auto"/>
              </w:rPr>
            </w:pPr>
            <w:r>
              <w:rPr>
                <w:rFonts w:ascii="Arial" w:cs="Arial" w:eastAsia="Arial" w:hAnsi="Arial"/>
                <w:sz w:val="18"/>
                <w:szCs w:val="18"/>
                <w:color w:val="auto"/>
                <w:w w:val="93"/>
              </w:rPr>
              <w:t>Lease dated March 23, 2004 effective July 15, 2004 between Howard Commons Associates, LLC and Haemoscope Corporation for the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property located in Niles, Illinois (filed as Exhibit 10Q to the Company's Form 10-K for the year ended March 30, 2013 and incorporated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10R*</w:t>
            </w:r>
          </w:p>
        </w:tc>
        <w:tc>
          <w:tcPr>
            <w:tcW w:w="10120" w:type="dxa"/>
            <w:vAlign w:val="bottom"/>
          </w:tcPr>
          <w:p>
            <w:pPr>
              <w:spacing w:after="0"/>
              <w:rPr>
                <w:sz w:val="20"/>
                <w:szCs w:val="20"/>
                <w:color w:val="auto"/>
              </w:rPr>
            </w:pPr>
            <w:r>
              <w:rPr>
                <w:rFonts w:ascii="Arial" w:cs="Arial" w:eastAsia="Arial" w:hAnsi="Arial"/>
                <w:sz w:val="18"/>
                <w:szCs w:val="18"/>
                <w:color w:val="auto"/>
                <w:w w:val="90"/>
              </w:rPr>
              <w:t>First Amendment to Lease dated March 23, 2004 effective July 15, 2004, made as of June 10, 2004 between Howard Commons Associates,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LLC and Haemoscope Corporation for the property located in Niles, Illinois (filed as Exhibit 10R to the Company's Form10-K for the year</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10S*</w:t>
            </w:r>
          </w:p>
        </w:tc>
        <w:tc>
          <w:tcPr>
            <w:tcW w:w="10120" w:type="dxa"/>
            <w:vAlign w:val="bottom"/>
          </w:tcPr>
          <w:p>
            <w:pPr>
              <w:spacing w:after="0"/>
              <w:rPr>
                <w:sz w:val="20"/>
                <w:szCs w:val="20"/>
                <w:color w:val="auto"/>
              </w:rPr>
            </w:pPr>
            <w:r>
              <w:rPr>
                <w:rFonts w:ascii="Arial" w:cs="Arial" w:eastAsia="Arial" w:hAnsi="Arial"/>
                <w:sz w:val="18"/>
                <w:szCs w:val="18"/>
                <w:color w:val="auto"/>
                <w:w w:val="93"/>
              </w:rPr>
              <w:t>Second Amendment to Lease dated March 23, 2004 effective July 15, 2004, made as of June 5, 2007 between Cabot II - ILI W02-W03,</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LLC, predecessor-in interest to Howard Commons Associates, LLC and Haemoscope Corporation for the property located in Niles, Illinois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(filed as Exhibit 10S to the 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10T*</w:t>
            </w:r>
          </w:p>
        </w:tc>
        <w:tc>
          <w:tcPr>
            <w:tcW w:w="10120" w:type="dxa"/>
            <w:vAlign w:val="bottom"/>
          </w:tcPr>
          <w:p>
            <w:pPr>
              <w:spacing w:after="0"/>
              <w:rPr>
                <w:sz w:val="20"/>
                <w:szCs w:val="20"/>
                <w:color w:val="auto"/>
              </w:rPr>
            </w:pPr>
            <w:r>
              <w:rPr>
                <w:rFonts w:ascii="Arial" w:cs="Arial" w:eastAsia="Arial" w:hAnsi="Arial"/>
                <w:sz w:val="18"/>
                <w:szCs w:val="18"/>
                <w:color w:val="auto"/>
                <w:w w:val="94"/>
              </w:rPr>
              <w:t>Third Amendment to Lease dated March 23, 2004 effective July 15, 2004, made as of November 19, 2007 between Cabot II - ILI W02-</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5"/>
              </w:rPr>
              <w:t>W03, LLC, Haemoscope Corporation and Huron Acquisition Corporation, a wholly-owned subsidiary of the Company, as successor in</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interest to Haemoscope Corporation for the property located in Niles, Illinois (filed as Exhibit 10T to the Company's Form 10-K for the year</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10U*</w:t>
            </w:r>
          </w:p>
        </w:tc>
        <w:tc>
          <w:tcPr>
            <w:tcW w:w="10120" w:type="dxa"/>
            <w:vAlign w:val="bottom"/>
          </w:tcPr>
          <w:p>
            <w:pPr>
              <w:spacing w:after="0"/>
              <w:rPr>
                <w:sz w:val="20"/>
                <w:szCs w:val="20"/>
                <w:color w:val="auto"/>
              </w:rPr>
            </w:pPr>
            <w:r>
              <w:rPr>
                <w:rFonts w:ascii="Arial" w:cs="Arial" w:eastAsia="Arial" w:hAnsi="Arial"/>
                <w:sz w:val="18"/>
                <w:szCs w:val="18"/>
                <w:color w:val="auto"/>
                <w:w w:val="93"/>
              </w:rPr>
              <w:t>Fourth Amendment to Lease dated March 23, 2004 effective July 15, 2004, made as of December 22, 2010 between Cabot II - ILI W02-</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5"/>
              </w:rPr>
              <w:t>W03, LLC, Haemoscope Corporation and the Company as assignee and New Tenant of the property located in Niles, Illinois (filed as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Exhibit 10U to the 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10V*</w:t>
            </w:r>
          </w:p>
        </w:tc>
        <w:tc>
          <w:tcPr>
            <w:tcW w:w="10120" w:type="dxa"/>
            <w:vAlign w:val="bottom"/>
          </w:tcPr>
          <w:p>
            <w:pPr>
              <w:spacing w:after="0"/>
              <w:rPr>
                <w:sz w:val="20"/>
                <w:szCs w:val="20"/>
                <w:color w:val="auto"/>
              </w:rPr>
            </w:pPr>
            <w:r>
              <w:rPr>
                <w:rFonts w:ascii="Arial" w:cs="Arial" w:eastAsia="Arial" w:hAnsi="Arial"/>
                <w:sz w:val="18"/>
                <w:szCs w:val="18"/>
                <w:color w:val="auto"/>
                <w:w w:val="92"/>
              </w:rPr>
              <w:t>Fifth Amendment to Lease dated March 23, 2004 effective July 15, 2004, made as of July 24, 2012 between Cabot II - ILI W02-W03, LLC</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and the Company of the property located in Niles, Illinois (filed as Exhibit 10V to the Company's10-K for the year ended March 30, 2013</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10W*</w:t>
            </w:r>
          </w:p>
        </w:tc>
        <w:tc>
          <w:tcPr>
            <w:tcW w:w="10120" w:type="dxa"/>
            <w:vAlign w:val="bottom"/>
          </w:tcPr>
          <w:p>
            <w:pPr>
              <w:spacing w:after="0"/>
              <w:rPr>
                <w:sz w:val="20"/>
                <w:szCs w:val="20"/>
                <w:color w:val="auto"/>
              </w:rPr>
            </w:pPr>
            <w:r>
              <w:rPr>
                <w:rFonts w:ascii="Arial" w:cs="Arial" w:eastAsia="Arial" w:hAnsi="Arial"/>
                <w:sz w:val="18"/>
                <w:szCs w:val="18"/>
                <w:color w:val="auto"/>
                <w:w w:val="91"/>
              </w:rPr>
              <w:t>Sixth Amendment to Lease dated March 23, 2004, effective July 15, 2004 made as of May 28, 2013 between Cabot II - ILI W02-W03, LLC</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and the Company of the property located in Niles, Illinois (filed as Exhibit 10A to the Company's Form 10-Q for the quarter ended June 28,</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2014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10X*</w:t>
            </w:r>
          </w:p>
        </w:tc>
        <w:tc>
          <w:tcPr>
            <w:tcW w:w="10120" w:type="dxa"/>
            <w:vAlign w:val="bottom"/>
          </w:tcPr>
          <w:p>
            <w:pPr>
              <w:spacing w:after="0"/>
              <w:rPr>
                <w:sz w:val="20"/>
                <w:szCs w:val="20"/>
                <w:color w:val="auto"/>
              </w:rPr>
            </w:pPr>
            <w:r>
              <w:rPr>
                <w:rFonts w:ascii="Arial" w:cs="Arial" w:eastAsia="Arial" w:hAnsi="Arial"/>
                <w:sz w:val="18"/>
                <w:szCs w:val="18"/>
                <w:color w:val="auto"/>
                <w:w w:val="93"/>
              </w:rPr>
              <w:t>Seventh Amendment to Lease dated March 23, 2004, effective July 15, 2004 made as of May 1, 2014 between Cabot II - ILI W02-W03,</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5"/>
              </w:rPr>
              <w:t>LLC and the Company of the property located in Niles, Illinois (filed as Exhibit 10B to the Company's Form 10-Q for the quarter 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June 28, 2014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10Y*</w:t>
            </w:r>
          </w:p>
        </w:tc>
        <w:tc>
          <w:tcPr>
            <w:tcW w:w="10120" w:type="dxa"/>
            <w:vAlign w:val="bottom"/>
          </w:tcPr>
          <w:p>
            <w:pPr>
              <w:spacing w:after="0"/>
              <w:rPr>
                <w:sz w:val="20"/>
                <w:szCs w:val="20"/>
                <w:color w:val="auto"/>
              </w:rPr>
            </w:pPr>
            <w:r>
              <w:rPr>
                <w:rFonts w:ascii="Arial" w:cs="Arial" w:eastAsia="Arial" w:hAnsi="Arial"/>
                <w:sz w:val="18"/>
                <w:szCs w:val="18"/>
                <w:color w:val="auto"/>
                <w:w w:val="93"/>
              </w:rPr>
              <w:t>Lease Agreement effective December 3, 2007 between Mrs. Blanca Estela Colunga Santelices, by her own right, and Pall Life Sciences</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9"/>
              </w:rPr>
              <w:t>Mexico, S.de R.L. de C.V., for the property located in Tijuana, Mexico (Spanish to English translation filed as Exhibit 10W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10Z*</w:t>
            </w:r>
          </w:p>
        </w:tc>
        <w:tc>
          <w:tcPr>
            <w:tcW w:w="10120" w:type="dxa"/>
            <w:vAlign w:val="bottom"/>
          </w:tcPr>
          <w:p>
            <w:pPr>
              <w:spacing w:after="0"/>
              <w:rPr>
                <w:sz w:val="20"/>
                <w:szCs w:val="20"/>
                <w:color w:val="auto"/>
              </w:rPr>
            </w:pPr>
            <w:r>
              <w:rPr>
                <w:rFonts w:ascii="Arial" w:cs="Arial" w:eastAsia="Arial" w:hAnsi="Arial"/>
                <w:sz w:val="18"/>
                <w:szCs w:val="18"/>
                <w:color w:val="auto"/>
                <w:w w:val="97"/>
              </w:rPr>
              <w:t>Assignment to Lease Agreement effective December 3, 2007, made as of December 2, 2011 between Mrs. Blanca Estela Colunga</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4"/>
              </w:rPr>
              <w:t>Santelices, by her own right, Pall Life Sciences Mexico, S.de R.L. de C.V., (“Assignor”) and Haemonetics Mexico Manufacturing, S. de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R.L. de C.V.as successor in interest to Pall Mexico Manufacturing S. de R.L. de C.V., (“Assignee”) assigned in favor of the property located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6"/>
              </w:rPr>
              <w:t>in Tijuana, Mexico (filed as Exhibit 10X to the Company's Form 10-K for the year ended March 30, 2013 and incorporated herein by</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10AA*</w:t>
            </w:r>
          </w:p>
        </w:tc>
        <w:tc>
          <w:tcPr>
            <w:tcW w:w="1012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1"/>
              </w:rPr>
              <w:t>Manufacturing, S. de R.L. de C.V. as successor in interest to Pall Mexico Manufacturing, S.de R.L. de C.V., and Pall Life Sciences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7"/>
              </w:rPr>
              <w:t>S. de R.L. de C.V., for the property located in Tijuana, Mexico (filed as Exhibit 10Y to the Company's Form 10-K for the year 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March 30, 2013 and incorporated herein by reference).</w:t>
            </w:r>
          </w:p>
        </w:tc>
      </w:tr>
      <w:tr>
        <w:trPr>
          <w:trHeight w:val="486"/>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Pr>
          <w:p>
            <w:pPr>
              <w:ind w:left="444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1300"/>
          </w:cols>
          <w:pgMar w:left="240" w:top="118" w:right="35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2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61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10AB*</w:t>
            </w:r>
          </w:p>
        </w:tc>
        <w:tc>
          <w:tcPr>
            <w:tcW w:w="10140" w:type="dxa"/>
            <w:vAlign w:val="bottom"/>
          </w:tcPr>
          <w:p>
            <w:pPr>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the property located in Tijuana, Mexico (filed as Exhibit 10Z to the Company's Form 10-K for the year ended March 30, 2013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10AC*</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August 20, 2009 between Price Logistics Center Draper One, LLC and the Company for property located in Draper, Utah. (filed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as Exhibit 10AA to the Company's Form 10-K for the year ended March 30,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10AD*</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February 25, 2014 between and among 840 Business Center #2, LLC and Haemonetics Corporation for the property located in</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Mount Juliet, Tennessee (filed as Exhibit 10C to the Company's Form 10-Q for the quarter ended June 28, 2014 and incorporated herein by</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10AE*</w:t>
            </w:r>
          </w:p>
        </w:tc>
        <w:tc>
          <w:tcPr>
            <w:tcW w:w="10140" w:type="dxa"/>
            <w:vAlign w:val="bottom"/>
          </w:tcPr>
          <w:p>
            <w:pPr>
              <w:spacing w:after="0"/>
              <w:rPr>
                <w:sz w:val="20"/>
                <w:szCs w:val="20"/>
                <w:color w:val="auto"/>
              </w:rPr>
            </w:pPr>
            <w:r>
              <w:rPr>
                <w:rFonts w:ascii="Arial" w:cs="Arial" w:eastAsia="Arial" w:hAnsi="Arial"/>
                <w:sz w:val="18"/>
                <w:szCs w:val="18"/>
                <w:color w:val="auto"/>
                <w:w w:val="90"/>
              </w:rPr>
              <w:t>Lease dated September 19, 2013 between the Penang Development Corporation ("Lessor") and Haemonetics Malaysia Sdn Bhd ("Lessee")</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of the property located in Penang, Malaysia (filed as Exhibit 10D to the Company's 10-Q for the quarter ended June 28, 2014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10AF*†</w:t>
            </w:r>
          </w:p>
        </w:tc>
        <w:tc>
          <w:tcPr>
            <w:tcW w:w="10140" w:type="dxa"/>
            <w:vAlign w:val="bottom"/>
          </w:tcPr>
          <w:p>
            <w:pPr>
              <w:spacing w:after="0"/>
              <w:rPr>
                <w:sz w:val="20"/>
                <w:szCs w:val="20"/>
                <w:color w:val="auto"/>
              </w:rPr>
            </w:pPr>
            <w:r>
              <w:rPr>
                <w:rFonts w:ascii="Arial" w:cs="Arial" w:eastAsia="Arial" w:hAnsi="Arial"/>
                <w:sz w:val="18"/>
                <w:szCs w:val="18"/>
                <w:color w:val="auto"/>
                <w:w w:val="92"/>
              </w:rPr>
              <w:t>Pro Forma Haemonetics Corporation 2005 Long-Term Incentive Compensation Plan, reflecting amendments dated July 31, 2008, July 29,</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2009, July 21, 20011, November 30, 2012, July 24, 2013 and January 21, 2014 (filed as Exhibit 10AE to the Company's Form 10-K for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year ended March 29, 2014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10AG*†</w:t>
            </w:r>
          </w:p>
        </w:tc>
        <w:tc>
          <w:tcPr>
            <w:tcW w:w="10140" w:type="dxa"/>
            <w:vAlign w:val="bottom"/>
          </w:tcPr>
          <w:p>
            <w:pPr>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Directors (filed as Exhibit 10.1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10AH*†</w:t>
            </w:r>
          </w:p>
        </w:tc>
        <w:tc>
          <w:tcPr>
            <w:tcW w:w="10140" w:type="dxa"/>
            <w:vAlign w:val="bottom"/>
          </w:tcPr>
          <w:p>
            <w:pPr>
              <w:spacing w:after="0"/>
              <w:rPr>
                <w:sz w:val="20"/>
                <w:szCs w:val="20"/>
                <w:color w:val="auto"/>
              </w:rPr>
            </w:pPr>
            <w:r>
              <w:rPr>
                <w:rFonts w:ascii="Arial" w:cs="Arial" w:eastAsia="Arial" w:hAnsi="Arial"/>
                <w:sz w:val="18"/>
                <w:szCs w:val="18"/>
                <w:color w:val="auto"/>
                <w:w w:val="92"/>
              </w:rPr>
              <w:t>Form of Option Agreement for Non-Qualified stock options for the 2005 Long-Term Incentive Compensation Plan for Employees. (filed as</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Exhibit 10S to the Company's Form 10-K for the year ended March 30, 2010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10AI*†</w:t>
            </w:r>
          </w:p>
        </w:tc>
        <w:tc>
          <w:tcPr>
            <w:tcW w:w="10140" w:type="dxa"/>
            <w:vAlign w:val="bottom"/>
          </w:tcPr>
          <w:p>
            <w:pPr>
              <w:spacing w:after="0"/>
              <w:rPr>
                <w:sz w:val="20"/>
                <w:szCs w:val="20"/>
                <w:color w:val="auto"/>
              </w:rPr>
            </w:pPr>
            <w:r>
              <w:rPr>
                <w:rFonts w:ascii="Arial" w:cs="Arial" w:eastAsia="Arial" w:hAnsi="Arial"/>
                <w:sz w:val="18"/>
                <w:szCs w:val="18"/>
                <w:color w:val="auto"/>
                <w:w w:val="93"/>
              </w:rPr>
              <w:t>Form of Option Agreement for Non-Qualified stock options for the 2005 Long-Term Incentive Compensation Plan for the Chief Executive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Officer (filed as Exhibit 10.3 to the Company's Form 10-Q for the quarter ended October 1, 2005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10AJ*†</w:t>
            </w:r>
          </w:p>
        </w:tc>
        <w:tc>
          <w:tcPr>
            <w:tcW w:w="10140" w:type="dxa"/>
            <w:vAlign w:val="bottom"/>
          </w:tcPr>
          <w:p>
            <w:pPr>
              <w:spacing w:after="0"/>
              <w:rPr>
                <w:sz w:val="20"/>
                <w:szCs w:val="20"/>
                <w:color w:val="auto"/>
              </w:rPr>
            </w:pPr>
            <w:r>
              <w:rPr>
                <w:rFonts w:ascii="Arial" w:cs="Arial" w:eastAsia="Arial" w:hAnsi="Arial"/>
                <w:sz w:val="18"/>
                <w:szCs w:val="18"/>
                <w:color w:val="auto"/>
                <w:w w:val="94"/>
              </w:rPr>
              <w:t>Form of Restricted Stock Agreement with Employees under 2005 Long-Term Incentive Compensation Plan. (filed as Exhibit 10U to the</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Form 10-K for the year ended April 3, 20`0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10AK*†</w:t>
            </w:r>
          </w:p>
        </w:tc>
        <w:tc>
          <w:tcPr>
            <w:tcW w:w="10140" w:type="dxa"/>
            <w:vAlign w:val="bottom"/>
          </w:tcPr>
          <w:p>
            <w:pPr>
              <w:spacing w:after="0"/>
              <w:rPr>
                <w:sz w:val="20"/>
                <w:szCs w:val="20"/>
                <w:color w:val="auto"/>
              </w:rPr>
            </w:pPr>
            <w:r>
              <w:rPr>
                <w:rFonts w:ascii="Arial" w:cs="Arial" w:eastAsia="Arial" w:hAnsi="Arial"/>
                <w:sz w:val="18"/>
                <w:szCs w:val="18"/>
                <w:color w:val="auto"/>
                <w:w w:val="90"/>
              </w:rPr>
              <w:t>Form of Amended and Restated Change in Control Agreement made effective on April 2, 2009 between the Company and Brian Concannon</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as Exhibit 10Y to the Company's Form 10-Q for the quarter ended June 27, 2009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10AL*†</w:t>
            </w:r>
          </w:p>
        </w:tc>
        <w:tc>
          <w:tcPr>
            <w:tcW w:w="10140" w:type="dxa"/>
            <w:vAlign w:val="bottom"/>
          </w:tcPr>
          <w:p>
            <w:pPr>
              <w:spacing w:after="0"/>
              <w:rPr>
                <w:sz w:val="20"/>
                <w:szCs w:val="20"/>
                <w:color w:val="auto"/>
              </w:rPr>
            </w:pPr>
            <w:r>
              <w:rPr>
                <w:rFonts w:ascii="Arial" w:cs="Arial" w:eastAsia="Arial" w:hAnsi="Arial"/>
                <w:sz w:val="18"/>
                <w:szCs w:val="18"/>
                <w:color w:val="auto"/>
                <w:w w:val="93"/>
              </w:rPr>
              <w:t>Form of Market Stock Unit Agreement for the 2005 Long-Term Incentive Compensation Plan (filed as Exhibit 10.3 to the Company's 8-K,</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dated July 26,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10AM*†</w:t>
            </w:r>
          </w:p>
        </w:tc>
        <w:tc>
          <w:tcPr>
            <w:tcW w:w="10140" w:type="dxa"/>
            <w:vAlign w:val="bottom"/>
          </w:tcPr>
          <w:p>
            <w:pPr>
              <w:spacing w:after="0"/>
              <w:rPr>
                <w:sz w:val="20"/>
                <w:szCs w:val="20"/>
                <w:color w:val="auto"/>
              </w:rPr>
            </w:pPr>
            <w:r>
              <w:rPr>
                <w:rFonts w:ascii="Arial" w:cs="Arial" w:eastAsia="Arial" w:hAnsi="Arial"/>
                <w:sz w:val="18"/>
                <w:szCs w:val="18"/>
                <w:color w:val="auto"/>
                <w:w w:val="95"/>
              </w:rPr>
              <w:t>Form of Amended and Restated Change in Control Agreement (filed as exhibit 10AK to the Company's Form 10-K, for the year-ended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March 31, 2013 and 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10AN*†</w:t>
            </w:r>
          </w:p>
        </w:tc>
        <w:tc>
          <w:tcPr>
            <w:tcW w:w="10140" w:type="dxa"/>
            <w:vAlign w:val="bottom"/>
          </w:tcPr>
          <w:p>
            <w:pPr>
              <w:spacing w:after="0"/>
              <w:rPr>
                <w:sz w:val="20"/>
                <w:szCs w:val="20"/>
                <w:color w:val="auto"/>
              </w:rPr>
            </w:pPr>
            <w:r>
              <w:rPr>
                <w:rFonts w:ascii="Arial" w:cs="Arial" w:eastAsia="Arial" w:hAnsi="Arial"/>
                <w:sz w:val="18"/>
                <w:szCs w:val="18"/>
                <w:color w:val="auto"/>
                <w:w w:val="98"/>
              </w:rPr>
              <w:t>2007 Employee Stock Purchase Plan (filed as Exhibit 10AS to the Company's Form 10-K for the year ended March 29, 2008 and</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10AO*†</w:t>
            </w:r>
          </w:p>
        </w:tc>
        <w:tc>
          <w:tcPr>
            <w:tcW w:w="10140" w:type="dxa"/>
            <w:vAlign w:val="bottom"/>
          </w:tcPr>
          <w:p>
            <w:pPr>
              <w:spacing w:after="0"/>
              <w:rPr>
                <w:sz w:val="20"/>
                <w:szCs w:val="20"/>
                <w:color w:val="auto"/>
              </w:rPr>
            </w:pPr>
            <w:r>
              <w:rPr>
                <w:rFonts w:ascii="Arial" w:cs="Arial" w:eastAsia="Arial" w:hAnsi="Arial"/>
                <w:sz w:val="18"/>
                <w:szCs w:val="18"/>
                <w:color w:val="auto"/>
                <w:w w:val="91"/>
              </w:rPr>
              <w:t>Pro Forma Amended and Restated Non-Qualified Deferred Compensation Plan as amended and restated on July 24, 2013 (filed as Exhibit</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10B to the Company's Form 10-Q for the quarter ended September 27, 2014 and incorporated herein by reference).</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10AP†</w:t>
            </w:r>
          </w:p>
        </w:tc>
        <w:tc>
          <w:tcPr>
            <w:tcW w:w="10140" w:type="dxa"/>
            <w:vAlign w:val="bottom"/>
          </w:tcPr>
          <w:p>
            <w:pPr>
              <w:spacing w:after="0"/>
              <w:rPr>
                <w:sz w:val="20"/>
                <w:szCs w:val="20"/>
                <w:color w:val="auto"/>
              </w:rPr>
            </w:pPr>
            <w:r>
              <w:rPr>
                <w:rFonts w:ascii="Arial" w:cs="Arial" w:eastAsia="Arial" w:hAnsi="Arial"/>
                <w:sz w:val="18"/>
                <w:szCs w:val="18"/>
                <w:color w:val="auto"/>
              </w:rPr>
              <w:t>Form of Performance Share Unit Agreement for the 2005 Long-Term Incentive Compensation Plan (filed herewith).</w:t>
            </w:r>
          </w:p>
        </w:tc>
      </w:tr>
      <w:tr>
        <w:trPr>
          <w:trHeight w:val="256"/>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10AQ*</w:t>
            </w:r>
          </w:p>
        </w:tc>
        <w:tc>
          <w:tcPr>
            <w:tcW w:w="10140" w:type="dxa"/>
            <w:vAlign w:val="bottom"/>
          </w:tcPr>
          <w:p>
            <w:pPr>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r>
      <w:tr>
        <w:trPr>
          <w:trHeight w:val="230"/>
        </w:trPr>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to the Company's Form 10-K for the fiscal year ended March 31, 2012 and incorporated herein by reference).</w:t>
            </w: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10AR*</w:t>
            </w:r>
          </w:p>
        </w:tc>
        <w:tc>
          <w:tcPr>
            <w:tcW w:w="10140" w:type="dxa"/>
            <w:vAlign w:val="bottom"/>
          </w:tcPr>
          <w:p>
            <w:pPr>
              <w:spacing w:after="0"/>
              <w:rPr>
                <w:sz w:val="20"/>
                <w:szCs w:val="20"/>
                <w:color w:val="auto"/>
              </w:rPr>
            </w:pPr>
            <w:r>
              <w:rPr>
                <w:rFonts w:ascii="Arial" w:cs="Arial" w:eastAsia="Arial" w:hAnsi="Arial"/>
                <w:sz w:val="18"/>
                <w:szCs w:val="18"/>
                <w:color w:val="auto"/>
                <w:w w:val="92"/>
              </w:rPr>
              <w:t>Credit Agreement dated as of June 30, 2014 among Haemonetics Corporation and the Lenders listed therein and JPMorgan Chase Bank,</w:t>
            </w:r>
          </w:p>
        </w:tc>
      </w:tr>
      <w:tr>
        <w:trPr>
          <w:trHeight w:val="243"/>
        </w:trPr>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N.A. as Administrative Agent (filed as Exhibit 10.1 to the Company's Form 8-K dated July 7, 2014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118" w:right="3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Subsidiary Certifications and Consents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440" w:type="dxa"/>
            <w:vAlign w:val="bottom"/>
          </w:tcPr>
          <w:p>
            <w:pPr>
              <w:ind w:left="42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440" w:type="dxa"/>
            <w:vAlign w:val="bottom"/>
          </w:tcPr>
          <w:p>
            <w:pPr>
              <w:ind w:left="420"/>
              <w:spacing w:after="0"/>
              <w:rPr>
                <w:sz w:val="20"/>
                <w:szCs w:val="20"/>
                <w:color w:val="auto"/>
              </w:rPr>
            </w:pPr>
            <w:r>
              <w:rPr>
                <w:rFonts w:ascii="Arial" w:cs="Arial" w:eastAsia="Arial" w:hAnsi="Arial"/>
                <w:sz w:val="18"/>
                <w:szCs w:val="18"/>
                <w:color w:val="auto"/>
              </w:rPr>
              <w:t>Consent of the Independent Registered Public Accounting Firm.</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420"/>
              <w:spacing w:after="0"/>
              <w:rPr>
                <w:sz w:val="20"/>
                <w:szCs w:val="20"/>
                <w:color w:val="auto"/>
              </w:rPr>
            </w:pPr>
            <w:r>
              <w:rPr>
                <w:rFonts w:ascii="Arial" w:cs="Arial" w:eastAsia="Arial" w:hAnsi="Arial"/>
                <w:sz w:val="18"/>
                <w:szCs w:val="18"/>
                <w:color w:val="auto"/>
                <w:w w:val="93"/>
              </w:rPr>
              <w:t>Certification pursuant to Section 302 of Sarbanes-Oxley Act of 2002, of Brian Concannon, President and Chief Executive Officer of the</w:t>
            </w:r>
          </w:p>
        </w:tc>
      </w:tr>
      <w:tr>
        <w:trPr>
          <w:trHeight w:val="230"/>
        </w:trPr>
        <w:tc>
          <w:tcPr>
            <w:tcW w:w="72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Company.</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420"/>
              <w:spacing w:after="0"/>
              <w:rPr>
                <w:sz w:val="20"/>
                <w:szCs w:val="20"/>
                <w:color w:val="auto"/>
              </w:rPr>
            </w:pPr>
            <w:r>
              <w:rPr>
                <w:rFonts w:ascii="Arial" w:cs="Arial" w:eastAsia="Arial" w:hAnsi="Arial"/>
                <w:sz w:val="18"/>
                <w:szCs w:val="18"/>
                <w:color w:val="auto"/>
                <w:w w:val="94"/>
              </w:rPr>
              <w:t>Certification pursuant to Section 302 of Sarbanes-Oxley of 2002, of Christopher Lindop, Executive Vice President and Chief Financial</w:t>
            </w:r>
          </w:p>
        </w:tc>
      </w:tr>
      <w:tr>
        <w:trPr>
          <w:trHeight w:val="230"/>
        </w:trPr>
        <w:tc>
          <w:tcPr>
            <w:tcW w:w="72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Officer of the Company.</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42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72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42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720" w:type="dxa"/>
            <w:vAlign w:val="bottom"/>
          </w:tcPr>
          <w:p>
            <w:pPr>
              <w:spacing w:after="0"/>
              <w:rPr>
                <w:sz w:val="20"/>
                <w:szCs w:val="20"/>
                <w:color w:val="auto"/>
              </w:rPr>
            </w:pPr>
          </w:p>
        </w:tc>
        <w:tc>
          <w:tcPr>
            <w:tcW w:w="10440" w:type="dxa"/>
            <w:vAlign w:val="bottom"/>
          </w:tcPr>
          <w:p>
            <w:pPr>
              <w:ind w:left="42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256"/>
        </w:trPr>
        <w:tc>
          <w:tcPr>
            <w:tcW w:w="720" w:type="dxa"/>
            <w:vAlign w:val="bottom"/>
          </w:tcPr>
          <w:p>
            <w:pPr>
              <w:spacing w:after="0"/>
              <w:rPr>
                <w:sz w:val="20"/>
                <w:szCs w:val="20"/>
                <w:color w:val="auto"/>
              </w:rPr>
            </w:pPr>
            <w:r>
              <w:rPr>
                <w:rFonts w:ascii="Arial" w:cs="Arial" w:eastAsia="Arial" w:hAnsi="Arial"/>
                <w:sz w:val="18"/>
                <w:szCs w:val="18"/>
                <w:color w:val="auto"/>
              </w:rPr>
              <w:t>101ˆ</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The following materials from Haemonetics Corporation on Form 10-K for the year ended March 30, 2013, formatted in Extensive Business</w:t>
            </w:r>
          </w:p>
        </w:tc>
      </w:tr>
      <w:tr>
        <w:trPr>
          <w:trHeight w:val="216"/>
        </w:trPr>
        <w:tc>
          <w:tcPr>
            <w:tcW w:w="72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7"/>
              </w:rPr>
              <w:t>Reporting Language (XBRL): (i) Consolidated Statements of Income, (ii) Consolidated Statements of Comprehensive Income (iii)</w:t>
            </w:r>
          </w:p>
        </w:tc>
      </w:tr>
      <w:tr>
        <w:trPr>
          <w:trHeight w:val="216"/>
        </w:trPr>
        <w:tc>
          <w:tcPr>
            <w:tcW w:w="72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Consolidated Balance Sheets, (iv) Consolidated Statement of Stockholders' Equity and Other Comprehensive Income, (v) Consolidated</w:t>
            </w:r>
          </w:p>
        </w:tc>
      </w:tr>
      <w:tr>
        <w:trPr>
          <w:trHeight w:val="230"/>
        </w:trPr>
        <w:tc>
          <w:tcPr>
            <w:tcW w:w="72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Statements of Cash Flows, and (vi) Notes to Consolidated Financial Statements, tagged as blocks of text.</w:t>
            </w:r>
          </w:p>
        </w:tc>
      </w:tr>
    </w:tbl>
    <w:p>
      <w:pPr>
        <w:spacing w:after="0" w:line="175"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Incorporated by reference</w:t>
      </w:r>
    </w:p>
    <w:p>
      <w:pPr>
        <w:spacing w:after="0" w:line="6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Agreement, plan, or arrangement related to the compensation of officers or directors</w:t>
      </w:r>
    </w:p>
    <w:p>
      <w:pPr>
        <w:spacing w:after="0" w:line="63" w:lineRule="exact"/>
        <w:rPr>
          <w:sz w:val="20"/>
          <w:szCs w:val="20"/>
          <w:color w:val="auto"/>
        </w:rPr>
      </w:pPr>
    </w:p>
    <w:p>
      <w:pPr>
        <w:ind w:left="260" w:right="480" w:hanging="225"/>
        <w:spacing w:after="0" w:line="264"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130" w:right="4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28,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29, 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30, 2013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130" w:right="2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t>EXHIBIT 10AP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420" w:right="2620"/>
        <w:spacing w:after="0" w:line="443" w:lineRule="auto"/>
        <w:rPr>
          <w:sz w:val="20"/>
          <w:szCs w:val="20"/>
          <w:color w:val="auto"/>
        </w:rPr>
      </w:pPr>
      <w:r>
        <w:rPr>
          <w:rFonts w:ascii="Arial" w:cs="Arial" w:eastAsia="Arial" w:hAnsi="Arial"/>
          <w:sz w:val="25"/>
          <w:szCs w:val="25"/>
          <w:u w:val="single" w:color="auto"/>
          <w:color w:val="auto"/>
        </w:rPr>
        <w:t xml:space="preserve">HAEMONETICS CORPORATION 2005 LONG-TERM INCENTIVE COMPENSATION PLAN </w:t>
      </w:r>
      <w:r>
        <w:rPr>
          <w:rFonts w:ascii="Arial" w:cs="Arial" w:eastAsia="Arial" w:hAnsi="Arial"/>
          <w:sz w:val="25"/>
          <w:szCs w:val="25"/>
          <w:b w:val="1"/>
          <w:bCs w:val="1"/>
          <w:u w:val="single" w:color="auto"/>
          <w:color w:val="auto"/>
        </w:rPr>
        <w:t>PERFORMANCE SHARE UNIT AGREEMENT</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25"/>
          <w:szCs w:val="25"/>
          <w:u w:val="single" w:color="auto"/>
          <w:color w:val="auto"/>
        </w:rPr>
        <w:t>WITH</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u w:val="single" w:color="auto"/>
          <w:color w:val="auto"/>
        </w:rPr>
        <w:t>«Name»</w:t>
      </w:r>
    </w:p>
    <w:p>
      <w:pPr>
        <w:sectPr>
          <w:pgSz w:w="11900" w:h="16838" w:orient="portrait"/>
          <w:cols w:equalWidth="0" w:num="1">
            <w:col w:w="10220"/>
          </w:cols>
          <w:pgMar w:left="1440" w:top="904" w:right="239" w:bottom="1440" w:gutter="0" w:footer="0" w:header="0"/>
        </w:sectPr>
      </w:pPr>
    </w:p>
    <w:bookmarkStart w:id="98" w:name="page99"/>
    <w:bookmarkEnd w:id="98"/>
    <w:p>
      <w:pPr>
        <w:jc w:val="center"/>
        <w:ind w:left="260" w:right="1960"/>
        <w:spacing w:after="0" w:line="265" w:lineRule="auto"/>
        <w:rPr>
          <w:sz w:val="20"/>
          <w:szCs w:val="20"/>
          <w:color w:val="auto"/>
        </w:rPr>
      </w:pPr>
      <w:r>
        <w:rPr>
          <w:rFonts w:ascii="Arial" w:cs="Arial" w:eastAsia="Arial" w:hAnsi="Arial"/>
          <w:sz w:val="25"/>
          <w:szCs w:val="25"/>
          <w:b w:val="1"/>
          <w:bCs w:val="1"/>
          <w:color w:val="auto"/>
        </w:rPr>
        <w:t xml:space="preserve">HAEMONETICS CORPORATION PERFORMANCE SHARE UNIT AGREEMENT </w:t>
      </w:r>
      <w:r>
        <w:rPr>
          <w:rFonts w:ascii="Arial" w:cs="Arial" w:eastAsia="Arial" w:hAnsi="Arial"/>
          <w:sz w:val="25"/>
          <w:szCs w:val="25"/>
          <w:b w:val="1"/>
          <w:bCs w:val="1"/>
          <w:u w:val="single" w:color="auto"/>
          <w:color w:val="auto"/>
        </w:rPr>
        <w:t>UNDER 2005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THIS PERFORMANCE SHARE UNIT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«PSU Grant_Date» (“</w:t>
      </w:r>
      <w:r>
        <w:rPr>
          <w:rFonts w:ascii="Arial" w:cs="Arial" w:eastAsia="Arial" w:hAnsi="Arial"/>
          <w:sz w:val="22"/>
          <w:szCs w:val="22"/>
          <w:u w:val="single" w:color="auto"/>
          <w:color w:val="auto"/>
        </w:rPr>
        <w:t>Grant Date</w:t>
      </w:r>
      <w:r>
        <w:rPr>
          <w:rFonts w:ascii="Arial" w:cs="Arial" w:eastAsia="Arial" w:hAnsi="Arial"/>
          <w:sz w:val="22"/>
          <w:szCs w:val="22"/>
          <w:color w:val="auto"/>
        </w:rPr>
        <w:t>”) by and between Haemonetics Corporation, a Massachusetts Corporation (“</w:t>
      </w:r>
      <w:r>
        <w:rPr>
          <w:rFonts w:ascii="Arial" w:cs="Arial" w:eastAsia="Arial" w:hAnsi="Arial"/>
          <w:sz w:val="22"/>
          <w:szCs w:val="22"/>
          <w:u w:val="single" w:color="auto"/>
          <w:color w:val="auto"/>
        </w:rPr>
        <w:t>Company</w:t>
      </w:r>
      <w:r>
        <w:rPr>
          <w:rFonts w:ascii="Arial" w:cs="Arial" w:eastAsia="Arial" w:hAnsi="Arial"/>
          <w:sz w:val="22"/>
          <w:szCs w:val="22"/>
          <w:color w:val="auto"/>
        </w:rPr>
        <w:t>”), and «Name» (“</w:t>
      </w:r>
      <w:r>
        <w:rPr>
          <w:rFonts w:ascii="Arial" w:cs="Arial" w:eastAsia="Arial" w:hAnsi="Arial"/>
          <w:sz w:val="22"/>
          <w:szCs w:val="22"/>
          <w:u w:val="single" w:color="auto"/>
          <w:color w:val="auto"/>
        </w:rPr>
        <w:t>Employee</w:t>
      </w:r>
      <w:r>
        <w:rPr>
          <w:rFonts w:ascii="Arial" w:cs="Arial" w:eastAsia="Arial" w:hAnsi="Arial"/>
          <w:sz w:val="22"/>
          <w:szCs w:val="22"/>
          <w:color w:val="auto"/>
        </w:rPr>
        <w:t>”), is entered into as follows:</w:t>
      </w:r>
    </w:p>
    <w:p>
      <w:pPr>
        <w:spacing w:after="0" w:line="186" w:lineRule="exact"/>
        <w:rPr>
          <w:sz w:val="20"/>
          <w:szCs w:val="20"/>
          <w:color w:val="auto"/>
        </w:rPr>
      </w:pPr>
    </w:p>
    <w:p>
      <w:pPr>
        <w:ind w:right="240" w:firstLine="648"/>
        <w:spacing w:after="0" w:line="287" w:lineRule="auto"/>
        <w:rPr>
          <w:sz w:val="20"/>
          <w:szCs w:val="20"/>
          <w:color w:val="auto"/>
        </w:rPr>
      </w:pPr>
      <w:r>
        <w:rPr>
          <w:rFonts w:ascii="Arial" w:cs="Arial" w:eastAsia="Arial" w:hAnsi="Arial"/>
          <w:sz w:val="21"/>
          <w:szCs w:val="21"/>
          <w:color w:val="auto"/>
        </w:rPr>
        <w:t>WHEREAS, the Company has established the Haemonetics Corporation 2005 Incentive Compensation Plan, as amended, (“</w:t>
      </w:r>
      <w:r>
        <w:rPr>
          <w:rFonts w:ascii="Arial" w:cs="Arial" w:eastAsia="Arial" w:hAnsi="Arial"/>
          <w:sz w:val="21"/>
          <w:szCs w:val="21"/>
          <w:u w:val="single" w:color="auto"/>
          <w:color w:val="auto"/>
        </w:rPr>
        <w:t>Plan</w:t>
      </w:r>
      <w:r>
        <w:rPr>
          <w:rFonts w:ascii="Arial" w:cs="Arial" w:eastAsia="Arial" w:hAnsi="Arial"/>
          <w:sz w:val="21"/>
          <w:szCs w:val="21"/>
          <w:color w:val="auto"/>
        </w:rPr>
        <w:t>”), a copy of which has been provided to Employee, and which Plan is made a part hereof; and</w:t>
      </w:r>
    </w:p>
    <w:p>
      <w:pPr>
        <w:spacing w:after="0" w:line="152"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WHEREAS, the Compensation Committee of the Board of Directors of the Company (“</w:t>
      </w:r>
      <w:r>
        <w:rPr>
          <w:rFonts w:ascii="Arial" w:cs="Arial" w:eastAsia="Arial" w:hAnsi="Arial"/>
          <w:sz w:val="19"/>
          <w:szCs w:val="19"/>
          <w:u w:val="single" w:color="auto"/>
          <w:color w:val="auto"/>
        </w:rPr>
        <w:t>Committee</w:t>
      </w:r>
      <w:r>
        <w:rPr>
          <w:rFonts w:ascii="Arial" w:cs="Arial" w:eastAsia="Arial" w:hAnsi="Arial"/>
          <w:sz w:val="19"/>
          <w:szCs w:val="19"/>
          <w:color w:val="auto"/>
        </w:rPr>
        <w:t>”) has determined that the Employee shall be granted a Performance Share Unit award pursuant to Article 10 (Other Stock Unit Awards) of the Plan with respect to the Company’s $0.01 par value Common Stock (“</w:t>
      </w:r>
      <w:r>
        <w:rPr>
          <w:rFonts w:ascii="Arial" w:cs="Arial" w:eastAsia="Arial" w:hAnsi="Arial"/>
          <w:sz w:val="19"/>
          <w:szCs w:val="19"/>
          <w:u w:val="single" w:color="auto"/>
          <w:color w:val="auto"/>
        </w:rPr>
        <w:t>Stock</w:t>
      </w:r>
      <w:r>
        <w:rPr>
          <w:rFonts w:ascii="Arial" w:cs="Arial" w:eastAsia="Arial" w:hAnsi="Arial"/>
          <w:sz w:val="19"/>
          <w:szCs w:val="19"/>
          <w:color w:val="auto"/>
        </w:rPr>
        <w:t>”), subject to the restrictions as hereinafter set forth;</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Grant of Performance Share Units.</w:t>
      </w:r>
    </w:p>
    <w:p>
      <w:pPr>
        <w:spacing w:after="0" w:line="239"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Subject to the terms and conditions of this Agreement and of the Plan, the Company hereby grants to the Employee a target award (“</w:t>
      </w:r>
      <w:r>
        <w:rPr>
          <w:rFonts w:ascii="Arial" w:cs="Arial" w:eastAsia="Arial" w:hAnsi="Arial"/>
          <w:sz w:val="21"/>
          <w:szCs w:val="21"/>
          <w:u w:val="single" w:color="auto"/>
          <w:color w:val="auto"/>
        </w:rPr>
        <w:t>Target Award</w:t>
      </w:r>
      <w:r>
        <w:rPr>
          <w:rFonts w:ascii="Arial" w:cs="Arial" w:eastAsia="Arial" w:hAnsi="Arial"/>
          <w:sz w:val="21"/>
          <w:szCs w:val="21"/>
          <w:color w:val="auto"/>
        </w:rPr>
        <w:t>”) of «X_Total_PSUs» Performance Share Units (“</w:t>
      </w:r>
      <w:r>
        <w:rPr>
          <w:rFonts w:ascii="Arial" w:cs="Arial" w:eastAsia="Arial" w:hAnsi="Arial"/>
          <w:sz w:val="21"/>
          <w:szCs w:val="21"/>
          <w:u w:val="single" w:color="auto"/>
          <w:color w:val="auto"/>
        </w:rPr>
        <w:t>PSUs</w:t>
      </w:r>
      <w:r>
        <w:rPr>
          <w:rFonts w:ascii="Arial" w:cs="Arial" w:eastAsia="Arial" w:hAnsi="Arial"/>
          <w:sz w:val="21"/>
          <w:szCs w:val="21"/>
          <w:color w:val="auto"/>
        </w:rPr>
        <w:t>”). Each unit represents the right to receive one share of Stock. Subject to satisfaction of the terms and conditions of this Agreement and the Plan, the PSUs shall be settled in Stock. No dividend equivalent rights are payable with respect to the PSUs.</w:t>
      </w:r>
    </w:p>
    <w:p>
      <w:pPr>
        <w:spacing w:after="0" w:line="170"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Vesting Schedule.</w:t>
      </w:r>
    </w:p>
    <w:p>
      <w:pPr>
        <w:spacing w:after="0" w:line="239" w:lineRule="exact"/>
        <w:rPr>
          <w:rFonts w:ascii="Arial" w:cs="Arial" w:eastAsia="Arial" w:hAnsi="Arial"/>
          <w:sz w:val="22"/>
          <w:szCs w:val="22"/>
          <w:b w:val="1"/>
          <w:bCs w:val="1"/>
          <w:color w:val="auto"/>
        </w:rPr>
      </w:pPr>
    </w:p>
    <w:p>
      <w:pPr>
        <w:ind w:right="440" w:firstLine="656"/>
        <w:spacing w:after="0" w:line="253" w:lineRule="auto"/>
        <w:tabs>
          <w:tab w:leader="none" w:pos="942"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Vesting Dates.</w:t>
      </w:r>
      <w:r>
        <w:rPr>
          <w:rFonts w:ascii="Arial" w:cs="Arial" w:eastAsia="Arial" w:hAnsi="Arial"/>
          <w:sz w:val="22"/>
          <w:szCs w:val="22"/>
          <w:color w:val="auto"/>
        </w:rPr>
        <w:t xml:space="preserve"> The interest of the Employee in the PSUs shall vest, if at all, on September 30, 2017, (the “</w:t>
      </w:r>
      <w:r>
        <w:rPr>
          <w:rFonts w:ascii="Arial" w:cs="Arial" w:eastAsia="Arial" w:hAnsi="Arial"/>
          <w:sz w:val="22"/>
          <w:szCs w:val="22"/>
          <w:u w:val="single" w:color="auto"/>
          <w:color w:val="auto"/>
        </w:rPr>
        <w:t>Maturity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according to the following vesting schedule (“</w:t>
      </w:r>
      <w:r>
        <w:rPr>
          <w:rFonts w:ascii="Arial" w:cs="Arial" w:eastAsia="Arial" w:hAnsi="Arial"/>
          <w:sz w:val="22"/>
          <w:szCs w:val="22"/>
          <w:u w:val="single" w:color="auto"/>
          <w:color w:val="auto"/>
        </w:rPr>
        <w:t>Vesting Schedule</w:t>
      </w:r>
      <w:r>
        <w:rPr>
          <w:rFonts w:ascii="Arial" w:cs="Arial" w:eastAsia="Arial" w:hAnsi="Arial"/>
          <w:sz w:val="22"/>
          <w:szCs w:val="22"/>
          <w:color w:val="auto"/>
        </w:rPr>
        <w:t>”), and also conditioned upon the Employee’s continued employment with the Company through the Maturity Date:</w:t>
      </w:r>
    </w:p>
    <w:p>
      <w:pPr>
        <w:spacing w:after="0" w:line="365" w:lineRule="exact"/>
        <w:rPr>
          <w:sz w:val="20"/>
          <w:szCs w:val="20"/>
          <w:color w:val="auto"/>
        </w:rPr>
      </w:pPr>
    </w:p>
    <w:tbl>
      <w:tblPr>
        <w:tblLayout w:type="fixed"/>
        <w:tblInd w:w="2660" w:type="dxa"/>
        <w:tblCellMar>
          <w:top w:w="0" w:type="dxa"/>
          <w:left w:w="0" w:type="dxa"/>
          <w:bottom w:w="0" w:type="dxa"/>
          <w:right w:w="0" w:type="dxa"/>
        </w:tblCellMar>
      </w:tblPr>
      <w:tr>
        <w:trPr>
          <w:trHeight w:val="253"/>
        </w:trPr>
        <w:tc>
          <w:tcPr>
            <w:tcW w:w="3440" w:type="dxa"/>
            <w:vAlign w:val="bottom"/>
          </w:tcPr>
          <w:p>
            <w:pPr>
              <w:jc w:val="center"/>
              <w:ind w:right="192"/>
              <w:spacing w:after="0"/>
              <w:rPr>
                <w:sz w:val="20"/>
                <w:szCs w:val="20"/>
                <w:color w:val="auto"/>
              </w:rPr>
            </w:pPr>
            <w:r>
              <w:rPr>
                <w:rFonts w:ascii="Arial" w:cs="Arial" w:eastAsia="Arial" w:hAnsi="Arial"/>
                <w:sz w:val="22"/>
                <w:szCs w:val="22"/>
                <w:color w:val="auto"/>
                <w:w w:val="89"/>
              </w:rPr>
              <w:t>Company Relative TSR Percentile</w:t>
            </w:r>
          </w:p>
        </w:tc>
        <w:tc>
          <w:tcPr>
            <w:tcW w:w="2680" w:type="dxa"/>
            <w:vAlign w:val="bottom"/>
          </w:tcPr>
          <w:p>
            <w:pPr>
              <w:jc w:val="center"/>
              <w:ind w:right="232"/>
              <w:spacing w:after="0"/>
              <w:rPr>
                <w:sz w:val="20"/>
                <w:szCs w:val="20"/>
                <w:color w:val="auto"/>
              </w:rPr>
            </w:pPr>
            <w:r>
              <w:rPr>
                <w:rFonts w:ascii="Arial" w:cs="Arial" w:eastAsia="Arial" w:hAnsi="Arial"/>
                <w:sz w:val="22"/>
                <w:szCs w:val="22"/>
                <w:color w:val="auto"/>
                <w:w w:val="85"/>
              </w:rPr>
              <w:t>Share Payout</w:t>
            </w:r>
          </w:p>
        </w:tc>
      </w:tr>
      <w:tr>
        <w:trPr>
          <w:trHeight w:val="243"/>
        </w:trPr>
        <w:tc>
          <w:tcPr>
            <w:tcW w:w="344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85"/>
              </w:rPr>
              <w:t>Rank</w:t>
            </w:r>
          </w:p>
        </w:tc>
        <w:tc>
          <w:tcPr>
            <w:tcW w:w="268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84"/>
              </w:rPr>
              <w:t>as a Percentage of</w:t>
            </w:r>
          </w:p>
        </w:tc>
      </w:tr>
      <w:tr>
        <w:trPr>
          <w:trHeight w:val="285"/>
        </w:trPr>
        <w:tc>
          <w:tcPr>
            <w:tcW w:w="344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color w:val="auto"/>
                <w:w w:val="92"/>
              </w:rPr>
              <w:t>at Maturity Date</w:t>
            </w:r>
          </w:p>
        </w:tc>
        <w:tc>
          <w:tcPr>
            <w:tcW w:w="268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color w:val="auto"/>
                <w:w w:val="87"/>
              </w:rPr>
              <w:t>Target Award</w:t>
            </w:r>
          </w:p>
        </w:tc>
      </w:tr>
      <w:tr>
        <w:trPr>
          <w:trHeight w:val="303"/>
        </w:trPr>
        <w:tc>
          <w:tcPr>
            <w:tcW w:w="3440" w:type="dxa"/>
            <w:vAlign w:val="bottom"/>
          </w:tcPr>
          <w:p>
            <w:pPr>
              <w:jc w:val="center"/>
              <w:ind w:right="212"/>
              <w:spacing w:after="0" w:line="302" w:lineRule="exact"/>
              <w:rPr>
                <w:sz w:val="20"/>
                <w:szCs w:val="20"/>
                <w:color w:val="auto"/>
              </w:rPr>
            </w:pPr>
            <w:r>
              <w:rPr>
                <w:rFonts w:ascii="Arial" w:cs="Arial" w:eastAsia="Arial" w:hAnsi="Arial"/>
                <w:sz w:val="22"/>
                <w:szCs w:val="22"/>
                <w:color w:val="auto"/>
                <w:w w:val="90"/>
              </w:rPr>
              <w:t>40</w:t>
            </w:r>
            <w:r>
              <w:rPr>
                <w:rFonts w:ascii="Arial" w:cs="Arial" w:eastAsia="Arial" w:hAnsi="Arial"/>
                <w:sz w:val="28"/>
                <w:szCs w:val="28"/>
                <w:color w:val="auto"/>
                <w:w w:val="90"/>
                <w:vertAlign w:val="superscript"/>
              </w:rPr>
              <w:t>th</w:t>
            </w:r>
            <w:r>
              <w:rPr>
                <w:rFonts w:ascii="Arial" w:cs="Arial" w:eastAsia="Arial" w:hAnsi="Arial"/>
                <w:sz w:val="22"/>
                <w:szCs w:val="22"/>
                <w:color w:val="auto"/>
                <w:w w:val="90"/>
              </w:rPr>
              <w:t xml:space="preserve"> or lower</w:t>
            </w:r>
          </w:p>
        </w:tc>
        <w:tc>
          <w:tcPr>
            <w:tcW w:w="2680" w:type="dxa"/>
            <w:vAlign w:val="bottom"/>
          </w:tcPr>
          <w:p>
            <w:pPr>
              <w:jc w:val="right"/>
              <w:ind w:right="1252"/>
              <w:spacing w:after="0"/>
              <w:rPr>
                <w:sz w:val="20"/>
                <w:szCs w:val="20"/>
                <w:color w:val="auto"/>
              </w:rPr>
            </w:pPr>
            <w:r>
              <w:rPr>
                <w:rFonts w:ascii="Arial" w:cs="Arial" w:eastAsia="Arial" w:hAnsi="Arial"/>
                <w:sz w:val="22"/>
                <w:szCs w:val="22"/>
                <w:color w:val="auto"/>
              </w:rPr>
              <w:t>0%</w:t>
            </w:r>
          </w:p>
        </w:tc>
      </w:tr>
      <w:tr>
        <w:trPr>
          <w:trHeight w:val="297"/>
        </w:trPr>
        <w:tc>
          <w:tcPr>
            <w:tcW w:w="3440" w:type="dxa"/>
            <w:vAlign w:val="bottom"/>
          </w:tcPr>
          <w:p>
            <w:pPr>
              <w:jc w:val="center"/>
              <w:ind w:right="252"/>
              <w:spacing w:after="0" w:line="297" w:lineRule="exact"/>
              <w:rPr>
                <w:sz w:val="20"/>
                <w:szCs w:val="20"/>
                <w:color w:val="auto"/>
              </w:rPr>
            </w:pPr>
            <w:r>
              <w:rPr>
                <w:rFonts w:ascii="Arial" w:cs="Arial" w:eastAsia="Arial" w:hAnsi="Arial"/>
                <w:sz w:val="22"/>
                <w:szCs w:val="22"/>
                <w:color w:val="auto"/>
                <w:w w:val="83"/>
              </w:rPr>
              <w:t>41</w:t>
            </w:r>
            <w:r>
              <w:rPr>
                <w:rFonts w:ascii="Arial" w:cs="Arial" w:eastAsia="Arial" w:hAnsi="Arial"/>
                <w:sz w:val="28"/>
                <w:szCs w:val="28"/>
                <w:color w:val="auto"/>
                <w:w w:val="83"/>
                <w:vertAlign w:val="superscript"/>
              </w:rPr>
              <w:t>st</w:t>
            </w:r>
            <w:r>
              <w:rPr>
                <w:rFonts w:ascii="Arial" w:cs="Arial" w:eastAsia="Arial" w:hAnsi="Arial"/>
                <w:sz w:val="22"/>
                <w:szCs w:val="22"/>
                <w:color w:val="auto"/>
                <w:w w:val="83"/>
              </w:rPr>
              <w:t xml:space="preserve"> to 60</w:t>
            </w:r>
            <w:r>
              <w:rPr>
                <w:rFonts w:ascii="Arial" w:cs="Arial" w:eastAsia="Arial" w:hAnsi="Arial"/>
                <w:sz w:val="28"/>
                <w:szCs w:val="28"/>
                <w:color w:val="auto"/>
                <w:w w:val="83"/>
                <w:vertAlign w:val="superscript"/>
              </w:rPr>
              <w:t>th</w:t>
            </w:r>
          </w:p>
        </w:tc>
        <w:tc>
          <w:tcPr>
            <w:tcW w:w="2680" w:type="dxa"/>
            <w:vAlign w:val="bottom"/>
          </w:tcPr>
          <w:p>
            <w:pPr>
              <w:jc w:val="center"/>
              <w:ind w:right="232"/>
              <w:spacing w:after="0"/>
              <w:rPr>
                <w:sz w:val="20"/>
                <w:szCs w:val="20"/>
                <w:color w:val="auto"/>
              </w:rPr>
            </w:pPr>
            <w:r>
              <w:rPr>
                <w:rFonts w:ascii="Arial" w:cs="Arial" w:eastAsia="Arial" w:hAnsi="Arial"/>
                <w:sz w:val="22"/>
                <w:szCs w:val="22"/>
                <w:color w:val="auto"/>
                <w:w w:val="89"/>
              </w:rPr>
              <w:t>50% to 99%</w:t>
            </w:r>
          </w:p>
        </w:tc>
      </w:tr>
      <w:tr>
        <w:trPr>
          <w:trHeight w:val="297"/>
        </w:trPr>
        <w:tc>
          <w:tcPr>
            <w:tcW w:w="3440" w:type="dxa"/>
            <w:vAlign w:val="bottom"/>
          </w:tcPr>
          <w:p>
            <w:pPr>
              <w:jc w:val="center"/>
              <w:ind w:right="252"/>
              <w:spacing w:after="0" w:line="297" w:lineRule="exact"/>
              <w:rPr>
                <w:sz w:val="20"/>
                <w:szCs w:val="20"/>
                <w:color w:val="auto"/>
              </w:rPr>
            </w:pPr>
            <w:r>
              <w:rPr>
                <w:rFonts w:ascii="Arial" w:cs="Arial" w:eastAsia="Arial" w:hAnsi="Arial"/>
                <w:sz w:val="22"/>
                <w:szCs w:val="22"/>
                <w:color w:val="auto"/>
                <w:w w:val="83"/>
              </w:rPr>
              <w:t>61</w:t>
            </w:r>
            <w:r>
              <w:rPr>
                <w:rFonts w:ascii="Arial" w:cs="Arial" w:eastAsia="Arial" w:hAnsi="Arial"/>
                <w:sz w:val="28"/>
                <w:szCs w:val="28"/>
                <w:color w:val="auto"/>
                <w:w w:val="83"/>
                <w:vertAlign w:val="superscript"/>
              </w:rPr>
              <w:t>st</w:t>
            </w:r>
            <w:r>
              <w:rPr>
                <w:rFonts w:ascii="Arial" w:cs="Arial" w:eastAsia="Arial" w:hAnsi="Arial"/>
                <w:sz w:val="22"/>
                <w:szCs w:val="22"/>
                <w:color w:val="auto"/>
                <w:w w:val="83"/>
              </w:rPr>
              <w:t xml:space="preserve"> to 80</w:t>
            </w:r>
            <w:r>
              <w:rPr>
                <w:rFonts w:ascii="Arial" w:cs="Arial" w:eastAsia="Arial" w:hAnsi="Arial"/>
                <w:sz w:val="28"/>
                <w:szCs w:val="28"/>
                <w:color w:val="auto"/>
                <w:w w:val="83"/>
                <w:vertAlign w:val="superscript"/>
              </w:rPr>
              <w:t>th</w:t>
            </w:r>
          </w:p>
        </w:tc>
        <w:tc>
          <w:tcPr>
            <w:tcW w:w="2680" w:type="dxa"/>
            <w:vAlign w:val="bottom"/>
          </w:tcPr>
          <w:p>
            <w:pPr>
              <w:jc w:val="center"/>
              <w:ind w:right="212"/>
              <w:spacing w:after="0"/>
              <w:rPr>
                <w:sz w:val="20"/>
                <w:szCs w:val="20"/>
                <w:color w:val="auto"/>
              </w:rPr>
            </w:pPr>
            <w:r>
              <w:rPr>
                <w:rFonts w:ascii="Arial" w:cs="Arial" w:eastAsia="Arial" w:hAnsi="Arial"/>
                <w:sz w:val="22"/>
                <w:szCs w:val="22"/>
                <w:color w:val="auto"/>
                <w:w w:val="89"/>
              </w:rPr>
              <w:t>100% to 200%</w:t>
            </w:r>
          </w:p>
        </w:tc>
      </w:tr>
      <w:tr>
        <w:trPr>
          <w:trHeight w:val="377"/>
        </w:trPr>
        <w:tc>
          <w:tcPr>
            <w:tcW w:w="3440" w:type="dxa"/>
            <w:vAlign w:val="bottom"/>
          </w:tcPr>
          <w:p>
            <w:pPr>
              <w:jc w:val="center"/>
              <w:ind w:right="212"/>
              <w:spacing w:after="0"/>
              <w:rPr>
                <w:sz w:val="20"/>
                <w:szCs w:val="20"/>
                <w:color w:val="auto"/>
              </w:rPr>
            </w:pPr>
            <w:r>
              <w:rPr>
                <w:rFonts w:ascii="Arial" w:cs="Arial" w:eastAsia="Arial" w:hAnsi="Arial"/>
                <w:sz w:val="22"/>
                <w:szCs w:val="22"/>
                <w:color w:val="auto"/>
                <w:w w:val="87"/>
              </w:rPr>
              <w:t>81</w:t>
            </w:r>
            <w:r>
              <w:rPr>
                <w:rFonts w:ascii="Arial" w:cs="Arial" w:eastAsia="Arial" w:hAnsi="Arial"/>
                <w:sz w:val="28"/>
                <w:szCs w:val="28"/>
                <w:color w:val="auto"/>
                <w:w w:val="87"/>
                <w:vertAlign w:val="superscript"/>
              </w:rPr>
              <w:t>st</w:t>
            </w:r>
            <w:r>
              <w:rPr>
                <w:rFonts w:ascii="Arial" w:cs="Arial" w:eastAsia="Arial" w:hAnsi="Arial"/>
                <w:sz w:val="22"/>
                <w:szCs w:val="22"/>
                <w:color w:val="auto"/>
                <w:w w:val="87"/>
              </w:rPr>
              <w:t xml:space="preserve"> or higher</w:t>
            </w:r>
          </w:p>
        </w:tc>
        <w:tc>
          <w:tcPr>
            <w:tcW w:w="2680" w:type="dxa"/>
            <w:vAlign w:val="bottom"/>
          </w:tcPr>
          <w:p>
            <w:pPr>
              <w:jc w:val="right"/>
              <w:ind w:right="1152"/>
              <w:spacing w:after="0"/>
              <w:rPr>
                <w:sz w:val="20"/>
                <w:szCs w:val="20"/>
                <w:color w:val="auto"/>
              </w:rPr>
            </w:pPr>
            <w:r>
              <w:rPr>
                <w:rFonts w:ascii="Arial" w:cs="Arial" w:eastAsia="Arial" w:hAnsi="Arial"/>
                <w:sz w:val="22"/>
                <w:szCs w:val="22"/>
                <w:color w:val="auto"/>
              </w:rPr>
              <w:t>200%</w:t>
            </w:r>
          </w:p>
        </w:tc>
      </w:tr>
    </w:tbl>
    <w:p>
      <w:pPr>
        <w:spacing w:after="0" w:line="338"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Company Relative TSR Percentile Rank performance that is in between any two Company Relative TSR Percentile Ranks adjacent to each other in the above Vesting Schedule will be interpolated linearly and rounded down to the nearest whole percentage (i.e., below 0.5 round down, at or above 0.5 round up). Notwithstanding the Vesting Schedule above, if the Company’s Total Shareholder Return for the Performance Period is negative, then any Share Payout shall be capped at 100% of the Target Award.</w:t>
      </w:r>
    </w:p>
    <w:p>
      <w:pPr>
        <w:sectPr>
          <w:pgSz w:w="11900" w:h="16838" w:orient="portrait"/>
          <w:cols w:equalWidth="0" w:num="1">
            <w:col w:w="11420"/>
          </w:cols>
          <w:pgMar w:left="240" w:top="576" w:right="239" w:bottom="1440" w:gutter="0" w:footer="0" w:header="0"/>
        </w:sectPr>
      </w:pPr>
    </w:p>
    <w:bookmarkStart w:id="99" w:name="page100"/>
    <w:bookmarkEnd w:id="99"/>
    <w:p>
      <w:pPr>
        <w:ind w:right="260"/>
        <w:spacing w:after="0" w:line="253" w:lineRule="auto"/>
        <w:rPr>
          <w:sz w:val="20"/>
          <w:szCs w:val="20"/>
          <w:color w:val="auto"/>
        </w:rPr>
      </w:pPr>
      <w:r>
        <w:rPr>
          <w:rFonts w:ascii="Arial" w:cs="Arial" w:eastAsia="Arial" w:hAnsi="Arial"/>
          <w:sz w:val="22"/>
          <w:szCs w:val="22"/>
          <w:color w:val="auto"/>
        </w:rPr>
        <w:t>“Company Relative TSR Percentile Rank” shall mean the Company’s Total Shareholder Return for the Performance Period as compared to the Total Shareholder Return of the companies comprising the Standard &amp; Poors Health Care Equipment Index (the “Index”).</w:t>
      </w:r>
    </w:p>
    <w:p>
      <w:pPr>
        <w:spacing w:after="0" w:line="186" w:lineRule="exact"/>
        <w:rPr>
          <w:sz w:val="20"/>
          <w:szCs w:val="20"/>
          <w:color w:val="auto"/>
        </w:rPr>
      </w:pPr>
    </w:p>
    <w:p>
      <w:pPr>
        <w:ind w:right="220"/>
        <w:spacing w:after="0" w:line="302" w:lineRule="auto"/>
        <w:rPr>
          <w:sz w:val="20"/>
          <w:szCs w:val="20"/>
          <w:color w:val="auto"/>
        </w:rPr>
      </w:pPr>
      <w:r>
        <w:rPr>
          <w:rFonts w:ascii="Arial" w:cs="Arial" w:eastAsia="Arial" w:hAnsi="Arial"/>
          <w:sz w:val="19"/>
          <w:szCs w:val="19"/>
          <w:color w:val="auto"/>
        </w:rPr>
        <w:t>“Total Shareholder Return” shall mean the appreciation of the Per Share Price during the Performance Period, plus any dividends paid on the applicable company’s common stock during the Performance Period. All determinations regarding the companies comprising the membership of the Index, the methodology of calculating Total Shareholder Return and similar matters shall be determined by the Committee in its sole discretion pursuant to the procedures and methodology used by Standard &amp; Poors.</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“Per Share Price” shall mean the average of the closing prices of common shares for the applicable company during the thirty (30) consecutive trading days ending on the day prior to the applicable measuring date.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“Performance Period” shall mean the three (3) year period beginning on October 1, 2014 and ending on September 30, 2017.</w:t>
      </w:r>
    </w:p>
    <w:p>
      <w:pPr>
        <w:spacing w:after="0" w:line="25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Subject to any deferral election made by the Employee pursuant to Section 4(b) below and any earlier payment made under Section 2(f) below, any Share Payout shall be made by the Company in a single payment of shares of Stock (subject to applicable tax withholding) no earlier than the Maturity Date and later than December 31, 2017 following certification by the Committee of the Company’s Relative TSR Percentile Rank.</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In situations where there is not continued employment through the Maturity Date, notwithstanding the foregoing, the interest of the Employee in the Stock shall be determined as specified below.</w:t>
      </w:r>
    </w:p>
    <w:p>
      <w:pPr>
        <w:spacing w:after="0" w:line="175" w:lineRule="exact"/>
        <w:rPr>
          <w:sz w:val="20"/>
          <w:szCs w:val="20"/>
          <w:color w:val="auto"/>
        </w:rPr>
      </w:pPr>
    </w:p>
    <w:p>
      <w:pPr>
        <w:ind w:right="80" w:firstLine="656"/>
        <w:spacing w:after="0" w:line="271" w:lineRule="auto"/>
        <w:tabs>
          <w:tab w:leader="none" w:pos="954"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Employment Required.</w:t>
      </w:r>
      <w:r>
        <w:rPr>
          <w:rFonts w:ascii="Arial" w:cs="Arial" w:eastAsia="Arial" w:hAnsi="Arial"/>
          <w:sz w:val="21"/>
          <w:szCs w:val="21"/>
          <w:color w:val="auto"/>
        </w:rPr>
        <w:t xml:space="preserve"> Except as otherwise provided in this Section 2, if the Employee ceases to be an employee of the Company prior to the Maturity Date, the PSUs granted to the Employee hereunder shall not vest and instead shall be forfeited. In such event, vesting shall not be pro-rated between the Grant Date and the Maturity Date.</w:t>
      </w:r>
    </w:p>
    <w:p>
      <w:pPr>
        <w:spacing w:after="0" w:line="167" w:lineRule="exact"/>
        <w:rPr>
          <w:rFonts w:ascii="Arial" w:cs="Arial" w:eastAsia="Arial" w:hAnsi="Arial"/>
          <w:sz w:val="21"/>
          <w:szCs w:val="21"/>
          <w:color w:val="auto"/>
        </w:rPr>
      </w:pPr>
    </w:p>
    <w:p>
      <w:pPr>
        <w:ind w:firstLine="1305"/>
        <w:spacing w:after="0" w:line="297" w:lineRule="auto"/>
        <w:tabs>
          <w:tab w:leader="none" w:pos="1590"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If such termination of employment is because of the Employee’s Disability while in the employ of the Company, then the continued employment requirement for the Employee shall cease to apply and the Share Payout as a Percentage of Target Award for the PSUs shall be determined as of the Maturity Date and paid in accordance with Section 2(a) above; provided, however, that number of shares of Stock paid to the Employee shall be multiplied by a fraction, the numerator of which is the number of days elapsed from the Grant Date to the date of the Employee’s Disability, and denominator of which is 1075.</w:t>
      </w:r>
    </w:p>
    <w:p>
      <w:pPr>
        <w:spacing w:after="0" w:line="147" w:lineRule="exact"/>
        <w:rPr>
          <w:sz w:val="20"/>
          <w:szCs w:val="20"/>
          <w:color w:val="auto"/>
        </w:rPr>
      </w:pPr>
    </w:p>
    <w:p>
      <w:pPr>
        <w:ind w:right="160" w:firstLine="656"/>
        <w:spacing w:after="0" w:line="247" w:lineRule="auto"/>
        <w:tabs>
          <w:tab w:leader="none" w:pos="95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the termination of employment is because of the death of the Employee while in the employ of the Company, then the continued employment requirement for the Employee shall cease to apply and the Share Payout as a Percentage of Target Award for the PSUs shall be determined as of the Maturity Date and paid in accordance with Section 2(a) above; provided, however, that the number of shares of Stock to be paid to the Employee’s estate shall be multiplied by a fraction, the numerator of which is the number of days elapsed from the Grant Date to the date of the Employee’s death, and the denominator of which is 1075.</w:t>
      </w:r>
    </w:p>
    <w:p>
      <w:pPr>
        <w:spacing w:after="0" w:line="193" w:lineRule="exact"/>
        <w:rPr>
          <w:rFonts w:ascii="Arial" w:cs="Arial" w:eastAsia="Arial" w:hAnsi="Arial"/>
          <w:sz w:val="22"/>
          <w:szCs w:val="22"/>
          <w:color w:val="auto"/>
        </w:rPr>
      </w:pPr>
    </w:p>
    <w:p>
      <w:pPr>
        <w:ind w:right="60" w:firstLine="656"/>
        <w:spacing w:after="0" w:line="263" w:lineRule="auto"/>
        <w:tabs>
          <w:tab w:leader="none" w:pos="94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Qualifying Retirement</w:t>
      </w:r>
      <w:r>
        <w:rPr>
          <w:rFonts w:ascii="Arial" w:cs="Arial" w:eastAsia="Arial" w:hAnsi="Arial"/>
          <w:sz w:val="22"/>
          <w:szCs w:val="22"/>
          <w:color w:val="auto"/>
        </w:rPr>
        <w:t>. If such termination of employment is because of the Employee’s Qualifying Retirement while in the employ of the Company, then the continued employment requirement</w:t>
      </w:r>
    </w:p>
    <w:p>
      <w:pPr>
        <w:sectPr>
          <w:pgSz w:w="11900" w:h="16838" w:orient="portrait"/>
          <w:cols w:equalWidth="0" w:num="1">
            <w:col w:w="11400"/>
          </w:cols>
          <w:pgMar w:left="240" w:top="807" w:right="259" w:bottom="1440" w:gutter="0" w:footer="0" w:header="0"/>
        </w:sectPr>
      </w:pPr>
    </w:p>
    <w:bookmarkStart w:id="100" w:name="page101"/>
    <w:bookmarkEnd w:id="100"/>
    <w:p>
      <w:pPr>
        <w:jc w:val="both"/>
        <w:ind w:right="20"/>
        <w:spacing w:after="0" w:line="265" w:lineRule="auto"/>
        <w:rPr>
          <w:sz w:val="20"/>
          <w:szCs w:val="20"/>
          <w:color w:val="auto"/>
        </w:rPr>
      </w:pPr>
      <w:r>
        <w:rPr>
          <w:rFonts w:ascii="Arial" w:cs="Arial" w:eastAsia="Arial" w:hAnsi="Arial"/>
          <w:sz w:val="21"/>
          <w:szCs w:val="21"/>
          <w:color w:val="auto"/>
        </w:rPr>
        <w:t>for the Employee shall cease to apply and the Share Payout as a Percentage of Target Award for the PSUs shall be determined as of the Maturity Date and paid in accordance with Section 2(a) above; provided, however, that the number of shares of Stock to be paid to the Employee shall be multiplied by a fraction, the numerator of which is the number of days elapsed from the Grant Date to the date of the Employee’s Qualifying Retirement, and the denominator of which is 1075.</w:t>
      </w:r>
    </w:p>
    <w:p>
      <w:pPr>
        <w:spacing w:after="0" w:line="176" w:lineRule="exact"/>
        <w:rPr>
          <w:sz w:val="20"/>
          <w:szCs w:val="20"/>
          <w:color w:val="auto"/>
        </w:rPr>
      </w:pPr>
    </w:p>
    <w:p>
      <w:pPr>
        <w:ind w:right="140" w:firstLine="656"/>
        <w:spacing w:after="0" w:line="259" w:lineRule="auto"/>
        <w:tabs>
          <w:tab w:leader="none" w:pos="918"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Notwithstanding anything to the contrary contained in any employment agreement, severance agreement or Change in Control agreement between the Company and the Employee, if a Change in Control of the Company occurs prior to the Maturity Date and while the Employee is in the employ of the Company, then the continued employment requirement for the Employee shall cease to apply and the Share Payout as a Percentage of Target Award for the PSUs shall be determined in accordance with Schedule 2(a) above; provided, however, that the Company Relative TSR Percentile Rank shall be determined by reference to the Company’s average Relative TSR Rank on the thirty (30) consecutive trading days preceding the Change in Control and any Share Payout shall be made in a single payment of shares of Stock (subject to applicable tax withholding) no earlier than the date of the Change in Control and no later than ten (10) calendar days after the date of the Change in Control.</w:t>
      </w:r>
    </w:p>
    <w:p>
      <w:pPr>
        <w:spacing w:after="0" w:line="180" w:lineRule="exact"/>
        <w:rPr>
          <w:rFonts w:ascii="Arial" w:cs="Arial" w:eastAsia="Arial" w:hAnsi="Arial"/>
          <w:sz w:val="21"/>
          <w:szCs w:val="21"/>
          <w:color w:val="auto"/>
        </w:rPr>
      </w:pPr>
    </w:p>
    <w:p>
      <w:pPr>
        <w:ind w:left="1080" w:hanging="424"/>
        <w:spacing w:after="0"/>
        <w:tabs>
          <w:tab w:leader="none" w:pos="108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Special Definitions</w:t>
      </w:r>
      <w:r>
        <w:rPr>
          <w:rFonts w:ascii="Arial" w:cs="Arial" w:eastAsia="Arial" w:hAnsi="Arial"/>
          <w:sz w:val="21"/>
          <w:szCs w:val="21"/>
          <w:color w:val="auto"/>
        </w:rPr>
        <w:t>. For purposes of this Agreement, the following terms have the meanings set forth below:</w:t>
      </w:r>
    </w:p>
    <w:p>
      <w:pPr>
        <w:spacing w:after="0" w:line="244" w:lineRule="exact"/>
        <w:rPr>
          <w:rFonts w:ascii="Arial" w:cs="Arial" w:eastAsia="Arial" w:hAnsi="Arial"/>
          <w:sz w:val="21"/>
          <w:szCs w:val="21"/>
          <w:color w:val="auto"/>
        </w:rPr>
      </w:pPr>
    </w:p>
    <w:p>
      <w:pPr>
        <w:ind w:left="1620" w:hanging="315"/>
        <w:spacing w:after="0"/>
        <w:tabs>
          <w:tab w:leader="none" w:pos="1620" w:val="left"/>
        </w:tabs>
        <w:numPr>
          <w:ilvl w:val="1"/>
          <w:numId w:val="24"/>
        </w:numPr>
        <w:rPr>
          <w:rFonts w:ascii="Arial" w:cs="Arial" w:eastAsia="Arial" w:hAnsi="Arial"/>
          <w:sz w:val="22"/>
          <w:szCs w:val="22"/>
          <w:color w:val="auto"/>
        </w:rPr>
      </w:pPr>
      <w:r>
        <w:rPr>
          <w:rFonts w:ascii="Arial" w:cs="Arial" w:eastAsia="Arial" w:hAnsi="Arial"/>
          <w:sz w:val="16"/>
          <w:szCs w:val="16"/>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earliest to occur of the following events.</w:t>
      </w:r>
    </w:p>
    <w:p>
      <w:pPr>
        <w:spacing w:after="0" w:line="246" w:lineRule="exact"/>
        <w:rPr>
          <w:rFonts w:ascii="Arial" w:cs="Arial" w:eastAsia="Arial" w:hAnsi="Arial"/>
          <w:sz w:val="22"/>
          <w:szCs w:val="22"/>
          <w:color w:val="auto"/>
        </w:rPr>
      </w:pPr>
    </w:p>
    <w:p>
      <w:pPr>
        <w:ind w:left="1620" w:right="100" w:firstLine="9"/>
        <w:spacing w:after="0" w:line="263" w:lineRule="auto"/>
        <w:tabs>
          <w:tab w:leader="none" w:pos="1974" w:val="left"/>
        </w:tabs>
        <w:numPr>
          <w:ilvl w:val="2"/>
          <w:numId w:val="24"/>
        </w:numPr>
        <w:rPr>
          <w:rFonts w:ascii="Arial" w:cs="Arial" w:eastAsia="Arial" w:hAnsi="Arial"/>
          <w:sz w:val="21"/>
          <w:szCs w:val="21"/>
          <w:color w:val="auto"/>
        </w:rPr>
      </w:pPr>
      <w:r>
        <w:rPr>
          <w:rFonts w:ascii="Arial" w:cs="Arial" w:eastAsia="Arial" w:hAnsi="Arial"/>
          <w:sz w:val="21"/>
          <w:szCs w:val="21"/>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175" w:lineRule="exact"/>
        <w:rPr>
          <w:rFonts w:ascii="Arial" w:cs="Arial" w:eastAsia="Arial" w:hAnsi="Arial"/>
          <w:sz w:val="21"/>
          <w:szCs w:val="21"/>
          <w:color w:val="auto"/>
        </w:rPr>
      </w:pPr>
    </w:p>
    <w:p>
      <w:pPr>
        <w:ind w:left="1620" w:firstLine="9"/>
        <w:spacing w:after="0" w:line="263" w:lineRule="auto"/>
        <w:tabs>
          <w:tab w:leader="none" w:pos="1992" w:val="left"/>
        </w:tabs>
        <w:numPr>
          <w:ilvl w:val="2"/>
          <w:numId w:val="24"/>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174" w:lineRule="exact"/>
        <w:rPr>
          <w:rFonts w:ascii="Arial" w:cs="Arial" w:eastAsia="Arial" w:hAnsi="Arial"/>
          <w:sz w:val="22"/>
          <w:szCs w:val="22"/>
          <w:color w:val="auto"/>
        </w:rPr>
      </w:pPr>
    </w:p>
    <w:p>
      <w:pPr>
        <w:ind w:left="1620" w:right="100" w:firstLine="9"/>
        <w:spacing w:after="0" w:line="290" w:lineRule="auto"/>
        <w:tabs>
          <w:tab w:leader="none" w:pos="1962"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57" w:lineRule="exact"/>
        <w:rPr>
          <w:sz w:val="20"/>
          <w:szCs w:val="20"/>
          <w:color w:val="auto"/>
        </w:rPr>
      </w:pPr>
    </w:p>
    <w:p>
      <w:pPr>
        <w:ind w:left="1620" w:right="240"/>
        <w:spacing w:after="0" w:line="253" w:lineRule="auto"/>
        <w:rPr>
          <w:sz w:val="20"/>
          <w:szCs w:val="20"/>
          <w:color w:val="auto"/>
        </w:rPr>
      </w:pPr>
      <w:r>
        <w:rPr>
          <w:rFonts w:ascii="Arial" w:cs="Arial" w:eastAsia="Arial" w:hAnsi="Arial"/>
          <w:sz w:val="22"/>
          <w:szCs w:val="22"/>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186" w:lineRule="exact"/>
        <w:rPr>
          <w:sz w:val="20"/>
          <w:szCs w:val="20"/>
          <w:color w:val="auto"/>
        </w:rPr>
      </w:pPr>
    </w:p>
    <w:p>
      <w:pPr>
        <w:ind w:left="1300" w:right="40" w:firstLine="5"/>
        <w:spacing w:after="0" w:line="263" w:lineRule="auto"/>
        <w:tabs>
          <w:tab w:leader="none" w:pos="1606"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has the meaning given it in Article 2 of the Plan; provided, however, that the Employee must also be considered to be “disabled” for purposes of Treas. Reg. §1.409A-3(i)(4).</w:t>
      </w:r>
    </w:p>
    <w:p>
      <w:pPr>
        <w:sectPr>
          <w:pgSz w:w="11900" w:h="16838" w:orient="portrait"/>
          <w:cols w:equalWidth="0" w:num="1">
            <w:col w:w="11420"/>
          </w:cols>
          <w:pgMar w:left="240" w:top="591" w:right="239" w:bottom="1440" w:gutter="0" w:footer="0" w:header="0"/>
        </w:sectPr>
      </w:pPr>
    </w:p>
    <w:bookmarkStart w:id="101" w:name="page102"/>
    <w:bookmarkEnd w:id="101"/>
    <w:p>
      <w:pPr>
        <w:ind w:left="1300" w:right="80" w:firstLine="5"/>
        <w:spacing w:after="0" w:line="263" w:lineRule="auto"/>
        <w:tabs>
          <w:tab w:leader="none" w:pos="1606" w:val="left"/>
        </w:tabs>
        <w:numPr>
          <w:ilvl w:val="2"/>
          <w:numId w:val="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Retirement</w:t>
      </w:r>
      <w:r>
        <w:rPr>
          <w:rFonts w:ascii="Arial" w:cs="Arial" w:eastAsia="Arial" w:hAnsi="Arial"/>
          <w:sz w:val="21"/>
          <w:szCs w:val="21"/>
          <w:color w:val="auto"/>
        </w:rPr>
        <w:t>” shall mean that the Employee voluntarily retires from the employ of the Company at or after both attaining age fifty-five (55),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w:t>
      </w:r>
    </w:p>
    <w:p>
      <w:pPr>
        <w:spacing w:after="0" w:line="169" w:lineRule="exact"/>
        <w:rPr>
          <w:rFonts w:ascii="Arial" w:cs="Arial" w:eastAsia="Arial" w:hAnsi="Arial"/>
          <w:sz w:val="21"/>
          <w:szCs w:val="21"/>
          <w:color w:val="auto"/>
        </w:rPr>
      </w:pPr>
    </w:p>
    <w:p>
      <w:pPr>
        <w:ind w:left="360" w:hanging="352"/>
        <w:spacing w:after="0"/>
        <w:tabs>
          <w:tab w:leader="none" w:pos="3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w:t>
      </w:r>
    </w:p>
    <w:p>
      <w:pPr>
        <w:spacing w:after="0" w:line="239" w:lineRule="exact"/>
        <w:rPr>
          <w:rFonts w:ascii="Arial" w:cs="Arial" w:eastAsia="Arial" w:hAnsi="Arial"/>
          <w:sz w:val="22"/>
          <w:szCs w:val="22"/>
          <w:b w:val="1"/>
          <w:bCs w:val="1"/>
          <w:color w:val="auto"/>
        </w:rPr>
      </w:pPr>
    </w:p>
    <w:p>
      <w:pPr>
        <w:ind w:right="380" w:firstLine="656"/>
        <w:spacing w:after="0" w:line="263" w:lineRule="auto"/>
        <w:tabs>
          <w:tab w:leader="none" w:pos="942"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The PSUs granted hereunder may not be sold, transferred, pledged, assigned, encumbered, or otherwise alienated or hypothecated.</w:t>
      </w:r>
    </w:p>
    <w:p>
      <w:pPr>
        <w:spacing w:after="0" w:line="174" w:lineRule="exact"/>
        <w:rPr>
          <w:rFonts w:ascii="Arial" w:cs="Arial" w:eastAsia="Arial" w:hAnsi="Arial"/>
          <w:sz w:val="22"/>
          <w:szCs w:val="22"/>
          <w:color w:val="auto"/>
        </w:rPr>
      </w:pPr>
    </w:p>
    <w:p>
      <w:pPr>
        <w:jc w:val="both"/>
        <w:ind w:right="320" w:firstLine="656"/>
        <w:spacing w:after="0" w:line="250" w:lineRule="auto"/>
        <w:tabs>
          <w:tab w:leader="none" w:pos="954"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xml:space="preserve"> Except as provided for in Section 2, if the Employee’s employment with the Company terminates for any reason</w:t>
      </w:r>
      <w:r>
        <w:rPr>
          <w:rFonts w:ascii="Arial" w:cs="Arial" w:eastAsia="Arial" w:hAnsi="Arial"/>
          <w:sz w:val="22"/>
          <w:szCs w:val="22"/>
          <w:b w:val="1"/>
          <w:bCs w:val="1"/>
          <w:color w:val="auto"/>
        </w:rPr>
        <w:t>,</w:t>
      </w:r>
      <w:r>
        <w:rPr>
          <w:rFonts w:ascii="Arial" w:cs="Arial" w:eastAsia="Arial" w:hAnsi="Arial"/>
          <w:sz w:val="22"/>
          <w:szCs w:val="22"/>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188" w:lineRule="exact"/>
        <w:rPr>
          <w:rFonts w:ascii="Arial" w:cs="Arial" w:eastAsia="Arial" w:hAnsi="Arial"/>
          <w:sz w:val="22"/>
          <w:szCs w:val="22"/>
          <w:color w:val="auto"/>
        </w:rPr>
      </w:pPr>
    </w:p>
    <w:p>
      <w:pPr>
        <w:ind w:right="260" w:firstLine="656"/>
        <w:spacing w:after="0" w:line="253" w:lineRule="auto"/>
        <w:tabs>
          <w:tab w:leader="none" w:pos="942"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xml:space="preserve"> This award and any resulting payment or Shares is subject to set-off, recoupment, or other recovery or “clawback” as required by applicable law or by any Company policy on the clawback of compensation, as amended from time to time.</w:t>
      </w:r>
    </w:p>
    <w:p>
      <w:pPr>
        <w:spacing w:after="0" w:line="179"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Shares.</w:t>
      </w:r>
    </w:p>
    <w:p>
      <w:pPr>
        <w:spacing w:after="0" w:line="239" w:lineRule="exact"/>
        <w:rPr>
          <w:rFonts w:ascii="Arial" w:cs="Arial" w:eastAsia="Arial" w:hAnsi="Arial"/>
          <w:sz w:val="22"/>
          <w:szCs w:val="22"/>
          <w:b w:val="1"/>
          <w:bCs w:val="1"/>
          <w:color w:val="auto"/>
        </w:rPr>
      </w:pPr>
    </w:p>
    <w:p>
      <w:pPr>
        <w:ind w:firstLine="656"/>
        <w:spacing w:after="0" w:line="265" w:lineRule="auto"/>
        <w:tabs>
          <w:tab w:leader="none" w:pos="942"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Method of Settlement</w:t>
      </w:r>
      <w:r>
        <w:rPr>
          <w:rFonts w:ascii="Arial" w:cs="Arial" w:eastAsia="Arial" w:hAnsi="Arial"/>
          <w:sz w:val="21"/>
          <w:szCs w:val="21"/>
          <w:color w:val="auto"/>
        </w:rPr>
        <w:t>. The means of settlement of vested PSUs is that the Company shall deliver to the Employee a certificate or certificates, or at the election of the Company make an appropriate book entry, for the number of shares of Stock equal to the number of the Employee’s PSUs that vest and are payable as specified in Section 2. An Employee shall have no further rights with regard to PSUs once the underlying Stock has been so delivered.</w:t>
      </w:r>
    </w:p>
    <w:p>
      <w:pPr>
        <w:spacing w:after="0" w:line="175" w:lineRule="exact"/>
        <w:rPr>
          <w:rFonts w:ascii="Arial" w:cs="Arial" w:eastAsia="Arial" w:hAnsi="Arial"/>
          <w:sz w:val="21"/>
          <w:szCs w:val="21"/>
          <w:color w:val="auto"/>
        </w:rPr>
      </w:pPr>
    </w:p>
    <w:p>
      <w:pPr>
        <w:ind w:right="140" w:firstLine="656"/>
        <w:spacing w:after="0" w:line="292" w:lineRule="auto"/>
        <w:tabs>
          <w:tab w:leader="none" w:pos="954"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Deferred Delivery</w:t>
      </w:r>
      <w:r>
        <w:rPr>
          <w:rFonts w:ascii="Arial" w:cs="Arial" w:eastAsia="Arial" w:hAnsi="Arial"/>
          <w:sz w:val="19"/>
          <w:szCs w:val="19"/>
          <w:color w:val="auto"/>
        </w:rPr>
        <w:t>. Shares otherwise deliverable under this Agreement may be deferred by the Employee to a date after the Maturity Date to the extent that this PSU award constitutes “performance-based compensation” under Section 409A of the Code and the Employee makes a timely and otherwise valid election to defer receipt of payment. Any payment deferred under the terms of this Agreement and the Plan shall also be subject to the provisions of the Haemonetics Corporation Non-Qualified Deferred Compensation Plan, including the deemed investment funds available under such plan. Any deferral election of the Employee shall be deemed void and payment shall be made as otherwise provided by this Agreement in the event of the Employee’s Disability, the Employee’s death, or a Change in Control prior to the deferred payment date.</w:t>
      </w:r>
    </w:p>
    <w:p>
      <w:pPr>
        <w:spacing w:after="0" w:line="145" w:lineRule="exact"/>
        <w:rPr>
          <w:rFonts w:ascii="Arial" w:cs="Arial" w:eastAsia="Arial" w:hAnsi="Arial"/>
          <w:sz w:val="19"/>
          <w:szCs w:val="19"/>
          <w:color w:val="auto"/>
        </w:rPr>
      </w:pPr>
    </w:p>
    <w:p>
      <w:pPr>
        <w:ind w:left="360" w:hanging="352"/>
        <w:spacing w:after="0"/>
        <w:tabs>
          <w:tab w:leader="none" w:pos="3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Employee Shareholder Rights.</w:t>
      </w:r>
    </w:p>
    <w:p>
      <w:pPr>
        <w:spacing w:after="0" w:line="239" w:lineRule="exact"/>
        <w:rPr>
          <w:sz w:val="20"/>
          <w:szCs w:val="20"/>
          <w:color w:val="auto"/>
        </w:rPr>
      </w:pPr>
    </w:p>
    <w:p>
      <w:pPr>
        <w:ind w:right="200"/>
        <w:spacing w:after="0" w:line="265" w:lineRule="auto"/>
        <w:rPr>
          <w:sz w:val="20"/>
          <w:szCs w:val="20"/>
          <w:color w:val="auto"/>
        </w:rPr>
      </w:pPr>
      <w:r>
        <w:rPr>
          <w:rFonts w:ascii="Arial" w:cs="Arial" w:eastAsia="Arial" w:hAnsi="Arial"/>
          <w:sz w:val="21"/>
          <w:szCs w:val="21"/>
          <w:color w:val="auto"/>
        </w:rPr>
        <w:t>Neither the Employee nor any person claiming through the Employee, will have any of the rights or privileges of a stockholder of Haemonetics with respect to the PSUs unless and until Stock has been issued, recorded on the records of the Company or its transfer agent, and delivered to the Employee. No dividend equivalents shall be paid on PSUs with respect to any cash dividends declared during any periods of time prior delivery of the shares of Stock</w:t>
      </w:r>
    </w:p>
    <w:p>
      <w:pPr>
        <w:spacing w:after="0" w:line="17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Adjustments or Changes in Capitalization.</w:t>
      </w:r>
    </w:p>
    <w:p>
      <w:pPr>
        <w:sectPr>
          <w:pgSz w:w="11900" w:h="16838" w:orient="portrait"/>
          <w:cols w:equalWidth="0" w:num="1">
            <w:col w:w="11420"/>
          </w:cols>
          <w:pgMar w:left="240" w:top="807" w:right="23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22"/>
          <w:szCs w:val="22"/>
          <w:color w:val="auto"/>
        </w:rPr>
        <w:t>Adjustments as a result of changes in corporate capitalization and the like or as a result of a corporate transaction shall be made in accordance with Article 4 of the Plan.</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Disability or Death of Employee.</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7"/>
          <w:szCs w:val="17"/>
          <w:b w:val="1"/>
          <w:bCs w:val="1"/>
          <w:color w:val="auto"/>
        </w:rPr>
        <w:t>Taxes.</w:t>
      </w:r>
    </w:p>
    <w:p>
      <w:pPr>
        <w:spacing w:after="0" w:line="239"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w:t>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Data Privacy Consent.</w:t>
      </w:r>
    </w:p>
    <w:p>
      <w:pPr>
        <w:spacing w:after="0" w:line="239"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As a condition of the Grant, the Employee consents to the collection, use and transfer of the Employee’s personal data as described in this Section 9.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the Employee’s favor, for the purpose of implementing,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 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the Grant or the Plan. For more information on the consequences of</w:t>
      </w:r>
    </w:p>
    <w:p>
      <w:pPr>
        <w:sectPr>
          <w:pgSz w:w="11900" w:h="16838" w:orient="portrait"/>
          <w:cols w:equalWidth="0" w:num="1">
            <w:col w:w="11400"/>
          </w:cols>
          <w:pgMar w:left="240" w:top="591" w:right="259" w:bottom="1440" w:gutter="0" w:footer="0" w:header="0"/>
        </w:sectPr>
      </w:pPr>
    </w:p>
    <w:bookmarkStart w:id="103" w:name="page104"/>
    <w:bookmarkEnd w:id="103"/>
    <w:p>
      <w:pPr>
        <w:ind w:right="840"/>
        <w:spacing w:after="0" w:line="263" w:lineRule="auto"/>
        <w:rPr>
          <w:sz w:val="20"/>
          <w:szCs w:val="20"/>
          <w:color w:val="auto"/>
        </w:rPr>
      </w:pPr>
      <w:r>
        <w:rPr>
          <w:rFonts w:ascii="Arial" w:cs="Arial" w:eastAsia="Arial" w:hAnsi="Arial"/>
          <w:sz w:val="22"/>
          <w:szCs w:val="22"/>
          <w:color w:val="auto"/>
        </w:rPr>
        <w:t>the Employee’s refusal to consent or withdrawal of consent, the Employee understands that the Employee may contact the Employee’s local Human Resources representative.</w:t>
      </w:r>
    </w:p>
    <w:p>
      <w:pPr>
        <w:spacing w:after="0" w:line="16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39" w:lineRule="exact"/>
        <w:rPr>
          <w:rFonts w:ascii="Arial" w:cs="Arial" w:eastAsia="Arial" w:hAnsi="Arial"/>
          <w:sz w:val="22"/>
          <w:szCs w:val="22"/>
          <w:b w:val="1"/>
          <w:bCs w:val="1"/>
          <w:color w:val="auto"/>
        </w:rPr>
      </w:pPr>
    </w:p>
    <w:p>
      <w:pPr>
        <w:jc w:val="both"/>
        <w:ind w:right="120" w:firstLine="656"/>
        <w:spacing w:after="0" w:line="250" w:lineRule="auto"/>
        <w:tabs>
          <w:tab w:leader="none" w:pos="942"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xml:space="preserve">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88" w:lineRule="exact"/>
        <w:rPr>
          <w:rFonts w:ascii="Arial" w:cs="Arial" w:eastAsia="Arial" w:hAnsi="Arial"/>
          <w:sz w:val="22"/>
          <w:szCs w:val="22"/>
          <w:color w:val="auto"/>
        </w:rPr>
      </w:pPr>
    </w:p>
    <w:p>
      <w:pPr>
        <w:ind w:right="740" w:firstLine="656"/>
        <w:spacing w:after="0" w:line="263" w:lineRule="auto"/>
        <w:tabs>
          <w:tab w:leader="none" w:pos="954"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Further Acts.</w:t>
      </w:r>
      <w:r>
        <w:rPr>
          <w:rFonts w:ascii="Arial" w:cs="Arial" w:eastAsia="Arial" w:hAnsi="Arial"/>
          <w:sz w:val="22"/>
          <w:szCs w:val="22"/>
          <w:color w:val="auto"/>
        </w:rPr>
        <w:t xml:space="preserve"> The parties agree to execute such further instruments and to take such action as may reasonably be necessary to carry out the intent of this Agreement.</w:t>
      </w:r>
    </w:p>
    <w:p>
      <w:pPr>
        <w:spacing w:after="0" w:line="174" w:lineRule="exact"/>
        <w:rPr>
          <w:rFonts w:ascii="Arial" w:cs="Arial" w:eastAsia="Arial" w:hAnsi="Arial"/>
          <w:sz w:val="22"/>
          <w:szCs w:val="22"/>
          <w:color w:val="auto"/>
        </w:rPr>
      </w:pPr>
    </w:p>
    <w:p>
      <w:pPr>
        <w:ind w:right="60" w:firstLine="656"/>
        <w:spacing w:after="0" w:line="263" w:lineRule="auto"/>
        <w:tabs>
          <w:tab w:leader="none" w:pos="942"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Any notice required or permitted hereunder shall be given in writing and shall be deemed effectively given upon delivery to the Employee at her/his address then on file with the Company.</w:t>
      </w:r>
    </w:p>
    <w:p>
      <w:pPr>
        <w:spacing w:after="0" w:line="174" w:lineRule="exact"/>
        <w:rPr>
          <w:rFonts w:ascii="Arial" w:cs="Arial" w:eastAsia="Arial" w:hAnsi="Arial"/>
          <w:sz w:val="22"/>
          <w:szCs w:val="22"/>
          <w:color w:val="auto"/>
        </w:rPr>
      </w:pPr>
    </w:p>
    <w:p>
      <w:pPr>
        <w:ind w:right="340" w:firstLine="656"/>
        <w:spacing w:after="0" w:line="253" w:lineRule="auto"/>
        <w:tabs>
          <w:tab w:leader="none" w:pos="954"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185" w:lineRule="exact"/>
        <w:rPr>
          <w:rFonts w:ascii="Arial" w:cs="Arial" w:eastAsia="Arial" w:hAnsi="Arial"/>
          <w:sz w:val="22"/>
          <w:szCs w:val="22"/>
          <w:color w:val="auto"/>
        </w:rPr>
      </w:pPr>
    </w:p>
    <w:p>
      <w:pPr>
        <w:ind w:right="100" w:firstLine="656"/>
        <w:spacing w:after="0" w:line="312" w:lineRule="auto"/>
        <w:tabs>
          <w:tab w:leader="none" w:pos="94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133" w:lineRule="exact"/>
        <w:rPr>
          <w:rFonts w:ascii="Arial" w:cs="Arial" w:eastAsia="Arial" w:hAnsi="Arial"/>
          <w:sz w:val="19"/>
          <w:szCs w:val="19"/>
          <w:color w:val="auto"/>
        </w:rPr>
      </w:pPr>
    </w:p>
    <w:p>
      <w:pPr>
        <w:ind w:firstLine="656"/>
        <w:spacing w:after="0" w:line="263" w:lineRule="auto"/>
        <w:tabs>
          <w:tab w:leader="none" w:pos="918"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and applicable federal law, without regard to applicable conflicts of laws.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ectPr>
          <w:pgSz w:w="11900" w:h="16838" w:orient="portrait"/>
          <w:cols w:equalWidth="0" w:num="1">
            <w:col w:w="11420"/>
          </w:cols>
          <w:pgMar w:left="240" w:top="591" w:right="239" w:bottom="1440" w:gutter="0" w:footer="0" w:header="0"/>
        </w:sectPr>
      </w:pPr>
    </w:p>
    <w:bookmarkStart w:id="104" w:name="page105"/>
    <w:bookmarkEnd w:id="104"/>
    <w:p>
      <w:pPr>
        <w:ind w:firstLine="810"/>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representative, and the Employee has accepted this agreement, all as of the Grant Date first above written.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Brian Concannon, President and CEO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of Employee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RETAIN A COPY OF THIS AGREEMENT FOR YOUR RECORDS</w:t>
      </w:r>
    </w:p>
    <w:p>
      <w:pPr>
        <w:sectPr>
          <w:pgSz w:w="11900" w:h="16838" w:orient="portrait"/>
          <w:cols w:equalWidth="0" w:num="1">
            <w:col w:w="11300"/>
          </w:cols>
          <w:pgMar w:left="240" w:top="591" w:right="35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color w:val="F2F2F2"/>
        </w:rPr>
        <w:t>Exhibit 21.1</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Exhibit 21.1 - Subsidiaries of the Company</w:t>
      </w: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180" w:type="dxa"/>
            <w:vAlign w:val="bottom"/>
            <w:shd w:val="clear" w:color="auto" w:fill="666699"/>
          </w:tcPr>
          <w:p>
            <w:pPr>
              <w:ind w:left="40"/>
              <w:spacing w:after="0"/>
              <w:rPr>
                <w:sz w:val="20"/>
                <w:szCs w:val="20"/>
                <w:color w:val="auto"/>
              </w:rPr>
            </w:pPr>
            <w:r>
              <w:rPr>
                <w:rFonts w:ascii="Arial" w:cs="Arial" w:eastAsia="Arial" w:hAnsi="Arial"/>
                <w:sz w:val="15"/>
                <w:szCs w:val="15"/>
                <w:b w:val="1"/>
                <w:bCs w:val="1"/>
                <w:color w:val="FFFFFF"/>
              </w:rPr>
              <w:t>Entity Name</w:t>
            </w:r>
          </w:p>
        </w:tc>
        <w:tc>
          <w:tcPr>
            <w:tcW w:w="4520" w:type="dxa"/>
            <w:vAlign w:val="bottom"/>
            <w:shd w:val="clear" w:color="auto" w:fill="666699"/>
          </w:tcPr>
          <w:p>
            <w:pPr>
              <w:ind w:left="1240"/>
              <w:spacing w:after="0"/>
              <w:rPr>
                <w:sz w:val="20"/>
                <w:szCs w:val="20"/>
                <w:color w:val="auto"/>
              </w:rPr>
            </w:pPr>
            <w:r>
              <w:rPr>
                <w:rFonts w:ascii="Arial" w:cs="Arial" w:eastAsia="Arial" w:hAnsi="Arial"/>
                <w:sz w:val="15"/>
                <w:szCs w:val="15"/>
                <w:b w:val="1"/>
                <w:bCs w:val="1"/>
                <w:color w:val="FFFFFF"/>
              </w:rPr>
              <w:t>Jurisdiction of Incorporation</w:t>
            </w:r>
          </w:p>
        </w:tc>
      </w:tr>
      <w:tr>
        <w:trPr>
          <w:trHeight w:val="208"/>
        </w:trPr>
        <w:tc>
          <w:tcPr>
            <w:tcW w:w="6180" w:type="dxa"/>
            <w:vAlign w:val="bottom"/>
          </w:tcPr>
          <w:p>
            <w:pPr>
              <w:ind w:left="40"/>
              <w:spacing w:after="0"/>
              <w:rPr>
                <w:sz w:val="20"/>
                <w:szCs w:val="20"/>
                <w:color w:val="auto"/>
              </w:rPr>
            </w:pPr>
            <w:r>
              <w:rPr>
                <w:rFonts w:ascii="Arial" w:cs="Arial" w:eastAsia="Arial" w:hAnsi="Arial"/>
                <w:sz w:val="15"/>
                <w:szCs w:val="15"/>
                <w:color w:val="auto"/>
              </w:rPr>
              <w:t>5D Information Management, Inc.</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Arryx, Inc.</w:t>
            </w:r>
          </w:p>
        </w:tc>
        <w:tc>
          <w:tcPr>
            <w:tcW w:w="4520" w:type="dxa"/>
            <w:vAlign w:val="bottom"/>
          </w:tcPr>
          <w:p>
            <w:pPr>
              <w:ind w:left="1240"/>
              <w:spacing w:after="0"/>
              <w:rPr>
                <w:sz w:val="20"/>
                <w:szCs w:val="20"/>
                <w:color w:val="auto"/>
              </w:rPr>
            </w:pPr>
            <w:r>
              <w:rPr>
                <w:rFonts w:ascii="Arial" w:cs="Arial" w:eastAsia="Arial" w:hAnsi="Arial"/>
                <w:sz w:val="15"/>
                <w:szCs w:val="15"/>
                <w:color w:val="auto"/>
              </w:rPr>
              <w:t>Nevada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Global Med Technologies, Inc.</w:t>
            </w:r>
          </w:p>
        </w:tc>
        <w:tc>
          <w:tcPr>
            <w:tcW w:w="4520" w:type="dxa"/>
            <w:vAlign w:val="bottom"/>
          </w:tcPr>
          <w:p>
            <w:pPr>
              <w:ind w:left="1240"/>
              <w:spacing w:after="0"/>
              <w:rPr>
                <w:sz w:val="20"/>
                <w:szCs w:val="20"/>
                <w:color w:val="auto"/>
              </w:rPr>
            </w:pPr>
            <w:r>
              <w:rPr>
                <w:rFonts w:ascii="Arial" w:cs="Arial" w:eastAsia="Arial" w:hAnsi="Arial"/>
                <w:sz w:val="15"/>
                <w:szCs w:val="15"/>
                <w:color w:val="auto"/>
              </w:rPr>
              <w:t>Colorado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(Hong Kong)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Hong Kong</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(Hong Kong) Limited - Liaison Office</w:t>
            </w:r>
          </w:p>
        </w:tc>
        <w:tc>
          <w:tcPr>
            <w:tcW w:w="4520" w:type="dxa"/>
            <w:vAlign w:val="bottom"/>
          </w:tcPr>
          <w:p>
            <w:pPr>
              <w:ind w:left="1240"/>
              <w:spacing w:after="0"/>
              <w:rPr>
                <w:sz w:val="20"/>
                <w:szCs w:val="20"/>
                <w:color w:val="auto"/>
              </w:rPr>
            </w:pPr>
            <w:r>
              <w:rPr>
                <w:rFonts w:ascii="Arial" w:cs="Arial" w:eastAsia="Arial" w:hAnsi="Arial"/>
                <w:sz w:val="15"/>
                <w:szCs w:val="15"/>
                <w:color w:val="auto"/>
              </w:rPr>
              <w:t>Haryana - India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(UK)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United Kingdom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Incorporated</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Incorporated - Taiwan Branch</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UK Ltd.</w:t>
            </w:r>
          </w:p>
        </w:tc>
        <w:tc>
          <w:tcPr>
            <w:tcW w:w="4520" w:type="dxa"/>
            <w:vAlign w:val="bottom"/>
          </w:tcPr>
          <w:p>
            <w:pPr>
              <w:ind w:left="1240"/>
              <w:spacing w:after="0"/>
              <w:rPr>
                <w:sz w:val="20"/>
                <w:szCs w:val="20"/>
                <w:color w:val="auto"/>
              </w:rPr>
            </w:pPr>
            <w:r>
              <w:rPr>
                <w:rFonts w:ascii="Arial" w:cs="Arial" w:eastAsia="Arial" w:hAnsi="Arial"/>
                <w:sz w:val="15"/>
                <w:szCs w:val="15"/>
                <w:color w:val="auto"/>
              </w:rPr>
              <w:t>England/Wales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Asia, Inc.</w:t>
            </w:r>
          </w:p>
        </w:tc>
        <w:tc>
          <w:tcPr>
            <w:tcW w:w="4520" w:type="dxa"/>
            <w:vAlign w:val="bottom"/>
          </w:tcPr>
          <w:p>
            <w:pPr>
              <w:ind w:left="1240"/>
              <w:spacing w:after="0"/>
              <w:rPr>
                <w:sz w:val="20"/>
                <w:szCs w:val="20"/>
                <w:color w:val="auto"/>
              </w:rPr>
            </w:pPr>
            <w:r>
              <w:rPr>
                <w:rFonts w:ascii="Arial" w:cs="Arial" w:eastAsia="Arial" w:hAnsi="Arial"/>
                <w:sz w:val="15"/>
                <w:szCs w:val="15"/>
                <w:color w:val="auto"/>
              </w:rPr>
              <w:t>Taipei - Taiwan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Australia PTY Ltd.</w:t>
            </w:r>
          </w:p>
        </w:tc>
        <w:tc>
          <w:tcPr>
            <w:tcW w:w="4520" w:type="dxa"/>
            <w:vAlign w:val="bottom"/>
          </w:tcPr>
          <w:p>
            <w:pPr>
              <w:ind w:left="1240"/>
              <w:spacing w:after="0"/>
              <w:rPr>
                <w:sz w:val="20"/>
                <w:szCs w:val="20"/>
                <w:color w:val="auto"/>
              </w:rPr>
            </w:pPr>
            <w:r>
              <w:rPr>
                <w:rFonts w:ascii="Arial" w:cs="Arial" w:eastAsia="Arial" w:hAnsi="Arial"/>
                <w:sz w:val="15"/>
                <w:szCs w:val="15"/>
                <w:color w:val="auto"/>
              </w:rPr>
              <w:t>Victoria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Belgium NV</w:t>
            </w:r>
          </w:p>
        </w:tc>
        <w:tc>
          <w:tcPr>
            <w:tcW w:w="4520" w:type="dxa"/>
            <w:vAlign w:val="bottom"/>
          </w:tcPr>
          <w:p>
            <w:pPr>
              <w:ind w:left="1240"/>
              <w:spacing w:after="0"/>
              <w:rPr>
                <w:sz w:val="20"/>
                <w:szCs w:val="20"/>
                <w:color w:val="auto"/>
              </w:rPr>
            </w:pPr>
            <w:r>
              <w:rPr>
                <w:rFonts w:ascii="Arial" w:cs="Arial" w:eastAsia="Arial" w:hAnsi="Arial"/>
                <w:sz w:val="15"/>
                <w:szCs w:val="15"/>
                <w:color w:val="auto"/>
              </w:rPr>
              <w:t>Brussels - Belgium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BV</w:t>
            </w:r>
          </w:p>
        </w:tc>
        <w:tc>
          <w:tcPr>
            <w:tcW w:w="4520" w:type="dxa"/>
            <w:vAlign w:val="bottom"/>
          </w:tcPr>
          <w:p>
            <w:pPr>
              <w:ind w:left="1240"/>
              <w:spacing w:after="0"/>
              <w:rPr>
                <w:sz w:val="20"/>
                <w:szCs w:val="20"/>
                <w:color w:val="auto"/>
              </w:rPr>
            </w:pPr>
            <w:r>
              <w:rPr>
                <w:rFonts w:ascii="Arial" w:cs="Arial" w:eastAsia="Arial" w:hAnsi="Arial"/>
                <w:sz w:val="15"/>
                <w:szCs w:val="15"/>
                <w:color w:val="auto"/>
              </w:rPr>
              <w:t>Breda - Netherlands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Canada Ltd.</w:t>
            </w:r>
          </w:p>
        </w:tc>
        <w:tc>
          <w:tcPr>
            <w:tcW w:w="4520" w:type="dxa"/>
            <w:vAlign w:val="bottom"/>
          </w:tcPr>
          <w:p>
            <w:pPr>
              <w:ind w:left="1240"/>
              <w:spacing w:after="0"/>
              <w:rPr>
                <w:sz w:val="20"/>
                <w:szCs w:val="20"/>
                <w:color w:val="auto"/>
              </w:rPr>
            </w:pPr>
            <w:r>
              <w:rPr>
                <w:rFonts w:ascii="Arial" w:cs="Arial" w:eastAsia="Arial" w:hAnsi="Arial"/>
                <w:sz w:val="15"/>
                <w:szCs w:val="15"/>
                <w:color w:val="auto"/>
              </w:rPr>
              <w:t>British Columbia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CZ, spol. s.r.o.</w:t>
            </w:r>
          </w:p>
        </w:tc>
        <w:tc>
          <w:tcPr>
            <w:tcW w:w="4520" w:type="dxa"/>
            <w:vAlign w:val="bottom"/>
          </w:tcPr>
          <w:p>
            <w:pPr>
              <w:ind w:left="1240"/>
              <w:spacing w:after="0"/>
              <w:rPr>
                <w:sz w:val="20"/>
                <w:szCs w:val="20"/>
                <w:color w:val="auto"/>
              </w:rPr>
            </w:pPr>
            <w:r>
              <w:rPr>
                <w:rFonts w:ascii="Arial" w:cs="Arial" w:eastAsia="Arial" w:hAnsi="Arial"/>
                <w:sz w:val="15"/>
                <w:szCs w:val="15"/>
                <w:color w:val="auto"/>
              </w:rPr>
              <w:t>Brno - Czech Republic</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France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Plaisir - 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Munich - Germany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Handelsgesellschaft m.b.H.</w:t>
            </w:r>
          </w:p>
        </w:tc>
        <w:tc>
          <w:tcPr>
            <w:tcW w:w="4520" w:type="dxa"/>
            <w:vAlign w:val="bottom"/>
          </w:tcPr>
          <w:p>
            <w:pPr>
              <w:ind w:left="1240"/>
              <w:spacing w:after="0"/>
              <w:rPr>
                <w:sz w:val="20"/>
                <w:szCs w:val="20"/>
                <w:color w:val="auto"/>
              </w:rPr>
            </w:pPr>
            <w:r>
              <w:rPr>
                <w:rFonts w:ascii="Arial" w:cs="Arial" w:eastAsia="Arial" w:hAnsi="Arial"/>
                <w:sz w:val="15"/>
                <w:szCs w:val="15"/>
                <w:color w:val="auto"/>
              </w:rPr>
              <w:t>Vienna - Austria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Healthcare India Private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India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Hospitalar Ltda.</w:t>
            </w:r>
          </w:p>
        </w:tc>
        <w:tc>
          <w:tcPr>
            <w:tcW w:w="4520" w:type="dxa"/>
            <w:vAlign w:val="bottom"/>
          </w:tcPr>
          <w:p>
            <w:pPr>
              <w:ind w:left="1240"/>
              <w:spacing w:after="0"/>
              <w:rPr>
                <w:sz w:val="20"/>
                <w:szCs w:val="20"/>
                <w:color w:val="auto"/>
              </w:rPr>
            </w:pPr>
            <w:r>
              <w:rPr>
                <w:rFonts w:ascii="Arial" w:cs="Arial" w:eastAsia="Arial" w:hAnsi="Arial"/>
                <w:sz w:val="15"/>
                <w:szCs w:val="15"/>
                <w:color w:val="auto"/>
              </w:rPr>
              <w:t>Sao Paulo - Brazil</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International Finance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Luxembourg</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International Holdings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Luzern,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IP HC Sarl</w:t>
            </w:r>
          </w:p>
        </w:tc>
        <w:tc>
          <w:tcPr>
            <w:tcW w:w="4520" w:type="dxa"/>
            <w:vAlign w:val="bottom"/>
          </w:tcPr>
          <w:p>
            <w:pPr>
              <w:ind w:left="1240"/>
              <w:spacing w:after="0"/>
              <w:rPr>
                <w:sz w:val="20"/>
                <w:szCs w:val="20"/>
                <w:color w:val="auto"/>
              </w:rPr>
            </w:pPr>
            <w:r>
              <w:rPr>
                <w:rFonts w:ascii="Arial" w:cs="Arial" w:eastAsia="Arial" w:hAnsi="Arial"/>
                <w:sz w:val="15"/>
                <w:szCs w:val="15"/>
                <w:color w:val="auto"/>
              </w:rPr>
              <w:t>Signy -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Italia s.r.l.</w:t>
            </w:r>
          </w:p>
        </w:tc>
        <w:tc>
          <w:tcPr>
            <w:tcW w:w="4520" w:type="dxa"/>
            <w:vAlign w:val="bottom"/>
          </w:tcPr>
          <w:p>
            <w:pPr>
              <w:ind w:left="1240"/>
              <w:spacing w:after="0"/>
              <w:rPr>
                <w:sz w:val="20"/>
                <w:szCs w:val="20"/>
                <w:color w:val="auto"/>
              </w:rPr>
            </w:pPr>
            <w:r>
              <w:rPr>
                <w:rFonts w:ascii="Arial" w:cs="Arial" w:eastAsia="Arial" w:hAnsi="Arial"/>
                <w:sz w:val="15"/>
                <w:szCs w:val="15"/>
                <w:color w:val="auto"/>
              </w:rPr>
              <w:t>Milan - Italy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Japan GK</w:t>
            </w:r>
          </w:p>
        </w:tc>
        <w:tc>
          <w:tcPr>
            <w:tcW w:w="4520" w:type="dxa"/>
            <w:vAlign w:val="bottom"/>
          </w:tcPr>
          <w:p>
            <w:pPr>
              <w:ind w:left="1240"/>
              <w:spacing w:after="0"/>
              <w:rPr>
                <w:sz w:val="20"/>
                <w:szCs w:val="20"/>
                <w:color w:val="auto"/>
              </w:rPr>
            </w:pPr>
            <w:r>
              <w:rPr>
                <w:rFonts w:ascii="Arial" w:cs="Arial" w:eastAsia="Arial" w:hAnsi="Arial"/>
                <w:sz w:val="15"/>
                <w:szCs w:val="15"/>
                <w:color w:val="auto"/>
              </w:rPr>
              <w:t>Toyko - Japan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Korea, Inc.</w:t>
            </w:r>
          </w:p>
        </w:tc>
        <w:tc>
          <w:tcPr>
            <w:tcW w:w="4520" w:type="dxa"/>
            <w:vAlign w:val="bottom"/>
          </w:tcPr>
          <w:p>
            <w:pPr>
              <w:ind w:left="1240"/>
              <w:spacing w:after="0"/>
              <w:rPr>
                <w:sz w:val="20"/>
                <w:szCs w:val="20"/>
                <w:color w:val="auto"/>
              </w:rPr>
            </w:pPr>
            <w:r>
              <w:rPr>
                <w:rFonts w:ascii="Arial" w:cs="Arial" w:eastAsia="Arial" w:hAnsi="Arial"/>
                <w:sz w:val="15"/>
                <w:szCs w:val="15"/>
                <w:color w:val="auto"/>
              </w:rPr>
              <w:t>Seoul - Korea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Bedfordshire - United Kingdom</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Malaysia Sdn. Bhd.</w:t>
            </w:r>
          </w:p>
        </w:tc>
        <w:tc>
          <w:tcPr>
            <w:tcW w:w="4520" w:type="dxa"/>
            <w:vAlign w:val="bottom"/>
          </w:tcPr>
          <w:p>
            <w:pPr>
              <w:ind w:left="1240"/>
              <w:spacing w:after="0"/>
              <w:rPr>
                <w:sz w:val="20"/>
                <w:szCs w:val="20"/>
                <w:color w:val="auto"/>
              </w:rPr>
            </w:pPr>
            <w:r>
              <w:rPr>
                <w:rFonts w:ascii="Arial" w:cs="Arial" w:eastAsia="Arial" w:hAnsi="Arial"/>
                <w:sz w:val="15"/>
                <w:szCs w:val="15"/>
                <w:color w:val="auto"/>
              </w:rPr>
              <w:t>Malaysia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Manufacturing, Inc.</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Massachusetts Security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Massachusetts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Medical Devices (Shanghai) International Trading Co., Ltd.</w:t>
            </w:r>
          </w:p>
        </w:tc>
        <w:tc>
          <w:tcPr>
            <w:tcW w:w="4520" w:type="dxa"/>
            <w:vAlign w:val="bottom"/>
          </w:tcPr>
          <w:p>
            <w:pPr>
              <w:ind w:left="1240"/>
              <w:spacing w:after="0"/>
              <w:rPr>
                <w:sz w:val="20"/>
                <w:szCs w:val="20"/>
                <w:color w:val="auto"/>
              </w:rPr>
            </w:pPr>
            <w:r>
              <w:rPr>
                <w:rFonts w:ascii="Arial" w:cs="Arial" w:eastAsia="Arial" w:hAnsi="Arial"/>
                <w:sz w:val="15"/>
                <w:szCs w:val="15"/>
                <w:color w:val="auto"/>
              </w:rPr>
              <w:t>Shanghai - China</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Mexico Manufacturing, S.de R.L. de C.V.</w:t>
            </w:r>
          </w:p>
        </w:tc>
        <w:tc>
          <w:tcPr>
            <w:tcW w:w="4520" w:type="dxa"/>
            <w:vAlign w:val="bottom"/>
          </w:tcPr>
          <w:p>
            <w:pPr>
              <w:ind w:left="1240"/>
              <w:spacing w:after="0"/>
              <w:rPr>
                <w:sz w:val="20"/>
                <w:szCs w:val="20"/>
                <w:color w:val="auto"/>
              </w:rPr>
            </w:pPr>
            <w:r>
              <w:rPr>
                <w:rFonts w:ascii="Arial" w:cs="Arial" w:eastAsia="Arial" w:hAnsi="Arial"/>
                <w:sz w:val="15"/>
                <w:szCs w:val="15"/>
                <w:color w:val="auto"/>
              </w:rPr>
              <w:t>Mexico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New Zealand Limited</w:t>
            </w:r>
          </w:p>
        </w:tc>
        <w:tc>
          <w:tcPr>
            <w:tcW w:w="4520" w:type="dxa"/>
            <w:vAlign w:val="bottom"/>
          </w:tcPr>
          <w:p>
            <w:pPr>
              <w:ind w:left="1240"/>
              <w:spacing w:after="0"/>
              <w:rPr>
                <w:sz w:val="20"/>
                <w:szCs w:val="20"/>
                <w:color w:val="auto"/>
              </w:rPr>
            </w:pPr>
            <w:r>
              <w:rPr>
                <w:rFonts w:ascii="Arial" w:cs="Arial" w:eastAsia="Arial" w:hAnsi="Arial"/>
                <w:sz w:val="15"/>
                <w:szCs w:val="15"/>
                <w:color w:val="auto"/>
              </w:rPr>
              <w:t>New Zealand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Produzione Italia S.r.l.</w:t>
            </w:r>
          </w:p>
        </w:tc>
        <w:tc>
          <w:tcPr>
            <w:tcW w:w="4520" w:type="dxa"/>
            <w:vAlign w:val="bottom"/>
          </w:tcPr>
          <w:p>
            <w:pPr>
              <w:ind w:left="1240"/>
              <w:spacing w:after="0"/>
              <w:rPr>
                <w:sz w:val="20"/>
                <w:szCs w:val="20"/>
                <w:color w:val="auto"/>
              </w:rPr>
            </w:pPr>
            <w:r>
              <w:rPr>
                <w:rFonts w:ascii="Arial" w:cs="Arial" w:eastAsia="Arial" w:hAnsi="Arial"/>
                <w:sz w:val="15"/>
                <w:szCs w:val="15"/>
                <w:color w:val="auto"/>
              </w:rPr>
              <w:t>Italy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Puerto Rico LLC</w:t>
            </w:r>
          </w:p>
        </w:tc>
        <w:tc>
          <w:tcPr>
            <w:tcW w:w="4520" w:type="dxa"/>
            <w:vAlign w:val="bottom"/>
          </w:tcPr>
          <w:p>
            <w:pPr>
              <w:ind w:left="1240"/>
              <w:spacing w:after="0"/>
              <w:rPr>
                <w:sz w:val="20"/>
                <w:szCs w:val="20"/>
                <w:color w:val="auto"/>
              </w:rPr>
            </w:pPr>
            <w:r>
              <w:rPr>
                <w:rFonts w:ascii="Arial" w:cs="Arial" w:eastAsia="Arial" w:hAnsi="Arial"/>
                <w:sz w:val="15"/>
                <w:szCs w:val="15"/>
                <w:color w:val="auto"/>
              </w:rPr>
              <w:t>Puerto Rico</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S.A.</w:t>
            </w:r>
          </w:p>
        </w:tc>
        <w:tc>
          <w:tcPr>
            <w:tcW w:w="4520" w:type="dxa"/>
            <w:vAlign w:val="bottom"/>
          </w:tcPr>
          <w:p>
            <w:pPr>
              <w:ind w:left="1240"/>
              <w:spacing w:after="0"/>
              <w:rPr>
                <w:sz w:val="20"/>
                <w:szCs w:val="20"/>
                <w:color w:val="auto"/>
              </w:rPr>
            </w:pPr>
            <w:r>
              <w:rPr>
                <w:rFonts w:ascii="Arial" w:cs="Arial" w:eastAsia="Arial" w:hAnsi="Arial"/>
                <w:sz w:val="15"/>
                <w:szCs w:val="15"/>
                <w:color w:val="auto"/>
              </w:rPr>
              <w:t>Signy - Switzerland</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Scandinavia AB</w:t>
            </w:r>
          </w:p>
        </w:tc>
        <w:tc>
          <w:tcPr>
            <w:tcW w:w="4520" w:type="dxa"/>
            <w:vAlign w:val="bottom"/>
          </w:tcPr>
          <w:p>
            <w:pPr>
              <w:ind w:left="1240"/>
              <w:spacing w:after="0"/>
              <w:rPr>
                <w:sz w:val="20"/>
                <w:szCs w:val="20"/>
                <w:color w:val="auto"/>
              </w:rPr>
            </w:pPr>
            <w:r>
              <w:rPr>
                <w:rFonts w:ascii="Arial" w:cs="Arial" w:eastAsia="Arial" w:hAnsi="Arial"/>
                <w:sz w:val="15"/>
                <w:szCs w:val="15"/>
                <w:color w:val="auto"/>
              </w:rPr>
              <w:t>Lund - Sweden</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Haemonetics Singapore Pte. Ltd.</w:t>
            </w:r>
          </w:p>
        </w:tc>
        <w:tc>
          <w:tcPr>
            <w:tcW w:w="4520" w:type="dxa"/>
            <w:vAlign w:val="bottom"/>
          </w:tcPr>
          <w:p>
            <w:pPr>
              <w:ind w:left="1240"/>
              <w:spacing w:after="0"/>
              <w:rPr>
                <w:sz w:val="20"/>
                <w:szCs w:val="20"/>
                <w:color w:val="auto"/>
              </w:rPr>
            </w:pPr>
            <w:r>
              <w:rPr>
                <w:rFonts w:ascii="Arial" w:cs="Arial" w:eastAsia="Arial" w:hAnsi="Arial"/>
                <w:sz w:val="15"/>
                <w:szCs w:val="15"/>
                <w:color w:val="auto"/>
              </w:rPr>
              <w:t>Singapore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Haemoscope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Massachusetts</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SAS</w:t>
            </w:r>
          </w:p>
        </w:tc>
        <w:tc>
          <w:tcPr>
            <w:tcW w:w="4520" w:type="dxa"/>
            <w:vAlign w:val="bottom"/>
          </w:tcPr>
          <w:p>
            <w:pPr>
              <w:ind w:left="1240"/>
              <w:spacing w:after="0"/>
              <w:rPr>
                <w:sz w:val="20"/>
                <w:szCs w:val="20"/>
                <w:color w:val="auto"/>
              </w:rPr>
            </w:pPr>
            <w:r>
              <w:rPr>
                <w:rFonts w:ascii="Arial" w:cs="Arial" w:eastAsia="Arial" w:hAnsi="Arial"/>
                <w:sz w:val="15"/>
                <w:szCs w:val="15"/>
                <w:color w:val="auto"/>
              </w:rPr>
              <w:t>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Deutschland GmbH</w:t>
            </w:r>
          </w:p>
        </w:tc>
        <w:tc>
          <w:tcPr>
            <w:tcW w:w="4520" w:type="dxa"/>
            <w:vAlign w:val="bottom"/>
          </w:tcPr>
          <w:p>
            <w:pPr>
              <w:ind w:left="1240"/>
              <w:spacing w:after="0"/>
              <w:rPr>
                <w:sz w:val="20"/>
                <w:szCs w:val="20"/>
                <w:color w:val="auto"/>
              </w:rPr>
            </w:pPr>
            <w:r>
              <w:rPr>
                <w:rFonts w:ascii="Arial" w:cs="Arial" w:eastAsia="Arial" w:hAnsi="Arial"/>
                <w:sz w:val="15"/>
                <w:szCs w:val="15"/>
                <w:color w:val="auto"/>
              </w:rPr>
              <w:t>Germany</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Inlog Holdings France SAS</w:t>
            </w:r>
          </w:p>
        </w:tc>
        <w:tc>
          <w:tcPr>
            <w:tcW w:w="4520" w:type="dxa"/>
            <w:vAlign w:val="bottom"/>
          </w:tcPr>
          <w:p>
            <w:pPr>
              <w:ind w:left="1240"/>
              <w:spacing w:after="0"/>
              <w:rPr>
                <w:sz w:val="20"/>
                <w:szCs w:val="20"/>
                <w:color w:val="auto"/>
              </w:rPr>
            </w:pPr>
            <w:r>
              <w:rPr>
                <w:rFonts w:ascii="Arial" w:cs="Arial" w:eastAsia="Arial" w:hAnsi="Arial"/>
                <w:sz w:val="15"/>
                <w:szCs w:val="15"/>
                <w:color w:val="auto"/>
              </w:rPr>
              <w:t>France</w:t>
            </w:r>
          </w:p>
        </w:tc>
      </w:tr>
      <w:tr>
        <w:trPr>
          <w:trHeight w:val="216"/>
        </w:trPr>
        <w:tc>
          <w:tcPr>
            <w:tcW w:w="6180" w:type="dxa"/>
            <w:vAlign w:val="bottom"/>
          </w:tcPr>
          <w:p>
            <w:pPr>
              <w:ind w:left="40"/>
              <w:spacing w:after="0"/>
              <w:rPr>
                <w:sz w:val="20"/>
                <w:szCs w:val="20"/>
                <w:color w:val="auto"/>
              </w:rPr>
            </w:pPr>
            <w:r>
              <w:rPr>
                <w:rFonts w:ascii="Arial" w:cs="Arial" w:eastAsia="Arial" w:hAnsi="Arial"/>
                <w:sz w:val="15"/>
                <w:szCs w:val="15"/>
                <w:color w:val="auto"/>
              </w:rPr>
              <w:t>Transfusion Technologies Corporation</w:t>
            </w:r>
          </w:p>
        </w:tc>
        <w:tc>
          <w:tcPr>
            <w:tcW w:w="4520" w:type="dxa"/>
            <w:vAlign w:val="bottom"/>
          </w:tcPr>
          <w:p>
            <w:pPr>
              <w:ind w:left="1240"/>
              <w:spacing w:after="0"/>
              <w:rPr>
                <w:sz w:val="20"/>
                <w:szCs w:val="20"/>
                <w:color w:val="auto"/>
              </w:rPr>
            </w:pPr>
            <w:r>
              <w:rPr>
                <w:rFonts w:ascii="Arial" w:cs="Arial" w:eastAsia="Arial" w:hAnsi="Arial"/>
                <w:sz w:val="15"/>
                <w:szCs w:val="15"/>
                <w:color w:val="auto"/>
              </w:rPr>
              <w:t>Delaware</w:t>
            </w:r>
          </w:p>
        </w:tc>
      </w:tr>
    </w:tbl>
    <w:p>
      <w:pPr>
        <w:sectPr>
          <w:pgSz w:w="11900" w:h="16838" w:orient="portrait"/>
          <w:cols w:equalWidth="0" w:num="1">
            <w:col w:w="10780"/>
          </w:cols>
          <w:pgMar w:left="240" w:top="121" w:right="879" w:bottom="1440" w:gutter="0" w:footer="0" w:header="0"/>
        </w:sectPr>
      </w:pPr>
    </w:p>
    <w:bookmarkStart w:id="106" w:name="page107"/>
    <w:bookmarkEnd w:id="106"/>
    <w:p>
      <w:pPr>
        <w:jc w:val="center"/>
        <w:ind w:right="-2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333-200226, 333-181847, 333-136839, 333-149205, and 333-159434) of our reports dated May 22, 2015, with respect to the consolidated financial statements and schedule of Haemonetics Corporation and the effectiveness of internal control over financial reporting of Haemonetics Corporation, included in this Annual Report (Form 10-K) of Haemonetics Corporation for the fiscal year ended March 28, 2015.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2015</w:t>
      </w:r>
    </w:p>
    <w:p>
      <w:pPr>
        <w:sectPr>
          <w:pgSz w:w="11900" w:h="16838" w:orient="portrait"/>
          <w:cols w:equalWidth="0" w:num="1">
            <w:col w:w="11140"/>
          </w:cols>
          <w:pgMar w:left="240" w:top="796" w:right="5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2015</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2015</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28, 2015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2015</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28, 2015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22, 2015</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5"/>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lowerRoman"/>
      <w:start w:val="5"/>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upperLetter"/>
      <w:start w:val="2"/>
    </w:lvl>
  </w:abstractNum>
  <w:abstractNum w:abstractNumId="19">
    <w:nsid w:val="79838CB2"/>
    <w:multiLevelType w:val="hybridMultilevel"/>
    <w:lvl w:ilvl="0">
      <w:lvlJc w:val="left"/>
      <w:lvlText w:val="ˆ"/>
      <w:numFmt w:val="bullet"/>
      <w:start w:val="1"/>
    </w:lvl>
  </w:abstractNum>
  <w:abstractNum w:abstractNumId="20">
    <w:nsid w:val="4353D0CD"/>
    <w:multiLevelType w:val="hybridMultilevel"/>
    <w:lvl w:ilvl="0">
      <w:lvlJc w:val="left"/>
      <w:lvlText w:val="%1."/>
      <w:numFmt w:val="decimal"/>
      <w:start w:val="2"/>
    </w:lvl>
    <w:lvl w:ilvl="1">
      <w:lvlJc w:val="left"/>
      <w:lvlText w:val="(%2)"/>
      <w:numFmt w:val="lowerLetter"/>
      <w:start w:val="1"/>
    </w:lvl>
  </w:abstractNum>
  <w:abstractNum w:abstractNumId="21">
    <w:nsid w:val="B03E0C6"/>
    <w:multiLevelType w:val="hybridMultilevel"/>
    <w:lvl w:ilvl="0">
      <w:lvlJc w:val="left"/>
      <w:lvlText w:val="(%1)"/>
      <w:numFmt w:val="lowerLetter"/>
      <w:start w:val="2"/>
    </w:lvl>
    <w:lvl w:ilvl="1">
      <w:lvlJc w:val="left"/>
      <w:lvlText w:val="(%2)"/>
      <w:numFmt w:val="lowerLetter"/>
      <w:start w:val="3"/>
    </w:lvl>
  </w:abstractNum>
  <w:abstractNum w:abstractNumId="22">
    <w:nsid w:val="189A769B"/>
    <w:multiLevelType w:val="hybridMultilevel"/>
    <w:lvl w:ilvl="0">
      <w:lvlJc w:val="left"/>
      <w:lvlText w:val="(%1)"/>
      <w:numFmt w:val="lowerLetter"/>
      <w:start w:val="4"/>
    </w:lvl>
  </w:abstractNum>
  <w:abstractNum w:abstractNumId="23">
    <w:nsid w:val="54E49EB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4">
    <w:nsid w:val="71F32454"/>
    <w:multiLevelType w:val="hybridMultilevel"/>
    <w:lvl w:ilvl="0">
      <w:lvlJc w:val="left"/>
      <w:lvlText w:val="(%1)"/>
      <w:numFmt w:val="decimal"/>
      <w:start w:val="2"/>
    </w:lvl>
  </w:abstractNum>
  <w:abstractNum w:abstractNumId="25">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6">
    <w:nsid w:val="836C40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7">
    <w:nsid w:val="2901D82"/>
    <w:multiLevelType w:val="hybridMultilevel"/>
    <w:lvl w:ilvl="0">
      <w:lvlJc w:val="left"/>
      <w:lvlText w:val="%1."/>
      <w:numFmt w:val="decimal"/>
      <w:start w:val="10"/>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2019-12-29T16:51:38Z</dcterms:created>
  <dcterms:modified xsi:type="dcterms:W3CDTF">2019-12-29T16:51:38Z</dcterms:modified>
</cp:coreProperties>
</file>