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For the quarterly period ended: June 27, 2026</w:t>
      </w:r>
    </w:p>
    <w:p>
      <w:pPr>
        <w:pStyle w:val="TextBody"/>
        <w:bidi w:val="0"/>
        <w:spacing w:lineRule="auto" w:line="345" w:before="0" w:after="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001-14041 </w:t>
      </w:r>
    </w:p>
    <w:p>
      <w:pPr>
        <w:pStyle w:val="TextBody"/>
        <w:bidi w:val="0"/>
        <w:spacing w:lineRule="auto" w:line="288" w:before="320" w:after="283"/>
        <w:jc w:val="center"/>
        <w:rPr>
          <w:rFonts w:ascii="Times New Roman;serif" w:hAnsi="Times New Roman;serif"/>
          <w:b/>
          <w:color w:val="000000"/>
          <w:sz w:val="48"/>
        </w:rPr>
      </w:pPr>
      <w:r>
        <w:rPr>
          <w:rFonts w:ascii="Times New Roman;serif" w:hAnsi="Times New Roman;serif"/>
          <w:b/>
          <w:color w:val="000000"/>
          <w:sz w:val="48"/>
        </w:rPr>
        <w:t>HAEMONETICS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274" w:type="dxa"/>
        <w:jc w:val="center"/>
        <w:tblInd w:w="0" w:type="dxa"/>
        <w:tblLayout w:type="fixed"/>
        <w:tblCellMar>
          <w:top w:w="28" w:type="dxa"/>
          <w:left w:w="28" w:type="dxa"/>
          <w:bottom w:w="28" w:type="dxa"/>
          <w:right w:w="28" w:type="dxa"/>
        </w:tblCellMar>
      </w:tblPr>
      <w:tblGrid>
        <w:gridCol w:w="599"/>
        <w:gridCol w:w="528"/>
        <w:gridCol w:w="528"/>
        <w:gridCol w:w="545"/>
        <w:gridCol w:w="545"/>
        <w:gridCol w:w="553"/>
        <w:gridCol w:w="109"/>
        <w:gridCol w:w="109"/>
        <w:gridCol w:w="109"/>
        <w:gridCol w:w="481"/>
        <w:gridCol w:w="481"/>
        <w:gridCol w:w="687"/>
      </w:tblGrid>
      <w:tr>
        <w:trPr/>
        <w:tc>
          <w:tcPr>
            <w:tcW w:w="59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2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04-2882273</w:t>
            </w:r>
          </w:p>
        </w:tc>
      </w:tr>
      <w:tr>
        <w:trPr/>
        <w:tc>
          <w:tcPr>
            <w:tcW w:w="32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1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125 Summer 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Boston,</w:t>
            </w:r>
          </w:p>
        </w:tc>
        <w:tc>
          <w:tcPr>
            <w:tcW w:w="1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02110</w:t>
            </w:r>
          </w:p>
        </w:tc>
      </w:tr>
      <w:tr>
        <w:trPr/>
        <w:tc>
          <w:tcPr>
            <w:tcW w:w="32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(781) 848-7100 </w:t>
      </w:r>
    </w:p>
    <w:p>
      <w:pPr>
        <w:pStyle w:val="TextBody"/>
        <w:bidi w:val="0"/>
        <w:spacing w:lineRule="auto" w:line="288" w:before="0" w:after="0"/>
        <w:jc w:val="center"/>
        <w:rPr/>
      </w:pPr>
      <w:r>
        <w:rPr>
          <w:rFonts w:ascii="Times New Roman;serif" w:hAnsi="Times New Roman;serif"/>
          <w:b w:val="false"/>
          <w:color w:val="000000"/>
          <w:sz w:val="18"/>
        </w:rPr>
        <w:t>(Registrant’s telephone number, including area code)</w:t>
      </w:r>
      <w:r>
        <w:rPr>
          <w:color w:val="000000"/>
        </w:rPr>
        <w:t xml:space="preserve">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752" w:type="dxa"/>
        <w:jc w:val="center"/>
        <w:tblInd w:w="0" w:type="dxa"/>
        <w:tblLayout w:type="fixed"/>
        <w:tblCellMar>
          <w:top w:w="28" w:type="dxa"/>
          <w:left w:w="28" w:type="dxa"/>
          <w:bottom w:w="28" w:type="dxa"/>
          <w:right w:w="28" w:type="dxa"/>
        </w:tblCellMar>
      </w:tblPr>
      <w:tblGrid>
        <w:gridCol w:w="1212"/>
        <w:gridCol w:w="1070"/>
        <w:gridCol w:w="1077"/>
        <w:gridCol w:w="109"/>
        <w:gridCol w:w="109"/>
        <w:gridCol w:w="109"/>
        <w:gridCol w:w="424"/>
        <w:gridCol w:w="424"/>
        <w:gridCol w:w="426"/>
        <w:gridCol w:w="109"/>
        <w:gridCol w:w="109"/>
        <w:gridCol w:w="109"/>
        <w:gridCol w:w="1014"/>
        <w:gridCol w:w="1014"/>
        <w:gridCol w:w="1437"/>
      </w:tblGrid>
      <w:tr>
        <w:trPr/>
        <w:tc>
          <w:tcPr>
            <w:tcW w:w="1212"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3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HAE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80" w:after="283"/>
        <w:ind w:left="0" w:right="0" w:firstLine="72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943" w:type="dxa"/>
        <w:jc w:val="left"/>
        <w:tblInd w:w="0" w:type="dxa"/>
        <w:tblLayout w:type="fixed"/>
        <w:tblCellMar>
          <w:top w:w="28" w:type="dxa"/>
          <w:left w:w="28" w:type="dxa"/>
          <w:bottom w:w="28" w:type="dxa"/>
          <w:right w:w="28" w:type="dxa"/>
        </w:tblCellMar>
      </w:tblPr>
      <w:tblGrid>
        <w:gridCol w:w="695"/>
        <w:gridCol w:w="611"/>
        <w:gridCol w:w="613"/>
        <w:gridCol w:w="120"/>
        <w:gridCol w:w="120"/>
        <w:gridCol w:w="121"/>
        <w:gridCol w:w="109"/>
        <w:gridCol w:w="109"/>
        <w:gridCol w:w="109"/>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4"/>
              </w:rPr>
            </w:pPr>
            <w:r>
              <w:rPr>
                <w:rFonts w:ascii="Wingdings;sans-serif" w:hAnsi="Wingdings;sans-serif"/>
                <w:b w:val="false"/>
                <w:color w:val="000000"/>
                <w:sz w:val="24"/>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Non-accelerated filer  </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8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r>
        <w:rPr>
          <w:rFonts w:ascii="Wingdings;sans-serif" w:hAnsi="Wingdings;sans-serif"/>
          <w:b w:val="false"/>
          <w:color w:val="000000"/>
          <w:sz w:val="18"/>
        </w:rPr>
        <w:t>o</w:t>
      </w:r>
    </w:p>
    <w:p>
      <w:pPr>
        <w:pStyle w:val="TextBody"/>
        <w:bidi w:val="0"/>
        <w:spacing w:lineRule="auto" w:line="288" w:before="180" w:after="283"/>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number of shares of $0.01 par value common stock outstanding as of July 31, 2026: 45,497,051.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HAEMONETICS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3473"/>
        <w:gridCol w:w="3051"/>
        <w:gridCol w:w="3064"/>
        <w:gridCol w:w="180"/>
        <w:gridCol w:w="180"/>
        <w:gridCol w:w="257"/>
      </w:tblGrid>
      <w:tr>
        <w:trPr/>
        <w:tc>
          <w:tcPr>
            <w:tcW w:w="3473" w:type="dxa"/>
            <w:tcBorders/>
            <w:vAlign w:val="center"/>
          </w:tcPr>
          <w:p>
            <w:pPr>
              <w:pStyle w:val="TableContents"/>
              <w:bidi w:val="0"/>
              <w:spacing w:before="0" w:after="283"/>
              <w:jc w:val="left"/>
              <w:rPr>
                <w:sz w:val="4"/>
                <w:szCs w:val="4"/>
              </w:rPr>
            </w:pPr>
            <w:r>
              <w:rPr>
                <w:sz w:val="4"/>
                <w:szCs w:val="4"/>
              </w:rPr>
            </w:r>
          </w:p>
        </w:tc>
        <w:tc>
          <w:tcPr>
            <w:tcW w:w="3051" w:type="dxa"/>
            <w:tcBorders/>
            <w:vAlign w:val="center"/>
          </w:tcPr>
          <w:p>
            <w:pPr>
              <w:pStyle w:val="TableContents"/>
              <w:bidi w:val="0"/>
              <w:spacing w:before="0" w:after="283"/>
              <w:jc w:val="left"/>
              <w:rPr>
                <w:sz w:val="4"/>
                <w:szCs w:val="4"/>
              </w:rPr>
            </w:pPr>
            <w:r>
              <w:rPr>
                <w:sz w:val="4"/>
                <w:szCs w:val="4"/>
              </w:rPr>
            </w:r>
          </w:p>
        </w:tc>
        <w:tc>
          <w:tcPr>
            <w:tcW w:w="306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6e356724704c8e9c10f18f6c8e56bb_10">
              <w:r>
                <w:rPr>
                  <w:rStyle w:val="InternetLink"/>
                  <w:rFonts w:ascii="Times New Roman;serif" w:hAnsi="Times New Roman;serif"/>
                  <w:b/>
                  <w:color w:val="0000FF"/>
                  <w:sz w:val="20"/>
                  <w:u w:val="single"/>
                </w:rPr>
                <w:t>PART I. FINANCIAL INFORMATION</w:t>
              </w:r>
            </w:hyperlink>
          </w:p>
        </w:tc>
        <w:tc>
          <w:tcPr>
            <w:tcW w:w="6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hyperlink w:anchor="i726e356724704c8e9c10f18f6c8e56bb_10">
              <w:r>
                <w:rPr>
                  <w:rStyle w:val="InternetLink"/>
                  <w:rFonts w:ascii="Times New Roman;serif" w:hAnsi="Times New Roman;serif"/>
                  <w:b w:val="false"/>
                  <w:color w:val="0000FF"/>
                  <w:sz w:val="20"/>
                  <w:u w:val="single"/>
                </w:rPr>
                <w:t>3</w:t>
              </w:r>
            </w:hyperlink>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6e356724704c8e9c10f18f6c8e56bb_13">
              <w:r>
                <w:rPr>
                  <w:rStyle w:val="InternetLink"/>
                  <w:rFonts w:ascii="Times New Roman;serif" w:hAnsi="Times New Roman;serif"/>
                  <w:b/>
                  <w:color w:val="0000FF"/>
                  <w:sz w:val="20"/>
                  <w:u w:val="single"/>
                </w:rPr>
                <w:t>ITEM 1. Financial Statements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6e356724704c8e9c10f18f6c8e56bb_13">
              <w:r>
                <w:rPr>
                  <w:rStyle w:val="InternetLink"/>
                  <w:rFonts w:ascii="Times New Roman;serif" w:hAnsi="Times New Roman;serif"/>
                  <w:b w:val="false"/>
                  <w:color w:val="0000FF"/>
                  <w:sz w:val="20"/>
                  <w:u w:val="single"/>
                </w:rPr>
                <w:t>3</w:t>
              </w:r>
            </w:hyperlink>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6e356724704c8e9c10f18f6c8e56bb_16">
              <w:r>
                <w:rPr>
                  <w:rStyle w:val="InternetLink"/>
                  <w:rFonts w:ascii="Times New Roman;serif" w:hAnsi="Times New Roman;serif"/>
                  <w:b w:val="false"/>
                  <w:color w:val="000080"/>
                  <w:sz w:val="20"/>
                  <w:u w:val="single"/>
                </w:rPr>
                <w:t>Unaudited Condensed Consolidated Statements of Income - Three</w:t>
              </w:r>
            </w:hyperlink>
            <w:hyperlink w:anchor="i726e356724704c8e9c10f18f6c8e56bb_16">
              <w:r>
                <w:rPr>
                  <w:rStyle w:val="InternetLink"/>
                  <w:rFonts w:ascii="Times New Roman;serif" w:hAnsi="Times New Roman;serif"/>
                  <w:b w:val="false"/>
                  <w:color w:val="000080"/>
                  <w:sz w:val="20"/>
                  <w:u w:val="single"/>
                </w:rPr>
                <w:t xml:space="preserve"> Months Ended </w:t>
              </w:r>
            </w:hyperlink>
            <w:hyperlink w:anchor="i726e356724704c8e9c10f18f6c8e56bb_16">
              <w:r>
                <w:rPr>
                  <w:rStyle w:val="InternetLink"/>
                  <w:rFonts w:ascii="Times New Roman;serif" w:hAnsi="Times New Roman;serif"/>
                  <w:b w:val="false"/>
                  <w:color w:val="000080"/>
                  <w:sz w:val="20"/>
                  <w:u w:val="single"/>
                </w:rPr>
                <w:t>June 2</w:t>
              </w:r>
            </w:hyperlink>
            <w:hyperlink w:anchor="i726e356724704c8e9c10f18f6c8e56bb_16">
              <w:r>
                <w:rPr>
                  <w:rStyle w:val="InternetLink"/>
                  <w:rFonts w:ascii="Times New Roman;serif" w:hAnsi="Times New Roman;serif"/>
                  <w:b w:val="false"/>
                  <w:color w:val="000080"/>
                  <w:sz w:val="20"/>
                  <w:u w:val="single"/>
                </w:rPr>
                <w:t>7</w:t>
              </w:r>
            </w:hyperlink>
            <w:hyperlink w:anchor="i726e356724704c8e9c10f18f6c8e56bb_16">
              <w:r>
                <w:rPr>
                  <w:rStyle w:val="InternetLink"/>
                  <w:rFonts w:ascii="Times New Roman;serif" w:hAnsi="Times New Roman;serif"/>
                  <w:b w:val="false"/>
                  <w:color w:val="000080"/>
                  <w:sz w:val="20"/>
                  <w:u w:val="single"/>
                </w:rPr>
                <w:t>,</w:t>
              </w:r>
            </w:hyperlink>
            <w:hyperlink w:anchor="i726e356724704c8e9c10f18f6c8e56bb_16">
              <w:r>
                <w:rPr>
                  <w:rStyle w:val="InternetLink"/>
                  <w:rFonts w:ascii="Times New Roman;serif" w:hAnsi="Times New Roman;serif"/>
                  <w:b w:val="false"/>
                  <w:color w:val="000080"/>
                  <w:sz w:val="20"/>
                  <w:u w:val="single"/>
                </w:rPr>
                <w:t xml:space="preserve"> 202</w:t>
              </w:r>
            </w:hyperlink>
            <w:hyperlink w:anchor="i726e356724704c8e9c10f18f6c8e56bb_16">
              <w:r>
                <w:rPr>
                  <w:rStyle w:val="InternetLink"/>
                  <w:rFonts w:ascii="Times New Roman;serif" w:hAnsi="Times New Roman;serif"/>
                  <w:b w:val="false"/>
                  <w:color w:val="000080"/>
                  <w:sz w:val="20"/>
                  <w:u w:val="single"/>
                </w:rPr>
                <w:t>6</w:t>
              </w:r>
            </w:hyperlink>
            <w:hyperlink w:anchor="i726e356724704c8e9c10f18f6c8e56bb_16">
              <w:r>
                <w:rPr>
                  <w:rStyle w:val="InternetLink"/>
                  <w:rFonts w:ascii="Times New Roman;serif" w:hAnsi="Times New Roman;serif"/>
                  <w:b w:val="false"/>
                  <w:color w:val="000080"/>
                  <w:sz w:val="20"/>
                  <w:u w:val="single"/>
                </w:rPr>
                <w:t xml:space="preserve"> and </w:t>
              </w:r>
            </w:hyperlink>
            <w:hyperlink w:anchor="i726e356724704c8e9c10f18f6c8e56bb_16">
              <w:r>
                <w:rPr>
                  <w:rStyle w:val="InternetLink"/>
                  <w:rFonts w:ascii="Times New Roman;serif" w:hAnsi="Times New Roman;serif"/>
                  <w:b w:val="false"/>
                  <w:color w:val="000080"/>
                  <w:sz w:val="20"/>
                  <w:u w:val="single"/>
                </w:rPr>
                <w:t>June</w:t>
              </w:r>
            </w:hyperlink>
            <w:hyperlink w:anchor="i726e356724704c8e9c10f18f6c8e56bb_16">
              <w:r>
                <w:rPr>
                  <w:rStyle w:val="InternetLink"/>
                  <w:rFonts w:ascii="Times New Roman;serif" w:hAnsi="Times New Roman;serif"/>
                  <w:b w:val="false"/>
                  <w:color w:val="000080"/>
                  <w:sz w:val="20"/>
                  <w:u w:val="single"/>
                </w:rPr>
                <w:t xml:space="preserve"> 28, 202</w:t>
              </w:r>
            </w:hyperlink>
            <w:hyperlink w:anchor="i726e356724704c8e9c10f18f6c8e56bb_16">
              <w:r>
                <w:rPr>
                  <w:rStyle w:val="InternetLink"/>
                  <w:rFonts w:ascii="Times New Roman;serif" w:hAnsi="Times New Roman;serif"/>
                  <w:b w:val="false"/>
                  <w:color w:val="000080"/>
                  <w:sz w:val="20"/>
                  <w:u w:val="single"/>
                </w:rPr>
                <w:t>5</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6e356724704c8e9c10f18f6c8e56bb_16">
              <w:r>
                <w:rPr>
                  <w:rStyle w:val="InternetLink"/>
                  <w:rFonts w:ascii="Times New Roman;serif" w:hAnsi="Times New Roman;serif"/>
                  <w:b w:val="false"/>
                  <w:color w:val="0000FF"/>
                  <w:sz w:val="20"/>
                  <w:u w:val="single"/>
                </w:rPr>
                <w:t>3</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6e356724704c8e9c10f18f6c8e56bb_19">
              <w:r>
                <w:rPr>
                  <w:rStyle w:val="InternetLink"/>
                  <w:rFonts w:ascii="Times New Roman;serif" w:hAnsi="Times New Roman;serif"/>
                  <w:b w:val="false"/>
                  <w:color w:val="000080"/>
                  <w:sz w:val="20"/>
                  <w:u w:val="single"/>
                </w:rPr>
                <w:t>Unaudited Condensed Consolidated Statements of Comprehensive Income - Three</w:t>
              </w:r>
            </w:hyperlink>
            <w:hyperlink w:anchor="i726e356724704c8e9c10f18f6c8e56bb_19">
              <w:r>
                <w:rPr>
                  <w:rStyle w:val="InternetLink"/>
                  <w:rFonts w:ascii="Times New Roman;serif" w:hAnsi="Times New Roman;serif"/>
                  <w:b w:val="false"/>
                  <w:color w:val="000080"/>
                  <w:sz w:val="20"/>
                  <w:u w:val="single"/>
                </w:rPr>
                <w:t xml:space="preserve"> Months Ended </w:t>
              </w:r>
            </w:hyperlink>
            <w:hyperlink w:anchor="i726e356724704c8e9c10f18f6c8e56bb_19">
              <w:r>
                <w:rPr>
                  <w:rStyle w:val="InternetLink"/>
                  <w:rFonts w:ascii="Times New Roman;serif" w:hAnsi="Times New Roman;serif"/>
                  <w:b w:val="false"/>
                  <w:color w:val="000080"/>
                  <w:sz w:val="20"/>
                  <w:u w:val="single"/>
                </w:rPr>
                <w:t>June</w:t>
              </w:r>
            </w:hyperlink>
            <w:hyperlink w:anchor="i726e356724704c8e9c10f18f6c8e56bb_19">
              <w:r>
                <w:rPr>
                  <w:rStyle w:val="InternetLink"/>
                  <w:rFonts w:ascii="Times New Roman;serif" w:hAnsi="Times New Roman;serif"/>
                  <w:b w:val="false"/>
                  <w:color w:val="000080"/>
                  <w:sz w:val="20"/>
                  <w:u w:val="single"/>
                </w:rPr>
                <w:t xml:space="preserve"> 27, 202</w:t>
              </w:r>
            </w:hyperlink>
            <w:hyperlink w:anchor="i726e356724704c8e9c10f18f6c8e56bb_19">
              <w:r>
                <w:rPr>
                  <w:rStyle w:val="InternetLink"/>
                  <w:rFonts w:ascii="Times New Roman;serif" w:hAnsi="Times New Roman;serif"/>
                  <w:b w:val="false"/>
                  <w:color w:val="000080"/>
                  <w:sz w:val="20"/>
                  <w:u w:val="single"/>
                </w:rPr>
                <w:t>6</w:t>
              </w:r>
            </w:hyperlink>
            <w:hyperlink w:anchor="i726e356724704c8e9c10f18f6c8e56bb_19">
              <w:r>
                <w:rPr>
                  <w:rStyle w:val="InternetLink"/>
                  <w:rFonts w:ascii="Times New Roman;serif" w:hAnsi="Times New Roman;serif"/>
                  <w:b w:val="false"/>
                  <w:color w:val="000080"/>
                  <w:sz w:val="20"/>
                  <w:u w:val="single"/>
                </w:rPr>
                <w:t xml:space="preserve"> and </w:t>
              </w:r>
            </w:hyperlink>
            <w:hyperlink w:anchor="i726e356724704c8e9c10f18f6c8e56bb_19">
              <w:r>
                <w:rPr>
                  <w:rStyle w:val="InternetLink"/>
                  <w:rFonts w:ascii="Times New Roman;serif" w:hAnsi="Times New Roman;serif"/>
                  <w:b w:val="false"/>
                  <w:color w:val="000080"/>
                  <w:sz w:val="20"/>
                  <w:u w:val="single"/>
                </w:rPr>
                <w:t>June</w:t>
              </w:r>
            </w:hyperlink>
            <w:hyperlink w:anchor="i726e356724704c8e9c10f18f6c8e56bb_19">
              <w:r>
                <w:rPr>
                  <w:rStyle w:val="InternetLink"/>
                  <w:rFonts w:ascii="Times New Roman;serif" w:hAnsi="Times New Roman;serif"/>
                  <w:b w:val="false"/>
                  <w:color w:val="000080"/>
                  <w:sz w:val="20"/>
                  <w:u w:val="single"/>
                </w:rPr>
                <w:t xml:space="preserve"> 28, 202</w:t>
              </w:r>
            </w:hyperlink>
            <w:hyperlink w:anchor="i726e356724704c8e9c10f18f6c8e56bb_19">
              <w:r>
                <w:rPr>
                  <w:rStyle w:val="InternetLink"/>
                  <w:rFonts w:ascii="Times New Roman;serif" w:hAnsi="Times New Roman;serif"/>
                  <w:b w:val="false"/>
                  <w:color w:val="000080"/>
                  <w:sz w:val="20"/>
                  <w:u w:val="single"/>
                </w:rPr>
                <w:t>5</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6e356724704c8e9c10f18f6c8e56bb_19">
              <w:r>
                <w:rPr>
                  <w:rStyle w:val="InternetLink"/>
                  <w:rFonts w:ascii="Times New Roman;serif" w:hAnsi="Times New Roman;serif"/>
                  <w:b w:val="false"/>
                  <w:color w:val="0000FF"/>
                  <w:sz w:val="20"/>
                  <w:u w:val="single"/>
                </w:rPr>
                <w:t>4</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6e356724704c8e9c10f18f6c8e56bb_22">
              <w:r>
                <w:rPr>
                  <w:rStyle w:val="InternetLink"/>
                  <w:rFonts w:ascii="Times New Roman;serif" w:hAnsi="Times New Roman;serif"/>
                  <w:b w:val="false"/>
                  <w:color w:val="000080"/>
                  <w:sz w:val="20"/>
                  <w:u w:val="single"/>
                </w:rPr>
                <w:t xml:space="preserve">Unaudited Condensed Consolidated Balance Sheet - </w:t>
              </w:r>
            </w:hyperlink>
            <w:hyperlink w:anchor="i726e356724704c8e9c10f18f6c8e56bb_22">
              <w:r>
                <w:rPr>
                  <w:rStyle w:val="InternetLink"/>
                  <w:rFonts w:ascii="Times New Roman;serif" w:hAnsi="Times New Roman;serif"/>
                  <w:b w:val="false"/>
                  <w:color w:val="000080"/>
                  <w:sz w:val="20"/>
                  <w:u w:val="single"/>
                </w:rPr>
                <w:t>June 2</w:t>
              </w:r>
            </w:hyperlink>
            <w:hyperlink w:anchor="i726e356724704c8e9c10f18f6c8e56bb_22">
              <w:r>
                <w:rPr>
                  <w:rStyle w:val="InternetLink"/>
                  <w:rFonts w:ascii="Times New Roman;serif" w:hAnsi="Times New Roman;serif"/>
                  <w:b w:val="false"/>
                  <w:color w:val="000080"/>
                  <w:sz w:val="20"/>
                  <w:u w:val="single"/>
                </w:rPr>
                <w:t>7</w:t>
              </w:r>
            </w:hyperlink>
            <w:hyperlink w:anchor="i726e356724704c8e9c10f18f6c8e56bb_22">
              <w:r>
                <w:rPr>
                  <w:rStyle w:val="InternetLink"/>
                  <w:rFonts w:ascii="Times New Roman;serif" w:hAnsi="Times New Roman;serif"/>
                  <w:b w:val="false"/>
                  <w:color w:val="000080"/>
                  <w:sz w:val="20"/>
                  <w:u w:val="single"/>
                </w:rPr>
                <w:t>, 202</w:t>
              </w:r>
            </w:hyperlink>
            <w:hyperlink w:anchor="i726e356724704c8e9c10f18f6c8e56bb_22">
              <w:r>
                <w:rPr>
                  <w:rStyle w:val="InternetLink"/>
                  <w:rFonts w:ascii="Times New Roman;serif" w:hAnsi="Times New Roman;serif"/>
                  <w:b w:val="false"/>
                  <w:color w:val="000080"/>
                  <w:sz w:val="20"/>
                  <w:u w:val="single"/>
                </w:rPr>
                <w:t>6</w:t>
              </w:r>
            </w:hyperlink>
            <w:hyperlink w:anchor="i726e356724704c8e9c10f18f6c8e56bb_22">
              <w:r>
                <w:rPr>
                  <w:rStyle w:val="InternetLink"/>
                  <w:rFonts w:ascii="Times New Roman;serif" w:hAnsi="Times New Roman;serif"/>
                  <w:b w:val="false"/>
                  <w:color w:val="000080"/>
                  <w:sz w:val="20"/>
                  <w:u w:val="single"/>
                </w:rPr>
                <w:t xml:space="preserve"> and Consolidated Balance Sheet - March 2</w:t>
              </w:r>
            </w:hyperlink>
            <w:hyperlink w:anchor="i726e356724704c8e9c10f18f6c8e56bb_22">
              <w:r>
                <w:rPr>
                  <w:rStyle w:val="InternetLink"/>
                  <w:rFonts w:ascii="Times New Roman;serif" w:hAnsi="Times New Roman;serif"/>
                  <w:b w:val="false"/>
                  <w:color w:val="000080"/>
                  <w:sz w:val="20"/>
                  <w:u w:val="single"/>
                </w:rPr>
                <w:t>8</w:t>
              </w:r>
            </w:hyperlink>
            <w:hyperlink w:anchor="i726e356724704c8e9c10f18f6c8e56bb_22">
              <w:r>
                <w:rPr>
                  <w:rStyle w:val="InternetLink"/>
                  <w:rFonts w:ascii="Times New Roman;serif" w:hAnsi="Times New Roman;serif"/>
                  <w:b w:val="false"/>
                  <w:color w:val="000080"/>
                  <w:sz w:val="20"/>
                  <w:u w:val="single"/>
                </w:rPr>
                <w:t>, 202</w:t>
              </w:r>
            </w:hyperlink>
            <w:hyperlink w:anchor="i726e356724704c8e9c10f18f6c8e56bb_22">
              <w:r>
                <w:rPr>
                  <w:rStyle w:val="InternetLink"/>
                  <w:rFonts w:ascii="Times New Roman;serif" w:hAnsi="Times New Roman;serif"/>
                  <w:b w:val="false"/>
                  <w:color w:val="000080"/>
                  <w:sz w:val="20"/>
                  <w:u w:val="single"/>
                </w:rPr>
                <w:t>6</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6e356724704c8e9c10f18f6c8e56bb_22">
              <w:r>
                <w:rPr>
                  <w:rStyle w:val="InternetLink"/>
                  <w:rFonts w:ascii="Times New Roman;serif" w:hAnsi="Times New Roman;serif"/>
                  <w:b w:val="false"/>
                  <w:color w:val="0000FF"/>
                  <w:sz w:val="20"/>
                  <w:u w:val="single"/>
                </w:rPr>
                <w:t>5</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6e356724704c8e9c10f18f6c8e56bb_25">
              <w:r>
                <w:rPr>
                  <w:rStyle w:val="InternetLink"/>
                  <w:rFonts w:ascii="Times New Roman;serif" w:hAnsi="Times New Roman;serif"/>
                  <w:b w:val="false"/>
                  <w:color w:val="0000FF"/>
                  <w:sz w:val="20"/>
                  <w:u w:val="single"/>
                </w:rPr>
                <w:t>Unaudited Condensed Consolidated Statements of Stockholders</w:t>
              </w:r>
            </w:hyperlink>
            <w:r>
              <w:rPr>
                <w:color w:val="0E32E1"/>
                <w:u w:val="single"/>
              </w:rPr>
              <w:t>’</w:t>
            </w:r>
            <w:hyperlink w:anchor="i726e356724704c8e9c10f18f6c8e56bb_25">
              <w:r>
                <w:rPr>
                  <w:rStyle w:val="InternetLink"/>
                  <w:color w:val="0000FF"/>
                  <w:u w:val="single"/>
                </w:rPr>
                <w:t xml:space="preserve"> </w:t>
              </w:r>
            </w:hyperlink>
            <w:hyperlink w:anchor="i726e356724704c8e9c10f18f6c8e56bb_25">
              <w:r>
                <w:rPr>
                  <w:rStyle w:val="InternetLink"/>
                  <w:rFonts w:ascii="Times New Roman;serif" w:hAnsi="Times New Roman;serif"/>
                  <w:b w:val="false"/>
                  <w:color w:val="0000FF"/>
                  <w:sz w:val="20"/>
                  <w:u w:val="single"/>
                </w:rPr>
                <w:t>Equity - Three</w:t>
              </w:r>
            </w:hyperlink>
            <w:hyperlink w:anchor="i726e356724704c8e9c10f18f6c8e56bb_25">
              <w:r>
                <w:rPr>
                  <w:rStyle w:val="InternetLink"/>
                  <w:rFonts w:ascii="Times New Roman;serif" w:hAnsi="Times New Roman;serif"/>
                  <w:b w:val="false"/>
                  <w:color w:val="000080"/>
                  <w:sz w:val="20"/>
                  <w:u w:val="single"/>
                </w:rPr>
                <w:t xml:space="preserve"> Months Ended </w:t>
              </w:r>
            </w:hyperlink>
            <w:hyperlink w:anchor="i726e356724704c8e9c10f18f6c8e56bb_25">
              <w:r>
                <w:rPr>
                  <w:rStyle w:val="InternetLink"/>
                  <w:rFonts w:ascii="Times New Roman;serif" w:hAnsi="Times New Roman;serif"/>
                  <w:b w:val="false"/>
                  <w:color w:val="000080"/>
                  <w:sz w:val="20"/>
                  <w:u w:val="single"/>
                </w:rPr>
                <w:t>June</w:t>
              </w:r>
            </w:hyperlink>
            <w:hyperlink w:anchor="i726e356724704c8e9c10f18f6c8e56bb_25">
              <w:r>
                <w:rPr>
                  <w:rStyle w:val="InternetLink"/>
                  <w:rFonts w:ascii="Times New Roman;serif" w:hAnsi="Times New Roman;serif"/>
                  <w:b w:val="false"/>
                  <w:color w:val="000080"/>
                  <w:sz w:val="20"/>
                  <w:u w:val="single"/>
                </w:rPr>
                <w:t xml:space="preserve"> 2</w:t>
              </w:r>
            </w:hyperlink>
            <w:hyperlink w:anchor="i726e356724704c8e9c10f18f6c8e56bb_25">
              <w:r>
                <w:rPr>
                  <w:rStyle w:val="InternetLink"/>
                  <w:rFonts w:ascii="Times New Roman;serif" w:hAnsi="Times New Roman;serif"/>
                  <w:b w:val="false"/>
                  <w:color w:val="000080"/>
                  <w:sz w:val="20"/>
                  <w:u w:val="single"/>
                </w:rPr>
                <w:t>7</w:t>
              </w:r>
            </w:hyperlink>
            <w:hyperlink w:anchor="i726e356724704c8e9c10f18f6c8e56bb_25">
              <w:r>
                <w:rPr>
                  <w:rStyle w:val="InternetLink"/>
                  <w:rFonts w:ascii="Times New Roman;serif" w:hAnsi="Times New Roman;serif"/>
                  <w:b w:val="false"/>
                  <w:color w:val="000080"/>
                  <w:sz w:val="20"/>
                  <w:u w:val="single"/>
                </w:rPr>
                <w:t>, 202</w:t>
              </w:r>
            </w:hyperlink>
            <w:hyperlink w:anchor="i726e356724704c8e9c10f18f6c8e56bb_25">
              <w:r>
                <w:rPr>
                  <w:rStyle w:val="InternetLink"/>
                  <w:rFonts w:ascii="Times New Roman;serif" w:hAnsi="Times New Roman;serif"/>
                  <w:b w:val="false"/>
                  <w:color w:val="000080"/>
                  <w:sz w:val="20"/>
                  <w:u w:val="single"/>
                </w:rPr>
                <w:t>6</w:t>
              </w:r>
            </w:hyperlink>
            <w:hyperlink w:anchor="i726e356724704c8e9c10f18f6c8e56bb_25">
              <w:r>
                <w:rPr>
                  <w:rStyle w:val="InternetLink"/>
                  <w:rFonts w:ascii="Times New Roman;serif" w:hAnsi="Times New Roman;serif"/>
                  <w:b w:val="false"/>
                  <w:color w:val="000080"/>
                  <w:sz w:val="20"/>
                  <w:u w:val="single"/>
                </w:rPr>
                <w:t xml:space="preserve"> and </w:t>
              </w:r>
            </w:hyperlink>
            <w:hyperlink w:anchor="i726e356724704c8e9c10f18f6c8e56bb_25">
              <w:r>
                <w:rPr>
                  <w:rStyle w:val="InternetLink"/>
                  <w:rFonts w:ascii="Times New Roman;serif" w:hAnsi="Times New Roman;serif"/>
                  <w:b w:val="false"/>
                  <w:color w:val="000080"/>
                  <w:sz w:val="20"/>
                  <w:u w:val="single"/>
                </w:rPr>
                <w:t>June</w:t>
              </w:r>
            </w:hyperlink>
            <w:hyperlink w:anchor="i726e356724704c8e9c10f18f6c8e56bb_25">
              <w:r>
                <w:rPr>
                  <w:rStyle w:val="InternetLink"/>
                  <w:rFonts w:ascii="Times New Roman;serif" w:hAnsi="Times New Roman;serif"/>
                  <w:b w:val="false"/>
                  <w:color w:val="000080"/>
                  <w:sz w:val="20"/>
                  <w:u w:val="single"/>
                </w:rPr>
                <w:t xml:space="preserve"> 28, 202</w:t>
              </w:r>
            </w:hyperlink>
            <w:hyperlink w:anchor="i726e356724704c8e9c10f18f6c8e56bb_25">
              <w:r>
                <w:rPr>
                  <w:rStyle w:val="InternetLink"/>
                  <w:rFonts w:ascii="Times New Roman;serif" w:hAnsi="Times New Roman;serif"/>
                  <w:b w:val="false"/>
                  <w:color w:val="000080"/>
                  <w:sz w:val="20"/>
                  <w:u w:val="single"/>
                </w:rPr>
                <w:t>5</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6e356724704c8e9c10f18f6c8e56bb_25">
              <w:r>
                <w:rPr>
                  <w:rStyle w:val="InternetLink"/>
                  <w:rFonts w:ascii="Times New Roman;serif" w:hAnsi="Times New Roman;serif"/>
                  <w:b w:val="false"/>
                  <w:color w:val="0000FF"/>
                  <w:sz w:val="20"/>
                  <w:u w:val="single"/>
                </w:rPr>
                <w:t>6</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6e356724704c8e9c10f18f6c8e56bb_28">
              <w:r>
                <w:rPr>
                  <w:rStyle w:val="InternetLink"/>
                  <w:rFonts w:ascii="Times New Roman;serif" w:hAnsi="Times New Roman;serif"/>
                  <w:b w:val="false"/>
                  <w:color w:val="000080"/>
                  <w:sz w:val="20"/>
                  <w:u w:val="single"/>
                </w:rPr>
                <w:t xml:space="preserve">Unaudited Condensed Consolidated Statements of Cash Flows - </w:t>
              </w:r>
            </w:hyperlink>
            <w:hyperlink w:anchor="i726e356724704c8e9c10f18f6c8e56bb_28">
              <w:r>
                <w:rPr>
                  <w:rStyle w:val="InternetLink"/>
                  <w:rFonts w:ascii="Times New Roman;serif" w:hAnsi="Times New Roman;serif"/>
                  <w:b w:val="false"/>
                  <w:color w:val="000080"/>
                  <w:sz w:val="20"/>
                  <w:u w:val="single"/>
                </w:rPr>
                <w:t>Three</w:t>
              </w:r>
            </w:hyperlink>
            <w:hyperlink w:anchor="i726e356724704c8e9c10f18f6c8e56bb_28">
              <w:r>
                <w:rPr>
                  <w:rStyle w:val="InternetLink"/>
                  <w:rFonts w:ascii="Times New Roman;serif" w:hAnsi="Times New Roman;serif"/>
                  <w:b w:val="false"/>
                  <w:color w:val="000080"/>
                  <w:sz w:val="20"/>
                  <w:u w:val="single"/>
                </w:rPr>
                <w:t xml:space="preserve"> Months Ended </w:t>
              </w:r>
            </w:hyperlink>
            <w:hyperlink w:anchor="i726e356724704c8e9c10f18f6c8e56bb_28">
              <w:r>
                <w:rPr>
                  <w:rStyle w:val="InternetLink"/>
                  <w:rFonts w:ascii="Times New Roman;serif" w:hAnsi="Times New Roman;serif"/>
                  <w:b w:val="false"/>
                  <w:color w:val="000080"/>
                  <w:sz w:val="20"/>
                  <w:u w:val="single"/>
                </w:rPr>
                <w:t>June</w:t>
              </w:r>
            </w:hyperlink>
            <w:hyperlink w:anchor="i726e356724704c8e9c10f18f6c8e56bb_28">
              <w:r>
                <w:rPr>
                  <w:rStyle w:val="InternetLink"/>
                  <w:rFonts w:ascii="Times New Roman;serif" w:hAnsi="Times New Roman;serif"/>
                  <w:b w:val="false"/>
                  <w:color w:val="000080"/>
                  <w:sz w:val="20"/>
                  <w:u w:val="single"/>
                </w:rPr>
                <w:t xml:space="preserve"> 27, 202</w:t>
              </w:r>
            </w:hyperlink>
            <w:hyperlink w:anchor="i726e356724704c8e9c10f18f6c8e56bb_28">
              <w:r>
                <w:rPr>
                  <w:rStyle w:val="InternetLink"/>
                  <w:rFonts w:ascii="Times New Roman;serif" w:hAnsi="Times New Roman;serif"/>
                  <w:b w:val="false"/>
                  <w:color w:val="000080"/>
                  <w:sz w:val="20"/>
                  <w:u w:val="single"/>
                </w:rPr>
                <w:t>6</w:t>
              </w:r>
            </w:hyperlink>
            <w:hyperlink w:anchor="i726e356724704c8e9c10f18f6c8e56bb_28">
              <w:r>
                <w:rPr>
                  <w:rStyle w:val="InternetLink"/>
                  <w:rFonts w:ascii="Times New Roman;serif" w:hAnsi="Times New Roman;serif"/>
                  <w:b w:val="false"/>
                  <w:color w:val="000080"/>
                  <w:sz w:val="20"/>
                  <w:u w:val="single"/>
                </w:rPr>
                <w:t xml:space="preserve"> and </w:t>
              </w:r>
            </w:hyperlink>
            <w:hyperlink w:anchor="i726e356724704c8e9c10f18f6c8e56bb_28">
              <w:r>
                <w:rPr>
                  <w:rStyle w:val="InternetLink"/>
                  <w:rFonts w:ascii="Times New Roman;serif" w:hAnsi="Times New Roman;serif"/>
                  <w:b w:val="false"/>
                  <w:color w:val="000080"/>
                  <w:sz w:val="20"/>
                  <w:u w:val="single"/>
                </w:rPr>
                <w:t>June</w:t>
              </w:r>
            </w:hyperlink>
            <w:hyperlink w:anchor="i726e356724704c8e9c10f18f6c8e56bb_28">
              <w:r>
                <w:rPr>
                  <w:rStyle w:val="InternetLink"/>
                  <w:rFonts w:ascii="Times New Roman;serif" w:hAnsi="Times New Roman;serif"/>
                  <w:b w:val="false"/>
                  <w:color w:val="000080"/>
                  <w:sz w:val="20"/>
                  <w:u w:val="single"/>
                </w:rPr>
                <w:t xml:space="preserve"> 28, 202</w:t>
              </w:r>
            </w:hyperlink>
            <w:hyperlink w:anchor="i726e356724704c8e9c10f18f6c8e56bb_28">
              <w:r>
                <w:rPr>
                  <w:rStyle w:val="InternetLink"/>
                  <w:rFonts w:ascii="Times New Roman;serif" w:hAnsi="Times New Roman;serif"/>
                  <w:b w:val="false"/>
                  <w:color w:val="000080"/>
                  <w:sz w:val="20"/>
                  <w:u w:val="single"/>
                </w:rPr>
                <w:t>5</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6e356724704c8e9c10f18f6c8e56bb_28">
              <w:r>
                <w:rPr>
                  <w:rStyle w:val="InternetLink"/>
                  <w:rFonts w:ascii="Times New Roman;serif" w:hAnsi="Times New Roman;serif"/>
                  <w:b w:val="false"/>
                  <w:color w:val="0000FF"/>
                  <w:sz w:val="20"/>
                  <w:u w:val="single"/>
                </w:rPr>
                <w:t>7</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6e356724704c8e9c10f18f6c8e56bb_31">
              <w:r>
                <w:rPr>
                  <w:rStyle w:val="InternetLink"/>
                  <w:rFonts w:ascii="Times New Roman;serif" w:hAnsi="Times New Roman;serif"/>
                  <w:b w:val="false"/>
                  <w:color w:val="0000FF"/>
                  <w:sz w:val="20"/>
                  <w:u w:val="single"/>
                </w:rPr>
                <w:t>Notes to Unaudited Condensed Consolidated Financial Statements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6e356724704c8e9c10f18f6c8e56bb_31">
              <w:r>
                <w:rPr>
                  <w:rStyle w:val="InternetLink"/>
                  <w:rFonts w:ascii="Times New Roman;serif" w:hAnsi="Times New Roman;serif"/>
                  <w:b w:val="false"/>
                  <w:color w:val="0000FF"/>
                  <w:sz w:val="20"/>
                  <w:u w:val="single"/>
                </w:rPr>
                <w:t>8</w:t>
              </w:r>
            </w:hyperlink>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6e356724704c8e9c10f18f6c8e56bb_94">
              <w:r>
                <w:rPr>
                  <w:rStyle w:val="InternetLink"/>
                  <w:rFonts w:ascii="Times New Roman;serif" w:hAnsi="Times New Roman;serif"/>
                  <w:b/>
                  <w:color w:val="0000FF"/>
                  <w:sz w:val="20"/>
                  <w:u w:val="single"/>
                </w:rPr>
                <w:t>ITEM 2. Management's Discussion and Analysis of Financial Condition and Results of Operations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6e356724704c8e9c10f18f6c8e56bb_94">
              <w:r>
                <w:rPr>
                  <w:rStyle w:val="InternetLink"/>
                  <w:rFonts w:ascii="Times New Roman;serif" w:hAnsi="Times New Roman;serif"/>
                  <w:b w:val="false"/>
                  <w:color w:val="0000FF"/>
                  <w:sz w:val="20"/>
                  <w:u w:val="single"/>
                </w:rPr>
                <w:t>28</w:t>
              </w:r>
            </w:hyperlink>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6e356724704c8e9c10f18f6c8e56bb_118">
              <w:r>
                <w:rPr>
                  <w:rStyle w:val="InternetLink"/>
                  <w:rFonts w:ascii="Times New Roman;serif" w:hAnsi="Times New Roman;serif"/>
                  <w:b/>
                  <w:color w:val="0000FF"/>
                  <w:sz w:val="20"/>
                  <w:u w:val="single"/>
                </w:rPr>
                <w:t>ITEM 3. Quantitative and Qualitative Disclosures about Market Risk</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6e356724704c8e9c10f18f6c8e56bb_118">
              <w:r>
                <w:rPr>
                  <w:rStyle w:val="InternetLink"/>
                  <w:rFonts w:ascii="Times New Roman;serif" w:hAnsi="Times New Roman;serif"/>
                  <w:b w:val="false"/>
                  <w:color w:val="0000FF"/>
                  <w:sz w:val="20"/>
                  <w:u w:val="single"/>
                </w:rPr>
                <w:t>36</w:t>
              </w:r>
            </w:hyperlink>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6e356724704c8e9c10f18f6c8e56bb_121">
              <w:r>
                <w:rPr>
                  <w:rStyle w:val="InternetLink"/>
                  <w:rFonts w:ascii="Times New Roman;serif" w:hAnsi="Times New Roman;serif"/>
                  <w:b/>
                  <w:color w:val="0000FF"/>
                  <w:sz w:val="20"/>
                  <w:u w:val="single"/>
                </w:rPr>
                <w:t>ITEM 4. Controls and Procedures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6e356724704c8e9c10f18f6c8e56bb_121">
              <w:r>
                <w:rPr>
                  <w:rStyle w:val="InternetLink"/>
                  <w:rFonts w:ascii="Times New Roman;serif" w:hAnsi="Times New Roman;serif"/>
                  <w:b w:val="false"/>
                  <w:color w:val="0000FF"/>
                  <w:sz w:val="20"/>
                  <w:u w:val="single"/>
                </w:rPr>
                <w:t>37</w:t>
              </w:r>
            </w:hyperlink>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6e356724704c8e9c10f18f6c8e56bb_124">
              <w:r>
                <w:rPr>
                  <w:rStyle w:val="InternetLink"/>
                  <w:rFonts w:ascii="Times New Roman;serif" w:hAnsi="Times New Roman;serif"/>
                  <w:b/>
                  <w:color w:val="0000FF"/>
                  <w:sz w:val="20"/>
                  <w:u w:val="single"/>
                </w:rPr>
                <w:t>PART II. OTHER INFORMATION</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6e356724704c8e9c10f18f6c8e56bb_124">
              <w:r>
                <w:rPr>
                  <w:rStyle w:val="InternetLink"/>
                  <w:rFonts w:ascii="Times New Roman;serif" w:hAnsi="Times New Roman;serif"/>
                  <w:b w:val="false"/>
                  <w:color w:val="0000FF"/>
                  <w:sz w:val="20"/>
                  <w:u w:val="single"/>
                </w:rPr>
                <w:t>39</w:t>
              </w:r>
            </w:hyperlink>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6e356724704c8e9c10f18f6c8e56bb_127">
              <w:r>
                <w:rPr>
                  <w:rStyle w:val="InternetLink"/>
                  <w:rFonts w:ascii="Times New Roman;serif" w:hAnsi="Times New Roman;serif"/>
                  <w:b/>
                  <w:color w:val="0000FF"/>
                  <w:sz w:val="20"/>
                  <w:u w:val="single"/>
                </w:rPr>
                <w:t>ITEM 1. Legal Proceedings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6e356724704c8e9c10f18f6c8e56bb_127">
              <w:r>
                <w:rPr>
                  <w:rStyle w:val="InternetLink"/>
                  <w:rFonts w:ascii="Times New Roman;serif" w:hAnsi="Times New Roman;serif"/>
                  <w:b w:val="false"/>
                  <w:color w:val="0000FF"/>
                  <w:sz w:val="20"/>
                  <w:u w:val="single"/>
                </w:rPr>
                <w:t>39</w:t>
              </w:r>
            </w:hyperlink>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6e356724704c8e9c10f18f6c8e56bb_130">
              <w:r>
                <w:rPr>
                  <w:rStyle w:val="InternetLink"/>
                  <w:rFonts w:ascii="Times New Roman;serif" w:hAnsi="Times New Roman;serif"/>
                  <w:b/>
                  <w:color w:val="0000FF"/>
                  <w:sz w:val="20"/>
                  <w:u w:val="single"/>
                </w:rPr>
                <w:t>ITEM 1A. Risk Factors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6e356724704c8e9c10f18f6c8e56bb_130">
              <w:r>
                <w:rPr>
                  <w:rStyle w:val="InternetLink"/>
                  <w:rFonts w:ascii="Times New Roman;serif" w:hAnsi="Times New Roman;serif"/>
                  <w:b w:val="false"/>
                  <w:color w:val="0000FF"/>
                  <w:sz w:val="20"/>
                  <w:u w:val="single"/>
                </w:rPr>
                <w:t>39</w:t>
              </w:r>
            </w:hyperlink>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6e356724704c8e9c10f18f6c8e56bb_133">
              <w:r>
                <w:rPr>
                  <w:rStyle w:val="InternetLink"/>
                  <w:rFonts w:ascii="Times New Roman;serif" w:hAnsi="Times New Roman;serif"/>
                  <w:b/>
                  <w:color w:val="0000FF"/>
                  <w:sz w:val="20"/>
                  <w:u w:val="single"/>
                </w:rPr>
                <w:t>ITEM 2. Unregistered Sales of Equity Securities and Use of Proceeds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6e356724704c8e9c10f18f6c8e56bb_133">
              <w:r>
                <w:rPr>
                  <w:rStyle w:val="InternetLink"/>
                  <w:rFonts w:ascii="Times New Roman;serif" w:hAnsi="Times New Roman;serif"/>
                  <w:b w:val="false"/>
                  <w:color w:val="0000FF"/>
                  <w:sz w:val="20"/>
                  <w:u w:val="single"/>
                </w:rPr>
                <w:t>39</w:t>
              </w:r>
            </w:hyperlink>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6e356724704c8e9c10f18f6c8e56bb_136">
              <w:r>
                <w:rPr>
                  <w:rStyle w:val="InternetLink"/>
                  <w:rFonts w:ascii="Times New Roman;serif" w:hAnsi="Times New Roman;serif"/>
                  <w:b/>
                  <w:color w:val="0000FF"/>
                  <w:sz w:val="20"/>
                  <w:u w:val="single"/>
                </w:rPr>
                <w:t>ITEM 3. Defaults upon Senior Securities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6e356724704c8e9c10f18f6c8e56bb_136">
              <w:r>
                <w:rPr>
                  <w:rStyle w:val="InternetLink"/>
                  <w:rFonts w:ascii="Times New Roman;serif" w:hAnsi="Times New Roman;serif"/>
                  <w:b w:val="false"/>
                  <w:color w:val="0000FF"/>
                  <w:sz w:val="20"/>
                  <w:u w:val="single"/>
                </w:rPr>
                <w:t>39</w:t>
              </w:r>
            </w:hyperlink>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6e356724704c8e9c10f18f6c8e56bb_139">
              <w:r>
                <w:rPr>
                  <w:rStyle w:val="InternetLink"/>
                  <w:rFonts w:ascii="Times New Roman;serif" w:hAnsi="Times New Roman;serif"/>
                  <w:b/>
                  <w:color w:val="0000FF"/>
                  <w:sz w:val="20"/>
                  <w:u w:val="single"/>
                </w:rPr>
                <w:t>ITEM 4. Mine Safety Disclosures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6e356724704c8e9c10f18f6c8e56bb_139">
              <w:r>
                <w:rPr>
                  <w:rStyle w:val="InternetLink"/>
                  <w:rFonts w:ascii="Times New Roman;serif" w:hAnsi="Times New Roman;serif"/>
                  <w:b w:val="false"/>
                  <w:color w:val="0000FF"/>
                  <w:sz w:val="20"/>
                  <w:u w:val="single"/>
                </w:rPr>
                <w:t>39</w:t>
              </w:r>
            </w:hyperlink>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6e356724704c8e9c10f18f6c8e56bb_142">
              <w:r>
                <w:rPr>
                  <w:rStyle w:val="InternetLink"/>
                  <w:rFonts w:ascii="Times New Roman;serif" w:hAnsi="Times New Roman;serif"/>
                  <w:b/>
                  <w:color w:val="0000FF"/>
                  <w:sz w:val="20"/>
                  <w:u w:val="single"/>
                </w:rPr>
                <w:t>ITEM 5. Other Information</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6e356724704c8e9c10f18f6c8e56bb_142">
              <w:r>
                <w:rPr>
                  <w:rStyle w:val="InternetLink"/>
                  <w:rFonts w:ascii="Times New Roman;serif" w:hAnsi="Times New Roman;serif"/>
                  <w:b w:val="false"/>
                  <w:color w:val="0000FF"/>
                  <w:sz w:val="20"/>
                  <w:u w:val="single"/>
                </w:rPr>
                <w:t>39</w:t>
              </w:r>
            </w:hyperlink>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6e356724704c8e9c10f18f6c8e56bb_148">
              <w:r>
                <w:rPr>
                  <w:rStyle w:val="InternetLink"/>
                  <w:rFonts w:ascii="Times New Roman;serif" w:hAnsi="Times New Roman;serif"/>
                  <w:b/>
                  <w:color w:val="0000FF"/>
                  <w:sz w:val="20"/>
                  <w:u w:val="single"/>
                </w:rPr>
                <w:t>ITEM 6. Exhibits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6e356724704c8e9c10f18f6c8e56bb_148">
              <w:r>
                <w:rPr>
                  <w:rStyle w:val="InternetLink"/>
                  <w:rFonts w:ascii="Times New Roman;serif" w:hAnsi="Times New Roman;serif"/>
                  <w:b w:val="false"/>
                  <w:color w:val="0000FF"/>
                  <w:sz w:val="20"/>
                  <w:u w:val="single"/>
                </w:rPr>
                <w:t>40</w:t>
              </w:r>
            </w:hyperlink>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6e356724704c8e9c10f18f6c8e56bb_151">
              <w:r>
                <w:rPr>
                  <w:rStyle w:val="InternetLink"/>
                  <w:rFonts w:ascii="Times New Roman;serif" w:hAnsi="Times New Roman;serif"/>
                  <w:b/>
                  <w:color w:val="0000FF"/>
                  <w:sz w:val="20"/>
                  <w:u w:val="single"/>
                </w:rPr>
                <w:t>SIGNATURES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6e356724704c8e9c10f18f6c8e56bb_151">
              <w:r>
                <w:rPr>
                  <w:rStyle w:val="InternetLink"/>
                  <w:rFonts w:ascii="Times New Roman;serif" w:hAnsi="Times New Roman;serif"/>
                  <w:b w:val="false"/>
                  <w:color w:val="0000FF"/>
                  <w:sz w:val="20"/>
                  <w:u w:val="single"/>
                </w:rPr>
                <w:t>41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26e356724704c8e9c10f18f6c8e56bb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HAEMONETICS CORPORATION AND SUBSIDIARIES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CONDENSED CONSOLIDATED STATEMENTS OF INCOME (UNAUDITED)</w:t>
      </w:r>
    </w:p>
    <w:tbl>
      <w:tblPr>
        <w:tblW w:w="8367" w:type="dxa"/>
        <w:jc w:val="center"/>
        <w:tblInd w:w="0" w:type="dxa"/>
        <w:tblLayout w:type="fixed"/>
        <w:tblCellMar>
          <w:top w:w="28" w:type="dxa"/>
          <w:left w:w="28" w:type="dxa"/>
          <w:bottom w:w="28" w:type="dxa"/>
          <w:right w:w="28" w:type="dxa"/>
        </w:tblCellMar>
      </w:tblPr>
      <w:tblGrid>
        <w:gridCol w:w="1289"/>
        <w:gridCol w:w="1127"/>
        <w:gridCol w:w="1138"/>
        <w:gridCol w:w="349"/>
        <w:gridCol w:w="1367"/>
        <w:gridCol w:w="180"/>
        <w:gridCol w:w="180"/>
        <w:gridCol w:w="180"/>
        <w:gridCol w:w="180"/>
        <w:gridCol w:w="349"/>
        <w:gridCol w:w="1367"/>
        <w:gridCol w:w="180"/>
        <w:gridCol w:w="109"/>
        <w:gridCol w:w="109"/>
        <w:gridCol w:w="109"/>
        <w:gridCol w:w="154"/>
      </w:tblGrid>
      <w:tr>
        <w:trPr/>
        <w:tc>
          <w:tcPr>
            <w:tcW w:w="128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and Shares in Thousands, Except Per Share Data)</w:t>
            </w:r>
          </w:p>
        </w:tc>
        <w:tc>
          <w:tcPr>
            <w:tcW w:w="481" w:type="dxa"/>
            <w:gridSpan w:val="4"/>
            <w:tcBorders/>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revenues</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339,380 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321,394 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goods sold</w:t>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136,577 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129,150 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7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202,803 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192,244 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8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Selling, general and administrative</w:t>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118,941 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110,719 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896"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8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896"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8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896"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8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7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145,345 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138,372 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7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57,458 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53,872 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net</w:t>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7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47,574 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45,169 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33,010 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34,031 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common share:</w:t>
            </w:r>
          </w:p>
        </w:tc>
        <w:tc>
          <w:tcPr>
            <w:tcW w:w="1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Weighted average shares outstanding </w:t>
            </w:r>
          </w:p>
        </w:tc>
        <w:tc>
          <w:tcPr>
            <w:tcW w:w="1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48,111 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48,353 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26e356724704c8e9c10f18f6c8e56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HAEMONETICS CORPORATION AND SUBSIDIARIES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(UNAUDITED)</w:t>
      </w:r>
    </w:p>
    <w:tbl>
      <w:tblPr>
        <w:tblW w:w="9206" w:type="dxa"/>
        <w:jc w:val="center"/>
        <w:tblInd w:w="0" w:type="dxa"/>
        <w:tblLayout w:type="fixed"/>
        <w:tblCellMar>
          <w:top w:w="28" w:type="dxa"/>
          <w:left w:w="28" w:type="dxa"/>
          <w:bottom w:w="28" w:type="dxa"/>
          <w:right w:w="28" w:type="dxa"/>
        </w:tblCellMar>
      </w:tblPr>
      <w:tblGrid>
        <w:gridCol w:w="2221"/>
        <w:gridCol w:w="1952"/>
        <w:gridCol w:w="1977"/>
        <w:gridCol w:w="224"/>
        <w:gridCol w:w="784"/>
        <w:gridCol w:w="116"/>
        <w:gridCol w:w="109"/>
        <w:gridCol w:w="109"/>
        <w:gridCol w:w="109"/>
        <w:gridCol w:w="224"/>
        <w:gridCol w:w="784"/>
        <w:gridCol w:w="116"/>
        <w:gridCol w:w="109"/>
        <w:gridCol w:w="109"/>
        <w:gridCol w:w="109"/>
        <w:gridCol w:w="154"/>
      </w:tblGrid>
      <w:tr>
        <w:trPr/>
        <w:tc>
          <w:tcPr>
            <w:tcW w:w="2221"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(loss) income:</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 net of tax</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cash flow hedges, net of tax</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Reclassifications into earnings of cash flow hedge (gains) losses, net of tax</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28,995</w:t>
            </w:r>
            <w:r>
              <w:rPr>
                <w:color w:val="000000"/>
              </w:rPr>
              <w:t>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52,873</w:t>
            </w:r>
            <w:r>
              <w:rPr>
                <w:color w:val="000000"/>
              </w:rPr>
              <w:t>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26e356724704c8e9c10f18f6c8e56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HAEMONETICS CORPORATION AND SUBSIDIARIES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tbl>
      <w:tblPr>
        <w:tblW w:w="10205" w:type="dxa"/>
        <w:jc w:val="left"/>
        <w:tblInd w:w="0" w:type="dxa"/>
        <w:tblLayout w:type="fixed"/>
        <w:tblCellMar>
          <w:top w:w="28" w:type="dxa"/>
          <w:left w:w="28" w:type="dxa"/>
          <w:bottom w:w="28" w:type="dxa"/>
          <w:right w:w="28" w:type="dxa"/>
        </w:tblCellMar>
      </w:tblPr>
      <w:tblGrid>
        <w:gridCol w:w="2916"/>
        <w:gridCol w:w="2111"/>
        <w:gridCol w:w="2099"/>
        <w:gridCol w:w="218"/>
        <w:gridCol w:w="1014"/>
        <w:gridCol w:w="113"/>
        <w:gridCol w:w="113"/>
        <w:gridCol w:w="113"/>
        <w:gridCol w:w="113"/>
        <w:gridCol w:w="218"/>
        <w:gridCol w:w="1014"/>
        <w:gridCol w:w="163"/>
      </w:tblGrid>
      <w:tr>
        <w:trPr/>
        <w:tc>
          <w:tcPr>
            <w:tcW w:w="2916"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r>
      <w:tr>
        <w:trPr/>
        <w:tc>
          <w:tcPr>
            <w:tcW w:w="7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 Except Share Data)</w:t>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245,440 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less allowance for credit losses of $3,618 as of June 27, 2026 and $3,693 as of March 28, 2026</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216,855 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306,739 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306,370 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64,638 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810,832 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834,879 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303,778 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305,761 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 less accumulated amortization of $374,828 as of June 27, 2026 and $363,763 as of March 28, 2026</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434,512 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447,655 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656,884 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656,368 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141,741 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2,365,400 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2,395,925 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345"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and current maturities of long-term debt</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56,338 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related costs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68,191 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163,796 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158,337 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263,235 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282,599 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1,169,202 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1,219,565 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38,691 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38,048 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57,171 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Authorized — 150,000,000 shares; Issued and outstanding — 45,471,313 shares as of June 27, 2026 and 45,252,667 shares as of March 28, 2026</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566,759 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554,137 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279,344 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(41,629)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(37,614)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837,101 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796,320 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2,365,400 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2,395,925 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26e356724704c8e9c10f18f6c8e56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HAEMONETICS CORPORATION AND SUBSIDIARIES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(UNAUDITED)</w:t>
      </w:r>
    </w:p>
    <w:tbl>
      <w:tblPr>
        <w:tblW w:w="10205" w:type="dxa"/>
        <w:jc w:val="center"/>
        <w:tblInd w:w="0" w:type="dxa"/>
        <w:tblLayout w:type="fixed"/>
        <w:tblCellMar>
          <w:top w:w="28" w:type="dxa"/>
          <w:left w:w="28" w:type="dxa"/>
          <w:bottom w:w="28" w:type="dxa"/>
          <w:right w:w="28" w:type="dxa"/>
        </w:tblCellMar>
      </w:tblPr>
      <w:tblGrid>
        <w:gridCol w:w="868"/>
        <w:gridCol w:w="371"/>
        <w:gridCol w:w="373"/>
        <w:gridCol w:w="548"/>
        <w:gridCol w:w="548"/>
        <w:gridCol w:w="196"/>
        <w:gridCol w:w="109"/>
        <w:gridCol w:w="109"/>
        <w:gridCol w:w="109"/>
        <w:gridCol w:w="212"/>
        <w:gridCol w:w="483"/>
        <w:gridCol w:w="109"/>
        <w:gridCol w:w="109"/>
        <w:gridCol w:w="109"/>
        <w:gridCol w:w="109"/>
        <w:gridCol w:w="211"/>
        <w:gridCol w:w="844"/>
        <w:gridCol w:w="109"/>
        <w:gridCol w:w="109"/>
        <w:gridCol w:w="109"/>
        <w:gridCol w:w="109"/>
        <w:gridCol w:w="216"/>
        <w:gridCol w:w="861"/>
        <w:gridCol w:w="111"/>
        <w:gridCol w:w="109"/>
        <w:gridCol w:w="109"/>
        <w:gridCol w:w="109"/>
        <w:gridCol w:w="249"/>
        <w:gridCol w:w="872"/>
        <w:gridCol w:w="130"/>
        <w:gridCol w:w="109"/>
        <w:gridCol w:w="109"/>
        <w:gridCol w:w="109"/>
        <w:gridCol w:w="219"/>
        <w:gridCol w:w="873"/>
        <w:gridCol w:w="167"/>
      </w:tblGrid>
      <w:tr>
        <w:trPr/>
        <w:tc>
          <w:tcPr>
            <w:tcW w:w="86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 Equity</w:t>
            </w:r>
          </w:p>
        </w:tc>
      </w:tr>
      <w:tr>
        <w:trPr/>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 Except Share Data)</w:t>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March 28, 2026</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45,252,667</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554,137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279,344</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(37,614)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796,320</w:t>
            </w: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09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73,033 </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3,123 </w:t>
            </w:r>
          </w:p>
        </w:tc>
        <w:tc>
          <w:tcPr>
            <w:tcW w:w="16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stock, net of cancellations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157,265 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on employee equity awards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June 27, 2026</w:t>
            </w:r>
          </w:p>
        </w:tc>
        <w:tc>
          <w:tcPr>
            <w:tcW w:w="109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45,471,313</w:t>
            </w:r>
            <w:r>
              <w:rPr>
                <w:color w:val="000000"/>
              </w:rPr>
              <w:t>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566,759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311,516</w:t>
            </w:r>
            <w:r>
              <w:rPr>
                <w:color w:val="000000"/>
              </w:rPr>
              <w:t>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(41,629)</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837,101</w:t>
            </w:r>
            <w:r>
              <w:rPr>
                <w:color w:val="000000"/>
              </w:rPr>
              <w:t>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68"/>
        <w:gridCol w:w="371"/>
        <w:gridCol w:w="373"/>
        <w:gridCol w:w="548"/>
        <w:gridCol w:w="548"/>
        <w:gridCol w:w="196"/>
        <w:gridCol w:w="109"/>
        <w:gridCol w:w="109"/>
        <w:gridCol w:w="109"/>
        <w:gridCol w:w="212"/>
        <w:gridCol w:w="483"/>
        <w:gridCol w:w="109"/>
        <w:gridCol w:w="109"/>
        <w:gridCol w:w="109"/>
        <w:gridCol w:w="109"/>
        <w:gridCol w:w="211"/>
        <w:gridCol w:w="844"/>
        <w:gridCol w:w="109"/>
        <w:gridCol w:w="109"/>
        <w:gridCol w:w="109"/>
        <w:gridCol w:w="109"/>
        <w:gridCol w:w="216"/>
        <w:gridCol w:w="861"/>
        <w:gridCol w:w="111"/>
        <w:gridCol w:w="109"/>
        <w:gridCol w:w="109"/>
        <w:gridCol w:w="109"/>
        <w:gridCol w:w="249"/>
        <w:gridCol w:w="872"/>
        <w:gridCol w:w="130"/>
        <w:gridCol w:w="109"/>
        <w:gridCol w:w="109"/>
        <w:gridCol w:w="109"/>
        <w:gridCol w:w="219"/>
        <w:gridCol w:w="873"/>
        <w:gridCol w:w="167"/>
      </w:tblGrid>
      <w:tr>
        <w:trPr/>
        <w:tc>
          <w:tcPr>
            <w:tcW w:w="86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 Equity</w:t>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 Except Share Data)</w:t>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March 29, 2025</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48,215,899</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523,264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352,174</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(55,084)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820,836</w:t>
            </w: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09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64,884 </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16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(363,886)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stock, net of cancellations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250,532 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on employee equity awards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June 28, 2025</w:t>
            </w:r>
          </w:p>
        </w:tc>
        <w:tc>
          <w:tcPr>
            <w:tcW w:w="109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48,158,723</w:t>
            </w:r>
            <w:r>
              <w:rPr>
                <w:color w:val="000000"/>
              </w:rPr>
              <w:t>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562,014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356,046</w:t>
            </w:r>
            <w:r>
              <w:rPr>
                <w:color w:val="000000"/>
              </w:rPr>
              <w:t>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(36,242)</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882,300</w:t>
            </w:r>
            <w:r>
              <w:rPr>
                <w:color w:val="000000"/>
              </w:rPr>
              <w:t> </w:t>
            </w:r>
          </w:p>
        </w:tc>
        <w:tc>
          <w:tcPr>
            <w:tcW w:w="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26e356724704c8e9c10f18f6c8e56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HAEMONETICS CORPORATION AND SUBSIDIARIES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tbl>
      <w:tblPr>
        <w:tblW w:w="10205" w:type="dxa"/>
        <w:jc w:val="center"/>
        <w:tblInd w:w="0" w:type="dxa"/>
        <w:tblLayout w:type="fixed"/>
        <w:tblCellMar>
          <w:top w:w="28" w:type="dxa"/>
          <w:left w:w="28" w:type="dxa"/>
          <w:bottom w:w="28" w:type="dxa"/>
          <w:right w:w="28" w:type="dxa"/>
        </w:tblCellMar>
      </w:tblPr>
      <w:tblGrid>
        <w:gridCol w:w="2729"/>
        <w:gridCol w:w="2382"/>
        <w:gridCol w:w="2398"/>
        <w:gridCol w:w="211"/>
        <w:gridCol w:w="841"/>
        <w:gridCol w:w="109"/>
        <w:gridCol w:w="109"/>
        <w:gridCol w:w="109"/>
        <w:gridCol w:w="109"/>
        <w:gridCol w:w="211"/>
        <w:gridCol w:w="841"/>
        <w:gridCol w:w="156"/>
      </w:tblGrid>
      <w:tr>
        <w:trPr/>
        <w:tc>
          <w:tcPr>
            <w:tcW w:w="2729" w:type="dxa"/>
            <w:tcBorders/>
            <w:vAlign w:val="center"/>
          </w:tcPr>
          <w:p>
            <w:pPr>
              <w:pStyle w:val="TableContents"/>
              <w:bidi w:val="0"/>
              <w:spacing w:before="0" w:after="283"/>
              <w:jc w:val="left"/>
              <w:rPr>
                <w:sz w:val="4"/>
                <w:szCs w:val="4"/>
              </w:rPr>
            </w:pPr>
            <w:r>
              <w:rPr>
                <w:sz w:val="4"/>
                <w:szCs w:val="4"/>
              </w:rPr>
            </w:r>
          </w:p>
        </w:tc>
        <w:tc>
          <w:tcPr>
            <w:tcW w:w="2382"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7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7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fair value inventory step-up</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5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5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5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5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5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operating activities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operating assets and liabilities: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accounts receivable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inventories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prepaid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other assets and other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accounts payable and accrued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(47,896)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transfers from inventory to property, plant and equipment for Haemonetics equipment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5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plant and equipment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(33,000)</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5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5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5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5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5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5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revolving credit facility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term loan borrowings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5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5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employee stock purchase plan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to net share settle employee equity awards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(51,528)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rates on cash and cash equivalents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(13,865)</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223,384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292,898</w:t>
            </w:r>
            <w:r>
              <w:rPr>
                <w:color w:val="000000"/>
              </w:rPr>
              <w:t>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5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5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5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26e356724704c8e9c10f18f6c8e56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HAEMONETICS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1. BASIS OF PRESENTATION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of Haemonetics Corporation (“Haemonetics” or the “Company”) presented herein have been prepared in accordance with generally accepted accounting principles in the United States of America (“U.S. GAAP”) for interim financial information and with the instructions to Form 10-Q and Article 10 of Regulation S-X. Accordingly, they do not include all of the information and footnotes required by U.S. GAAP for complete financial statements. In the opinion of the Company’s management, all adjustments (consisting of normal recurring adjustments) considered necessary for a fair presentation have been included. All intercompany transactions have been eliminated. Operating results for the three months ended June 27, 2026 are not necessarily indicative of the results that may be expected for the full fiscal year ending April 3, 2027 or any other interim period. These unaudited condensed consolidated financial statements should be read in conjunction with the audited consolidated financial statements and footnotes included in the Annual Report on Form 10-K for the fiscal year ended March 28, 2026.</w:t>
      </w:r>
    </w:p>
    <w:p>
      <w:pPr>
        <w:pStyle w:val="TextBody"/>
        <w:bidi w:val="0"/>
        <w:spacing w:lineRule="auto" w:line="288" w:before="0" w:after="180"/>
        <w:jc w:val="both"/>
        <w:rPr/>
      </w:pPr>
      <w:r>
        <w:rPr>
          <w:rFonts w:ascii="Times New Roman;serif" w:hAnsi="Times New Roman;serif"/>
          <w:b w:val="false"/>
          <w:color w:val="000000"/>
          <w:sz w:val="20"/>
        </w:rPr>
        <w:t xml:space="preserve">The Company considers events or transactions that occur after the balance sheet date but prior to the issuance of the financial statements to provide additional evidence relative to certain estimates or to identify matters that require additional disclosure. There were no material recognized or unrecognized subsequent events as of or for the three months ended June 27, 2026, except for those discussed in Note 12, </w:t>
      </w:r>
      <w:r>
        <w:rPr>
          <w:rFonts w:ascii="Times New Roman;serif" w:hAnsi="Times New Roman;serif"/>
          <w:b w:val="false"/>
          <w:i/>
          <w:color w:val="000000"/>
          <w:sz w:val="20"/>
        </w:rPr>
        <w:t>Notes Payable and Long-term Debt.</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Segment Reorganization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June 5, 2026, the Company implemented an organizational realignment designed to align its commercial operations into two global reportable segments by combining the previously reported Plasma and Blood Center reportable segments into Apheresis and renaming the Hospital reportable segment to MedSurg. This organizational structure reflects how the Company is organized to manage operations, allocate resources and evaluate performance. Accordingly, all prior-period segment information presented has been recast to reflect the current reportable segment structure.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2. RECENT ACCOUNTING PRONOUNCEMENTS </w:t>
      </w:r>
    </w:p>
    <w:p>
      <w:pPr>
        <w:pStyle w:val="TextBody"/>
        <w:bidi w:val="0"/>
        <w:spacing w:lineRule="auto" w:line="288"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Recently Issued Accounting Pronouncements Not Yet Adopted</w:t>
      </w:r>
    </w:p>
    <w:p>
      <w:pPr>
        <w:pStyle w:val="TextBody"/>
        <w:bidi w:val="0"/>
        <w:spacing w:lineRule="auto" w:line="288" w:before="0" w:after="180"/>
        <w:jc w:val="both"/>
        <w:rPr/>
      </w:pPr>
      <w:r>
        <w:rPr>
          <w:rFonts w:ascii="Times New Roman;serif" w:hAnsi="Times New Roman;serif"/>
          <w:b w:val="false"/>
          <w:color w:val="000000"/>
          <w:sz w:val="20"/>
        </w:rPr>
        <w:t xml:space="preserve">In November 2024, the FASB issued ASC Update No. 2024-03, </w:t>
      </w:r>
      <w:r>
        <w:rPr>
          <w:rFonts w:ascii="Times New Roman;serif" w:hAnsi="Times New Roman;serif"/>
          <w:b w:val="false"/>
          <w:i/>
          <w:color w:val="000000"/>
          <w:sz w:val="20"/>
        </w:rPr>
        <w:t>Income Statement - Reporting Comprehensive Income - Expense Disaggregation Disclosures</w:t>
      </w:r>
      <w:r>
        <w:rPr>
          <w:rFonts w:ascii="Times New Roman;serif" w:hAnsi="Times New Roman;serif"/>
          <w:b w:val="false"/>
          <w:color w:val="000000"/>
          <w:sz w:val="20"/>
        </w:rPr>
        <w:t>. ASC Update No. 2024-03 requires detailed cost and expense information disaggregated in the financial statements notes. The updated guidance is effective for fiscal years beginning after December 15, 2026 and interim reporting periods within annual reporting periods beginning after December 15, 2027, with early adoption permitted. ASC Update No. 2024-03 is applicable to Haemonetics beginning with the fiscal 2028 Annual Report on Form 10-K and the Company is currently evaluating the impact to its interim and annual report disclosures.</w:t>
      </w:r>
    </w:p>
    <w:p>
      <w:pPr>
        <w:pStyle w:val="TextBody"/>
        <w:bidi w:val="0"/>
        <w:spacing w:lineRule="auto" w:line="288" w:before="0" w:after="180"/>
        <w:jc w:val="both"/>
        <w:rPr/>
      </w:pPr>
      <w:r>
        <w:rPr>
          <w:rFonts w:ascii="Times New Roman;serif" w:hAnsi="Times New Roman;serif"/>
          <w:b w:val="false"/>
          <w:color w:val="000000"/>
          <w:sz w:val="20"/>
        </w:rPr>
        <w:t xml:space="preserve">In July 2025, the FASB issued ASC Update No. 2025-05, </w:t>
      </w:r>
      <w:r>
        <w:rPr>
          <w:rFonts w:ascii="Times New Roman;serif" w:hAnsi="Times New Roman;serif"/>
          <w:b w:val="false"/>
          <w:i/>
          <w:color w:val="000000"/>
          <w:sz w:val="20"/>
        </w:rPr>
        <w:t>Financial Instruments - Credit Losses</w:t>
      </w:r>
      <w:r>
        <w:rPr>
          <w:color w:val="000000"/>
        </w:rPr>
        <w:t xml:space="preserve"> </w:t>
      </w:r>
      <w:r>
        <w:rPr>
          <w:rFonts w:ascii="Times New Roman;serif" w:hAnsi="Times New Roman;serif"/>
          <w:b w:val="false"/>
          <w:color w:val="000000"/>
          <w:sz w:val="20"/>
        </w:rPr>
        <w:t>(</w:t>
      </w:r>
      <w:r>
        <w:rPr>
          <w:rFonts w:ascii="Times New Roman;serif" w:hAnsi="Times New Roman;serif"/>
          <w:b w:val="false"/>
          <w:i/>
          <w:color w:val="000000"/>
          <w:sz w:val="20"/>
        </w:rPr>
        <w:t>Topic 326</w:t>
      </w:r>
      <w:r>
        <w:rPr>
          <w:rFonts w:ascii="Times New Roman;serif" w:hAnsi="Times New Roman;serif"/>
          <w:b w:val="false"/>
          <w:color w:val="000000"/>
          <w:sz w:val="20"/>
        </w:rPr>
        <w:t>). ASC Update No. 2025-05 introduces a practical expedient related to the estimation of expected credit losses for current accounts receivable and current contract assets that arise from transactions accounted for under FASB Accounting Standards Codification 606. Under ASC Update No. 2025-05, an entity is required to disclose whether it has elected to use the practical expedient. An entity that makes the accounting policy election is required to disclose the date through which subsequent cash collections are evaluated. The updated guidance is effective for fiscal years beginning December 15, 2025, with early adoption permitted. ASC Update No. 2025-05 is applicable to Haemonetics beginning with the fiscal 2027 Annual Report on Form 10-K and the Company is currently evaluating the impact to its interim and annual report disclosures. The guidance can be applied on a prospective basis with the option to apply the standard retrospectively.</w:t>
      </w:r>
    </w:p>
    <w:p>
      <w:pPr>
        <w:pStyle w:val="TextBody"/>
        <w:bidi w:val="0"/>
        <w:spacing w:lineRule="auto" w:line="288" w:before="0" w:after="180"/>
        <w:jc w:val="both"/>
        <w:rPr/>
      </w:pPr>
      <w:r>
        <w:rPr>
          <w:rFonts w:ascii="Times New Roman;serif" w:hAnsi="Times New Roman;serif"/>
          <w:b w:val="false"/>
          <w:color w:val="000000"/>
          <w:sz w:val="20"/>
        </w:rPr>
        <w:t xml:space="preserve">In September 2025, the FASB issued ASC Update No. 2025-06, </w:t>
      </w:r>
      <w:r>
        <w:rPr>
          <w:rFonts w:ascii="Times New Roman;serif" w:hAnsi="Times New Roman;serif"/>
          <w:b w:val="false"/>
          <w:i/>
          <w:color w:val="000000"/>
          <w:sz w:val="20"/>
        </w:rPr>
        <w:t>Intangibles - Goodwill and Other - Internal-Use Software</w:t>
      </w:r>
      <w:r>
        <w:rPr>
          <w:rFonts w:ascii="Times New Roman;serif" w:hAnsi="Times New Roman;serif"/>
          <w:b w:val="false"/>
          <w:color w:val="000000"/>
          <w:sz w:val="20"/>
        </w:rPr>
        <w:t>. ASC Update No. 2025-06 eliminates references to development stages in the capitalization guidance and requires costs to be capitalized once management authorizes funding and will be completed and used as intended. The updated guidance is effective for fiscal years beginning after December 15, 2027, with early adoption permitted. ASC Update No. 2025-06 is applicable to Haemonetics beginning with the fiscal 2029 Annual Report on Form 10-K and the Company is currently evaluating the impact to its interim and annual report disclosures. The guidance can be applied on a prospective basis with the option to apply the standard retrospectively.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26e356724704c8e9c10f18f6c8e56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pPr>
      <w:r>
        <w:rPr>
          <w:rFonts w:ascii="Times New Roman;serif" w:hAnsi="Times New Roman;serif"/>
          <w:b w:val="false"/>
          <w:color w:val="000000"/>
          <w:sz w:val="20"/>
        </w:rPr>
        <w:t xml:space="preserve">In November 2025, the FASB issued ASC Update No. 2025-09, </w:t>
      </w:r>
      <w:r>
        <w:rPr>
          <w:rFonts w:ascii="Times New Roman;serif" w:hAnsi="Times New Roman;serif"/>
          <w:b w:val="false"/>
          <w:i/>
          <w:color w:val="000000"/>
          <w:sz w:val="20"/>
        </w:rPr>
        <w:t xml:space="preserve">Derivatives and Hedging. </w:t>
      </w:r>
      <w:r>
        <w:rPr>
          <w:rFonts w:ascii="Times New Roman;serif" w:hAnsi="Times New Roman;serif"/>
          <w:b w:val="false"/>
          <w:color w:val="000000"/>
          <w:sz w:val="20"/>
        </w:rPr>
        <w:t xml:space="preserve">ASC Update No. 2025-09 enables groups of forecasted transactions to now share similar risk exposure with ongoing assessments of risk similarity to better reflect economic hedging strategies. The updated guidance is effective for fiscal years beginning after December 15, 2028, with early adoption permitted. ASC Update No. 2025-09 is applicable to Haemonetics beginning with the fiscal 2030 Annual Report on Form 10-K and the Company is currently evaluating the impact to its interim and annual report disclosures. </w:t>
      </w:r>
      <w:r>
        <w:rPr>
          <w:rFonts w:ascii="Times New Roman;serif" w:hAnsi="Times New Roman;serif"/>
          <w:b w:val="false"/>
          <w:color w:val="000000"/>
          <w:sz w:val="20"/>
          <w:shd w:fill="FFFFFF" w:val="clear"/>
        </w:rPr>
        <w:t>The guidance can be applied on a prospective basis with the option to apply the standard retrospectively.</w:t>
      </w:r>
    </w:p>
    <w:p>
      <w:pPr>
        <w:pStyle w:val="TextBody"/>
        <w:bidi w:val="0"/>
        <w:spacing w:lineRule="auto" w:line="288" w:before="0" w:after="180"/>
        <w:jc w:val="both"/>
        <w:rPr/>
      </w:pPr>
      <w:r>
        <w:rPr>
          <w:rFonts w:ascii="Times New Roman;serif" w:hAnsi="Times New Roman;serif"/>
          <w:b w:val="false"/>
          <w:color w:val="000000"/>
          <w:sz w:val="20"/>
        </w:rPr>
        <w:t xml:space="preserve">In December 2025, the FASB issued ASC Update No. 2025-11, </w:t>
      </w:r>
      <w:r>
        <w:rPr>
          <w:rFonts w:ascii="Times New Roman;serif" w:hAnsi="Times New Roman;serif"/>
          <w:b w:val="false"/>
          <w:i/>
          <w:color w:val="000000"/>
          <w:sz w:val="20"/>
        </w:rPr>
        <w:t xml:space="preserve">Interim Reporting. </w:t>
      </w:r>
      <w:r>
        <w:rPr>
          <w:rFonts w:ascii="Times New Roman;serif" w:hAnsi="Times New Roman;serif"/>
          <w:b w:val="false"/>
          <w:color w:val="000000"/>
          <w:sz w:val="20"/>
        </w:rPr>
        <w:t xml:space="preserve">ASC Update No. 2025-11 improves navigability and consistency in interim reporting by providing a comprehensive list of interim disclosures that are required from U.S. GAAP as well as a disclosure principle for additional transparency. The updated guidance is effective for fiscal years beginning after December 15, 2027, with early adoption permitted. ASC Update No. 2025-11 is applicable to Haemonetics beginning with the fiscal 2029 Annual Report on Form 10-K and the Company is currently evaluating the impact to its interim and annual report disclosures. </w:t>
      </w:r>
    </w:p>
    <w:p>
      <w:pPr>
        <w:pStyle w:val="TextBody"/>
        <w:bidi w:val="0"/>
        <w:spacing w:lineRule="auto" w:line="288" w:before="0" w:after="180"/>
        <w:jc w:val="both"/>
        <w:rPr/>
      </w:pPr>
      <w:r>
        <w:rPr>
          <w:rFonts w:ascii="Times New Roman;serif" w:hAnsi="Times New Roman;serif"/>
          <w:b w:val="false"/>
          <w:color w:val="000000"/>
          <w:sz w:val="20"/>
        </w:rPr>
        <w:t xml:space="preserve">In December 2025, the FASB issued ASC Update No. 2025-12, </w:t>
      </w:r>
      <w:r>
        <w:rPr>
          <w:rFonts w:ascii="Times New Roman;serif" w:hAnsi="Times New Roman;serif"/>
          <w:b w:val="false"/>
          <w:i/>
          <w:color w:val="000000"/>
          <w:sz w:val="20"/>
        </w:rPr>
        <w:t xml:space="preserve">Codification Improvements. </w:t>
      </w:r>
      <w:r>
        <w:rPr>
          <w:rFonts w:ascii="Times New Roman;serif" w:hAnsi="Times New Roman;serif"/>
          <w:b w:val="false"/>
          <w:color w:val="000000"/>
          <w:sz w:val="20"/>
        </w:rPr>
        <w:t>ASC Update No. 2025-12 makes a broad set of technical corrections, clarifications and targeted improvements to the FASB Accounting Standards Codification to address unintended application issues and improve the operability of U.S. GAAP across a range of topics. The updated guidance is effective for fiscal years beginning after December 15, 2026, with early adoption permitted. ASC Update No. 2025-12 is applicable to Haemonetics beginning with the fiscal 2028 Annual Report on Form 10-K and the Company is currently evaluating the impact to its interim and annual report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3. ACQUISITIONS AND STRATEGIC INVESTMENTS </w:t>
      </w:r>
    </w:p>
    <w:p>
      <w:pPr>
        <w:pStyle w:val="TextBody"/>
        <w:bidi w:val="0"/>
        <w:spacing w:lineRule="auto" w:line="288" w:before="0" w:after="180"/>
        <w:jc w:val="both"/>
        <w:rPr/>
      </w:pPr>
      <w:r>
        <w:rPr>
          <w:rFonts w:ascii="Times New Roman;serif" w:hAnsi="Times New Roman;serif"/>
          <w:b/>
          <w:i/>
          <w:color w:val="000000"/>
          <w:sz w:val="20"/>
          <w:shd w:fill="FFFFFF" w:val="clear"/>
        </w:rPr>
        <w:t>A</w:t>
      </w:r>
      <w:r>
        <w:rPr>
          <w:rFonts w:ascii="Times New Roman;serif" w:hAnsi="Times New Roman;serif"/>
          <w:b/>
          <w:i/>
          <w:color w:val="000000"/>
          <w:sz w:val="20"/>
        </w:rPr>
        <w:t>cquisitions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Vivasure Medical Limited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January 9, 2026, the Company acquired all of the outstanding equity interests of Vivasure Medical Limited (“Vivasure”) for a net purchase price of $166.1 million. The net purchase price included $60.2 million paid in cash at closing, net of $0.4 million cash acquired and after giving effect to the value of certain prior investments and loans made by the Company to Vivasure, as well as other customary closing adjustments, and the fair value of contingent consideration of $20.7 million. The contingent consideration is based on sales growth over the three years following the completion of the acquisition and the achievement of certain other milestones and is also subject to adjustments based on the value of certain prior investments and loans. The Company financed this transaction through available cash on hand. During the fourth quarter of fiscal 2026, the Company recorded a gain of $4.9 million within interest and other expense, net on the consolidated statements of income as a result of the remeasurement of the Company’s prior equity interest of approximately 30% in Vivasure, which had a fair value of $47.3 million.</w:t>
      </w:r>
    </w:p>
    <w:p>
      <w:pPr>
        <w:pStyle w:val="TextBody"/>
        <w:bidi w:val="0"/>
        <w:spacing w:lineRule="auto" w:line="288" w:before="0" w:after="180"/>
        <w:jc w:val="both"/>
        <w:rPr/>
      </w:pPr>
      <w:r>
        <w:rPr>
          <w:rFonts w:ascii="Times New Roman;serif" w:hAnsi="Times New Roman;serif"/>
          <w:b w:val="false"/>
          <w:color w:val="000000"/>
          <w:sz w:val="20"/>
        </w:rPr>
        <w:t>Vivasure is a Galway, Ireland-based company pioneering next-generation technology for percutaneous vessel closure. Vivasure’s PerQseal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Elite system uses a proprietary bioabsorbable patch to seal large-bore (up to 26 F) arteriotomies and venotomies from inside the vessel, offering a sutureless, fully absorbable solution for structural heart and endovascular procedures. In 2025, Vivasure submitted a premarket approval application to the U.S. FDA for the PerQseal Elite arterial closure system and received CE Mark in Europe for both arterial and venous indications. The addition of Vivasure expands the MedSurg business unit portfolio in the interventional cardiology market and will be included in the MedSurg reportable segment.</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Purchase Price Allocation</w:t>
      </w:r>
    </w:p>
    <w:p>
      <w:pPr>
        <w:pStyle w:val="TextBody"/>
        <w:bidi w:val="0"/>
        <w:spacing w:lineRule="auto" w:line="288" w:before="0" w:after="180"/>
        <w:jc w:val="both"/>
        <w:rPr/>
      </w:pPr>
      <w:r>
        <w:rPr>
          <w:rFonts w:ascii="Times New Roman;serif" w:hAnsi="Times New Roman;serif"/>
          <w:b w:val="false"/>
          <w:color w:val="000000"/>
          <w:sz w:val="20"/>
        </w:rPr>
        <w:t xml:space="preserve">The Company accounted for the acquisition as a business combination, and in accordance with FASB ASC 805, </w:t>
      </w:r>
      <w:r>
        <w:rPr>
          <w:rFonts w:ascii="Times New Roman;serif" w:hAnsi="Times New Roman;serif"/>
          <w:b w:val="false"/>
          <w:i/>
          <w:color w:val="000000"/>
          <w:sz w:val="20"/>
        </w:rPr>
        <w:t>Business Combinations</w:t>
      </w:r>
      <w:r>
        <w:rPr>
          <w:color w:val="000000"/>
        </w:rPr>
        <w:t xml:space="preserve"> </w:t>
      </w:r>
      <w:r>
        <w:rPr>
          <w:rFonts w:ascii="Times New Roman;serif" w:hAnsi="Times New Roman;serif"/>
          <w:b w:val="false"/>
          <w:color w:val="000000"/>
          <w:sz w:val="20"/>
        </w:rPr>
        <w:t>(Topic 805), recorded the assets acquired and liabilities assumed at their fair values as of the acquisition date. The fair value of assets acquired and liabilities assumed have been recognized based on management’s estimates and assumptions using the information regarding facts and circumstances that existed at the closing date. The assessment of fair value is preliminary and is based on information that was available at the time the Company’s consolidated financial statements were prepared. Measurement period adjustments may arise upon the availability of further information regarding events or circumstances that existed at the acquisition date and will be recorded in the period in which they are determined, as if they had been completed at the acquisition date. During the first quarter of fiscal 2027 the Company recorded measurement period adjustments that were considered not material. The finalization of the Company’s purchase accounting assessment could result in changes in the valuation of assets acquired and liabilities assumed, which could be material. The final determination of the fair value of certain assets and liabilities will be completed within the measurement period as required by Topic 805.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26e356724704c8e9c10f18f6c8e56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total purchase price of $166.1 million consists of the amounts presented below, which represent the initial determination of the fair value of the identifiable assets acquired and liabilities assumed:</w:t>
      </w:r>
    </w:p>
    <w:tbl>
      <w:tblPr>
        <w:tblW w:w="5234" w:type="dxa"/>
        <w:jc w:val="left"/>
        <w:tblInd w:w="0" w:type="dxa"/>
        <w:tblLayout w:type="fixed"/>
        <w:tblCellMar>
          <w:top w:w="28" w:type="dxa"/>
          <w:left w:w="28" w:type="dxa"/>
          <w:bottom w:w="28" w:type="dxa"/>
          <w:right w:w="28" w:type="dxa"/>
        </w:tblCellMar>
      </w:tblPr>
      <w:tblGrid>
        <w:gridCol w:w="1249"/>
        <w:gridCol w:w="1097"/>
        <w:gridCol w:w="1103"/>
        <w:gridCol w:w="316"/>
        <w:gridCol w:w="1239"/>
        <w:gridCol w:w="230"/>
      </w:tblGrid>
      <w:tr>
        <w:trPr/>
        <w:tc>
          <w:tcPr>
            <w:tcW w:w="124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9, 2026</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52,193 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175,102 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5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related costs</w:t>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4,741 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15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9,015 </w:t>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166,087 </w:t>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determined that the identifiable intangible asset was primarily developed technology. The fair value of the intangible asset was based on valuation techniques with estimates and assumptions developed by the Company. Developed technology was valued using the excess earnings method. In developing the discount rates applied to the cash flow projections, the discount rates were benchmarked with reference to the implied rate of return from the transaction model and the weighted average cost of capital and then adjusted to reflect the relative risk of the asset.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excess of the purchase price over the tangible assets, identifiable intangible asset and assumed liabilities was recorded as goodwill. As a result of the acquisition of Vivasure, the Company recognized goodwill of $52.2 million based on expected synergies from integration into the Company’s MedSurg business unit. The goodwill is not deductible for tax purposes and relates entirely to the MedSurg reportable segment.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Intangible assets acquired consist of the following:</w:t>
      </w:r>
    </w:p>
    <w:tbl>
      <w:tblPr>
        <w:tblW w:w="9808" w:type="dxa"/>
        <w:jc w:val="left"/>
        <w:tblInd w:w="0" w:type="dxa"/>
        <w:tblLayout w:type="fixed"/>
        <w:tblCellMar>
          <w:top w:w="28" w:type="dxa"/>
          <w:left w:w="28" w:type="dxa"/>
          <w:bottom w:w="28" w:type="dxa"/>
          <w:right w:w="28" w:type="dxa"/>
        </w:tblCellMar>
      </w:tblPr>
      <w:tblGrid>
        <w:gridCol w:w="718"/>
        <w:gridCol w:w="629"/>
        <w:gridCol w:w="633"/>
        <w:gridCol w:w="211"/>
        <w:gridCol w:w="826"/>
        <w:gridCol w:w="109"/>
        <w:gridCol w:w="109"/>
        <w:gridCol w:w="109"/>
        <w:gridCol w:w="109"/>
        <w:gridCol w:w="1004"/>
        <w:gridCol w:w="1004"/>
        <w:gridCol w:w="1006"/>
        <w:gridCol w:w="109"/>
        <w:gridCol w:w="109"/>
        <w:gridCol w:w="109"/>
        <w:gridCol w:w="615"/>
        <w:gridCol w:w="615"/>
        <w:gridCol w:w="1784"/>
      </w:tblGrid>
      <w:tr>
        <w:trPr/>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Amortization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Risk-Adjusted Discount</w:t>
              <w:br/>
              <w:t>Rates used in Purchase Price Allocation</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Acquisition-Related Costs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incurred $1.1 million of acquisition-related costs during fiscal 2026 in connection with the Vivasure acquisition. These costs related to legal and other professional fees, which were recognized in selling, general and administrative on the consolidated statements of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consolidated financial statements include the results of Vivasure from the date the acquisition was completed. Pro forma financial information has not been presented as the acquisition is not material to the Company’s overall financial results.</w:t>
      </w:r>
    </w:p>
    <w:p>
      <w:pPr>
        <w:pStyle w:val="TextBody"/>
        <w:bidi w:val="0"/>
        <w:spacing w:lineRule="auto" w:line="288" w:before="0" w:after="180"/>
        <w:jc w:val="both"/>
        <w:rPr/>
      </w:pPr>
      <w:r>
        <w:rPr>
          <w:rFonts w:ascii="Times New Roman;serif" w:hAnsi="Times New Roman;serif"/>
          <w:b w:val="false"/>
          <w:color w:val="000000"/>
          <w:sz w:val="20"/>
        </w:rPr>
        <w:t xml:space="preserve">For information regarding the remeasurement of the contingent consideration liability refer to Note 13, </w:t>
      </w:r>
      <w:r>
        <w:rPr>
          <w:rFonts w:ascii="Times New Roman;serif" w:hAnsi="Times New Roman;serif"/>
          <w:b w:val="false"/>
          <w:i/>
          <w:color w:val="000000"/>
          <w:sz w:val="20"/>
        </w:rPr>
        <w:t>Financial Instruments and Fair Value Measurements.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Strategic Investments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part of its business development strategy, the Company maintains strategic investments in certain entities. The carrying value of the Company’s strategic investments was $24.7 million as of June 27, 2026 and $19.2 million as of March 28, 2026. These investments are included within other long-term assets in the Company’s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26e356724704c8e9c10f18f6c8e56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27, 2026, the Company recognized a $1.0 million loss related to an equity method investment, which reduced the carrying value of the investment accordingly. Other than this adjustment, the Company did not record any material adjustments to the carrying value of its strategic investments during the three months ended June 27, 2026 or June 28,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4. REVENUE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27, 2026, the Company had $31.0 million of transaction price allocated to remaining performance obligations related to executed contracts with an original duration of one year or more. The Company expects to recognize approximately 70% of this amount as revenue within the next twelve months and the remaining balance thereafter.</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Contract Balances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timing of revenue recognition, billings and cash collections results in billed accounts receivable, unbilled receivables and contract assets, as well as customer advances, customer deposits and deferred revenue (contract liabilities) on the condensed consolidated balance sheets. The difference in timing between billing and revenue recognition primarily occurs in software licensing arrangements, resulting in contract assets and contract liabilities.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27, 2026 and March 28, 2026, the Company had contract liabilities of $48.6 million and $42.3 million, respectively. During the three months ended June 27, 2026, the Company recognized $15.8 million of revenue that was included in the above March 28, 2026 contract liability balance. Contract liabilities are classified as other current liabilities on the condensed consolidated balance sheets. As of June 27, 2026 and March 28, 2026, the Company’s contract assets were $6.1 million and $5.5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5. RESTRUCTURING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an ongoing basis, the Company assesses the global economy, the healthcare industry, and the markets in which it competes to identify opportunities for efficiencies, enhance commercial capabilities, align its resources and offer its customers better solutions. In order to realize these opportunities, the Company undertakes restructuring-type activities to transform its business.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Operational Excellence Program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July 2019, the Board of Directors of the Company approved the Operational Excellence Program (the “2020 Program”) and delegated authority to the Company’s management to determine the detail of the initiatives that will comprise the program. The 2020 Program closed as of March 29, 2025. During the three months ended June 28, 2025, the Company recognized reversals of previously incurred costs of $0.1 million.</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Portfolio Rationalization Initiatives</w:t>
      </w:r>
    </w:p>
    <w:p>
      <w:pPr>
        <w:pStyle w:val="TextBody"/>
        <w:bidi w:val="0"/>
        <w:spacing w:lineRule="auto" w:line="288" w:before="0" w:after="180"/>
        <w:jc w:val="both"/>
        <w:rPr/>
      </w:pPr>
      <w:r>
        <w:rPr>
          <w:rFonts w:ascii="Times New Roman;serif" w:hAnsi="Times New Roman;serif"/>
          <w:b w:val="false"/>
          <w:color w:val="000000"/>
          <w:sz w:val="20"/>
        </w:rPr>
        <w:t>In November 2023, the C</w:t>
      </w:r>
      <w:r>
        <w:rPr>
          <w:rFonts w:ascii="Times New Roman;serif" w:hAnsi="Times New Roman;serif"/>
          <w:b w:val="false"/>
          <w:color w:val="000000"/>
          <w:sz w:val="20"/>
          <w:shd w:fill="FFFFFF" w:val="clear"/>
        </w:rPr>
        <w:t xml:space="preserve">ompany announced its plans to end of life the ClotPro analyzer system within the previously named Hospital business unit and certain products within the previously named Blood Center business unit, primarily in Whole Blood, including the associated manufacturing operations and closure of certain other facilities. </w:t>
      </w:r>
      <w:r>
        <w:rPr>
          <w:rFonts w:ascii="Times New Roman;serif" w:hAnsi="Times New Roman;serif"/>
          <w:b w:val="false"/>
          <w:color w:val="000000"/>
          <w:sz w:val="20"/>
        </w:rPr>
        <w:t>These portfolio rationalization initiatives closed as of March 29, 2025</w:t>
      </w:r>
      <w:r>
        <w:rPr>
          <w:rFonts w:ascii="Times New Roman;serif" w:hAnsi="Times New Roman;serif"/>
          <w:b w:val="false"/>
          <w:color w:val="000000"/>
          <w:sz w:val="20"/>
          <w:shd w:fill="FFFFFF" w:val="clear"/>
        </w:rPr>
        <w:t xml:space="preserve">. During the </w:t>
      </w:r>
      <w:r>
        <w:rPr>
          <w:rFonts w:ascii="Times New Roman;serif" w:hAnsi="Times New Roman;serif"/>
          <w:b w:val="false"/>
          <w:color w:val="000000"/>
          <w:sz w:val="20"/>
        </w:rPr>
        <w:t>three months ended June 28, 2025, the Company recognized reversals of previously incurred costs of $1.5 million related to the divestiture of the Whole Blood product line.</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Market and Regional Alignment Initiative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May 2025, the Board approved a market and regional alignment initiative and delegated authority to the Company’s management to determine the details of the specific actions that will comprise the initiative. This strategic initiative is designed to improve operational performance and reduce costs by directing the Company’s resources toward the markets and geographies that offer the greatest growth and portfolio advancement opportunities. The amounts and timing of estimated costs and savings are subject to change until finalized. The actual amounts and timing may vary materially based on various factors. Under this initiative the Company incurred restructuring and restructuring related costs of $2.3 million and $2.8 million during the three months ended June 27, 2026 and June 28, 2025, respectively. Total cumulative charges under the market and regional alignment initiative are $7.9 million as of June 27,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26e356724704c8e9c10f18f6c8e56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pPr>
      <w:r>
        <w:rPr>
          <w:rFonts w:ascii="Times New Roman;serif" w:hAnsi="Times New Roman;serif"/>
          <w:b w:val="false"/>
          <w:color w:val="000000"/>
          <w:sz w:val="20"/>
          <w:shd w:fill="FFFFFF" w:val="clear"/>
        </w:rPr>
        <w:t>The following table summarizes the activ</w:t>
      </w:r>
      <w:r>
        <w:rPr>
          <w:rFonts w:ascii="Times New Roman;serif" w:hAnsi="Times New Roman;serif"/>
          <w:b w:val="false"/>
          <w:color w:val="000000"/>
          <w:sz w:val="20"/>
        </w:rPr>
        <w:t>ity for restructuring reserves related to the 2020 Pr</w:t>
      </w:r>
      <w:r>
        <w:rPr>
          <w:rFonts w:ascii="Times New Roman;serif" w:hAnsi="Times New Roman;serif"/>
          <w:b w:val="false"/>
          <w:color w:val="000000"/>
          <w:sz w:val="20"/>
          <w:shd w:fill="FFFFFF" w:val="clear"/>
        </w:rPr>
        <w:t xml:space="preserve">ogram, the </w:t>
      </w:r>
      <w:r>
        <w:rPr>
          <w:rFonts w:ascii="Times New Roman;serif" w:hAnsi="Times New Roman;serif"/>
          <w:b w:val="false"/>
          <w:color w:val="000000"/>
          <w:sz w:val="20"/>
        </w:rPr>
        <w:t>portfolio rationalization initiatives</w:t>
      </w:r>
      <w:r>
        <w:rPr>
          <w:color w:val="000000"/>
          <w:shd w:fill="FFFFFF" w:val="clear"/>
        </w:rPr>
        <w:t xml:space="preserve"> </w:t>
      </w:r>
      <w:r>
        <w:rPr>
          <w:rFonts w:ascii="Times New Roman;serif" w:hAnsi="Times New Roman;serif"/>
          <w:b w:val="false"/>
          <w:color w:val="000000"/>
          <w:sz w:val="20"/>
          <w:shd w:fill="FFFFFF" w:val="clear"/>
        </w:rPr>
        <w:t>and the market and regional alignment initiative for the three months ended June 27, 2026, substantially all of which relates to employee severance, other employee costs, inventory reserves and lease termination fees:</w:t>
      </w:r>
    </w:p>
    <w:tbl>
      <w:tblPr>
        <w:tblW w:w="10205" w:type="dxa"/>
        <w:jc w:val="left"/>
        <w:tblInd w:w="0" w:type="dxa"/>
        <w:tblLayout w:type="fixed"/>
        <w:tblCellMar>
          <w:top w:w="28" w:type="dxa"/>
          <w:left w:w="28" w:type="dxa"/>
          <w:bottom w:w="28" w:type="dxa"/>
          <w:right w:w="28" w:type="dxa"/>
        </w:tblCellMar>
      </w:tblPr>
      <w:tblGrid>
        <w:gridCol w:w="860"/>
        <w:gridCol w:w="756"/>
        <w:gridCol w:w="762"/>
        <w:gridCol w:w="323"/>
        <w:gridCol w:w="624"/>
        <w:gridCol w:w="169"/>
        <w:gridCol w:w="109"/>
        <w:gridCol w:w="109"/>
        <w:gridCol w:w="109"/>
        <w:gridCol w:w="672"/>
        <w:gridCol w:w="1485"/>
        <w:gridCol w:w="350"/>
        <w:gridCol w:w="109"/>
        <w:gridCol w:w="109"/>
        <w:gridCol w:w="109"/>
        <w:gridCol w:w="598"/>
        <w:gridCol w:w="1325"/>
        <w:gridCol w:w="313"/>
        <w:gridCol w:w="109"/>
        <w:gridCol w:w="109"/>
        <w:gridCol w:w="109"/>
        <w:gridCol w:w="211"/>
        <w:gridCol w:w="616"/>
        <w:gridCol w:w="160"/>
      </w:tblGrid>
      <w:tr>
        <w:trPr/>
        <w:tc>
          <w:tcPr>
            <w:tcW w:w="86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2020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Portfolio Rationalization Initiatives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and Regional Alignment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March 28, 2026</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incurred, net of reversals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27, 2026</w:t>
            </w:r>
          </w:p>
        </w:tc>
        <w:tc>
          <w:tcPr>
            <w:tcW w:w="3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3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3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presents the net restructuring costs by line item within the Company’s accompanying unaudited condensed consolidated statements of income:</w:t>
      </w:r>
    </w:p>
    <w:tbl>
      <w:tblPr>
        <w:tblW w:w="6792" w:type="dxa"/>
        <w:jc w:val="left"/>
        <w:tblInd w:w="0" w:type="dxa"/>
        <w:tblLayout w:type="fixed"/>
        <w:tblCellMar>
          <w:top w:w="28" w:type="dxa"/>
          <w:left w:w="28" w:type="dxa"/>
          <w:bottom w:w="28" w:type="dxa"/>
          <w:right w:w="28" w:type="dxa"/>
        </w:tblCellMar>
      </w:tblPr>
      <w:tblGrid>
        <w:gridCol w:w="1352"/>
        <w:gridCol w:w="1187"/>
        <w:gridCol w:w="1195"/>
        <w:gridCol w:w="253"/>
        <w:gridCol w:w="741"/>
        <w:gridCol w:w="131"/>
        <w:gridCol w:w="109"/>
        <w:gridCol w:w="109"/>
        <w:gridCol w:w="109"/>
        <w:gridCol w:w="253"/>
        <w:gridCol w:w="741"/>
        <w:gridCol w:w="131"/>
        <w:gridCol w:w="109"/>
        <w:gridCol w:w="109"/>
        <w:gridCol w:w="109"/>
        <w:gridCol w:w="154"/>
      </w:tblGrid>
      <w:tr>
        <w:trPr/>
        <w:tc>
          <w:tcPr>
            <w:tcW w:w="1352"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27, 2026, the Company had a restructuring liability of $1.2 million, all of which is payable within the next twelve months.</w:t>
      </w:r>
    </w:p>
    <w:p>
      <w:pPr>
        <w:pStyle w:val="TextBody"/>
        <w:bidi w:val="0"/>
        <w:spacing w:lineRule="auto" w:line="288" w:before="0" w:after="180"/>
        <w:jc w:val="both"/>
        <w:rPr/>
      </w:pPr>
      <w:r>
        <w:rPr>
          <w:rFonts w:ascii="Times New Roman;serif" w:hAnsi="Times New Roman;serif"/>
          <w:b w:val="false"/>
          <w:color w:val="000000"/>
          <w:sz w:val="20"/>
        </w:rPr>
        <w:t xml:space="preserve">In addition to the restructuring expenses included in the table above, the Company also incurred costs that do not constitute restructuring costs under FASB ASC Topic 420, </w:t>
      </w:r>
      <w:r>
        <w:rPr>
          <w:rFonts w:ascii="Times New Roman;serif" w:hAnsi="Times New Roman;serif"/>
          <w:b w:val="false"/>
          <w:i/>
          <w:color w:val="000000"/>
          <w:sz w:val="20"/>
        </w:rPr>
        <w:t>Exit and Disposal Cost Obligations,</w:t>
      </w:r>
      <w:r>
        <w:rPr>
          <w:color w:val="000000"/>
        </w:rPr>
        <w:t xml:space="preserve"> </w:t>
      </w:r>
      <w:r>
        <w:rPr>
          <w:rFonts w:ascii="Times New Roman;serif" w:hAnsi="Times New Roman;serif"/>
          <w:b w:val="false"/>
          <w:color w:val="000000"/>
          <w:sz w:val="20"/>
        </w:rPr>
        <w:t>and which the Company instead refers to as restructuring related costs. These costs consist primarily of expenditures directly related to the restructuring actions.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tables below present restructuring and restructuring related costs by reportable segment:</w:t>
      </w:r>
    </w:p>
    <w:tbl>
      <w:tblPr>
        <w:tblW w:w="7058" w:type="dxa"/>
        <w:jc w:val="left"/>
        <w:tblInd w:w="0" w:type="dxa"/>
        <w:tblLayout w:type="fixed"/>
        <w:tblCellMar>
          <w:top w:w="28" w:type="dxa"/>
          <w:left w:w="28" w:type="dxa"/>
          <w:bottom w:w="28" w:type="dxa"/>
          <w:right w:w="28" w:type="dxa"/>
        </w:tblCellMar>
      </w:tblPr>
      <w:tblGrid>
        <w:gridCol w:w="1490"/>
        <w:gridCol w:w="1308"/>
        <w:gridCol w:w="1311"/>
        <w:gridCol w:w="253"/>
        <w:gridCol w:w="741"/>
        <w:gridCol w:w="131"/>
        <w:gridCol w:w="109"/>
        <w:gridCol w:w="109"/>
        <w:gridCol w:w="109"/>
        <w:gridCol w:w="253"/>
        <w:gridCol w:w="741"/>
        <w:gridCol w:w="131"/>
        <w:gridCol w:w="109"/>
        <w:gridCol w:w="109"/>
        <w:gridCol w:w="154"/>
      </w:tblGrid>
      <w:tr>
        <w:trPr/>
        <w:tc>
          <w:tcPr>
            <w:tcW w:w="1490"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72" w:type="dxa"/>
            <w:gridSpan w:val="3"/>
            <w:tcBorders/>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Restructuring costs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Apheresis</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MedSurg</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Restructuring related costs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Apheresis</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MedSurg</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and restructuring related costs</w:t>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6. INCOME TAXES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conducts business globally and reports its results of operations in a number of foreign jurisdictions in addition to the United States. The Company’s reported tax rate differs from the statutory tax rate due to the jurisdictional mix of earnings in any given period as the foreign jurisdictions in which it operates have tax rates that differ from the U.S. statutory tax rate. The Company’s effective tax rate is adversely impacted by non-deductible expenses including executive compensation and is favorably impacted by the jurisdictional mix of earnings and research credits generated.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26e356724704c8e9c10f18f6c8e56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27, 2026, the Company reported income tax expense of $14.6 million representing an effective tax rate of 30.6%. The effective tax rate for the three months ended June 27, 2026 includes $1.7 million of discrete tax expense, primarily related to stock compensation shortfalls and valuation allowance impacts related to losses in certain recently acquired jurisdictions.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28, 2025, the Company reported income tax expense of $11.1 million, representing an effective tax rate of 24.7%. The effective tax rate for the three months ended June 28, 2025 includes $0.1 million of discrete tax expense, primarily related to stock compensation shortfalls.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increase in the reported tax rate for the three months ended June 27, 2026, compared to the same period in fiscal 2026, relates primarily to the increase in net stock compensation shortfalls and the impact of losses incurred in certain jurisdictions for which no tax benefit was recognized.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7. EARNINGS PER SHARE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numerators and denominators of the basic and diluted earnings per share computations:</w:t>
      </w:r>
    </w:p>
    <w:tbl>
      <w:tblPr>
        <w:tblW w:w="8609" w:type="dxa"/>
        <w:jc w:val="left"/>
        <w:tblInd w:w="0" w:type="dxa"/>
        <w:tblLayout w:type="fixed"/>
        <w:tblCellMar>
          <w:top w:w="28" w:type="dxa"/>
          <w:left w:w="28" w:type="dxa"/>
          <w:bottom w:w="28" w:type="dxa"/>
          <w:right w:w="28" w:type="dxa"/>
        </w:tblCellMar>
      </w:tblPr>
      <w:tblGrid>
        <w:gridCol w:w="1518"/>
        <w:gridCol w:w="1333"/>
        <w:gridCol w:w="1349"/>
        <w:gridCol w:w="348"/>
        <w:gridCol w:w="1189"/>
        <w:gridCol w:w="178"/>
        <w:gridCol w:w="166"/>
        <w:gridCol w:w="166"/>
        <w:gridCol w:w="166"/>
        <w:gridCol w:w="348"/>
        <w:gridCol w:w="1189"/>
        <w:gridCol w:w="178"/>
        <w:gridCol w:w="109"/>
        <w:gridCol w:w="109"/>
        <w:gridCol w:w="109"/>
        <w:gridCol w:w="154"/>
      </w:tblGrid>
      <w:tr>
        <w:trPr/>
        <w:tc>
          <w:tcPr>
            <w:tcW w:w="151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4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8" w:type="dxa"/>
            <w:gridSpan w:val="9"/>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and Shares in Thousands, Except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8" w:type="dxa"/>
            <w:gridSpan w:val="9"/>
            <w:vMerge w:val="continue"/>
            <w:tcBorders/>
            <w:shd w:fill="FFFFFF" w:val="clear"/>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outstanding</w:t>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48,111 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net effect of common stock equivalents</w:t>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w:t>
            </w:r>
          </w:p>
        </w:tc>
        <w:tc>
          <w:tcPr>
            <w:tcW w:w="15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45,704 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48,353 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shares excluded from the calculation</w:t>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color w:val="000000"/>
          <w:sz w:val="20"/>
        </w:rPr>
        <w:t>Basic earnings per share is calculated using the Company’s weighted average outstanding common shares. Diluted earnings per share is calculated using its weighted-average outstanding common shares including the dilutive effect of stock awards as determined under the treasury stock method and the outstanding convertible senior notes as determined under the net share settlement method. From the time of the issuance of the convertible senior notes, the average market price of the Company’s common shares has been less than the applicable initial conversion price, and consequently no shares have been included in diluted earnings per share for the co</w:t>
      </w:r>
      <w:r>
        <w:rPr>
          <w:rFonts w:ascii="Times New Roman;serif" w:hAnsi="Times New Roman;serif"/>
          <w:b w:val="false"/>
          <w:color w:val="000000"/>
          <w:sz w:val="20"/>
          <w:shd w:fill="FFFFFF" w:val="clear"/>
        </w:rPr>
        <w:t>nversion values of both the convertible senior notes.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2022 Share Repurchase Program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August 2022, the Board approved a three-year share repurchase program authorizing the repurchase of up to $300.0 million of Haemonetics common stock, based on market conditions, through August 2025. In April 2025, the Company completed a $150.0 million repurchase of its common stock pursuant to an accelerated share repurchase agreement (“ASR”) entered into with Goldman Sachs &amp; Co. in February 2025. The total number of shares repurchased under the ASR was 2,386,131 at an average price per share upon final settlement of $62.86. As of March 29, 2025, the Company had fully funded the $300.0 million authorization under the 2022 share repurchase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26e356724704c8e9c10f18f6c8e56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2025 Share Repurchase Program</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In April 2025, the Board approved a new three-year share repurchase program authorizing the repurchase of up to $500.0 million of Haemonetics common stock, based on market conditions, through April 2028. This new share repurchase program will help to offset the dilutive impact of recent and future employee equity grants. Under the share repurchase program, the Company is authorized to repurchase, from time to time, outstanding shares of common stock in accordance with applicable laws on the open market, including under trading plans established pursuant to Rule 10b5-1 under the Securities Exchange Act of 1934, as amended, and in privately negotiated transactions. The actual timing, number and value of shares </w:t>
      </w:r>
      <w:r>
        <w:rPr>
          <w:rFonts w:ascii="Times New Roman;serif" w:hAnsi="Times New Roman;serif"/>
          <w:b w:val="false"/>
          <w:color w:val="000000"/>
          <w:sz w:val="20"/>
        </w:rPr>
        <w:t>repurchased will be determined by the Company at its discretion and will depend on a number of factors, including market conditions, applicable legal requirements and compliance with the terms of loan covenants. The share repurchase program may be suspended, modified or discontinued at any time, and the Company has no obligation to repurchase any amount of its common stock under the program.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fiscal 2026, the Company repurchased 3,009,834 shares for $175.0 million at an average price per share upon settlement of $58.14. As of June 27, 2026, the total remaining authorization for repurchases of the Company's common stock under the 2025 share repurchase program was $325.0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8. INVENTORIES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Inventories are stated at the lower of cost or net realizable value and include the cost of material, labor and manufacturing overhead. Cost is determined with the first-in, first-out method.</w:t>
      </w:r>
    </w:p>
    <w:tbl>
      <w:tblPr>
        <w:tblW w:w="4233" w:type="dxa"/>
        <w:jc w:val="left"/>
        <w:tblInd w:w="0" w:type="dxa"/>
        <w:tblLayout w:type="fixed"/>
        <w:tblCellMar>
          <w:top w:w="28" w:type="dxa"/>
          <w:left w:w="28" w:type="dxa"/>
          <w:bottom w:w="28" w:type="dxa"/>
          <w:right w:w="28" w:type="dxa"/>
        </w:tblCellMar>
      </w:tblPr>
      <w:tblGrid>
        <w:gridCol w:w="527"/>
        <w:gridCol w:w="462"/>
        <w:gridCol w:w="467"/>
        <w:gridCol w:w="211"/>
        <w:gridCol w:w="826"/>
        <w:gridCol w:w="109"/>
        <w:gridCol w:w="109"/>
        <w:gridCol w:w="109"/>
        <w:gridCol w:w="109"/>
        <w:gridCol w:w="231"/>
        <w:gridCol w:w="905"/>
        <w:gridCol w:w="168"/>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114,873 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179,523 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306,370 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9. PROPERTY, PLANT AND EQUIPMENT</w:t>
      </w:r>
    </w:p>
    <w:tbl>
      <w:tblPr>
        <w:tblW w:w="6631" w:type="dxa"/>
        <w:jc w:val="left"/>
        <w:tblInd w:w="0" w:type="dxa"/>
        <w:tblLayout w:type="fixed"/>
        <w:tblCellMar>
          <w:top w:w="28" w:type="dxa"/>
          <w:left w:w="28" w:type="dxa"/>
          <w:bottom w:w="28" w:type="dxa"/>
          <w:right w:w="28" w:type="dxa"/>
        </w:tblCellMar>
      </w:tblPr>
      <w:tblGrid>
        <w:gridCol w:w="1395"/>
        <w:gridCol w:w="1224"/>
        <w:gridCol w:w="1235"/>
        <w:gridCol w:w="211"/>
        <w:gridCol w:w="826"/>
        <w:gridCol w:w="109"/>
        <w:gridCol w:w="109"/>
        <w:gridCol w:w="109"/>
        <w:gridCol w:w="109"/>
        <w:gridCol w:w="231"/>
        <w:gridCol w:w="905"/>
        <w:gridCol w:w="168"/>
      </w:tblGrid>
      <w:tr>
        <w:trPr/>
        <w:tc>
          <w:tcPr>
            <w:tcW w:w="139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building improvements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109,793 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Plant equipment and machinery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197,552 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 and information 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131,085 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Haemonetics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371,205 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at cost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854,272 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841,829 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(536,068)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305,761 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27, 2026 and June 28, 2025 depreciation expense was $15.4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10. LEASES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Lessor Activity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Assets on the Company’s balance sheet classified as Haemonetics equipment primarily consist of medical devices installed at customer sites but owned by Haemonetics. These devices are leased to customers under contractual arrangements that typically include an operating or sales-type lease as well as the purchase and consumption of a certain level of disposable products. Contract terms vary by customer and may include options to terminate the contract or options to extend the contract. Where devices are provided under operating lease arrangements, a substantial majority of the entire lease revenue is variable and subject to subsequent non-lease component (disposable products) sales. The allocation of revenue between the lease and non-lease components is based on estimated stand-alone selling prices. Operating lease revenue represents approximately two percent of the Company’s total net revenues during the three months ended June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26e356724704c8e9c10f18f6c8e56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11. GOODWILL AND INTANGIBLE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June 5, 2026, the Company implemented an organizational realignment designed to align its commercial operations into two global reportable segments by combining the previously reported Plasma and Blood Center reportable segments into Apheresis and renaming the Hospital reportable segment to MedSurg. This organizational structure reflects how the Company is organized to manage operations, allocate resources and evaluate performance.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has recast goodwill assigned to the Apheresis segment as of the beginning of the year by combining the goodwill from the previous Blood Center and Plasma segments into the new Apheresis segment. Each of the Company’s reporting units were tested for goodwill impairment prior to and subsequent to the re-alignments and no impairment was identified.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by operating segment for the first quarter of fiscal 2027 are as follows:</w:t>
      </w:r>
    </w:p>
    <w:tbl>
      <w:tblPr>
        <w:tblW w:w="7287" w:type="dxa"/>
        <w:jc w:val="left"/>
        <w:tblInd w:w="0" w:type="dxa"/>
        <w:tblLayout w:type="fixed"/>
        <w:tblCellMar>
          <w:top w:w="28" w:type="dxa"/>
          <w:left w:w="28" w:type="dxa"/>
          <w:bottom w:w="28" w:type="dxa"/>
          <w:right w:w="28" w:type="dxa"/>
        </w:tblCellMar>
      </w:tblPr>
      <w:tblGrid>
        <w:gridCol w:w="1177"/>
        <w:gridCol w:w="1036"/>
        <w:gridCol w:w="1042"/>
        <w:gridCol w:w="211"/>
        <w:gridCol w:w="721"/>
        <w:gridCol w:w="109"/>
        <w:gridCol w:w="109"/>
        <w:gridCol w:w="109"/>
        <w:gridCol w:w="109"/>
        <w:gridCol w:w="211"/>
        <w:gridCol w:w="826"/>
        <w:gridCol w:w="109"/>
        <w:gridCol w:w="109"/>
        <w:gridCol w:w="109"/>
        <w:gridCol w:w="109"/>
        <w:gridCol w:w="211"/>
        <w:gridCol w:w="826"/>
        <w:gridCol w:w="154"/>
      </w:tblGrid>
      <w:tr>
        <w:trPr/>
        <w:tc>
          <w:tcPr>
            <w:tcW w:w="117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Apheresis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MedSurg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Carrying amount as of March 28,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accounting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Carrying amount as of June 27,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55,909 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600,975 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656,884 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gross carrying amount of intangible assets and the related accumulated amortization as of June 27, 2026 and March 28, 2026 are as follows:</w:t>
      </w:r>
    </w:p>
    <w:tbl>
      <w:tblPr>
        <w:tblW w:w="10205" w:type="dxa"/>
        <w:jc w:val="left"/>
        <w:tblInd w:w="0" w:type="dxa"/>
        <w:tblLayout w:type="fixed"/>
        <w:tblCellMar>
          <w:top w:w="28" w:type="dxa"/>
          <w:left w:w="28" w:type="dxa"/>
          <w:bottom w:w="28" w:type="dxa"/>
          <w:right w:w="28" w:type="dxa"/>
        </w:tblCellMar>
      </w:tblPr>
      <w:tblGrid>
        <w:gridCol w:w="1166"/>
        <w:gridCol w:w="908"/>
        <w:gridCol w:w="872"/>
        <w:gridCol w:w="222"/>
        <w:gridCol w:w="872"/>
        <w:gridCol w:w="114"/>
        <w:gridCol w:w="109"/>
        <w:gridCol w:w="109"/>
        <w:gridCol w:w="109"/>
        <w:gridCol w:w="211"/>
        <w:gridCol w:w="826"/>
        <w:gridCol w:w="109"/>
        <w:gridCol w:w="109"/>
        <w:gridCol w:w="109"/>
        <w:gridCol w:w="109"/>
        <w:gridCol w:w="277"/>
        <w:gridCol w:w="1087"/>
        <w:gridCol w:w="143"/>
        <w:gridCol w:w="109"/>
        <w:gridCol w:w="109"/>
        <w:gridCol w:w="109"/>
        <w:gridCol w:w="704"/>
        <w:gridCol w:w="704"/>
        <w:gridCol w:w="1009"/>
      </w:tblGrid>
      <w:tr>
        <w:trPr/>
        <w:tc>
          <w:tcPr>
            <w:tcW w:w="116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Life (Years)</w:t>
            </w:r>
          </w:p>
        </w:tc>
      </w:tr>
      <w:tr>
        <w:trPr/>
        <w:tc>
          <w:tcPr>
            <w:tcW w:w="294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7" w:type="dxa"/>
            <w:gridSpan w:val="3"/>
            <w:tcBorders/>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June 27, 2026</w:t>
            </w:r>
          </w:p>
        </w:tc>
        <w:tc>
          <w:tcPr>
            <w:tcW w:w="45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Amortizable:</w:t>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554,029 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352,608 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contracts and related relationships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52,126 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 and other</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803,296 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428,468 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Non-amortizable:</w:t>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software development</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7" w:type="dxa"/>
            <w:gridSpan w:val="3"/>
            <w:tcBorders/>
            <w:vAlign w:val="center"/>
          </w:tcPr>
          <w:p>
            <w:pPr>
              <w:pStyle w:val="TableContents"/>
              <w:bidi w:val="0"/>
              <w:spacing w:before="0" w:after="283"/>
              <w:jc w:val="left"/>
              <w:rPr>
                <w:sz w:val="4"/>
                <w:szCs w:val="4"/>
              </w:rPr>
            </w:pPr>
            <w:r>
              <w:rPr>
                <w:sz w:val="4"/>
                <w:szCs w:val="4"/>
              </w:rPr>
            </w:r>
          </w:p>
        </w:tc>
      </w:tr>
      <w:tr>
        <w:trPr/>
        <w:tc>
          <w:tcPr>
            <w:tcW w:w="294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7" w:type="dxa"/>
            <w:gridSpan w:val="3"/>
            <w:tcBorders/>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6,044 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89"/>
        <w:gridCol w:w="881"/>
        <w:gridCol w:w="876"/>
        <w:gridCol w:w="222"/>
        <w:gridCol w:w="872"/>
        <w:gridCol w:w="114"/>
        <w:gridCol w:w="109"/>
        <w:gridCol w:w="109"/>
        <w:gridCol w:w="109"/>
        <w:gridCol w:w="211"/>
        <w:gridCol w:w="826"/>
        <w:gridCol w:w="109"/>
        <w:gridCol w:w="109"/>
        <w:gridCol w:w="109"/>
        <w:gridCol w:w="109"/>
        <w:gridCol w:w="277"/>
        <w:gridCol w:w="1087"/>
        <w:gridCol w:w="143"/>
        <w:gridCol w:w="109"/>
        <w:gridCol w:w="109"/>
        <w:gridCol w:w="109"/>
        <w:gridCol w:w="704"/>
        <w:gridCol w:w="704"/>
        <w:gridCol w:w="1009"/>
      </w:tblGrid>
      <w:tr>
        <w:trPr/>
        <w:tc>
          <w:tcPr>
            <w:tcW w:w="118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Life (Years)</w:t>
            </w:r>
          </w:p>
        </w:tc>
      </w:tr>
      <w:tr>
        <w:trPr/>
        <w:tc>
          <w:tcPr>
            <w:tcW w:w="2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March 28, 2026</w:t>
            </w:r>
          </w:p>
        </w:tc>
        <w:tc>
          <w:tcPr>
            <w:tcW w:w="45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Amortizable:</w:t>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556,631 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363,517 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contracts and related relationships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54,373 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 and other</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805,515 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441,752 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Non-amortizable:</w:t>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7" w:type="dxa"/>
            <w:gridSpan w:val="3"/>
            <w:tcBorders/>
            <w:vAlign w:val="center"/>
          </w:tcPr>
          <w:p>
            <w:pPr>
              <w:pStyle w:val="TableContents"/>
              <w:bidi w:val="0"/>
              <w:spacing w:before="0" w:after="283"/>
              <w:jc w:val="left"/>
              <w:rPr>
                <w:sz w:val="4"/>
                <w:szCs w:val="4"/>
              </w:rPr>
            </w:pPr>
            <w:r>
              <w:rPr>
                <w:sz w:val="4"/>
                <w:szCs w:val="4"/>
              </w:rPr>
            </w:r>
          </w:p>
        </w:tc>
      </w:tr>
      <w:tr>
        <w:trPr/>
        <w:tc>
          <w:tcPr>
            <w:tcW w:w="294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7" w:type="dxa"/>
            <w:gridSpan w:val="3"/>
            <w:tcBorders/>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software development</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5,903 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4" w:type="dxa"/>
            <w:gridSpan w:val="15"/>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26e356724704c8e9c10f18f6c8e56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fiscal 2026, the Company recorded total intangible asset impairment charges of $86.5 million. This included a $9.3 million intangible impairment charge related to the intellectual property associated with the HAS viscoelastic diagnostic devices, related assays and disposables within the MedSurg reportable segment, which was primarily recorded in the second quarter of fiscal 2026, and an intangible asset impairment charge of $77.2 million related to long-lived intangible assets associated with the acquisition of Attune Medical within the MedSurg reportable segment in the fourth quarter of fiscal 2026.</w:t>
      </w:r>
    </w:p>
    <w:p>
      <w:pPr>
        <w:pStyle w:val="TextBody"/>
        <w:bidi w:val="0"/>
        <w:spacing w:lineRule="auto" w:line="288" w:before="0" w:after="180"/>
        <w:jc w:val="both"/>
        <w:rPr/>
      </w:pPr>
      <w:r>
        <w:rPr>
          <w:rFonts w:ascii="Times New Roman;serif" w:hAnsi="Times New Roman;serif"/>
          <w:b w:val="false"/>
          <w:color w:val="000000"/>
          <w:sz w:val="20"/>
        </w:rPr>
        <w:t>In the fourth quarter of fiscal 2026, the Company acquired Vivasure and recorded $117.1 million of developed technology based on the purchase accounting valuation. Refer to Note 3,</w:t>
      </w:r>
      <w:r>
        <w:rPr>
          <w:color w:val="000000"/>
        </w:rPr>
        <w:t xml:space="preserve"> </w:t>
      </w:r>
      <w:r>
        <w:rPr>
          <w:rFonts w:ascii="Times New Roman;serif" w:hAnsi="Times New Roman;serif"/>
          <w:b w:val="false"/>
          <w:i/>
          <w:color w:val="000000"/>
          <w:sz w:val="20"/>
        </w:rPr>
        <w:t>Acquisitions and Strategic Investments</w:t>
      </w:r>
      <w:r>
        <w:rPr>
          <w:rFonts w:ascii="Times New Roman;serif" w:hAnsi="Times New Roman;serif"/>
          <w:b w:val="false"/>
          <w:color w:val="000000"/>
          <w:sz w:val="20"/>
        </w:rPr>
        <w:t>, for additional information regarding the acquisition.</w:t>
      </w:r>
    </w:p>
    <w:p>
      <w:pPr>
        <w:pStyle w:val="TextBody"/>
        <w:bidi w:val="0"/>
        <w:spacing w:lineRule="auto" w:line="288" w:before="0" w:after="180"/>
        <w:jc w:val="both"/>
        <w:rPr/>
      </w:pPr>
      <w:r>
        <w:rPr>
          <w:rFonts w:ascii="Times New Roman;serif" w:hAnsi="Times New Roman;serif"/>
          <w:b w:val="false"/>
          <w:color w:val="000000"/>
          <w:sz w:val="20"/>
        </w:rPr>
        <w:t>Intangible assets include the value assigned to license rights and other developed technology, patents, customer contracts and relationship</w:t>
      </w:r>
      <w:r>
        <w:rPr>
          <w:rFonts w:ascii="Times New Roman;serif" w:hAnsi="Times New Roman;serif"/>
          <w:b w:val="false"/>
          <w:color w:val="000000"/>
          <w:sz w:val="20"/>
          <w:shd w:fill="FFFFFF" w:val="clear"/>
        </w:rPr>
        <w:t>s and trade names. The estimated useful lives for all of these intangible assets are approximately 5 to 15 years.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27, 2026 and June 28, 2025, amortization expense was $11.8 million and $13.3 million, respectively.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Future annual amortization expense on intangible assets for the next five years is estimated to be as follows:</w:t>
      </w:r>
    </w:p>
    <w:tbl>
      <w:tblPr>
        <w:tblW w:w="4317" w:type="dxa"/>
        <w:jc w:val="left"/>
        <w:tblInd w:w="0" w:type="dxa"/>
        <w:tblLayout w:type="fixed"/>
        <w:tblCellMar>
          <w:top w:w="28" w:type="dxa"/>
          <w:left w:w="28" w:type="dxa"/>
          <w:bottom w:w="28" w:type="dxa"/>
          <w:right w:w="28" w:type="dxa"/>
        </w:tblCellMar>
      </w:tblPr>
      <w:tblGrid>
        <w:gridCol w:w="798"/>
        <w:gridCol w:w="701"/>
        <w:gridCol w:w="706"/>
        <w:gridCol w:w="109"/>
        <w:gridCol w:w="109"/>
        <w:gridCol w:w="109"/>
        <w:gridCol w:w="345"/>
        <w:gridCol w:w="1185"/>
        <w:gridCol w:w="255"/>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Amortization Expense</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Fiscal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34,659 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44,832 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43,585 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42,317 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40,690 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12. NOTES PAYABLE AND LONG-TERM DEBT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Notes payable and long-term debt consisted of the following:</w:t>
      </w:r>
    </w:p>
    <w:tbl>
      <w:tblPr>
        <w:tblW w:w="5648" w:type="dxa"/>
        <w:jc w:val="left"/>
        <w:tblInd w:w="0" w:type="dxa"/>
        <w:tblLayout w:type="fixed"/>
        <w:tblCellMar>
          <w:top w:w="28" w:type="dxa"/>
          <w:left w:w="28" w:type="dxa"/>
          <w:bottom w:w="28" w:type="dxa"/>
          <w:right w:w="28" w:type="dxa"/>
        </w:tblCellMar>
      </w:tblPr>
      <w:tblGrid>
        <w:gridCol w:w="972"/>
        <w:gridCol w:w="854"/>
        <w:gridCol w:w="858"/>
        <w:gridCol w:w="211"/>
        <w:gridCol w:w="976"/>
        <w:gridCol w:w="109"/>
        <w:gridCol w:w="109"/>
        <w:gridCol w:w="109"/>
        <w:gridCol w:w="109"/>
        <w:gridCol w:w="211"/>
        <w:gridCol w:w="976"/>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688,775 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net of financing fees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borrowings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1,174,158 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1,224,580 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1,169,202 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1,219,565 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Convertible Senior Notes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2029 Notes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May 28, 2024, the Company issued $700.0 million aggregate principal amount of 2.5% convertible senior notes due 2029 (the “2029 Notes”). The 2029 Notes are governed by the terms of the Indenture between the Company and U.S. Bank Trust Company, National Association, as trustee. The total net proceeds from the sale of the 2029 Notes, after deducting the initial purchasers’ discounts and debt issuance costs, were $682.8 million, with a portion of funds used to repay the entirety of the balance on the revolving credit facility under the Company’s second amended and restated credit agreement, to repurchase a portion of the Company’s convertible senior notes due in 2026, to complete capped call transactions in connection with the issuance of the 2029 Notes, as described further below, with the remaining proceeds available for other working capital requirements. The 2029 Notes will mature on June 1, 2029, unless earlier converted, redeemed or repurchased.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Holders may convert their notes at their option at any time prior to the close of business on the business day immediately preceding December 1, 2028 only under the following circumstances: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During any calendar quarter (and only during such calendar quarter) beginning after September 30, 2024, if, the last reported sale price per share of the Company’s common stock exceeds 130% of the applicable conversion price on each applicable trading day for at least 20 trading days (whether or not consecutive) in the period of the 30 consecutive trading day period ending on, and including, the last trading day of the immediately preceding calendar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26e356724704c8e9c10f18f6c8e56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During the five business day period after any five consecutive trading day period in which, for each day of that period, the trading price per $1,000 principal amount of the 2029 Notes for such trading day was less than 98% of the product of the last reported sale price of the Company’s common stock and the applicable conversion rate on such trading day;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Company issues to common stockholders any rights, options, or warrants, entitling them, for a period of not more than 60 days, to purchase shares of common stock at a price per share less than the average closing sale price of 10 consecutive trading days, or the Company’s election to make a distribution to common stockholders exceeding 10% of the previous day’s closing sale price;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Upon the occurrence of specified corporate events, as set forth in the indenture governing the 2029 Notes;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Prior to the related redemption date if the Company calls the 2029 Notes for redemption.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or after December 1, 2028, until the close of business on the second scheduled trading day immediately preceding the maturity date, holders may convert all or a portion of their 2029 Notes, in multiples of $1,000 principal amount, at any time, regardless of the foregoing circumstances. The conversion rate for the 2029 Notes is 8.5385 shares of common stock per $1,000 principal amount of notes (which is equal to an initial conversion price of approximately $117.12 per share of the Company’s common stock), subject to adjustment as set forth in the Indenture. Upon conversion, the Company will pay cash up to the aggregate principal amount of the notes to be converted and pay or deliver, as the case may be, cash, common stock or a combination of cash and common stock, at the Company’s election, in respect of the remainder, if any, of the Company’s conversion obligation in excess of the aggregate principal amount of the notes being converted. If a make-whole adjustment event, as described in the Indenture, occurs and a holder elects to convert its 2029 Notes in connection with such make-whole adjustment event, such holder may be entitled to an increase in the conversion rate as described in the Indenture.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fiscal 2027, the conditions allowing holders of the 2029 Notes to convert have not been met. The 2029 Notes were therefore not convertible as of June 27, 2026 and were classified as long-term debt on the Company’s consolidated balance sheets.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2029 Notes will be redeemable, in whole or in part, at the Company’s option at any time, and from time to time, on or after June 5, 2027 and on or before the 50th scheduled trading day immediately before the maturity date, if the last reported sale price per share of the Company’s common stock exceeds 130% of the conversion price then in effect for at least 20 trading days (whether or not consecutive), including the trading day immediately preceding the date on which the Company provides notice of redemption, during any 30 consecutive trading day period ending on, and including, the trading day immediately before the date the Company sends the related redemption notice at a redemption price equal to 100% of the principal amount of the 2029 Notes to be redeemed, plus accrued and unpaid interest to, but excluding the redemption date. Upon the occurrence of certain fundamental changes involving the Company, holders of the 2029 Notes may require the Company to repurchase for cash all or part of their 2029 Notes at a repurchase price equal to 100% of the principal amount of the 2029 Notes to be repurchased, plus accrued and unpaid interest.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 result of the issuance of the 2029 Notes, the Company recorded debt issuance costs of $17.2 million, which are amortized to interest expense over the contractual term of the 2029 Notes at an effective interest rate of 3.0%.</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27, 2026, the $700.0 million principal balance was netted down by $10.4 million of remaining debt issuance costs, resulting in a net convertible note payable of $689.6 million. Interest expense related to the 2029 Notes was $5.2 million and for the three months ended June 27, 2026, which includes nominal interest expense and the amortization of the debt issuance costs. The nominal interest rate is 2.5% and the remaining debt issuance costs are amortized at an effective interest rate of 3.0%.</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Capped Calls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the 2029 Notes, the Company entered into capped call transactions with certain counterparties (“Capped Calls”). The 2029 Notes Capped Calls each have an initial strike price of approximately $117.12 per share, and is subject to certain adjustments, which correspond to the initial conversion price of the convertible notes. The 2029 Notes Capped Calls have initial cap prices of $180.18 per share and is subject to certain adjustments. The Capped Calls are expected to partially offset the potential dilution to the Company’s common stock upon any conversion of the 2029 Notes, with such offset subject to a cap based on the cap price. The 2029 Notes Capped Calls cover approximately 5.98 million shares of the Company’s common stock and is subject to anti-dilution adjustments. For accounting purposes, the Capped Calls are separate transactions, and not part of the 2029 Notes. As these transactions meet certain accounting criteria, the Capped Calls are recorded in stockholders’ equity and are not accounted for as derivatives. The cost of $88.2 million incurred to purchase the 2029 Notes Capped Calls was recorded as a reduction to additional paid-in capital in fiscal 2025 and will not be remeasured.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26e356724704c8e9c10f18f6c8e56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Credit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April 30, 2024, the Company entered into a second amended and restated credit agreement with certain lenders to refinance its credit facilities initially entered into in 2022 and extended their maturity date through April 2029. The second amended and restated credit agreement provides for a $250.0 million senior unsecured term loan, and a $750.0 million senior unsecured revolving credit facility (together, the “2024 Revised Credit Facilities”). Loans under the 2024 Revised Credit Facilities bear interest at an annual rate equal to the Adjusted Term SOFR Rate (as specified in the second amended and restated credit agreement), which is subject to a floor of 0%, plus an applicable rate ranging from 1.125% to 1.750% based on the Company’s consolidated net leverage ratio (as specified in the second amended and restated credit agreement) at the applicable measurement date. The revolving credit facility carries an unused fee that ranges from 0.125% to 0.250% annually based on the Company’s consolidated net leverage ratio at the applicable measurement date. The 2024 Revised Credit Facilities mature on April 30, 2029. The principal amount of the term loan under the 2024 Revised Credit Facilities amortizes quarterly through the maturity date at a rate of 2.5% for the first three years following the closing date, 5.0% for the fourth year following the closing date and 7.5% for the fifth year following the closing date, with the unpaid balance due at maturity.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2024 Revised Credit Facilities, the Company is required to maintain a consolidated leverage ratio not to exceed 4.0:1.0 or, upon two occasions during the term of the facility, 4.5:1.0 for the four consecutive fiscal quarters ended immediately following acquisitions meeting certain criteria specified in the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applied modification accounting for the credit facility refinancing, which resulted in the capitalization of an additional $5.9 million in lender fees and third-party costs. During the three months ended June 27, 2026 and June 28, 2025, the Company recognized $7.2 million and $4.3 million, respectively, of interest expense and amortization of debt issuance costs related to its credit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27, 2026, $237.5 million was outstanding under the term loan with an effective interest rate of 5.7%, which was netted down by the $3.7 million of remaining debt discount, resulting in a net note payable of $233.8 million. The Company has scheduled principal payments of $6.3 million required during the 12 months following June 27, 2026. In connection with the settlement of the convertible senior notes due in 2026, the Company borrowed $300.0 million under the revolving credit facility. During the first quarter of fiscal 2027, the Company repaid $50.0 million of the outstanding amount under the revolving credit facility. As of June 27, 2026, $250.0 million remained outstanding under the revolving credit facility. During the second quarter of fiscal 2027, the Company repaid an additional $50.0 million on the revolving credit facility.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also had $17.5 million of uncommitted operating lines of credit to fund its global operations under which there were no outstanding borrowings as of June 27,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was in compliance with the consolidated net leverage and interest coverage ratios specified in the 2024 Revised Credit Facilities as well as all other bank covenants as of June 27, 2026.</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Commitment Fee</w:t>
      </w:r>
    </w:p>
    <w:p>
      <w:pPr>
        <w:pStyle w:val="TextBody"/>
        <w:bidi w:val="0"/>
        <w:spacing w:lineRule="auto" w:line="288" w:before="0" w:after="180"/>
        <w:jc w:val="both"/>
        <w:rPr/>
      </w:pPr>
      <w:r>
        <w:rPr>
          <w:rFonts w:ascii="Times New Roman;serif" w:hAnsi="Times New Roman;serif"/>
          <w:b w:val="false"/>
          <w:color w:val="000000"/>
          <w:sz w:val="20"/>
        </w:rPr>
        <w:t>Pursuant to the 2024 Revised Credit Facilities, the Company is required to pay, on the last day of each calendar quarter, a commitment fee on the unused portion of the revolving credit facility. The commitment fee is subject to a pricing grid based on the Company’s consolidated net leverage ratio. The commitme</w:t>
      </w:r>
      <w:r>
        <w:rPr>
          <w:rFonts w:ascii="Times New Roman;serif" w:hAnsi="Times New Roman;serif"/>
          <w:b w:val="false"/>
          <w:color w:val="000000"/>
          <w:sz w:val="20"/>
          <w:shd w:fill="FFFFFF" w:val="clear"/>
        </w:rPr>
        <w:t>nt fee ranges from 0.125% to 0.250%. The current commitment fee on the undrawn portion of the revolving credit facility is 0.200%.</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future aggregate amount of debt maturities are as follows: </w:t>
      </w:r>
    </w:p>
    <w:tbl>
      <w:tblPr>
        <w:tblW w:w="3990" w:type="dxa"/>
        <w:jc w:val="left"/>
        <w:tblInd w:w="0" w:type="dxa"/>
        <w:tblLayout w:type="fixed"/>
        <w:tblCellMar>
          <w:top w:w="28" w:type="dxa"/>
          <w:left w:w="28" w:type="dxa"/>
          <w:bottom w:w="28" w:type="dxa"/>
          <w:right w:w="28" w:type="dxa"/>
        </w:tblCellMar>
      </w:tblPr>
      <w:tblGrid>
        <w:gridCol w:w="798"/>
        <w:gridCol w:w="701"/>
        <w:gridCol w:w="706"/>
        <w:gridCol w:w="281"/>
        <w:gridCol w:w="1299"/>
        <w:gridCol w:w="205"/>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Debt Maturities</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Fiscal 2027</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2028</w:t>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2029</w:t>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2030</w:t>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1,150,070 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2031</w:t>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maturities</w:t>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1,188,202 </w:t>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26e356724704c8e9c10f18f6c8e56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13. FINANCIAL INSTRUMENTS AND FAIR VALUE MEASUREMENTS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manufactures, markets and sells its products globally. During the three months ended June 27, 2026 and June 28, 2025, 24.0% and 24.6%, respectively, of the Company’s sales were generated outside the U.S. in local currencies. The Company also incurs certain manufacturing, marketing and selling costs in international markets in local currency.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Accordingly, earnings and cash flows are exposed to market risk from changes in foreign currency exchange rates relative to the U.S. Dollar, the Company’s reporting currency. The Company has a program in place that is designed to mitigate the exposure to changes in foreign currency exchange rates. That program includes the use of derivative financial instruments to minimize, for a period of time, the impact on its financial results from changes in foreign exchange rates. The Company utilizes foreign currency forward contracts to hedge the anticipated cash flows from transactions denominated in foreign currencies, primarily Japanese Yen and Euro, and to a lesser extent Swiss Franc, Mexican Peso, Chinese Yuan, and Canadian Dollar. This does not eliminate the impact of the volatility of foreign exchange rates. However, because the Company generally enters into forward contracts one year out, rates are fixed for a one-year period, thereby facilitating financial planning and resource allocation.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Designated Foreign Currency Hedge Contracts</w:t>
      </w:r>
    </w:p>
    <w:p>
      <w:pPr>
        <w:pStyle w:val="TextBody"/>
        <w:bidi w:val="0"/>
        <w:spacing w:lineRule="auto" w:line="288" w:before="0" w:after="180"/>
        <w:jc w:val="both"/>
        <w:rPr/>
      </w:pPr>
      <w:r>
        <w:rPr>
          <w:rFonts w:ascii="Times New Roman;serif" w:hAnsi="Times New Roman;serif"/>
          <w:b w:val="false"/>
          <w:color w:val="000000"/>
          <w:sz w:val="20"/>
        </w:rPr>
        <w:t xml:space="preserve">All of the Company’s designated foreign currency hedge contracts as of June 27, 2026 and March 28, 2026 were cash flow hedges under FASB ASC Topic 815, </w:t>
      </w:r>
      <w:r>
        <w:rPr>
          <w:rFonts w:ascii="Times New Roman;serif" w:hAnsi="Times New Roman;serif"/>
          <w:b w:val="false"/>
          <w:i/>
          <w:color w:val="000000"/>
          <w:sz w:val="20"/>
        </w:rPr>
        <w:t xml:space="preserve">Derivatives and Hedging </w:t>
      </w:r>
      <w:r>
        <w:rPr>
          <w:rFonts w:ascii="Times New Roman;serif" w:hAnsi="Times New Roman;serif"/>
          <w:b w:val="false"/>
          <w:color w:val="000000"/>
          <w:sz w:val="20"/>
        </w:rPr>
        <w:t>(“ASC 815”). The Company records the effective portion of any change in the fair value of designated foreign currency hedge contracts in other comprehensive income until the related third-party transaction occurs. Once the related third-party transaction occurs, the Company reclassifies the effective portion of any related gain or loss on the designated foreign currency hedge contracts to earnings. In the event the hedged forecasted transaction does not occur, or it becomes probable that it will not occur, the Company will reclassify the amount of any gain or loss on the related cash flow hedge to earnings at that time. The Company had designated foreign currency hedge contracts outstanding in the contract amount of $19.5 million as of June 27, 2026 and $30.1 million as of March 28, 2026. As of June 27, 2026, a gain of $0.1 million, net of tax, will be reclassified to earnings within the next eighteen months. Substantially all currency cash flow hedges outstanding as of June 27, 2026 mature within eighteen months.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Non-Designated Foreign Currency Contracts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manages its exposure to changes in foreign currency on a consolidated basis to take advantage of offsetting transactions and balances. It uses foreign currency forward contracts as a part of its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815. These forward contracts are marked-to-market with changes in fair value recorded to earnings. The Company had non-designated foreign currency hedge contracts under ASC 815 outstanding in the contract amount of $56.3 million as of June 27, 2026 and $75.3 million as of March 28, 2026.</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Interest Rate Swaps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Part of the Company’s interest rate risk management strategy includes the use of interest rate swaps to mitigate its exposure to changes in variable interest rates. The Company’s objective in using interest rate swaps is to add stability to interest expense and to manage and reduce the risk inherent in interest rate fluctuations.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September 2024, the Company amended and extended two interest rate swaps on its senior unsecured term loan through April 2029 to mitigate the interest rate risk. This did not have a material impact on the condensed consolidated financial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Loans under the 2024 Revised Credit Facilities bear interest at an annual rate equal to the 1-month USD Term SOFR, plus an applicable rate ranging from 1.125% to 1.750% based on the Company’s consolidated net leverage ratio. As a result of the amendment and extension in September 2024, the two modified interest rate swaps have an average blended fixed interest rate of 3.31% plus the applicable rate on approximately 80% of the notional value of the unsecured term loan, until their maturity in April 2029. The Company has determined both of these interest rate swaps are effective and qualify for hedge accounting treatment.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26e356724704c8e9c10f18f6c8e56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held the following interest rate swaps as of June 27, 2026:</w:t>
      </w:r>
    </w:p>
    <w:tbl>
      <w:tblPr>
        <w:tblW w:w="10205" w:type="dxa"/>
        <w:jc w:val="left"/>
        <w:tblInd w:w="0" w:type="dxa"/>
        <w:tblLayout w:type="fixed"/>
        <w:tblCellMar>
          <w:top w:w="28" w:type="dxa"/>
          <w:left w:w="28" w:type="dxa"/>
          <w:bottom w:w="28" w:type="dxa"/>
          <w:right w:w="28" w:type="dxa"/>
        </w:tblCellMar>
      </w:tblPr>
      <w:tblGrid>
        <w:gridCol w:w="290"/>
        <w:gridCol w:w="254"/>
        <w:gridCol w:w="256"/>
        <w:gridCol w:w="109"/>
        <w:gridCol w:w="109"/>
        <w:gridCol w:w="109"/>
        <w:gridCol w:w="224"/>
        <w:gridCol w:w="877"/>
        <w:gridCol w:w="115"/>
        <w:gridCol w:w="109"/>
        <w:gridCol w:w="109"/>
        <w:gridCol w:w="109"/>
        <w:gridCol w:w="236"/>
        <w:gridCol w:w="924"/>
        <w:gridCol w:w="121"/>
        <w:gridCol w:w="109"/>
        <w:gridCol w:w="109"/>
        <w:gridCol w:w="109"/>
        <w:gridCol w:w="330"/>
        <w:gridCol w:w="330"/>
        <w:gridCol w:w="331"/>
        <w:gridCol w:w="109"/>
        <w:gridCol w:w="109"/>
        <w:gridCol w:w="109"/>
        <w:gridCol w:w="260"/>
        <w:gridCol w:w="260"/>
        <w:gridCol w:w="261"/>
        <w:gridCol w:w="109"/>
        <w:gridCol w:w="109"/>
        <w:gridCol w:w="109"/>
        <w:gridCol w:w="345"/>
        <w:gridCol w:w="345"/>
        <w:gridCol w:w="346"/>
        <w:gridCol w:w="109"/>
        <w:gridCol w:w="109"/>
        <w:gridCol w:w="109"/>
        <w:gridCol w:w="242"/>
        <w:gridCol w:w="242"/>
        <w:gridCol w:w="243"/>
        <w:gridCol w:w="109"/>
        <w:gridCol w:w="109"/>
        <w:gridCol w:w="109"/>
        <w:gridCol w:w="230"/>
        <w:gridCol w:w="673"/>
        <w:gridCol w:w="181"/>
      </w:tblGrid>
      <w:tr>
        <w:trPr/>
        <w:tc>
          <w:tcPr>
            <w:tcW w:w="29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Hedged Item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Original Notional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Notional Amount as of June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Designation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Termination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Fixed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Asset Fair Value</w:t>
            </w:r>
          </w:p>
        </w:tc>
      </w:tr>
      <w:tr>
        <w:trPr/>
        <w:tc>
          <w:tcPr>
            <w:tcW w:w="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8"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1-month USD Term 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99,666 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9/27/2024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4/30/2029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1-month USD Term 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9/27/2024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4/30/2029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219,800 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197,985 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27, 2026, the Company recognized a gain on the interest rate swaps to recognize the effective portion of the fair value of the swaps that qualify as cash flow hedges of $0.7 million, net of tax, in accumulated other comprehensive loss (“AOCL”) within the condensed consolidated balance sheets.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Trade Receivables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grants trade credit to its customers on normal credit terms. In an effort to reduce its credit risk, the Company (i) establishes credit limits for all customers; (ii) performs ongoing credit evaluations of customers’ financial condition; (iii) monitors the payment history and aging of customers’ receivables; and (iv) monitors open orders against an individual customer’s outstanding receivable balance.</w:t>
      </w:r>
    </w:p>
    <w:p>
      <w:pPr>
        <w:pStyle w:val="TextBody"/>
        <w:bidi w:val="0"/>
        <w:spacing w:lineRule="auto" w:line="288" w:before="0" w:after="180"/>
        <w:jc w:val="both"/>
        <w:rPr/>
      </w:pPr>
      <w:r>
        <w:rPr>
          <w:rFonts w:ascii="Times New Roman;serif" w:hAnsi="Times New Roman;serif"/>
          <w:b w:val="false"/>
          <w:color w:val="000000"/>
          <w:sz w:val="20"/>
        </w:rPr>
        <w:t>The Company’s allowance for credit losses is maintained for trade accounts receivable based on the expected collectability, the historical collection experience, the length of time an account is outstanding, the financial position of the customer and information provided by credit rating se</w:t>
      </w:r>
      <w:r>
        <w:rPr>
          <w:rFonts w:ascii="Times New Roman;serif" w:hAnsi="Times New Roman;serif"/>
          <w:b w:val="false"/>
          <w:color w:val="000000"/>
          <w:sz w:val="20"/>
          <w:shd w:fill="FFFFFF" w:val="clear"/>
        </w:rPr>
        <w:t>rvices. The Company has not experienced significant customer payment defaults or identified other significant collectability concerns.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is a roll forward of the allowance for credit losses:</w:t>
      </w:r>
    </w:p>
    <w:tbl>
      <w:tblPr>
        <w:tblW w:w="6448" w:type="dxa"/>
        <w:jc w:val="left"/>
        <w:tblInd w:w="0" w:type="dxa"/>
        <w:tblLayout w:type="fixed"/>
        <w:tblCellMar>
          <w:top w:w="28" w:type="dxa"/>
          <w:left w:w="28" w:type="dxa"/>
          <w:bottom w:w="28" w:type="dxa"/>
          <w:right w:w="28" w:type="dxa"/>
        </w:tblCellMar>
      </w:tblPr>
      <w:tblGrid>
        <w:gridCol w:w="916"/>
        <w:gridCol w:w="806"/>
        <w:gridCol w:w="812"/>
        <w:gridCol w:w="840"/>
        <w:gridCol w:w="2456"/>
        <w:gridCol w:w="618"/>
      </w:tblGrid>
      <w:tr>
        <w:trPr/>
        <w:tc>
          <w:tcPr>
            <w:tcW w:w="91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Allowance for Credit Losses (Write-offs/Recoveries)</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March 28, 2026</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3,693 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loss</w:t>
            </w:r>
          </w:p>
        </w:tc>
        <w:tc>
          <w:tcPr>
            <w:tcW w:w="3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3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3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27, 2026</w:t>
            </w:r>
          </w:p>
        </w:tc>
        <w:tc>
          <w:tcPr>
            <w:tcW w:w="8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3,618 </w:t>
            </w:r>
          </w:p>
        </w:tc>
        <w:tc>
          <w:tcPr>
            <w:tcW w:w="6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Other Fair Value Measurements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exit price that would be received from the sale of an asset or paid to transfer a liability, using assumptions that market participants would use in pricing an asset or liability. The fair value guidance establishes the following three-level hierarchy used for measuring fair value: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Level 1 — Inputs to the valuation methodology are quoted market prices for identical assets or liabilities.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Level 2 — Inputs to the valuation methodology are other observable inputs, including quoted market prices for similar assets or liabilities and market-corroborated inputs.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Level 3 — Inputs to the valuation methodology are unobservable inputs based on management’s best estimate of inputs market participants would use in pricing the asset or liability at the measurement date, including assumptions about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money market funds carried at fair value are classified within Level 1 of the fair value hierarchy because they are valued using quoted market prices.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26e356724704c8e9c10f18f6c8e56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Fair Value of Derivative Instruments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effect of the Company’s derivative instruments designated as cash flow hedges and those not designated as hedging instruments under ASC 815 in its condensed consolidated statements of income for the three months ended June 27, 2026:</w:t>
      </w:r>
    </w:p>
    <w:p>
      <w:pPr>
        <w:pStyle w:val="TextBody"/>
        <w:bidi w:val="0"/>
        <w:spacing w:before="0" w:after="180"/>
        <w:jc w:val="both"/>
        <w:rPr/>
      </w:pPr>
      <w:r>
        <w:rPr/>
      </w:r>
    </w:p>
    <w:tbl>
      <w:tblPr>
        <w:tblW w:w="10205" w:type="dxa"/>
        <w:jc w:val="left"/>
        <w:tblInd w:w="0" w:type="dxa"/>
        <w:tblLayout w:type="fixed"/>
        <w:tblCellMar>
          <w:top w:w="28" w:type="dxa"/>
          <w:left w:w="28" w:type="dxa"/>
          <w:bottom w:w="28" w:type="dxa"/>
          <w:right w:w="28" w:type="dxa"/>
        </w:tblCellMar>
      </w:tblPr>
      <w:tblGrid>
        <w:gridCol w:w="948"/>
        <w:gridCol w:w="524"/>
        <w:gridCol w:w="525"/>
        <w:gridCol w:w="109"/>
        <w:gridCol w:w="109"/>
        <w:gridCol w:w="109"/>
        <w:gridCol w:w="309"/>
        <w:gridCol w:w="685"/>
        <w:gridCol w:w="162"/>
        <w:gridCol w:w="109"/>
        <w:gridCol w:w="109"/>
        <w:gridCol w:w="109"/>
        <w:gridCol w:w="337"/>
        <w:gridCol w:w="747"/>
        <w:gridCol w:w="177"/>
        <w:gridCol w:w="109"/>
        <w:gridCol w:w="109"/>
        <w:gridCol w:w="109"/>
        <w:gridCol w:w="457"/>
        <w:gridCol w:w="457"/>
        <w:gridCol w:w="459"/>
        <w:gridCol w:w="109"/>
        <w:gridCol w:w="109"/>
        <w:gridCol w:w="109"/>
        <w:gridCol w:w="369"/>
        <w:gridCol w:w="816"/>
        <w:gridCol w:w="191"/>
        <w:gridCol w:w="109"/>
        <w:gridCol w:w="109"/>
        <w:gridCol w:w="109"/>
        <w:gridCol w:w="409"/>
        <w:gridCol w:w="409"/>
        <w:gridCol w:w="589"/>
      </w:tblGrid>
      <w:tr>
        <w:trPr/>
        <w:tc>
          <w:tcPr>
            <w:tcW w:w="94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1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 Recognized</w:t>
              <w:br/>
              <w:t>in AOCL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(Loss) Gain Reclassified</w:t>
              <w:br/>
              <w:t>from AOCL into</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Classification in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 (Loss) Excluded from</w:t>
              <w:br/>
              <w:t>Effectiveness Testing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Classification in Earnings</w:t>
            </w:r>
          </w:p>
        </w:tc>
      </w:tr>
      <w:tr>
        <w:trPr/>
        <w:tc>
          <w:tcPr>
            <w:tcW w:w="1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foreign currency hedge contracts,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 COGS and SG&amp;A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net</w:t>
            </w:r>
          </w:p>
        </w:tc>
      </w:tr>
      <w:tr>
        <w:trPr/>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Non-designated foreign currency hedge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net</w:t>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interest rate swaps,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did not have fair value hedges or net investment hedges outstanding as of June 27, 2026 or March 28, 2026. As of June 27, 2026, there were no material deferred taxes recognized for designated foreign currency hedges. </w:t>
      </w:r>
    </w:p>
    <w:p>
      <w:pPr>
        <w:pStyle w:val="TextBody"/>
        <w:bidi w:val="0"/>
        <w:spacing w:lineRule="auto" w:line="288" w:before="0" w:after="180"/>
        <w:jc w:val="both"/>
        <w:rPr/>
      </w:pPr>
      <w:r>
        <w:rPr>
          <w:rFonts w:ascii="Times New Roman;serif" w:hAnsi="Times New Roman;serif"/>
          <w:b w:val="false"/>
          <w:color w:val="000000"/>
          <w:sz w:val="20"/>
        </w:rPr>
        <w:t xml:space="preserve">ASC 815 requires all derivative instruments to be recognized at their fair values as either assets or liabilities on the balance sheet. The Company determines the fair value of its derivative instruments using the framework prescribed by FASB ASC Topic 820, </w:t>
      </w:r>
      <w:r>
        <w:rPr>
          <w:rFonts w:ascii="Times New Roman;serif" w:hAnsi="Times New Roman;serif"/>
          <w:b w:val="false"/>
          <w:i/>
          <w:color w:val="000000"/>
          <w:sz w:val="20"/>
        </w:rPr>
        <w:t>Fair Value Measurements and Disclosures</w:t>
      </w:r>
      <w:r>
        <w:rPr>
          <w:rFonts w:ascii="Times New Roman;serif" w:hAnsi="Times New Roman;serif"/>
          <w:b w:val="false"/>
          <w:color w:val="000000"/>
          <w:sz w:val="20"/>
        </w:rPr>
        <w:t>, by considering the estimated amount it would receive or pay to sell or transfer these instruments at the reporting date and by taking into account current interest rates, currency exchange rates, current interest rate curves, interest rate volatilities, the creditworthiness of the counterparty for assets, and its creditworthiness for liabilities. In certain instances, the Company may utilize financial models to measure fair value. Generally, the Company uses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June 27, 2026, the Company has classified its derivative assets and liabilities within Level 2 of the fair value hierarchy prescribed by ASC 815, as discussed below, because these observable inputs are available for substantially the full term of its derivative instruments.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fair value of the Company’s derivative instruments as they appear in its condensed consolidated balance sheets as of June 27, 2026 and March 28, 2026:</w:t>
      </w:r>
    </w:p>
    <w:tbl>
      <w:tblPr>
        <w:tblW w:w="10205" w:type="dxa"/>
        <w:jc w:val="left"/>
        <w:tblInd w:w="0" w:type="dxa"/>
        <w:tblLayout w:type="fixed"/>
        <w:tblCellMar>
          <w:top w:w="28" w:type="dxa"/>
          <w:left w:w="28" w:type="dxa"/>
          <w:bottom w:w="28" w:type="dxa"/>
          <w:right w:w="28" w:type="dxa"/>
        </w:tblCellMar>
      </w:tblPr>
      <w:tblGrid>
        <w:gridCol w:w="1433"/>
        <w:gridCol w:w="1232"/>
        <w:gridCol w:w="1237"/>
        <w:gridCol w:w="1084"/>
        <w:gridCol w:w="1084"/>
        <w:gridCol w:w="1087"/>
        <w:gridCol w:w="109"/>
        <w:gridCol w:w="109"/>
        <w:gridCol w:w="109"/>
        <w:gridCol w:w="249"/>
        <w:gridCol w:w="731"/>
        <w:gridCol w:w="129"/>
        <w:gridCol w:w="109"/>
        <w:gridCol w:w="109"/>
        <w:gridCol w:w="109"/>
        <w:gridCol w:w="274"/>
        <w:gridCol w:w="804"/>
        <w:gridCol w:w="207"/>
      </w:tblGrid>
      <w:tr>
        <w:trPr/>
        <w:tc>
          <w:tcPr>
            <w:tcW w:w="1433"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3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r>
      <w:tr>
        <w:trPr/>
        <w:tc>
          <w:tcPr>
            <w:tcW w:w="3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Assets:</w:t>
            </w:r>
          </w:p>
        </w:tc>
        <w:tc>
          <w:tcPr>
            <w:tcW w:w="3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foreign currency hedge contracts</w:t>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Non-designated foreign currency hedge contracts</w:t>
            </w:r>
          </w:p>
        </w:tc>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interest rate swaps</w:t>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interest rate swaps</w:t>
            </w:r>
          </w:p>
        </w:tc>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3,901 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3,345 </w:t>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Liabilities:</w:t>
            </w:r>
          </w:p>
        </w:tc>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foreign currency hedge contracts</w:t>
            </w:r>
          </w:p>
        </w:tc>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Non-designated foreign currency hedge contracts</w:t>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2" w:type="dxa"/>
            <w:gridSpan w:val="3"/>
            <w:tcBorders/>
            <w:vAlign w:val="center"/>
          </w:tcPr>
          <w:p>
            <w:pPr>
              <w:pStyle w:val="TableContents"/>
              <w:bidi w:val="0"/>
              <w:spacing w:before="0" w:after="283"/>
              <w:jc w:val="left"/>
              <w:rPr>
                <w:sz w:val="4"/>
                <w:szCs w:val="4"/>
              </w:rPr>
            </w:pPr>
            <w:r>
              <w:rPr>
                <w:sz w:val="4"/>
                <w:szCs w:val="4"/>
              </w:rPr>
            </w:r>
          </w:p>
        </w:tc>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r>
      <w:tr>
        <w:trPr/>
        <w:tc>
          <w:tcPr>
            <w:tcW w:w="3902" w:type="dxa"/>
            <w:gridSpan w:val="3"/>
            <w:tcBorders/>
            <w:vAlign w:val="center"/>
          </w:tcPr>
          <w:p>
            <w:pPr>
              <w:pStyle w:val="TableContents"/>
              <w:bidi w:val="0"/>
              <w:spacing w:before="0" w:after="283"/>
              <w:jc w:val="left"/>
              <w:rPr>
                <w:sz w:val="4"/>
                <w:szCs w:val="4"/>
              </w:rPr>
            </w:pPr>
            <w:r>
              <w:rPr>
                <w:sz w:val="4"/>
                <w:szCs w:val="4"/>
              </w:rPr>
            </w:r>
          </w:p>
        </w:tc>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r>
      <w:tr>
        <w:trPr/>
        <w:tc>
          <w:tcPr>
            <w:tcW w:w="3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26e356724704c8e9c10f18f6c8e56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Fair Value Measured on a Recurring Basis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Financial assets and financial liabilities measured at fair value on a recurring basis consist of the following as of June 27, 2026 and March 28, 2026.</w:t>
      </w:r>
    </w:p>
    <w:tbl>
      <w:tblPr>
        <w:tblW w:w="9194" w:type="dxa"/>
        <w:jc w:val="left"/>
        <w:tblInd w:w="0" w:type="dxa"/>
        <w:tblLayout w:type="fixed"/>
        <w:tblCellMar>
          <w:top w:w="28" w:type="dxa"/>
          <w:left w:w="28" w:type="dxa"/>
          <w:bottom w:w="28" w:type="dxa"/>
          <w:right w:w="28" w:type="dxa"/>
        </w:tblCellMar>
      </w:tblPr>
      <w:tblGrid>
        <w:gridCol w:w="1484"/>
        <w:gridCol w:w="1304"/>
        <w:gridCol w:w="1321"/>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48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foreign currency hedge contracts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Non-designated foreign currency hedge contracts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interest rate swaps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foreign currency hedge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Non-designated foreign currency hedge contracts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194" w:type="dxa"/>
        <w:jc w:val="left"/>
        <w:tblInd w:w="0" w:type="dxa"/>
        <w:tblLayout w:type="fixed"/>
        <w:tblCellMar>
          <w:top w:w="28" w:type="dxa"/>
          <w:left w:w="28" w:type="dxa"/>
          <w:bottom w:w="28" w:type="dxa"/>
          <w:right w:w="28" w:type="dxa"/>
        </w:tblCellMar>
      </w:tblPr>
      <w:tblGrid>
        <w:gridCol w:w="1484"/>
        <w:gridCol w:w="1304"/>
        <w:gridCol w:w="1321"/>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48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foreign currency hedge contracts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Non-designated foreign currency hedge contracts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interest rate swaps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94,061 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foreign currency hedge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Non-designated foreign currency hedge contracts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i/>
          <w:color w:val="000000"/>
          <w:sz w:val="20"/>
        </w:rPr>
        <w:t xml:space="preserve">Foreign currency hedge contracts - </w:t>
      </w:r>
      <w:r>
        <w:rPr>
          <w:rFonts w:ascii="Times New Roman;serif" w:hAnsi="Times New Roman;serif"/>
          <w:b w:val="false"/>
          <w:color w:val="000000"/>
          <w:sz w:val="20"/>
        </w:rPr>
        <w:t>The fair value of foreign currency hedge contracts was measured using significant other observable inputs and valued by reference to over-the-counter quoted market prices for similar instruments. The Company does not believe that the fair value of these derivative instruments differs significantly from the amount that could be realized upon settlement or maturity, or that the changes in fair value will have a significant effect on its results of operations, financial condition or cash flows.</w:t>
      </w:r>
    </w:p>
    <w:p>
      <w:pPr>
        <w:pStyle w:val="TextBody"/>
        <w:bidi w:val="0"/>
        <w:spacing w:lineRule="auto" w:line="288" w:before="0" w:after="180"/>
        <w:jc w:val="both"/>
        <w:rPr/>
      </w:pPr>
      <w:r>
        <w:rPr>
          <w:rFonts w:ascii="Times New Roman;serif" w:hAnsi="Times New Roman;serif"/>
          <w:b w:val="false"/>
          <w:i/>
          <w:color w:val="000000"/>
          <w:sz w:val="20"/>
        </w:rPr>
        <w:t xml:space="preserve">Interest rate swaps - </w:t>
      </w:r>
      <w:r>
        <w:rPr>
          <w:rFonts w:ascii="Times New Roman;serif" w:hAnsi="Times New Roman;serif"/>
          <w:b w:val="false"/>
          <w:color w:val="000000"/>
          <w:sz w:val="20"/>
        </w:rPr>
        <w:t>The fair values of interest rate swaps are measured using the present value of expected future cash flows using market-based observable inputs, including credit risk and interest rate yield curves. The Company does not believe that the fair values of these derivative instruments differ significantly from the amounts that could be realized upon settlement or maturity, or that the changes in fair value will have a significant effect on its results of operations, financial condition or cash flows.</w:t>
      </w:r>
    </w:p>
    <w:p>
      <w:pPr>
        <w:pStyle w:val="TextBody"/>
        <w:bidi w:val="0"/>
        <w:spacing w:lineRule="auto" w:line="288" w:before="0" w:after="180"/>
        <w:jc w:val="both"/>
        <w:rPr/>
      </w:pPr>
      <w:r>
        <w:rPr>
          <w:rFonts w:ascii="Times New Roman;serif" w:hAnsi="Times New Roman;serif"/>
          <w:b w:val="false"/>
          <w:i/>
          <w:color w:val="000000"/>
          <w:sz w:val="20"/>
        </w:rPr>
        <w:t>Contingent consideration</w:t>
      </w:r>
      <w:r>
        <w:rPr>
          <w:color w:val="000000"/>
        </w:rPr>
        <w:t xml:space="preserve"> </w:t>
      </w:r>
      <w:r>
        <w:rPr>
          <w:rFonts w:ascii="Times New Roman;serif" w:hAnsi="Times New Roman;serif"/>
          <w:b w:val="false"/>
          <w:color w:val="000000"/>
          <w:sz w:val="20"/>
        </w:rPr>
        <w:t>- The fair value of contingent consideration liabilities is based on significant unobservable inputs, including management estimates and assumptions, and is measured based on the probability-weighted present value of the payments expected to be made. Accordingly, the fair value of contingent consideration has been classified as level 3 within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726e356724704c8e9c10f18f6c8e56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level 3 fair value measurements of contingent consideration liabilities include the following significant unobservable inputs:</w:t>
      </w:r>
    </w:p>
    <w:tbl>
      <w:tblPr>
        <w:tblW w:w="10205" w:type="dxa"/>
        <w:jc w:val="left"/>
        <w:tblInd w:w="0" w:type="dxa"/>
        <w:tblLayout w:type="fixed"/>
        <w:tblCellMar>
          <w:top w:w="28" w:type="dxa"/>
          <w:left w:w="28" w:type="dxa"/>
          <w:bottom w:w="28" w:type="dxa"/>
          <w:right w:w="28" w:type="dxa"/>
        </w:tblCellMar>
      </w:tblPr>
      <w:tblGrid>
        <w:gridCol w:w="702"/>
        <w:gridCol w:w="617"/>
        <w:gridCol w:w="619"/>
        <w:gridCol w:w="109"/>
        <w:gridCol w:w="109"/>
        <w:gridCol w:w="109"/>
        <w:gridCol w:w="309"/>
        <w:gridCol w:w="1058"/>
        <w:gridCol w:w="159"/>
        <w:gridCol w:w="109"/>
        <w:gridCol w:w="109"/>
        <w:gridCol w:w="109"/>
        <w:gridCol w:w="754"/>
        <w:gridCol w:w="704"/>
        <w:gridCol w:w="706"/>
        <w:gridCol w:w="109"/>
        <w:gridCol w:w="109"/>
        <w:gridCol w:w="109"/>
        <w:gridCol w:w="754"/>
        <w:gridCol w:w="754"/>
        <w:gridCol w:w="756"/>
        <w:gridCol w:w="109"/>
        <w:gridCol w:w="109"/>
        <w:gridCol w:w="109"/>
        <w:gridCol w:w="291"/>
        <w:gridCol w:w="291"/>
        <w:gridCol w:w="423"/>
      </w:tblGrid>
      <w:tr>
        <w:trPr/>
        <w:tc>
          <w:tcPr>
            <w:tcW w:w="70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Valuation 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Range</w:t>
            </w:r>
          </w:p>
        </w:tc>
      </w:tr>
      <w:tr>
        <w:trPr/>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Revenue-based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3,066 </w:t>
            </w:r>
          </w:p>
        </w:tc>
        <w:tc>
          <w:tcPr>
            <w:tcW w:w="159"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Monte Carlo Simulation Model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193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1058"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159"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Projected fiscal year of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2028 - 2030</w:t>
            </w:r>
          </w:p>
        </w:tc>
      </w:tr>
      <w:tr>
        <w:trPr/>
        <w:tc>
          <w:tcPr>
            <w:tcW w:w="1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96" w:type="dxa"/>
            <w:gridSpan w:val="9"/>
            <w:tcBorders/>
          </w:tcPr>
          <w:p>
            <w:pPr>
              <w:pStyle w:val="TableContents"/>
              <w:bidi w:val="0"/>
              <w:spacing w:before="0" w:after="283"/>
              <w:jc w:val="left"/>
              <w:rPr>
                <w:sz w:val="4"/>
                <w:szCs w:val="4"/>
              </w:rPr>
            </w:pPr>
            <w:r>
              <w:rPr>
                <w:sz w:val="4"/>
                <w:szCs w:val="4"/>
              </w:rPr>
            </w:r>
          </w:p>
        </w:tc>
      </w:tr>
      <w:tr>
        <w:trPr/>
        <w:tc>
          <w:tcPr>
            <w:tcW w:w="1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96" w:type="dxa"/>
            <w:gridSpan w:val="9"/>
            <w:tcBorders/>
          </w:tcPr>
          <w:p>
            <w:pPr>
              <w:pStyle w:val="TableContents"/>
              <w:bidi w:val="0"/>
              <w:spacing w:before="0" w:after="283"/>
              <w:jc w:val="left"/>
              <w:rPr>
                <w:sz w:val="4"/>
                <w:szCs w:val="4"/>
              </w:rPr>
            </w:pPr>
            <w:r>
              <w:rPr>
                <w:sz w:val="4"/>
                <w:szCs w:val="4"/>
              </w:rPr>
            </w:r>
          </w:p>
        </w:tc>
      </w:tr>
      <w:tr>
        <w:trPr/>
        <w:tc>
          <w:tcPr>
            <w:tcW w:w="1938"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Event-based 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59" w:type="dxa"/>
            <w:vMerge w:val="restart"/>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Monte Carlo Simulation Model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r>
      <w:tr>
        <w:trPr/>
        <w:tc>
          <w:tcPr>
            <w:tcW w:w="1938"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1058" w:type="dxa"/>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159" w:type="dxa"/>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Projected fiscal year of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2027 - 2028</w:t>
            </w:r>
          </w:p>
        </w:tc>
      </w:tr>
      <w:tr>
        <w:trPr/>
        <w:tc>
          <w:tcPr>
            <w:tcW w:w="1938"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vMerge w:val="restart"/>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vMerge w:val="restart"/>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17,654 </w:t>
            </w:r>
          </w:p>
        </w:tc>
        <w:tc>
          <w:tcPr>
            <w:tcW w:w="159" w:type="dxa"/>
            <w:vMerge w:val="restart"/>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vMerge w:val="restart"/>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Monte Carlo Simulation Model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1938"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vMerge w:val="continue"/>
            <w:tcBorders>
              <w:bottom w:val="single" w:sz="8" w:space="0" w:color="000000"/>
            </w:tcBorders>
            <w:shd w:fill="CCEEFF" w:val="clear"/>
            <w:tcMar>
              <w:top w:w="0" w:type="dxa"/>
              <w:left w:w="0" w:type="dxa"/>
              <w:bottom w:w="30" w:type="dxa"/>
              <w:right w:w="0" w:type="dxa"/>
            </w:tcMar>
            <w:vAlign w:val="center"/>
          </w:tcPr>
          <w:p>
            <w:pPr>
              <w:pStyle w:val="Normal"/>
              <w:bidi w:val="0"/>
              <w:jc w:val="left"/>
              <w:rPr/>
            </w:pPr>
            <w:r>
              <w:rPr/>
            </w:r>
          </w:p>
        </w:tc>
        <w:tc>
          <w:tcPr>
            <w:tcW w:w="1058" w:type="dxa"/>
            <w:vMerge w:val="continue"/>
            <w:tcBorders>
              <w:bottom w:val="single" w:sz="8" w:space="0" w:color="000000"/>
            </w:tcBorders>
            <w:shd w:fill="CCEEFF" w:val="clear"/>
            <w:tcMar>
              <w:top w:w="0" w:type="dxa"/>
              <w:left w:w="0" w:type="dxa"/>
              <w:bottom w:w="30" w:type="dxa"/>
              <w:right w:w="0" w:type="dxa"/>
            </w:tcMar>
            <w:vAlign w:val="center"/>
          </w:tcPr>
          <w:p>
            <w:pPr>
              <w:pStyle w:val="Normal"/>
              <w:bidi w:val="0"/>
              <w:jc w:val="left"/>
              <w:rPr/>
            </w:pPr>
            <w:r>
              <w:rPr/>
            </w:r>
          </w:p>
        </w:tc>
        <w:tc>
          <w:tcPr>
            <w:tcW w:w="159" w:type="dxa"/>
            <w:vMerge w:val="continue"/>
            <w:tcBorders>
              <w:bottom w:val="single" w:sz="8" w:space="0" w:color="000000"/>
            </w:tcBorders>
            <w:shd w:fill="CCEEFF" w:val="clear"/>
            <w:tcMar>
              <w:top w:w="0" w:type="dxa"/>
              <w:left w:w="0" w:type="dxa"/>
              <w:bottom w:w="3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2164" w:type="dxa"/>
            <w:gridSpan w:val="3"/>
            <w:vMerge w:val="continue"/>
            <w:tcBorders>
              <w:bottom w:val="single" w:sz="8" w:space="0" w:color="000000"/>
            </w:tcBorders>
            <w:shd w:fill="CCEEFF" w:val="clear"/>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Projected fiscal year of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r>
    </w:tbl>
    <w:tbl>
      <w:tblPr>
        <w:tblW w:w="10205" w:type="dxa"/>
        <w:jc w:val="left"/>
        <w:tblInd w:w="0" w:type="dxa"/>
        <w:tblLayout w:type="fixed"/>
        <w:tblCellMar>
          <w:top w:w="28" w:type="dxa"/>
          <w:left w:w="28" w:type="dxa"/>
          <w:bottom w:w="28" w:type="dxa"/>
          <w:right w:w="28" w:type="dxa"/>
        </w:tblCellMar>
      </w:tblPr>
      <w:tblGrid>
        <w:gridCol w:w="702"/>
        <w:gridCol w:w="617"/>
        <w:gridCol w:w="619"/>
        <w:gridCol w:w="109"/>
        <w:gridCol w:w="109"/>
        <w:gridCol w:w="109"/>
        <w:gridCol w:w="309"/>
        <w:gridCol w:w="1058"/>
        <w:gridCol w:w="159"/>
        <w:gridCol w:w="109"/>
        <w:gridCol w:w="109"/>
        <w:gridCol w:w="109"/>
        <w:gridCol w:w="754"/>
        <w:gridCol w:w="704"/>
        <w:gridCol w:w="706"/>
        <w:gridCol w:w="109"/>
        <w:gridCol w:w="109"/>
        <w:gridCol w:w="109"/>
        <w:gridCol w:w="754"/>
        <w:gridCol w:w="754"/>
        <w:gridCol w:w="756"/>
        <w:gridCol w:w="109"/>
        <w:gridCol w:w="109"/>
        <w:gridCol w:w="109"/>
        <w:gridCol w:w="291"/>
        <w:gridCol w:w="291"/>
        <w:gridCol w:w="423"/>
      </w:tblGrid>
      <w:tr>
        <w:trPr/>
        <w:tc>
          <w:tcPr>
            <w:tcW w:w="70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Valuation 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Range</w:t>
            </w:r>
          </w:p>
        </w:tc>
      </w:tr>
      <w:tr>
        <w:trPr/>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Revenue-based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3,076 </w:t>
            </w:r>
          </w:p>
        </w:tc>
        <w:tc>
          <w:tcPr>
            <w:tcW w:w="159"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Monte Carlo Simulation Model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193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1058"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159"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Projected fiscal year of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2028 - 2030</w:t>
            </w:r>
          </w:p>
        </w:tc>
      </w:tr>
      <w:tr>
        <w:trPr/>
        <w:tc>
          <w:tcPr>
            <w:tcW w:w="1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96" w:type="dxa"/>
            <w:gridSpan w:val="9"/>
            <w:tcBorders/>
          </w:tcPr>
          <w:p>
            <w:pPr>
              <w:pStyle w:val="TableContents"/>
              <w:bidi w:val="0"/>
              <w:spacing w:before="0" w:after="283"/>
              <w:jc w:val="left"/>
              <w:rPr>
                <w:sz w:val="4"/>
                <w:szCs w:val="4"/>
              </w:rPr>
            </w:pPr>
            <w:r>
              <w:rPr>
                <w:sz w:val="4"/>
                <w:szCs w:val="4"/>
              </w:rPr>
            </w:r>
          </w:p>
        </w:tc>
      </w:tr>
      <w:tr>
        <w:trPr/>
        <w:tc>
          <w:tcPr>
            <w:tcW w:w="1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96" w:type="dxa"/>
            <w:gridSpan w:val="9"/>
            <w:tcBorders/>
          </w:tcPr>
          <w:p>
            <w:pPr>
              <w:pStyle w:val="TableContents"/>
              <w:bidi w:val="0"/>
              <w:spacing w:before="0" w:after="283"/>
              <w:jc w:val="left"/>
              <w:rPr>
                <w:sz w:val="4"/>
                <w:szCs w:val="4"/>
              </w:rPr>
            </w:pPr>
            <w:r>
              <w:rPr>
                <w:sz w:val="4"/>
                <w:szCs w:val="4"/>
              </w:rPr>
            </w:r>
          </w:p>
        </w:tc>
      </w:tr>
      <w:tr>
        <w:trPr/>
        <w:tc>
          <w:tcPr>
            <w:tcW w:w="1938"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Event-based 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59" w:type="dxa"/>
            <w:vMerge w:val="restart"/>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Monte Carlo Simulation Model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r>
      <w:tr>
        <w:trPr/>
        <w:tc>
          <w:tcPr>
            <w:tcW w:w="1938"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1058" w:type="dxa"/>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159" w:type="dxa"/>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Projected fiscal year of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2027 - 2028</w:t>
            </w:r>
          </w:p>
        </w:tc>
      </w:tr>
      <w:tr>
        <w:trPr/>
        <w:tc>
          <w:tcPr>
            <w:tcW w:w="1938"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vMerge w:val="restart"/>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vMerge w:val="restart"/>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17,597 </w:t>
            </w:r>
          </w:p>
        </w:tc>
        <w:tc>
          <w:tcPr>
            <w:tcW w:w="159" w:type="dxa"/>
            <w:vMerge w:val="restart"/>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vMerge w:val="restart"/>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Monte Carlo Simulation Model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1938"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vMerge w:val="continue"/>
            <w:tcBorders>
              <w:bottom w:val="single" w:sz="8" w:space="0" w:color="000000"/>
            </w:tcBorders>
            <w:shd w:fill="CCEEFF" w:val="clear"/>
            <w:tcMar>
              <w:top w:w="0" w:type="dxa"/>
              <w:left w:w="0" w:type="dxa"/>
              <w:bottom w:w="30" w:type="dxa"/>
              <w:right w:w="0" w:type="dxa"/>
            </w:tcMar>
            <w:vAlign w:val="center"/>
          </w:tcPr>
          <w:p>
            <w:pPr>
              <w:pStyle w:val="Normal"/>
              <w:bidi w:val="0"/>
              <w:jc w:val="left"/>
              <w:rPr/>
            </w:pPr>
            <w:r>
              <w:rPr/>
            </w:r>
          </w:p>
        </w:tc>
        <w:tc>
          <w:tcPr>
            <w:tcW w:w="1058" w:type="dxa"/>
            <w:vMerge w:val="continue"/>
            <w:tcBorders>
              <w:bottom w:val="single" w:sz="8" w:space="0" w:color="000000"/>
            </w:tcBorders>
            <w:shd w:fill="CCEEFF" w:val="clear"/>
            <w:tcMar>
              <w:top w:w="0" w:type="dxa"/>
              <w:left w:w="0" w:type="dxa"/>
              <w:bottom w:w="30" w:type="dxa"/>
              <w:right w:w="0" w:type="dxa"/>
            </w:tcMar>
            <w:vAlign w:val="center"/>
          </w:tcPr>
          <w:p>
            <w:pPr>
              <w:pStyle w:val="Normal"/>
              <w:bidi w:val="0"/>
              <w:jc w:val="left"/>
              <w:rPr/>
            </w:pPr>
            <w:r>
              <w:rPr/>
            </w:r>
          </w:p>
        </w:tc>
        <w:tc>
          <w:tcPr>
            <w:tcW w:w="159" w:type="dxa"/>
            <w:vMerge w:val="continue"/>
            <w:tcBorders>
              <w:bottom w:val="single" w:sz="8" w:space="0" w:color="000000"/>
            </w:tcBorders>
            <w:shd w:fill="CCEEFF" w:val="clear"/>
            <w:tcMar>
              <w:top w:w="0" w:type="dxa"/>
              <w:left w:w="0" w:type="dxa"/>
              <w:bottom w:w="3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2164" w:type="dxa"/>
            <w:gridSpan w:val="3"/>
            <w:vMerge w:val="continue"/>
            <w:tcBorders>
              <w:bottom w:val="single" w:sz="8" w:space="0" w:color="000000"/>
            </w:tcBorders>
            <w:shd w:fill="CCEEFF" w:val="clear"/>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Projected fiscal year of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fair value of contingent consideration associated with acquisitions was $21.0 million and $21.1 million as of June 27, 2026 and March 28, 2026, respectively. As of June 27, 2026, $17.9 million was included in other current liabilities and $3.1 million was included in other long-term liabilities. As of March 28, 2026, $17.6 million was included in other current liabilities and $3.4 million was included in other long-term liabilities.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reconciliation of the change in the fair value of contingent consideration is included in the following table:</w:t>
      </w:r>
    </w:p>
    <w:tbl>
      <w:tblPr>
        <w:tblW w:w="4885" w:type="dxa"/>
        <w:jc w:val="left"/>
        <w:tblInd w:w="0" w:type="dxa"/>
        <w:tblLayout w:type="fixed"/>
        <w:tblCellMar>
          <w:top w:w="28" w:type="dxa"/>
          <w:left w:w="28" w:type="dxa"/>
          <w:bottom w:w="28" w:type="dxa"/>
          <w:right w:w="28" w:type="dxa"/>
        </w:tblCellMar>
      </w:tblPr>
      <w:tblGrid>
        <w:gridCol w:w="916"/>
        <w:gridCol w:w="806"/>
        <w:gridCol w:w="812"/>
        <w:gridCol w:w="109"/>
        <w:gridCol w:w="109"/>
        <w:gridCol w:w="109"/>
        <w:gridCol w:w="392"/>
        <w:gridCol w:w="1344"/>
        <w:gridCol w:w="288"/>
      </w:tblGrid>
      <w:tr>
        <w:trPr/>
        <w:tc>
          <w:tcPr>
            <w:tcW w:w="91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Contingent Consideration</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March 28,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21,063 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27,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21,016 </w:t>
            </w:r>
          </w:p>
        </w:tc>
        <w:tc>
          <w:tcPr>
            <w:tcW w:w="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Other Fair Value Disclosures</w:t>
      </w:r>
    </w:p>
    <w:p>
      <w:pPr>
        <w:pStyle w:val="TextBody"/>
        <w:bidi w:val="0"/>
        <w:spacing w:lineRule="auto" w:line="288" w:before="0" w:after="180"/>
        <w:jc w:val="both"/>
        <w:rPr/>
      </w:pPr>
      <w:r>
        <w:rPr>
          <w:rFonts w:ascii="Times New Roman;serif" w:hAnsi="Times New Roman;serif"/>
          <w:b w:val="false"/>
          <w:color w:val="000000"/>
          <w:sz w:val="20"/>
          <w:shd w:fill="FFFFFF" w:val="clear"/>
        </w:rPr>
        <w:t>The fair value of the 2029 No</w:t>
      </w:r>
      <w:r>
        <w:rPr>
          <w:rFonts w:ascii="Times New Roman;serif" w:hAnsi="Times New Roman;serif"/>
          <w:b w:val="false"/>
          <w:color w:val="000000"/>
          <w:sz w:val="20"/>
        </w:rPr>
        <w:t>tes was $714.7 million and $662.4 million as o</w:t>
      </w:r>
      <w:r>
        <w:rPr>
          <w:rFonts w:ascii="Times New Roman;serif" w:hAnsi="Times New Roman;serif"/>
          <w:b w:val="false"/>
          <w:color w:val="000000"/>
          <w:sz w:val="20"/>
          <w:shd w:fill="FFFFFF" w:val="clear"/>
        </w:rPr>
        <w:t xml:space="preserve">f June 27, 2026 and </w:t>
      </w:r>
      <w:r>
        <w:rPr>
          <w:rFonts w:ascii="Times New Roman;serif" w:hAnsi="Times New Roman;serif"/>
          <w:b w:val="false"/>
          <w:color w:val="000000"/>
          <w:sz w:val="20"/>
        </w:rPr>
        <w:t>March 28, 2026, respectively, which were determined by using the market price on the last trading day of the reporting period and are considered as level 2 in the fair value hierarchy.</w:t>
      </w:r>
    </w:p>
    <w:p>
      <w:pPr>
        <w:pStyle w:val="TextBody"/>
        <w:bidi w:val="0"/>
        <w:spacing w:lineRule="auto" w:line="288" w:before="0" w:after="180"/>
        <w:jc w:val="both"/>
        <w:rPr/>
      </w:pPr>
      <w:r>
        <w:rPr>
          <w:rFonts w:ascii="Times New Roman;serif" w:hAnsi="Times New Roman;serif"/>
          <w:b w:val="false"/>
          <w:color w:val="000000"/>
          <w:sz w:val="20"/>
        </w:rPr>
        <w:t>The senior unsecured term loan (which is carried at amortized cost), the revolving credit facility, accounts receivable and accounts payable approximate fa</w:t>
      </w:r>
      <w:r>
        <w:rPr>
          <w:rFonts w:ascii="Times New Roman;serif" w:hAnsi="Times New Roman;serif"/>
          <w:b w:val="false"/>
          <w:color w:val="000000"/>
          <w:sz w:val="20"/>
          <w:shd w:fill="FFFFFF" w:val="clear"/>
        </w:rPr>
        <w:t>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14. COMMITMENTS AND CONTINGENCIES</w:t>
      </w:r>
    </w:p>
    <w:p>
      <w:pPr>
        <w:pStyle w:val="TextBody"/>
        <w:bidi w:val="0"/>
        <w:spacing w:lineRule="auto" w:line="288" w:before="0" w:after="180"/>
        <w:jc w:val="both"/>
        <w:rPr/>
      </w:pPr>
      <w:r>
        <w:rPr>
          <w:rFonts w:ascii="Times New Roman;serif" w:hAnsi="Times New Roman;serif"/>
          <w:b w:val="false"/>
          <w:color w:val="000000"/>
          <w:sz w:val="20"/>
        </w:rPr>
        <w:t xml:space="preserve">The Company is a party to various legal proceedings and claims arising out of the ordinary course of its business. The Company believes that, except for those matters described below, there are no other proceedings or claims pending against it the ultimate resolution of which could have a material adverse effect on its financial condition or results of operations. At each reporting period, management evaluates whether or not a potential loss amount or a potential range of loss is probable and reasonably estimable under FASB ASC Topic 450, </w:t>
      </w:r>
      <w:r>
        <w:rPr>
          <w:rFonts w:ascii="Times New Roman;serif" w:hAnsi="Times New Roman;serif"/>
          <w:b w:val="false"/>
          <w:i/>
          <w:color w:val="000000"/>
          <w:sz w:val="20"/>
        </w:rPr>
        <w:t xml:space="preserve">Contingencies, </w:t>
      </w:r>
      <w:r>
        <w:rPr>
          <w:rFonts w:ascii="Times New Roman;serif" w:hAnsi="Times New Roman;serif"/>
          <w:b w:val="false"/>
          <w:color w:val="000000"/>
          <w:sz w:val="20"/>
        </w:rPr>
        <w:t>for all matters. Legal costs are expensed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26e356724704c8e9c10f18f6c8e56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Plasma Patent Litigation</w:t>
      </w:r>
    </w:p>
    <w:p>
      <w:pPr>
        <w:pStyle w:val="TextBody"/>
        <w:bidi w:val="0"/>
        <w:spacing w:lineRule="auto" w:line="288" w:before="0" w:after="180"/>
        <w:jc w:val="both"/>
        <w:rPr/>
      </w:pPr>
      <w:r>
        <w:rPr>
          <w:rFonts w:ascii="Times New Roman;serif" w:hAnsi="Times New Roman;serif"/>
          <w:b w:val="false"/>
          <w:color w:val="000000"/>
          <w:sz w:val="20"/>
        </w:rPr>
        <w:t>During the first quarter of fiscal 2026, the Company filed a complaint against Terumo BCT in U.S. District Court for the District of Colorado (1:25-cv-01409). The complaint alleges that Terumo BCT infringes the Company’s intellectual property rights with respect to its donor-centric blood plasma collection patents, as embodied in the Company’s NexSys PCS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with YES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technology and NexSys PCS with Persona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technology. On June 26, 2025, Terumo filed a motion to dismiss. On July 17, 2025 and August 12, 2025, the Company filed amended complaints adding recently issued patents. On September 2, 2025, Terumo filed a partial motion to dismiss with prejudice claiming that the Company’s asserted patents were invalid under 35 U.S.C. section 101. Terumo filed nine inter partes and post-grant review petitions with the U.S. Patent and Trademark Office (PTO) seeking to invalidate the asserted patents. In October 2025, Terumo filed a motion to stay the district court proceedings pending resolution of the PTO petitions. All nine of the petitions were denied by the PTO, rendering moot the motion to stay.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fiscal 2026, the Company filed a complaint against Fresenius Kabi USA LLC in U.S. District Court for the Northern District of Illinois (1:25-cv-08680). The complaint alleges that Fresenius Kabi infringes the Company’s intellectual property rights with respect to its donor-centric blood plasma collection patents, as embodied in the Company’s NexSys PCS with YES technology and NexSys PCS with Persona technology. In October 2025, the Company filed an amended complaint to add Fenwal Inc. and Fresenius Kabi AG as parties to the matter. In December 2025, the Fenwal filed its answer and counterclaims, alleging non-infringement and invalidity of the Company’s asserted patents and alleging infringement by the Company of certain of Fenwal’s U.S. patents. In May 2026, Fenwal amended its counterclaim, alleging inequitable conduct and Walker Process antitrust violations. The Company has filed its answer, denying all counterclaims.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While the Company will incur costs in the course of pursuing these claims, and the outcome of litigation is inherently uncertain, the Company believes this is a necessary and appropriate action to safeguard its innovations, protect its intellectual property, and further the growth and development of its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15. ACCUMULATED OTHER COMPREHENSIVE LOSS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components of AOCL, net of tax, are as follows:</w:t>
      </w:r>
    </w:p>
    <w:tbl>
      <w:tblPr>
        <w:tblW w:w="10205" w:type="dxa"/>
        <w:jc w:val="left"/>
        <w:tblInd w:w="0" w:type="dxa"/>
        <w:tblLayout w:type="fixed"/>
        <w:tblCellMar>
          <w:top w:w="28" w:type="dxa"/>
          <w:left w:w="28" w:type="dxa"/>
          <w:bottom w:w="28" w:type="dxa"/>
          <w:right w:w="28" w:type="dxa"/>
        </w:tblCellMar>
      </w:tblPr>
      <w:tblGrid>
        <w:gridCol w:w="1349"/>
        <w:gridCol w:w="975"/>
        <w:gridCol w:w="960"/>
        <w:gridCol w:w="243"/>
        <w:gridCol w:w="894"/>
        <w:gridCol w:w="125"/>
        <w:gridCol w:w="109"/>
        <w:gridCol w:w="109"/>
        <w:gridCol w:w="109"/>
        <w:gridCol w:w="347"/>
        <w:gridCol w:w="766"/>
        <w:gridCol w:w="178"/>
        <w:gridCol w:w="109"/>
        <w:gridCol w:w="109"/>
        <w:gridCol w:w="109"/>
        <w:gridCol w:w="506"/>
        <w:gridCol w:w="1478"/>
        <w:gridCol w:w="261"/>
        <w:gridCol w:w="109"/>
        <w:gridCol w:w="109"/>
        <w:gridCol w:w="109"/>
        <w:gridCol w:w="211"/>
        <w:gridCol w:w="771"/>
        <w:gridCol w:w="160"/>
      </w:tblGrid>
      <w:tr>
        <w:trPr/>
        <w:tc>
          <w:tcPr>
            <w:tcW w:w="134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Unrealized Gain (Loss)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28, 2026</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(37,614)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comprehensive income before reclassifications</w:t>
            </w:r>
            <w:r>
              <w:rPr>
                <w:rFonts w:ascii="Times New Roman;serif" w:hAnsi="Times New Roman;serif"/>
                <w:b w:val="false"/>
                <w:color w:val="000000"/>
                <w:sz w:val="13"/>
              </w:rPr>
              <w:t>(1)</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Amounts reclassified from AOCL</w:t>
            </w:r>
            <w:r>
              <w:rPr>
                <w:rFonts w:ascii="Times New Roman;serif" w:hAnsi="Times New Roman;serif"/>
                <w:b w:val="false"/>
                <w:color w:val="000000"/>
                <w:sz w:val="13"/>
              </w:rPr>
              <w:t>(1)</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27, 2026</w:t>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(44,040)</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1,665 </w:t>
            </w:r>
          </w:p>
        </w:tc>
        <w:tc>
          <w:tcPr>
            <w:tcW w:w="2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(41,629)</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0"/>
        <w:ind w:left="0" w:right="0" w:hanging="360"/>
        <w:jc w:val="left"/>
        <w:rPr/>
      </w:pPr>
      <w:r>
        <w:rPr>
          <w:rFonts w:ascii="Times New Roman;serif" w:hAnsi="Times New Roman;serif"/>
          <w:b w:val="false"/>
          <w:color w:val="000000"/>
          <w:sz w:val="13"/>
        </w:rPr>
        <w:t>(1)    </w:t>
      </w:r>
      <w:r>
        <w:rPr>
          <w:rFonts w:ascii="Times New Roman;serif" w:hAnsi="Times New Roman;serif"/>
          <w:b w:val="false"/>
          <w:color w:val="000000"/>
          <w:sz w:val="16"/>
        </w:rPr>
        <w:t>Presented net of income taxes, the amounts of which are insignificant.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16. SEGMENT AND ENTERPRISE-WIDE INFORMATION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June 5, 2026, the Company implemented an organizational realignment designed to align its commercial operations into two global reportable segments by combining the previously reported Plasma and Blood Center reportable segments into Apheresis and renaming the Hospital reportable segment to MedSurg. This organizational structure reflects how the Company is organized to manage operations, allocate resources and evaluate performance. As a result, the information that is regularly reviewed by the Company’s chief operating decision maker (“CODM”), identified as the Chief Executive Officer, has changed. Prior-period segment information presented has been recast to reflect the current reportable segment structure.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reportable and operating segments are as follows: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Apheresis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MedSurg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726e356724704c8e9c10f18f6c8e56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CODM measures and evaluates the operating segments based on operating income for purposes of assessing business performance and allocating resources. The CODM uses segment operating income for each segment by comparing on a quarterly basis actual results to the prior year comparable period and to the annual operating plan to assess the performance of the segments and to allocate resources across our segments. Certain corporate expenses and amounts considered to be non-recurring or non-operational are excluded from segment operating income. These items include restructuring costs, restructuring related costs, digital transformation costs, amortization of acquired intangible assets, amortization of fair value inventory step-up, acquisition, integration and divestiture related costs, unusual or infrequent and material litigation-related charges, and remeasurement of contingent consideration. Although these amounts are excluded from segment operating income, as applicable, they are included in the reconciliations that follow.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does not track its total assets by segment. Consequently, the Company’s CODM does not review total assets by segment when assessing business performance and allocating resources.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Selected information by reportable segment is presented below:</w:t>
      </w:r>
    </w:p>
    <w:tbl>
      <w:tblPr>
        <w:tblW w:w="8079" w:type="dxa"/>
        <w:jc w:val="left"/>
        <w:tblInd w:w="0" w:type="dxa"/>
        <w:tblLayout w:type="fixed"/>
        <w:tblCellMar>
          <w:top w:w="28" w:type="dxa"/>
          <w:left w:w="28" w:type="dxa"/>
          <w:bottom w:w="28" w:type="dxa"/>
          <w:right w:w="28" w:type="dxa"/>
        </w:tblCellMar>
      </w:tblPr>
      <w:tblGrid>
        <w:gridCol w:w="1802"/>
        <w:gridCol w:w="1584"/>
        <w:gridCol w:w="1593"/>
        <w:gridCol w:w="211"/>
        <w:gridCol w:w="826"/>
        <w:gridCol w:w="109"/>
        <w:gridCol w:w="109"/>
        <w:gridCol w:w="109"/>
        <w:gridCol w:w="109"/>
        <w:gridCol w:w="211"/>
        <w:gridCol w:w="826"/>
        <w:gridCol w:w="109"/>
        <w:gridCol w:w="109"/>
        <w:gridCol w:w="109"/>
        <w:gridCol w:w="109"/>
        <w:gridCol w:w="154"/>
      </w:tblGrid>
      <w:tr>
        <w:trPr/>
        <w:tc>
          <w:tcPr>
            <w:tcW w:w="1802"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Apheresis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MedSurg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Significant segment expenses and operating performance: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Apheresis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Apheresis operating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MedSurg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MedSurg operating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Corporate and unallocated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Integration and transaction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restructuring related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transformation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180"/>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16"/>
        </w:rPr>
        <w:t>Comprised of litigation-related charges and remeasurement of contingent consideration for the three months ended June 27, 2026 and June 28,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26e356724704c8e9c10f18f6c8e56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revenues by business unit are as follows:</w:t>
      </w:r>
    </w:p>
    <w:tbl>
      <w:tblPr>
        <w:tblW w:w="6235" w:type="dxa"/>
        <w:jc w:val="left"/>
        <w:tblInd w:w="0" w:type="dxa"/>
        <w:tblLayout w:type="fixed"/>
        <w:tblCellMar>
          <w:top w:w="28" w:type="dxa"/>
          <w:left w:w="28" w:type="dxa"/>
          <w:bottom w:w="28" w:type="dxa"/>
          <w:right w:w="28" w:type="dxa"/>
        </w:tblCellMar>
      </w:tblPr>
      <w:tblGrid>
        <w:gridCol w:w="1047"/>
        <w:gridCol w:w="921"/>
        <w:gridCol w:w="927"/>
        <w:gridCol w:w="109"/>
        <w:gridCol w:w="109"/>
        <w:gridCol w:w="128"/>
        <w:gridCol w:w="128"/>
        <w:gridCol w:w="248"/>
        <w:gridCol w:w="972"/>
        <w:gridCol w:w="128"/>
        <w:gridCol w:w="109"/>
        <w:gridCol w:w="109"/>
        <w:gridCol w:w="109"/>
        <w:gridCol w:w="211"/>
        <w:gridCol w:w="826"/>
        <w:gridCol w:w="154"/>
      </w:tblGrid>
      <w:tr>
        <w:trPr/>
        <w:tc>
          <w:tcPr>
            <w:tcW w:w="104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518" w:type="dxa"/>
            <w:gridSpan w:val="6"/>
            <w:tcBorders/>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Apheresis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Plasma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155,524 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35,794 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Apheresis net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191,318 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181,736 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MedSurg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Interventional Technologies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59,942 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Blood Management Technologies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88,120 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MedSurg net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148,062 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139,658 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339,380 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321,394 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excluding impairment charges, by business unit are as follows:</w:t>
      </w:r>
    </w:p>
    <w:tbl>
      <w:tblPr>
        <w:tblW w:w="8990" w:type="dxa"/>
        <w:jc w:val="left"/>
        <w:tblInd w:w="0" w:type="dxa"/>
        <w:tblLayout w:type="fixed"/>
        <w:tblCellMar>
          <w:top w:w="28" w:type="dxa"/>
          <w:left w:w="28" w:type="dxa"/>
          <w:bottom w:w="28" w:type="dxa"/>
          <w:right w:w="28" w:type="dxa"/>
        </w:tblCellMar>
      </w:tblPr>
      <w:tblGrid>
        <w:gridCol w:w="2050"/>
        <w:gridCol w:w="1800"/>
        <w:gridCol w:w="1820"/>
        <w:gridCol w:w="109"/>
        <w:gridCol w:w="109"/>
        <w:gridCol w:w="139"/>
        <w:gridCol w:w="139"/>
        <w:gridCol w:w="269"/>
        <w:gridCol w:w="919"/>
        <w:gridCol w:w="139"/>
        <w:gridCol w:w="109"/>
        <w:gridCol w:w="109"/>
        <w:gridCol w:w="109"/>
        <w:gridCol w:w="227"/>
        <w:gridCol w:w="777"/>
        <w:gridCol w:w="166"/>
      </w:tblGrid>
      <w:tr>
        <w:trPr/>
        <w:tc>
          <w:tcPr>
            <w:tcW w:w="2050"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497" w:type="dxa"/>
            <w:gridSpan w:val="6"/>
            <w:tcBorders/>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Apheresis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MedSurg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 (excluding 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27,111 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28,758 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Long-lived assets, comprised of property, plant and equipment, by business unit are as follows:</w:t>
      </w:r>
    </w:p>
    <w:tbl>
      <w:tblPr>
        <w:tblW w:w="4629" w:type="dxa"/>
        <w:jc w:val="left"/>
        <w:tblInd w:w="0" w:type="dxa"/>
        <w:tblLayout w:type="fixed"/>
        <w:tblCellMar>
          <w:top w:w="28" w:type="dxa"/>
          <w:left w:w="28" w:type="dxa"/>
          <w:bottom w:w="28" w:type="dxa"/>
          <w:right w:w="28" w:type="dxa"/>
        </w:tblCellMar>
      </w:tblPr>
      <w:tblGrid>
        <w:gridCol w:w="711"/>
        <w:gridCol w:w="624"/>
        <w:gridCol w:w="630"/>
        <w:gridCol w:w="211"/>
        <w:gridCol w:w="826"/>
        <w:gridCol w:w="109"/>
        <w:gridCol w:w="109"/>
        <w:gridCol w:w="109"/>
        <w:gridCol w:w="109"/>
        <w:gridCol w:w="211"/>
        <w:gridCol w:w="826"/>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Apheresis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MedSurg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long-lived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305,761 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Long-lived assets, comprised of property, plant and equipment, by operating regions are as follows:</w:t>
      </w:r>
    </w:p>
    <w:tbl>
      <w:tblPr>
        <w:tblW w:w="4629" w:type="dxa"/>
        <w:jc w:val="left"/>
        <w:tblInd w:w="0" w:type="dxa"/>
        <w:tblLayout w:type="fixed"/>
        <w:tblCellMar>
          <w:top w:w="28" w:type="dxa"/>
          <w:left w:w="28" w:type="dxa"/>
          <w:bottom w:w="28" w:type="dxa"/>
          <w:right w:w="28" w:type="dxa"/>
        </w:tblCellMar>
      </w:tblPr>
      <w:tblGrid>
        <w:gridCol w:w="713"/>
        <w:gridCol w:w="624"/>
        <w:gridCol w:w="628"/>
        <w:gridCol w:w="211"/>
        <w:gridCol w:w="826"/>
        <w:gridCol w:w="109"/>
        <w:gridCol w:w="109"/>
        <w:gridCol w:w="109"/>
        <w:gridCol w:w="109"/>
        <w:gridCol w:w="211"/>
        <w:gridCol w:w="826"/>
        <w:gridCol w:w="154"/>
      </w:tblGrid>
      <w:tr>
        <w:trPr/>
        <w:tc>
          <w:tcPr>
            <w:tcW w:w="71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Asia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long-lived assets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303,778 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305,761 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26e356724704c8e9c10f18f6c8e56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revenues by operating regions are as follows:</w:t>
      </w:r>
    </w:p>
    <w:tbl>
      <w:tblPr>
        <w:tblW w:w="4960" w:type="dxa"/>
        <w:jc w:val="left"/>
        <w:tblInd w:w="0" w:type="dxa"/>
        <w:tblLayout w:type="fixed"/>
        <w:tblCellMar>
          <w:top w:w="28" w:type="dxa"/>
          <w:left w:w="28" w:type="dxa"/>
          <w:bottom w:w="28" w:type="dxa"/>
          <w:right w:w="28" w:type="dxa"/>
        </w:tblCellMar>
      </w:tblPr>
      <w:tblGrid>
        <w:gridCol w:w="588"/>
        <w:gridCol w:w="515"/>
        <w:gridCol w:w="517"/>
        <w:gridCol w:w="109"/>
        <w:gridCol w:w="109"/>
        <w:gridCol w:w="128"/>
        <w:gridCol w:w="128"/>
        <w:gridCol w:w="248"/>
        <w:gridCol w:w="972"/>
        <w:gridCol w:w="128"/>
        <w:gridCol w:w="109"/>
        <w:gridCol w:w="109"/>
        <w:gridCol w:w="109"/>
        <w:gridCol w:w="211"/>
        <w:gridCol w:w="826"/>
        <w:gridCol w:w="154"/>
      </w:tblGrid>
      <w:tr>
        <w:trPr/>
        <w:tc>
          <w:tcPr>
            <w:tcW w:w="58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518" w:type="dxa"/>
            <w:gridSpan w:val="6"/>
            <w:tcBorders/>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257,844 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Asia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339,380 </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321,394 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26e356724704c8e9c10f18f6c8e56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Management’s Discussion and Analysis of Financial Condition and Results of Operations (“MD&amp;A”) should be read in conjunction with both our interim condensed consolidated financial statements and notes thereto which appear elsewhere in this Quarterly Report on Form 10-Q and our annual consolidated financial statements, notes thereto and the MD&amp;A contained in our Annual Report on Form 10-K for the fiscal year ended March 28, 2026. The following discussion may contain forward-looking statements and should be read in conjunction with the “Cautionary Statement Regarding Forward-Looking Information” in this discussion. When used in this report, the terms “we,” “us,” “our,” “Haemonetics” and the “Company” mean Haemonetics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Introduction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Haemonetics is a global medical technology company dedicated to improving the quality, effectiveness and efficiency of health care. Our innovative solutions addressing critical medical needs include a suite of hospital technologies designed to advance standards of care and help enhance outcomes for patients; end-to-end plasma collection technologies to optimize operations for plasma centers; and products to enable blood centers to collect in-demand blood components.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view our operations and manage our business in two reporting segments: Apheresis and MedSurg. For that purpose, “Apheresis” includes plasma collection devices and disposables for plasma, red cells and platelets, donor management software and supporting software solutions sold to plasma customers, blood collection and processing devices. “MedSurg” is comprised of Interventional Technologies, which includes Vascular Closure, Sensor-Guided Technologies and Esophageal Protection product lines, and Blood Management Technologies, which includes Hemostasis Management, Cell Salvage and Transfusion Management product lines.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Segment Organization Realignment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June 5, 2026, we implemented an organizational realignment designed to align our commercial operations into two global reportable segments by combining the previously reported Plasma and Blood Center reportable segments into Apheresis and renaming the Hospital reportable segment to MedSurg. This organizational structure reflects how the Company is organized to manage operations, allocate resources and evaluate performance.</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Revolving Credit Facility Repayment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settlement of the convertible senior notes due in 2026, we borrowed $300.0 million under our revolving credit facility pursuant to our second amended and restated credit agreement. During the first quarter of fiscal 2027, we repaid $50.0 million of the outstanding amount under the revolving credit facility. As of June 27, 2026, $250.0 million remained outstanding under the revolving credit facility. During the second quarter of fiscal 2027, we repaid an additional $50.0 million on the revolving credit facility.</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726e356724704c8e9c10f18f6c8e56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Financial Summary</w:t>
      </w:r>
    </w:p>
    <w:tbl>
      <w:tblPr>
        <w:tblW w:w="10205" w:type="dxa"/>
        <w:jc w:val="left"/>
        <w:tblInd w:w="0" w:type="dxa"/>
        <w:tblLayout w:type="fixed"/>
        <w:tblCellMar>
          <w:top w:w="28" w:type="dxa"/>
          <w:left w:w="28" w:type="dxa"/>
          <w:bottom w:w="28" w:type="dxa"/>
          <w:right w:w="28" w:type="dxa"/>
        </w:tblCellMar>
      </w:tblPr>
      <w:tblGrid>
        <w:gridCol w:w="1184"/>
        <w:gridCol w:w="1029"/>
        <w:gridCol w:w="1036"/>
        <w:gridCol w:w="109"/>
        <w:gridCol w:w="109"/>
        <w:gridCol w:w="504"/>
        <w:gridCol w:w="504"/>
        <w:gridCol w:w="505"/>
        <w:gridCol w:w="109"/>
        <w:gridCol w:w="246"/>
        <w:gridCol w:w="966"/>
        <w:gridCol w:w="316"/>
        <w:gridCol w:w="127"/>
        <w:gridCol w:w="127"/>
        <w:gridCol w:w="127"/>
        <w:gridCol w:w="246"/>
        <w:gridCol w:w="966"/>
        <w:gridCol w:w="316"/>
        <w:gridCol w:w="109"/>
        <w:gridCol w:w="109"/>
        <w:gridCol w:w="109"/>
        <w:gridCol w:w="280"/>
        <w:gridCol w:w="275"/>
        <w:gridCol w:w="797"/>
      </w:tblGrid>
      <w:tr>
        <w:trPr/>
        <w:tc>
          <w:tcPr>
            <w:tcW w:w="118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3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8" w:type="dxa"/>
            <w:gridSpan w:val="12"/>
            <w:tcBorders/>
          </w:tcPr>
          <w:p>
            <w:pPr>
              <w:pStyle w:val="TableContents"/>
              <w:bidi w:val="0"/>
              <w:spacing w:before="0" w:after="283"/>
              <w:jc w:val="left"/>
              <w:rPr>
                <w:sz w:val="4"/>
                <w:szCs w:val="4"/>
              </w:rPr>
            </w:pPr>
            <w:r>
              <w:rPr>
                <w:sz w:val="4"/>
                <w:szCs w:val="4"/>
              </w:rPr>
            </w:r>
          </w:p>
        </w:tc>
      </w:tr>
      <w:tr>
        <w:trPr/>
        <w:tc>
          <w:tcPr>
            <w:tcW w:w="3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change</w:t>
            </w:r>
          </w:p>
        </w:tc>
      </w:tr>
      <w:tr>
        <w:trPr/>
        <w:tc>
          <w:tcPr>
            <w:tcW w:w="3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339,380 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321,394 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5.6 </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202,803 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192,244 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5.5 </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59.8 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59.8 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145,345 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138,372 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5.0 </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57,458 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6.7 </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13.6 </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45,169 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5.3 </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30.8 </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pre-tax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30.6 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24.7 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(3.0)</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2.8 </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2.9 </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revenues increased 5.6% during the three months ended June 27, 2026 as compared with the same period of fiscal 2026. This was primarily attributable to revenue increases in Apheresis, driven by volume growth and share gains within the Plasma franchise, and revenue increases in MedSurg, driven by share gains in the Hemostasis Management and Transfusion Management product lines within the Blood Management Technologies franchise.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Operating income increased 6.7% during the three months ended June 27, 2026 as compared with the same period of fiscal 2026. The increase during the three months ended June 27, 2026 was primarily due to favorable product mix across all business units, as well as decreased amortization of fair value inventory step-up related to the acquisition of Advanced Cooling Therapy, Inc., d/b/a Attune Medical (“Attune Medical”).</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Management’s Use of Non-GAAP Measures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Management uses non-GAAP financial measures, in addition to financial measures in accordance with accounting principles generally accepted in the United States of America (“U.S. GAAP”), to monitor the financial performance of the business, make informed business decisions, establish budgets and forecast future results. These non-GAAP financial measures should be considered supplemental to, and not a substitute for, our reported financial results prepared in accordance with U.S. GAAP. Constant currency growth, a non-GAAP financial measure, measures the change in revenue between the current and prior year periods using a constant currency conversion rate. We have provided this non-GAAP financial measure because we believe it provides meaningful information regarding our results on a consistent and comparable basis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726e356724704c8e9c10f18f6c8e56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Net Revenues by Geography</w:t>
      </w:r>
    </w:p>
    <w:tbl>
      <w:tblPr>
        <w:tblW w:w="9702" w:type="dxa"/>
        <w:jc w:val="left"/>
        <w:tblInd w:w="0" w:type="dxa"/>
        <w:tblLayout w:type="fixed"/>
        <w:tblCellMar>
          <w:top w:w="28" w:type="dxa"/>
          <w:left w:w="28" w:type="dxa"/>
          <w:bottom w:w="28" w:type="dxa"/>
          <w:right w:w="28" w:type="dxa"/>
        </w:tblCellMar>
      </w:tblPr>
      <w:tblGrid>
        <w:gridCol w:w="435"/>
        <w:gridCol w:w="381"/>
        <w:gridCol w:w="383"/>
        <w:gridCol w:w="211"/>
        <w:gridCol w:w="826"/>
        <w:gridCol w:w="109"/>
        <w:gridCol w:w="109"/>
        <w:gridCol w:w="109"/>
        <w:gridCol w:w="109"/>
        <w:gridCol w:w="211"/>
        <w:gridCol w:w="826"/>
        <w:gridCol w:w="109"/>
        <w:gridCol w:w="109"/>
        <w:gridCol w:w="109"/>
        <w:gridCol w:w="109"/>
        <w:gridCol w:w="297"/>
        <w:gridCol w:w="297"/>
        <w:gridCol w:w="740"/>
        <w:gridCol w:w="109"/>
        <w:gridCol w:w="109"/>
        <w:gridCol w:w="109"/>
        <w:gridCol w:w="297"/>
        <w:gridCol w:w="297"/>
        <w:gridCol w:w="741"/>
        <w:gridCol w:w="109"/>
        <w:gridCol w:w="109"/>
        <w:gridCol w:w="109"/>
        <w:gridCol w:w="454"/>
        <w:gridCol w:w="454"/>
        <w:gridCol w:w="1326"/>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357" w:type="dxa"/>
            <w:gridSpan w:val="24"/>
            <w:tcBorders/>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2561" w:type="dxa"/>
            <w:gridSpan w:val="6"/>
            <w:tcBorders/>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Currency 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Constant currency change</w:t>
            </w:r>
            <w:r>
              <w:rPr>
                <w:color w:val="000000"/>
              </w:rPr>
              <w:t xml:space="preserve"> </w:t>
            </w:r>
            <w:r>
              <w:rPr>
                <w:rFonts w:ascii="Times New Roman;serif" w:hAnsi="Times New Roman;serif"/>
                <w:b/>
                <w:color w:val="000000"/>
                <w:sz w:val="10"/>
              </w:rPr>
              <w:t>(1)</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180"/>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16"/>
        </w:rPr>
        <w:t>Constant currency growth, a non-GAAP financial measure, measures the change in revenue between the current and prior year periods using a constant currency. See “Management’s Use of Non-GAAP Measures.”</w:t>
      </w:r>
    </w:p>
    <w:p>
      <w:pPr>
        <w:pStyle w:val="TextBody"/>
        <w:bidi w:val="0"/>
        <w:spacing w:lineRule="auto" w:line="288" w:before="0" w:after="180"/>
        <w:jc w:val="both"/>
        <w:rPr/>
      </w:pPr>
      <w:r>
        <w:rPr>
          <w:rFonts w:ascii="Times New Roman;serif" w:hAnsi="Times New Roman;serif"/>
          <w:b w:val="false"/>
          <w:color w:val="000000"/>
          <w:sz w:val="20"/>
          <w:shd w:fill="FFFFFF" w:val="clear"/>
        </w:rPr>
        <w:t>Our principal operations are in the United St</w:t>
      </w:r>
      <w:r>
        <w:rPr>
          <w:rFonts w:ascii="Times New Roman;serif" w:hAnsi="Times New Roman;serif"/>
          <w:b w:val="false"/>
          <w:color w:val="000000"/>
          <w:sz w:val="20"/>
        </w:rPr>
        <w:t xml:space="preserve">ates, Europe, Japan and other parts of Asia. We market and sell our products in approximately 90 countries through a combination of our direct sales force and independent distributors. During the three months ended June 27, 2026, our revenue generated outside the U.S. was 24.0% of total net revenues, as compared with 24.6% during the three months ended June 28, 2025. International sales are generally conducted in local currencies, primarily Japanese Yen, Euro and Chinese Yuan. Our results of operations are impacted by changes in foreign exchange rates, particularly in the value of the Yen, Euro and Yuan, relative to the U.S. Dollar. </w:t>
      </w:r>
      <w:r>
        <w:rPr>
          <w:rFonts w:ascii="Times New Roman;serif" w:hAnsi="Times New Roman;serif"/>
          <w:b w:val="false"/>
          <w:color w:val="000000"/>
          <w:sz w:val="20"/>
          <w:shd w:fill="FFFFFF" w:val="clear"/>
        </w:rPr>
        <w:t>We have placed foreign currency hedges on certain foreign currencies to mitigate our exposure to foreign currency fluctuations.</w:t>
      </w:r>
    </w:p>
    <w:p>
      <w:pPr>
        <w:pStyle w:val="TextBody"/>
        <w:bidi w:val="0"/>
        <w:spacing w:lineRule="auto" w:line="288" w:before="0" w:after="180"/>
        <w:jc w:val="both"/>
        <w:rPr/>
      </w:pPr>
      <w:r>
        <w:rPr>
          <w:rFonts w:ascii="Times New Roman;serif" w:hAnsi="Times New Roman;serif"/>
          <w:b w:val="false"/>
          <w:color w:val="000000"/>
          <w:sz w:val="20"/>
          <w:shd w:fill="FFFFFF" w:val="clear"/>
        </w:rPr>
        <w:t>Please see the section entitled “</w:t>
      </w:r>
      <w:r>
        <w:rPr>
          <w:rFonts w:ascii="Times New Roman;serif" w:hAnsi="Times New Roman;serif"/>
          <w:b w:val="false"/>
          <w:i/>
          <w:color w:val="000000"/>
          <w:sz w:val="20"/>
          <w:shd w:fill="FFFFFF" w:val="clear"/>
        </w:rPr>
        <w:t>Foreign Exchange</w:t>
      </w:r>
      <w:r>
        <w:rPr>
          <w:color w:val="000000"/>
          <w:shd w:fill="FFFFFF" w:val="clear"/>
        </w:rPr>
        <w:t xml:space="preserve">” </w:t>
      </w:r>
      <w:r>
        <w:rPr>
          <w:rFonts w:ascii="Times New Roman;serif" w:hAnsi="Times New Roman;serif"/>
          <w:b w:val="false"/>
          <w:color w:val="000000"/>
          <w:sz w:val="20"/>
          <w:shd w:fill="FFFFFF" w:val="clear"/>
        </w:rPr>
        <w:t>in this discussion for a more complete explanation of how foreign currency affects our business and our strategy for managing this exposure.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Net Revenues by Business Unit</w:t>
      </w:r>
    </w:p>
    <w:tbl>
      <w:tblPr>
        <w:tblW w:w="10205" w:type="dxa"/>
        <w:jc w:val="left"/>
        <w:tblInd w:w="0" w:type="dxa"/>
        <w:tblLayout w:type="fixed"/>
        <w:tblCellMar>
          <w:top w:w="28" w:type="dxa"/>
          <w:left w:w="28" w:type="dxa"/>
          <w:bottom w:w="28" w:type="dxa"/>
          <w:right w:w="28" w:type="dxa"/>
        </w:tblCellMar>
      </w:tblPr>
      <w:tblGrid>
        <w:gridCol w:w="965"/>
        <w:gridCol w:w="756"/>
        <w:gridCol w:w="760"/>
        <w:gridCol w:w="211"/>
        <w:gridCol w:w="826"/>
        <w:gridCol w:w="109"/>
        <w:gridCol w:w="109"/>
        <w:gridCol w:w="109"/>
        <w:gridCol w:w="109"/>
        <w:gridCol w:w="211"/>
        <w:gridCol w:w="826"/>
        <w:gridCol w:w="109"/>
        <w:gridCol w:w="109"/>
        <w:gridCol w:w="109"/>
        <w:gridCol w:w="109"/>
        <w:gridCol w:w="280"/>
        <w:gridCol w:w="257"/>
        <w:gridCol w:w="640"/>
        <w:gridCol w:w="109"/>
        <w:gridCol w:w="109"/>
        <w:gridCol w:w="109"/>
        <w:gridCol w:w="279"/>
        <w:gridCol w:w="258"/>
        <w:gridCol w:w="644"/>
        <w:gridCol w:w="109"/>
        <w:gridCol w:w="109"/>
        <w:gridCol w:w="109"/>
        <w:gridCol w:w="381"/>
        <w:gridCol w:w="352"/>
        <w:gridCol w:w="1033"/>
      </w:tblGrid>
      <w:tr>
        <w:trPr/>
        <w:tc>
          <w:tcPr>
            <w:tcW w:w="96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578" w:type="dxa"/>
            <w:gridSpan w:val="24"/>
            <w:tcBorders/>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2093" w:type="dxa"/>
            <w:gridSpan w:val="6"/>
            <w:tcBorders/>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Currency 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Constant currency change</w:t>
            </w:r>
            <w:r>
              <w:rPr>
                <w:rFonts w:ascii="Times New Roman;serif" w:hAnsi="Times New Roman;serif"/>
                <w:b/>
                <w:color w:val="000000"/>
                <w:sz w:val="10"/>
              </w:rPr>
              <w:t>(1)</w:t>
            </w:r>
          </w:p>
        </w:tc>
      </w:tr>
      <w:tr>
        <w:trPr/>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Apheresis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Plasma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Apheresis net revenues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MedSurg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Interventional Technologies</w:t>
            </w:r>
            <w:r>
              <w:rPr>
                <w:rFonts w:ascii="Times New Roman;serif" w:hAnsi="Times New Roman;serif"/>
                <w:b w:val="false"/>
                <w:color w:val="000000"/>
                <w:sz w:val="13"/>
              </w:rPr>
              <w:t>(3)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Blood Management Technologies</w:t>
            </w:r>
            <w:r>
              <w:rPr>
                <w:rFonts w:ascii="Times New Roman;serif" w:hAnsi="Times New Roman;serif"/>
                <w:b w:val="false"/>
                <w:color w:val="000000"/>
                <w:sz w:val="13"/>
              </w:rPr>
              <w:t>(4)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MedSurg net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60"/>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16"/>
        </w:rPr>
        <w:t>Constant currency growth, a non-GAAP financial measure, measures the change in revenue between the current and prior year periods using a constant currency. See “Management’s Use of Non-GAAP Measures.”</w:t>
      </w:r>
    </w:p>
    <w:p>
      <w:pPr>
        <w:pStyle w:val="TextBody"/>
        <w:bidi w:val="0"/>
        <w:spacing w:lineRule="auto" w:line="288" w:before="0" w:after="60"/>
        <w:ind w:left="0" w:right="0" w:hanging="360"/>
        <w:jc w:val="both"/>
        <w:rPr/>
      </w:pPr>
      <w:r>
        <w:rPr>
          <w:rFonts w:ascii="Times New Roman;serif" w:hAnsi="Times New Roman;serif"/>
          <w:b w:val="false"/>
          <w:color w:val="000000"/>
          <w:sz w:val="13"/>
        </w:rPr>
        <w:t>(2)    </w:t>
      </w:r>
      <w:r>
        <w:rPr>
          <w:rFonts w:ascii="Times New Roman;serif" w:hAnsi="Times New Roman;serif"/>
          <w:b w:val="false"/>
          <w:color w:val="000000"/>
          <w:sz w:val="16"/>
        </w:rPr>
        <w:t>Other includes blood collection and processing devices and disposables.</w:t>
      </w:r>
    </w:p>
    <w:p>
      <w:pPr>
        <w:pStyle w:val="TextBody"/>
        <w:bidi w:val="0"/>
        <w:spacing w:lineRule="auto" w:line="288" w:before="0" w:after="60"/>
        <w:ind w:left="0" w:right="0" w:hanging="360"/>
        <w:jc w:val="both"/>
        <w:rPr/>
      </w:pPr>
      <w:r>
        <w:rPr>
          <w:rFonts w:ascii="Times New Roman;serif" w:hAnsi="Times New Roman;serif"/>
          <w:b w:val="false"/>
          <w:color w:val="000000"/>
          <w:sz w:val="13"/>
        </w:rPr>
        <w:t>(3)    </w:t>
      </w:r>
      <w:r>
        <w:rPr>
          <w:rFonts w:ascii="Times New Roman;serif" w:hAnsi="Times New Roman;serif"/>
          <w:b w:val="false"/>
          <w:color w:val="000000"/>
          <w:sz w:val="16"/>
        </w:rPr>
        <w:t>Interventional Technologies includes Vascular Closure, Sensor Guided Technologies and Esophageal Protection product lines of the MedSurg business unit.</w:t>
      </w:r>
    </w:p>
    <w:p>
      <w:pPr>
        <w:pStyle w:val="TextBody"/>
        <w:bidi w:val="0"/>
        <w:spacing w:lineRule="auto" w:line="288" w:before="0" w:after="60"/>
        <w:ind w:left="0" w:right="0" w:hanging="360"/>
        <w:jc w:val="both"/>
        <w:rPr/>
      </w:pPr>
      <w:r>
        <w:rPr>
          <w:rFonts w:ascii="Times New Roman;serif" w:hAnsi="Times New Roman;serif"/>
          <w:b w:val="false"/>
          <w:color w:val="000000"/>
          <w:sz w:val="13"/>
        </w:rPr>
        <w:t>(4)    </w:t>
      </w:r>
      <w:r>
        <w:rPr>
          <w:rFonts w:ascii="Times New Roman;serif" w:hAnsi="Times New Roman;serif"/>
          <w:b w:val="false"/>
          <w:color w:val="000000"/>
          <w:sz w:val="16"/>
        </w:rPr>
        <w:t>Blood Management Technologies includes Hemostasis Management, Cell Salvage and Transfusion Management product lines of the MedSurg business unit.</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Apheresis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Apheresis revenue increased by 5.3% on an as reported basis and by 5.1% without the effect of foreign exchange during the three months ended June 27, 2026, as compared with the same period of fiscal 2026. The increase was primarily driven by volume growth and share gains within the Plasma franchise.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726e356724704c8e9c10f18f6c8e56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MedSurg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MedSurg revenue increased by 6.0% on an as reported basis and by 5.9% without the effect of foreign exchange during the three months ended June 27, 2026, as compared with the same period of fiscal 2026. The increase was driven by higher market expansion in the Vascular Closure product line within the Interventional Technologies franchise, and by increased volume and share gains in the Hemostasis Management product line within the Blood Management Technologies franchise.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Gross Profit</w:t>
      </w:r>
    </w:p>
    <w:tbl>
      <w:tblPr>
        <w:tblW w:w="10205" w:type="dxa"/>
        <w:jc w:val="left"/>
        <w:tblInd w:w="0" w:type="dxa"/>
        <w:tblLayout w:type="fixed"/>
        <w:tblCellMar>
          <w:top w:w="28" w:type="dxa"/>
          <w:left w:w="28" w:type="dxa"/>
          <w:bottom w:w="28" w:type="dxa"/>
          <w:right w:w="28" w:type="dxa"/>
        </w:tblCellMar>
      </w:tblPr>
      <w:tblGrid>
        <w:gridCol w:w="558"/>
        <w:gridCol w:w="484"/>
        <w:gridCol w:w="487"/>
        <w:gridCol w:w="211"/>
        <w:gridCol w:w="826"/>
        <w:gridCol w:w="271"/>
        <w:gridCol w:w="109"/>
        <w:gridCol w:w="109"/>
        <w:gridCol w:w="109"/>
        <w:gridCol w:w="211"/>
        <w:gridCol w:w="826"/>
        <w:gridCol w:w="271"/>
        <w:gridCol w:w="109"/>
        <w:gridCol w:w="109"/>
        <w:gridCol w:w="109"/>
        <w:gridCol w:w="294"/>
        <w:gridCol w:w="291"/>
        <w:gridCol w:w="727"/>
        <w:gridCol w:w="109"/>
        <w:gridCol w:w="109"/>
        <w:gridCol w:w="109"/>
        <w:gridCol w:w="294"/>
        <w:gridCol w:w="292"/>
        <w:gridCol w:w="728"/>
        <w:gridCol w:w="109"/>
        <w:gridCol w:w="109"/>
        <w:gridCol w:w="109"/>
        <w:gridCol w:w="433"/>
        <w:gridCol w:w="430"/>
        <w:gridCol w:w="1263"/>
      </w:tblGrid>
      <w:tr>
        <w:trPr/>
        <w:tc>
          <w:tcPr>
            <w:tcW w:w="55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Currency 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Constant currency change</w:t>
            </w:r>
            <w:r>
              <w:rPr>
                <w:rFonts w:ascii="Times New Roman;serif" w:hAnsi="Times New Roman;serif"/>
                <w:b/>
                <w:color w:val="000000"/>
                <w:sz w:val="10"/>
              </w:rPr>
              <w:t>(1)</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6"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7368" w:type="dxa"/>
            <w:gridSpan w:val="24"/>
            <w:tcBorders/>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6"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6"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2453" w:type="dxa"/>
            <w:gridSpan w:val="6"/>
            <w:tcBorders/>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6"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180"/>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16"/>
        </w:rPr>
        <w:t>Constant currency growth, a non-GAAP financial measure, measures the change in revenue between the current and prior year periods using a constant currency. See “Management’s Use of Non-GAAP Measures.”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Gross profit increased by 5.5% on an as reported basis and by 5.5% without the effect of foreign exchange during the three months ended June 27, 2026, as compared with the same period of fiscal 2026. The increase was driven primarily by the continued transformation of the product portfolio to higher margin offerings, benefits from product innovation, and the absence of amortization of fair value inventory step-up related to the Attune Medical acquisition.</w:t>
      </w:r>
    </w:p>
    <w:p>
      <w:pPr>
        <w:pStyle w:val="TextBody"/>
        <w:bidi w:val="0"/>
        <w:spacing w:lineRule="auto" w:line="288"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Operating Expenses</w:t>
      </w:r>
    </w:p>
    <w:tbl>
      <w:tblPr>
        <w:tblW w:w="10205" w:type="dxa"/>
        <w:jc w:val="left"/>
        <w:tblInd w:w="0" w:type="dxa"/>
        <w:tblLayout w:type="fixed"/>
        <w:tblCellMar>
          <w:top w:w="28" w:type="dxa"/>
          <w:left w:w="28" w:type="dxa"/>
          <w:bottom w:w="28" w:type="dxa"/>
          <w:right w:w="28" w:type="dxa"/>
        </w:tblCellMar>
      </w:tblPr>
      <w:tblGrid>
        <w:gridCol w:w="917"/>
        <w:gridCol w:w="758"/>
        <w:gridCol w:w="762"/>
        <w:gridCol w:w="211"/>
        <w:gridCol w:w="826"/>
        <w:gridCol w:w="271"/>
        <w:gridCol w:w="109"/>
        <w:gridCol w:w="109"/>
        <w:gridCol w:w="109"/>
        <w:gridCol w:w="211"/>
        <w:gridCol w:w="826"/>
        <w:gridCol w:w="271"/>
        <w:gridCol w:w="109"/>
        <w:gridCol w:w="109"/>
        <w:gridCol w:w="109"/>
        <w:gridCol w:w="297"/>
        <w:gridCol w:w="263"/>
        <w:gridCol w:w="588"/>
        <w:gridCol w:w="109"/>
        <w:gridCol w:w="109"/>
        <w:gridCol w:w="109"/>
        <w:gridCol w:w="263"/>
        <w:gridCol w:w="237"/>
        <w:gridCol w:w="593"/>
        <w:gridCol w:w="109"/>
        <w:gridCol w:w="109"/>
        <w:gridCol w:w="109"/>
        <w:gridCol w:w="402"/>
        <w:gridCol w:w="305"/>
        <w:gridCol w:w="896"/>
      </w:tblGrid>
      <w:tr>
        <w:trPr/>
        <w:tc>
          <w:tcPr>
            <w:tcW w:w="91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r>
      <w:tr>
        <w:trPr/>
        <w:tc>
          <w:tcPr>
            <w:tcW w:w="2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Currency 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Constant currency change</w:t>
            </w:r>
            <w:r>
              <w:rPr>
                <w:rFonts w:ascii="Times New Roman;serif" w:hAnsi="Times New Roman;serif"/>
                <w:b/>
                <w:color w:val="000000"/>
                <w:sz w:val="10"/>
              </w:rPr>
              <w:t>(1)</w:t>
            </w:r>
          </w:p>
        </w:tc>
      </w:tr>
      <w:tr>
        <w:trPr/>
        <w:tc>
          <w:tcPr>
            <w:tcW w:w="2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243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243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243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243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6460" w:type="dxa"/>
            <w:gridSpan w:val="24"/>
            <w:tcBorders/>
          </w:tcPr>
          <w:p>
            <w:pPr>
              <w:pStyle w:val="TableContents"/>
              <w:bidi w:val="0"/>
              <w:spacing w:before="0" w:after="283"/>
              <w:jc w:val="left"/>
              <w:rPr>
                <w:sz w:val="4"/>
                <w:szCs w:val="4"/>
              </w:rPr>
            </w:pPr>
            <w:r>
              <w:rPr>
                <w:sz w:val="4"/>
                <w:szCs w:val="4"/>
              </w:rPr>
            </w:r>
          </w:p>
        </w:tc>
      </w:tr>
      <w:tr>
        <w:trPr/>
        <w:tc>
          <w:tcPr>
            <w:tcW w:w="243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243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243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930" w:type="dxa"/>
            <w:gridSpan w:val="6"/>
            <w:tcBorders/>
          </w:tcPr>
          <w:p>
            <w:pPr>
              <w:pStyle w:val="TableContents"/>
              <w:bidi w:val="0"/>
              <w:spacing w:before="0" w:after="283"/>
              <w:jc w:val="left"/>
              <w:rPr>
                <w:sz w:val="4"/>
                <w:szCs w:val="4"/>
              </w:rPr>
            </w:pPr>
            <w:r>
              <w:rPr>
                <w:sz w:val="4"/>
                <w:szCs w:val="4"/>
              </w:rPr>
            </w:r>
          </w:p>
        </w:tc>
      </w:tr>
      <w:tr>
        <w:trPr/>
        <w:tc>
          <w:tcPr>
            <w:tcW w:w="243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243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243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243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243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243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243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243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243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243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243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243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180"/>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16"/>
        </w:rPr>
        <w:t>Constant currency change, a non-GAAP financial measure, measures the change in revenue between the current and prior year periods using a constant currency. See “Management’s Use of Non-GAAP Measures.”</w:t>
      </w:r>
    </w:p>
    <w:p>
      <w:pPr>
        <w:pStyle w:val="TextBody"/>
        <w:bidi w:val="0"/>
        <w:spacing w:lineRule="auto" w:line="288" w:before="0" w:after="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Research and Development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decreased by 0.4% on an as reported basis and decreased by 0.8% without the effect of foreign exchange during the three months ended June 27, 2026, as compared with the same period of fiscal 2026. The decrease was primarily due to higher performance-based compensation in the prior year.</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Selling, General and Administrative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SG&amp;A expenses increased by 7.4% on an as reported basis and increased by 6.6% without the effect of foreign exchange during the three months ended June 27, 2026, as compared with the same period of fiscal 2026. The increase was primarily due to higher personnel-related costs and freight charges.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726e356724704c8e9c10f18f6c8e56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Amortization of Acquired Intangible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recognized amortization expense related to our acquired intangible assets of $10.2 million during the three months ended June 27, 2026, as compared with $11.4 million during the three months ended June 28, 2025. The decrease was primarily due to certain intangible assets becoming fully amortized or being impaired during fiscal 2026.</w:t>
      </w:r>
    </w:p>
    <w:p>
      <w:pPr>
        <w:pStyle w:val="TextBody"/>
        <w:bidi w:val="0"/>
        <w:spacing w:lineRule="auto" w:line="288"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Interest and Other Expense, Net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Interest and other expense, net increased by $1.2 million during the three months ended June 27, 2026, as compared with the same period of fiscal 2026. The increase was primarily due to increase interest expense resulting from the borrowing of the revolving credit facility, partially offset by additional gains recognized on the previously held equity interest in Vivasure Medical Limited (“Vivasure”).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conduct business globally and report our results of operations in a number of foreign jurisdictions in addition to the United States. Our reported tax rate differs from the statutory tax rate due to the jurisdictional mix of earnings in any given period as the foreign jurisdictions in which we operate have tax rates that differ from the U.S. statutory tax rate. Our effective tax rate is adversely impacted by non-deductible expenses including executive compensation and is favorably impacted by the jurisdictional mix of earnings and research credits generated.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27, 2026, we reported income tax expense of $14.6 million, representing an effective tax rate of 30.6%. The effective tax rate for the three months ended June 27, 2026 includes $1.7 million of discrete tax expense, primarily related to stock compensation shortfalls and valuation allowance impacts related to losses in certain recently acquired jurisdictions.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28, 2025, we reported income tax expense of $11.1 million, representing an effective tax rate of 24.7%. The effective tax rate for the three months ended June 28, 2025 includes $0.1 million of discrete tax expense, primarily related to stock compensation shortfalls.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increase in the reported tax rate for the three months ended June 27, 2026, compared to the same period in fiscal 2026, relates primarily to the increase in net stock compensation shortfalls and the impact of losses incurred in certain jurisdictions for which no tax benefit was recognized.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Liquidity and Capital Resources</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Resources</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contains certain key performance indicators we believe depict our liquidity and cash flow position:</w:t>
      </w:r>
    </w:p>
    <w:tbl>
      <w:tblPr>
        <w:tblW w:w="6736" w:type="dxa"/>
        <w:jc w:val="left"/>
        <w:tblInd w:w="0" w:type="dxa"/>
        <w:tblLayout w:type="fixed"/>
        <w:tblCellMar>
          <w:top w:w="28" w:type="dxa"/>
          <w:left w:w="28" w:type="dxa"/>
          <w:bottom w:w="28" w:type="dxa"/>
          <w:right w:w="28" w:type="dxa"/>
        </w:tblCellMar>
      </w:tblPr>
      <w:tblGrid>
        <w:gridCol w:w="1407"/>
        <w:gridCol w:w="1235"/>
        <w:gridCol w:w="1242"/>
        <w:gridCol w:w="211"/>
        <w:gridCol w:w="901"/>
        <w:gridCol w:w="109"/>
        <w:gridCol w:w="109"/>
        <w:gridCol w:w="109"/>
        <w:gridCol w:w="109"/>
        <w:gridCol w:w="217"/>
        <w:gridCol w:w="929"/>
        <w:gridCol w:w="158"/>
      </w:tblGrid>
      <w:tr>
        <w:trPr/>
        <w:tc>
          <w:tcPr>
            <w:tcW w:w="140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Availability under revolving credit facilities</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448,697 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552,280 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ratio</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debt position</w:t>
            </w:r>
            <w:r>
              <w:rPr>
                <w:rFonts w:ascii="Times New Roman;serif" w:hAnsi="Times New Roman;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(979,140)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Days sales outstanding</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turnover</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60"/>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16"/>
        </w:rPr>
        <w:t>Availability under our revolving credit facilities is reduced by borrowings on the revolving credit facilities of $250.0 million as of June 27, 2026 and by eligible outstanding letters of credit allowable of $1.3 million as of June 27, 2026 and March 28, 2026, respectively.</w:t>
      </w:r>
    </w:p>
    <w:p>
      <w:pPr>
        <w:pStyle w:val="TextBody"/>
        <w:bidi w:val="0"/>
        <w:spacing w:lineRule="auto" w:line="288" w:before="0" w:after="180"/>
        <w:ind w:left="0" w:right="0" w:hanging="360"/>
        <w:jc w:val="both"/>
        <w:rPr/>
      </w:pPr>
      <w:r>
        <w:rPr>
          <w:rFonts w:ascii="Times New Roman;serif" w:hAnsi="Times New Roman;serif"/>
          <w:b w:val="false"/>
          <w:color w:val="000000"/>
          <w:sz w:val="13"/>
        </w:rPr>
        <w:t>(2)    </w:t>
      </w:r>
      <w:r>
        <w:rPr>
          <w:rFonts w:ascii="Times New Roman;serif" w:hAnsi="Times New Roman;serif"/>
          <w:b w:val="false"/>
          <w:color w:val="000000"/>
          <w:sz w:val="16"/>
        </w:rPr>
        <w:t>Net debt position is the sum of cash and cash equivalents less total debt.</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Our primary sources of liquidity are cash and cash equivalents, internally generated cash flow from operations and our senior unsecured revolving credit facility. We believe these sources are sufficient to fund our cash requirements over at least the next twelve months and to meet our known long-term cash requirements, including our </w:t>
      </w:r>
      <w:r>
        <w:rPr>
          <w:rFonts w:ascii="Times New Roman;serif" w:hAnsi="Times New Roman;serif"/>
          <w:b w:val="false"/>
          <w:color w:val="000000"/>
          <w:sz w:val="20"/>
        </w:rPr>
        <w:t>2.5%</w:t>
      </w:r>
      <w:r>
        <w:rPr>
          <w:color w:val="000000"/>
          <w:shd w:fill="FFFFFF" w:val="clear"/>
        </w:rPr>
        <w:t xml:space="preserve"> </w:t>
      </w:r>
      <w:r>
        <w:rPr>
          <w:rFonts w:ascii="Times New Roman;serif" w:hAnsi="Times New Roman;serif"/>
          <w:b w:val="false"/>
          <w:color w:val="000000"/>
          <w:sz w:val="20"/>
          <w:shd w:fill="FFFFFF" w:val="clear"/>
        </w:rPr>
        <w:t xml:space="preserve">convertible senior notes due in 2029 (the “2029 Notes”), and our </w:t>
      </w:r>
      <w:r>
        <w:rPr>
          <w:rFonts w:ascii="Times New Roman;serif" w:hAnsi="Times New Roman;serif"/>
          <w:b w:val="false"/>
          <w:color w:val="000000"/>
          <w:sz w:val="20"/>
        </w:rPr>
        <w:t>senior unsecured term loan</w:t>
      </w:r>
      <w:r>
        <w:rPr>
          <w:rFonts w:ascii="Times New Roman;serif" w:hAnsi="Times New Roman;serif"/>
          <w:b w:val="false"/>
          <w:color w:val="000000"/>
          <w:sz w:val="20"/>
          <w:shd w:fill="FFFFFF" w:val="clear"/>
        </w:rPr>
        <w:t>. Our e</w:t>
      </w:r>
      <w:r>
        <w:rPr>
          <w:rFonts w:ascii="Times New Roman;serif" w:hAnsi="Times New Roman;serif"/>
          <w:b w:val="false"/>
          <w:color w:val="000000"/>
          <w:sz w:val="20"/>
        </w:rPr>
        <w:t>xpected cash outlays relate primarily to acquisitions, investments, capital expenditures, share repurchases, our ongoing market and regional alignment initiative, and payments of principal and interest under our credit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726e356724704c8e9c10f18f6c8e56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27, 2026, we had $223.4 million in cash and cash equivalents, the majority of which is held in the U.S. or in countries from which it can be repatriated to the U.S.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Convertible Senior Notes</w:t>
      </w:r>
    </w:p>
    <w:p>
      <w:pPr>
        <w:pStyle w:val="TextBody"/>
        <w:bidi w:val="0"/>
        <w:spacing w:lineRule="auto" w:line="288" w:before="0" w:after="180"/>
        <w:jc w:val="both"/>
        <w:rPr/>
      </w:pPr>
      <w:r>
        <w:rPr>
          <w:rFonts w:ascii="Times New Roman;serif" w:hAnsi="Times New Roman;serif"/>
          <w:b w:val="false"/>
          <w:color w:val="000000"/>
          <w:sz w:val="20"/>
        </w:rPr>
        <w:t xml:space="preserve">As of June 27, 2026, the $700.0 million principal balance of the 2029 Notes was netted down by $10.4 million of remaining debt issuance costs, resulting in a net convertible note payable of $689.6 million. The 2029 Notes will mature on June 1, 2029, unless earlier converted, redeemed or repurchased. As of June 27, 2026, the 2029 Notes were not convertible. Interest expense related to the 2029 Notes was $5.2 million for the three months ended June 27, 2026, which includes nominal interest expense and the amortization of the debt issuance costs. For further discussion on the 2029 Notes, refer to Note 12, </w:t>
      </w:r>
      <w:r>
        <w:rPr>
          <w:rFonts w:ascii="Times New Roman;serif" w:hAnsi="Times New Roman;serif"/>
          <w:b w:val="false"/>
          <w:i/>
          <w:color w:val="000000"/>
          <w:sz w:val="20"/>
        </w:rPr>
        <w:t>Notes Payable and Long-Term Debt</w:t>
      </w:r>
      <w:r>
        <w:rPr>
          <w:color w:val="000000"/>
        </w:rPr>
        <w:t xml:space="preserve"> </w:t>
      </w:r>
      <w:r>
        <w:rPr>
          <w:rFonts w:ascii="Times New Roman;serif" w:hAnsi="Times New Roman;serif"/>
          <w:b w:val="false"/>
          <w:color w:val="000000"/>
          <w:sz w:val="20"/>
        </w:rPr>
        <w:t>within these condensed consolidated financial statements.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Credit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April 30, 2024, the Company entered into a second amended and restated credit agreement with certain lenders to refinance its credit facilities initially entered into in 2022 and extended their maturity date through April 2029. The second amended and restated credit agreement provides for a $250.0 million senior unsecured term loan, and a $750.0 million senior unsecured revolving credit facility (together, the “2024 Revised Credit Facilities”). Loans under the 2024 Revised Credit Facilities bear interest at an annual rate equal to the Adjusted Term SOFR Rate (as specified in the second amended and restated credit agreement), which is subject to a floor of 0%, plus an applicable rate ranging from 1.125% to 1.750% based on the Company’s consolidated net leverage ratio (as specified in the second amended and restated credit agreement) at the applicable measurement date. The revolving credit facility carries an unused fee that ranges from 0.125% to 0.250% annually based on the Company’s consolidated net leverage ratio at the applicable measurement date. The 2024 Revised Credit Facilities mature on April 30, 2029. The principal amount of the term loan under the 2024 Revised Credit Facilities amortizes quarterly through the maturity date at a rate of 2.5% for the first three years following the closing date, 5.0% for the fourth year following the closing date and 7.5% for the fifth year following the closing date, with the unpaid balance due at maturity.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27, 2026, $237.5 million was outstanding under the term loan with an effective interest rate of 5.7%. In connection with the settlement of the convertible notes due in 2026, we borrowed $300.0 million under the revolving credit facility. In the first quarter of fiscal 2027, we repaid $50.0 million of the outstanding amount under the revolving credit facility, and as of June 27, 2026, $250.0 million remained outstanding under the revolving credit facility. During the second quarter of fiscal 2027, the Company repaid an additional $50.0 million on the revolving credit facility.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also had $17.5 million of uncommitted operating lines of credit to fund its global operations under which there were no outstanding borrowings as of June 27,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scheduled principal payments of $6.3 million required during the remainder of fiscal 2027 related to our term loan.</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2025 Share Repurchase Program</w:t>
      </w:r>
    </w:p>
    <w:p>
      <w:pPr>
        <w:pStyle w:val="TextBody"/>
        <w:bidi w:val="0"/>
        <w:spacing w:lineRule="auto" w:line="288" w:before="0" w:after="180"/>
        <w:jc w:val="both"/>
        <w:rPr/>
      </w:pPr>
      <w:r>
        <w:rPr>
          <w:rFonts w:ascii="Times New Roman;serif" w:hAnsi="Times New Roman;serif"/>
          <w:b w:val="false"/>
          <w:color w:val="000000"/>
          <w:sz w:val="20"/>
        </w:rPr>
        <w:t xml:space="preserve">In April 2025, our Board approved a new three-year share repurchase program authorizing the repurchase of up to </w:t>
      </w:r>
      <w:r>
        <w:rPr>
          <w:rFonts w:ascii="Times New Roman;serif" w:hAnsi="Times New Roman;serif"/>
          <w:b w:val="false"/>
          <w:color w:val="000000"/>
          <w:sz w:val="20"/>
          <w:shd w:fill="FFFFFF" w:val="clear"/>
        </w:rPr>
        <w:t>$500.0 million</w:t>
      </w:r>
      <w:r>
        <w:rPr>
          <w:color w:val="000000"/>
        </w:rPr>
        <w:t xml:space="preserve"> </w:t>
      </w:r>
      <w:r>
        <w:rPr>
          <w:rFonts w:ascii="Times New Roman;serif" w:hAnsi="Times New Roman;serif"/>
          <w:b w:val="false"/>
          <w:color w:val="000000"/>
          <w:sz w:val="20"/>
        </w:rPr>
        <w:t>of our common stock, based on market conditions, through April 2028. During fiscal 2026, the Company repurchased 3,009,834 shares for $175.0 million at an average price per share upon settlement of $58.14. As of June 27, 2026, the total remaining authorization for repurchases of our common stock under the share repurchase program was $325.0 million.</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Market and Regional Alignment Initiative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May 2025, our Board approved a new market and regional alignment initiative and delegated authority to management to determine the details of the specific actions that will comprise the initiative. This strategic initiative is designed to improve operational performance and reduce costs by directing our resources toward the markets and geographies that offer the greatest growth and portfolio advancement opportunities. During the three months ended June 27, 2026, we incurred restructuring and restructuring related costs of $2.3 million under this initiative. Total cumulative charges under the market and regional alignment initiative are $7.9 million as of June 27, 2026. The amounts and timing of estimated costs and savings are subject to change until finalized. The actual amounts and timing may vary materially based on various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726e356724704c8e9c10f18f6c8e56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Flows</w:t>
      </w:r>
    </w:p>
    <w:tbl>
      <w:tblPr>
        <w:tblW w:w="8087" w:type="dxa"/>
        <w:jc w:val="left"/>
        <w:tblInd w:w="0" w:type="dxa"/>
        <w:tblLayout w:type="fixed"/>
        <w:tblCellMar>
          <w:top w:w="28" w:type="dxa"/>
          <w:left w:w="28" w:type="dxa"/>
          <w:bottom w:w="28" w:type="dxa"/>
          <w:right w:w="28" w:type="dxa"/>
        </w:tblCellMar>
      </w:tblPr>
      <w:tblGrid>
        <w:gridCol w:w="1901"/>
        <w:gridCol w:w="1667"/>
        <w:gridCol w:w="1681"/>
        <w:gridCol w:w="212"/>
        <w:gridCol w:w="803"/>
        <w:gridCol w:w="109"/>
        <w:gridCol w:w="109"/>
        <w:gridCol w:w="109"/>
        <w:gridCol w:w="109"/>
        <w:gridCol w:w="212"/>
        <w:gridCol w:w="803"/>
        <w:gridCol w:w="109"/>
        <w:gridCol w:w="109"/>
        <w:gridCol w:w="154"/>
      </w:tblGrid>
      <w:tr>
        <w:trPr/>
        <w:tc>
          <w:tcPr>
            <w:tcW w:w="1901"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Effect of exchange rate changes on cash and cash equivalents</w:t>
            </w:r>
            <w:r>
              <w:rPr>
                <w:rFonts w:ascii="Times New Roman;serif" w:hAnsi="Times New Roman;serif"/>
                <w:b w:val="false"/>
                <w:color w:val="000000"/>
                <w:sz w:val="13"/>
              </w:rPr>
              <w:t>(1)</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180"/>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16"/>
        </w:rPr>
        <w:t>The balance sheet is affected by spot exchange rates used to translate local currency amounts into U.S. Dollars. In accordance with U.S. GAAP, we have eliminated the effect of foreign currency throughout our cash flow statement, except for its effect on our cash and cash equivalents.</w:t>
      </w:r>
    </w:p>
    <w:p>
      <w:pPr>
        <w:pStyle w:val="TextBody"/>
        <w:bidi w:val="0"/>
        <w:spacing w:lineRule="auto" w:line="288" w:before="0" w:after="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Operating 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increased by $34.9 million during the three months ended June 27, 2026, as compared with the same period of fiscal 2026. Cash flows from operations for fiscal 2027 period included net income of $33.0 million, adjusted for non-cash depreciation and amortization of $27.1 million and share-based compensation expense of $9.3 million, partially offset by cash outflows for working capital of $20.0 million driven by digital transformation costs. The fiscal 2026 period included cash inflows for net income of $34.0 million, adjusted for non-cash depreciation and amortization of $28.8 million, share-based compensation expense of $9.3 million and amortization of fair value inventory step up of $2.4 million, partially offset by unfavorable working capital adjustments of $55.5 million.</w:t>
      </w:r>
    </w:p>
    <w:p>
      <w:pPr>
        <w:pStyle w:val="TextBody"/>
        <w:bidi w:val="0"/>
        <w:spacing w:lineRule="auto" w:line="288" w:before="0" w:after="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Investing 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decreased by $10.8 million during the three months ended June 27, 2026, as compared with the same period of fiscal 2026. The fiscal 2027 period included cash outflows for capital expenditures of $7.9 million and non-cash transfers from inventory of $5.6 million. The fiscal 2026 period included cash outflows for strategic investments of $18.1 million and non-cash transfers from inventory of $11.5 million.</w:t>
      </w:r>
    </w:p>
    <w:p>
      <w:pPr>
        <w:pStyle w:val="TextBody"/>
        <w:bidi w:val="0"/>
        <w:spacing w:lineRule="auto" w:line="288" w:before="0" w:after="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Financing 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increased by $49.1 million during the three months ended June 27, 2026, as compared with the same period of fiscal 2026. The fiscal 2027 period included cash outflows of $50.0 million for repayment on our revolving credit facility, $3.5 million of employee equity award settlements and $1.6 million for repayments of term loan borrowings. The fiscal 2026 period included cash outflows of $4.8 million of employee equity award settlements and $1.6 million for repayments of term loan borrowings.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Refer to </w:t>
      </w:r>
      <w:r>
        <w:rPr>
          <w:rFonts w:ascii="Times New Roman;serif" w:hAnsi="Times New Roman;serif"/>
          <w:b w:val="false"/>
          <w:color w:val="000000"/>
          <w:sz w:val="20"/>
        </w:rPr>
        <w:t xml:space="preserve">Note 2, </w:t>
      </w:r>
      <w:r>
        <w:rPr>
          <w:rFonts w:ascii="Times New Roman;serif" w:hAnsi="Times New Roman;serif"/>
          <w:b w:val="false"/>
          <w:i/>
          <w:color w:val="000000"/>
          <w:sz w:val="20"/>
        </w:rPr>
        <w:t>Recent Accounting Pronouncements</w:t>
      </w:r>
      <w:r>
        <w:rPr>
          <w:rFonts w:ascii="Times New Roman;serif" w:hAnsi="Times New Roman;serif"/>
          <w:b w:val="false"/>
          <w:color w:val="000000"/>
          <w:sz w:val="20"/>
          <w:shd w:fill="FFFFFF" w:val="clear"/>
        </w:rPr>
        <w:t>, to the condensed consolidated financial statements for a discussion of recently issued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Cautionary Statement Regarding Forward-Looking Information</w:t>
      </w:r>
    </w:p>
    <w:p>
      <w:pPr>
        <w:pStyle w:val="TextBody"/>
        <w:bidi w:val="0"/>
        <w:spacing w:lineRule="auto" w:line="288" w:before="0" w:after="180"/>
        <w:jc w:val="both"/>
        <w:rPr/>
      </w:pPr>
      <w:r>
        <w:rPr>
          <w:rFonts w:ascii="Times New Roman;serif" w:hAnsi="Times New Roman;serif"/>
          <w:b w:val="false"/>
          <w:color w:val="000000"/>
          <w:sz w:val="20"/>
          <w:shd w:fill="FFFFFF" w:val="clear"/>
        </w:rPr>
        <w:t>Certain statements that we make from time to time, including statements contained in this Quarterly Report on Form 10-Q and incorporated by reference into this report, constitute “forward looking-statements” within the meaning of Section 27A of the Securities Act of 1933 and Section 21E of the Securities Exchange Act of 1934.</w:t>
      </w:r>
      <w:r>
        <w:rPr>
          <w:color w:val="212121"/>
          <w:shd w:fill="FFFFFF" w:val="clear"/>
        </w:rPr>
        <w:t> </w:t>
      </w:r>
      <w:r>
        <w:rPr>
          <w:rFonts w:ascii="Times New Roman;serif" w:hAnsi="Times New Roman;serif"/>
          <w:b w:val="false"/>
          <w:color w:val="000000"/>
          <w:sz w:val="20"/>
          <w:shd w:fill="FFFFFF" w:val="clear"/>
        </w:rPr>
        <w:t>Forward-looking statements do not relate strictly to historical or current facts and reflect management’s assumptions, views, plans, objectives and projections about the future. Forward-looking statements may be identified by the use of words such as “may,” “will,” “should,” “could,” “would,” “expects,” “plans,” “anticipates,” “believes,” “estimates,” “projects,” “predicts,” “foresees,” “potential” and other words of similar meaning in conjunction with, among other things: discussions of future operations; expected operating results and financial performance; our strategy for growth; product development, commercialization and anticipated performance and benefits; regulatory approvals; impacts of acquisitions or dispositions; impacts of share repurchases; and market position and expenditures.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726e356724704c8e9c10f18f6c8e56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Because forward-looking statements are based on current beliefs, expectations and assumptions regarding future events, they are subject to uncertainties, risks and changes that are difficult to predict and many of which are outside of our control. Investors should realize that if underlying assumptions prove inaccurate, or known or unknown risks or uncertainties materialize, our actual results and financial condition could vary materially from expectations and projections expressed or implied in its forward-looking statements. Investors are therefore cautioned not to rely on these forward-looking statements. </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are some important factors that could cause our actual results to differ from our expectations in any forward-looking statements. For further discussion of these and other factors, see Item 1A. “Risk Factors” in our most recent Annual Report on Form 10-K.</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Our ability to achieve our long-term strategic and financial-improvement goals;</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Demand for and market acceptance risks for new and existing products, including material reductions in purchasing from or loss of a significant customer;</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Our ability to develop, manufacture and market new products and technologies successfully and in a timely manner and the ability of our competitors and other third parties to develop products or technologies that render our products or technologies noncompetitive or obsolete;</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Product quality or safety concerns, leading to product recalls, withdrawals, regulatory action by the FDA (or similar non-U.S. regulatory agencies), reputational damage, declining sales or litigation;</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Security breaches of our products or information technology systems, or those of our customers, suppliers or other busine</w:t>
      </w:r>
      <w:r>
        <w:rPr>
          <w:rFonts w:ascii="Times New Roman;serif" w:hAnsi="Times New Roman;serif"/>
          <w:b w:val="false"/>
          <w:color w:val="000000"/>
          <w:sz w:val="20"/>
        </w:rPr>
        <w:t>ss partners, which could impair our ability or our customers’ ability to conduct business or compromise sensitive information of the Company or its customers, suppliers and other business partners, or of customers’ patients;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potential that the expected strategic benefits and opportunities from completed or planned acquisitions, including our acquisitions of Vivasure, OpSens Inc. and Advanced Cooling Therapy, Inc., d/b/a Attune Medical (“Attune Medical”), divestitures or other strategic investments by us may not be realized or may take longer to realize than expected;</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Pricing pressures resulting from trends toward healthcare cost containment, including the continued consolidation among healthcare providers and other market participants;</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Disruptions to the continuity, availability and pricing of plastic and other raw materials, finished goods and components used in the manufacturing of our products (including those purchased from sole-source suppliers) and the related continuity of our manufacturing, sterilization, supply chain and distribution operations, including disruptions caused by natural disasters, extreme weather and other conditions caused by or related to climate change, labor strikes, terrorism acts, cyber incidents or other adverse events;</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Our ability to obtain the anticipated benefits of restructuring programs that we have or may undertake, including our market and regional alignment initiative;</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The impact of enhanced requirements to obtain regulatory approval in the U.S. and around the world and the associated timing and cost of product approval;</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Our ability to comply with established and developing U.S. and foreign legal and regulatory requirements, including the U.S. Foreign Corrupt Practices Act, European Union Medical Device Regulation and In Vitro Diagnostic Regulation and similar laws in other jurisdictions, as well as the impact of U.S. and foreign export and import restrictions and tariffs;</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The impact of changes in U.S. and international tax laws;</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Our ability to meet our debt obligations and raise additional capital when desired on terms reasonably acceptable to us;</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The potential impact of our convertible senior notes and related capped call transactions;</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Geopolitical and economic conditions in China, Taiwan, Russia, Ukraine, Iran and other parts of the Middle East and other foreign jurisdictions where we do business;</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Our ability to execute and realize anticipated benefits from our investments in emerging economies;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726e356724704c8e9c10f18f6c8e56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The potential effect of foreign currency fluctuations and interest rate fluctuations on our net sales, expenses and resulting margins;</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Our ability to protect intellectual property and the outcome of patent litigation;</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Costs and risks associated with product liability and other litigation claims we may be subject to now or in the future;</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Our ability to retain and attract key personnel;</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Market conditions impacting our stock price and/or our share repurchase program, and the possibility that such share repurchase program may be delayed, suspended or discontinued;</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Our ability to achieve against our corporate responsibility initiatives and meet evolving stakeholder expectations concerning corporate responsibility matters; and</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The impact of actual or threatened public health crises.</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Investors should understand that it is not possible to predict or identify all such factors and should not consider the risks described above and in Item 1A. “Risk Factors” in our Annual Report on Form 10-K to be a complete statement of all potential risks and uncertainties. The Company does not undertake to publicly update any forward-looking statement that may be made from time to time, whether as a result of new information or future events or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ITEM 3.</w:t>
      </w:r>
      <w:r>
        <w:rPr>
          <w:color w:val="000000"/>
        </w:rPr>
        <w:t xml:space="preserve"> </w:t>
      </w:r>
      <w:r>
        <w:rPr>
          <w:rFonts w:ascii="Times New Roman;serif" w:hAnsi="Times New Roman;serif"/>
          <w:b/>
          <w:color w:val="000000"/>
          <w:sz w:val="20"/>
        </w:rPr>
        <w:t>QUANTITATIVE AND QUALITATIVE DISCLOSURES ABOUT MARKET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exposures relative to market risk are due to foreign exchange risk, interest rate risk, concentration of credit risk and investment risk.</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Foreign Exchange Risk</w:t>
      </w:r>
    </w:p>
    <w:p>
      <w:pPr>
        <w:pStyle w:val="TextBody"/>
        <w:bidi w:val="0"/>
        <w:spacing w:lineRule="auto" w:line="288" w:before="0" w:after="180"/>
        <w:jc w:val="both"/>
        <w:rPr/>
      </w:pPr>
      <w:r>
        <w:rPr>
          <w:rFonts w:ascii="Times New Roman;serif" w:hAnsi="Times New Roman;serif"/>
          <w:b w:val="false"/>
          <w:color w:val="000000"/>
          <w:sz w:val="20"/>
          <w:shd w:fill="FFFFFF" w:val="clear"/>
        </w:rPr>
        <w:t>O</w:t>
      </w:r>
      <w:r>
        <w:rPr>
          <w:rFonts w:ascii="Times New Roman;serif" w:hAnsi="Times New Roman;serif"/>
          <w:b w:val="false"/>
          <w:color w:val="000000"/>
          <w:sz w:val="20"/>
        </w:rPr>
        <w:t>ur reporting currency is the U.S. Dollar, however, during the three months ended June 27, 2026 and June 28, 2025, 24.0% and 24.6%, respectively, of our sales were generated outside the U.S., generally in foreign currencies. We also incur certain manufacturing, marketing and selling costs in international markets in local currency. Our primary foreign currency exposures relate to sales denominated in Japanese Yen, Euro and Chinese Yuan. We also have foreign currency exposure related to manufacturing and other operational costs denominated in Swiss Francs, Canadian Dollars, Mexican Pesos and Malaysian Ringgit. The Yen, Euro and Yuan sales exposure is partially mitigated by costs and expenses for foreign operations and sourcing products denominated in foreign currencies.</w:t>
      </w:r>
    </w:p>
    <w:p>
      <w:pPr>
        <w:pStyle w:val="TextBody"/>
        <w:bidi w:val="0"/>
        <w:spacing w:lineRule="auto" w:line="288" w:before="0" w:after="180"/>
        <w:jc w:val="both"/>
        <w:rPr/>
      </w:pPr>
      <w:r>
        <w:rPr>
          <w:rFonts w:ascii="Times New Roman;serif" w:hAnsi="Times New Roman;serif"/>
          <w:b w:val="false"/>
          <w:color w:val="000000"/>
          <w:sz w:val="20"/>
        </w:rPr>
        <w:t>Since our foreign currency denominated Yen, Euro and Yuan sales exceed the foreign currency denominated costs, whenever the U.S. Dollar strengthens relative to the Yen, Euro or Yuan, there is an adverse effect on our results of operations and, conversely, whenever the U.S. Dollar weakens relative to the Yen, Euro or Yuan, there is a positive effect on our results of operations. For Swiss Francs, Canadian Dollars, Mexican Pesos and Malaysian Ringgit, our primary cash flows relate to product costs or costs and expenses of local operations. Whenever the U.S. Dollar strengthens relative to these foreign currencies, there is a positive effect on our results of operations. Convers</w:t>
      </w:r>
      <w:r>
        <w:rPr>
          <w:rFonts w:ascii="Times New Roman;serif" w:hAnsi="Times New Roman;serif"/>
          <w:b w:val="false"/>
          <w:color w:val="000000"/>
          <w:sz w:val="20"/>
          <w:shd w:fill="FFFFFF" w:val="clear"/>
        </w:rPr>
        <w:t>ely, whenever the U.S. Dollar weakens relative to these currencies, there is an adverse effect on our results of operations.</w:t>
      </w:r>
    </w:p>
    <w:p>
      <w:pPr>
        <w:pStyle w:val="TextBody"/>
        <w:bidi w:val="0"/>
        <w:spacing w:lineRule="auto" w:line="288" w:before="0" w:after="180"/>
        <w:jc w:val="both"/>
        <w:rPr/>
      </w:pPr>
      <w:r>
        <w:rPr>
          <w:rFonts w:ascii="Times New Roman;serif" w:hAnsi="Times New Roman;serif"/>
          <w:b w:val="false"/>
          <w:color w:val="000000"/>
          <w:sz w:val="20"/>
          <w:shd w:fill="FFFFFF" w:val="clear"/>
        </w:rPr>
        <w:t>We have a program in place that is designed to mitigate our exposur</w:t>
      </w:r>
      <w:r>
        <w:rPr>
          <w:rFonts w:ascii="Times New Roman;serif" w:hAnsi="Times New Roman;serif"/>
          <w:b w:val="false"/>
          <w:color w:val="000000"/>
          <w:sz w:val="20"/>
        </w:rPr>
        <w:t>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Canadian Dollar, Swiss Franc and Mexican Peso. This does not eliminate the volatility of foreign exchange rates, but because we generally enter into forward contracts into the future, rates are fixed at the time of execution; thereby facilitating financial planning and resource allocation. Hedges are executed on a rolling ba</w:t>
      </w:r>
      <w:r>
        <w:rPr>
          <w:rFonts w:ascii="Times New Roman;serif" w:hAnsi="Times New Roman;serif"/>
          <w:b w:val="false"/>
          <w:color w:val="000000"/>
          <w:sz w:val="20"/>
          <w:shd w:fill="FFFFFF" w:val="clear"/>
        </w:rPr>
        <w:t xml:space="preserve">sis over an 18-month horizon, informed by forecasted net income exposures. Both forecasted exposures and active hedges are reviewed periodically throughout the year to ensure effective and efficient mitigation of foreign currency exchange rate risk. These contracts are designated as cash flow hedges. The final impact of currency fluctuations on the results of operations is dependent on the local currency amounts hedged and the actual local currency results. </w:t>
      </w:r>
      <w:r>
        <w:rPr>
          <w:rFonts w:ascii="Times New Roman;serif" w:hAnsi="Times New Roman;serif"/>
          <w:b w:val="false"/>
          <w:color w:val="000000"/>
          <w:sz w:val="20"/>
        </w:rPr>
        <w:t>We do no</w:t>
      </w:r>
      <w:r>
        <w:rPr>
          <w:rFonts w:ascii="Times New Roman;serif" w:hAnsi="Times New Roman;serif"/>
          <w:b w:val="false"/>
          <w:color w:val="000000"/>
          <w:sz w:val="20"/>
          <w:shd w:fill="FFFFFF" w:val="clear"/>
        </w:rPr>
        <w:t xml:space="preserve">t use forward foreign currency contracts for speculative or trading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726e356724704c8e9c10f18f6c8e56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pPr>
      <w:r>
        <w:rPr>
          <w:rFonts w:ascii="Times New Roman;serif" w:hAnsi="Times New Roman;serif"/>
          <w:b w:val="false"/>
          <w:color w:val="000000"/>
          <w:sz w:val="20"/>
          <w:shd w:fill="FFFFFF" w:val="clear"/>
        </w:rPr>
        <w:t>We estimate the change in the fair value of all forward con</w:t>
      </w:r>
      <w:r>
        <w:rPr>
          <w:rFonts w:ascii="Times New Roman;serif" w:hAnsi="Times New Roman;serif"/>
          <w:b w:val="false"/>
          <w:color w:val="000000"/>
          <w:sz w:val="20"/>
        </w:rPr>
        <w:t>tracts assuming both a 10% strengthening and weakening of the U.S. Dollar relative to all other major currencies. As of June 27, 2026, in the event of a 10% strengthening of the U.S. Dollar, the change in fair value of all forward contracts would result in a $1.4 million increase in the fair value of the forward contracts, whereas a 10% weakening of the U.S. Dollar would result in a $1.8 million decrease in the fair value of the forward contracts.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0" w:after="180"/>
        <w:jc w:val="both"/>
        <w:rPr/>
      </w:pPr>
      <w:r>
        <w:rPr>
          <w:rFonts w:ascii="Times New Roman;serif" w:hAnsi="Times New Roman;serif"/>
          <w:b w:val="false"/>
          <w:color w:val="000000"/>
          <w:sz w:val="20"/>
        </w:rPr>
        <w:t>Our exposure to changes in interest rates is associated with borrowings under our credit facilities, all of which is variable rate debt. Total outstanding debt under our senior unsecured term loan as of June 27, 2026 was $237.5 million with an effective interest rate of 5.7% based on prevailing Term SOFR rates. An increase of 100 basis points in Term SOFR rates would result in additional annual interest expense of $2.9 million. As of June 27, 2026, the notional amount on our two active interest rate swap agreements to effectively convert borrowings under our 2024 Revised Credit Facilities from a variable rate to a fixed rate were $198.0 million. These interest rate swaps are intended to mitigate the exposure to fluctuations in interest rates and qualify for hedge accounting treatment as cash flow hed</w:t>
      </w:r>
      <w:r>
        <w:rPr>
          <w:rFonts w:ascii="Times New Roman;serif" w:hAnsi="Times New Roman;serif"/>
          <w:b w:val="false"/>
          <w:color w:val="000000"/>
          <w:sz w:val="20"/>
          <w:shd w:fill="FFFFFF" w:val="clear"/>
        </w:rPr>
        <w:t>ges.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Concentration of Credit Risk</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Concentrations of credit risk with respect to trade accounts receivable are generally limited due to our large number of customers and their diversity across many geographic areas. Certain markets and industries, however, can expose us to concentrations of credit risk. For example, in the Plasma reporting unit within the Apheresis reportable segment, sales are concentrated with several large customers. As a result, accounts receivable extended to any one of these biopharmaceutical customers can be significant at any point in time. In addition, a portion of our trade accounts receivable outside the U.S. include sales to government-owned or supported healthcare systems in several countries, which are subject to payment delays and local economic conditions. Payment is dependent upon the financial stability and creditworthiness of those countries’ national economies. </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We have not incurred significant losses on trade accounts or other receivables. We continually evaluate all receivables for potential collection risks associated with the availability of government funding and reimbursement practices. If the financial </w:t>
      </w:r>
      <w:r>
        <w:rPr>
          <w:rFonts w:ascii="Times New Roman;serif" w:hAnsi="Times New Roman;serif"/>
          <w:b w:val="false"/>
          <w:color w:val="000000"/>
          <w:sz w:val="20"/>
        </w:rPr>
        <w:t>condition of customers or the countries’ healthcare systems deteriorate such that their ability to make payments is uncertain, allowances may be required in future periods.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Investment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our business development activities, we have made private loans and hold strategic investments in privately held entities, including preferred stock and a special share. The special share allows us to acquire the related entity in accordance with an agreement between the parties. As these equity instruments do not have readily determinable fair values, they have been measured using the measurement alternative, at cost less impairment. The carrying amount for these instruments would be subsequently adjusted for observable price changes, or prices in orderly transactions for an identical investment or similar investment of the same issuer. In addition, these investments are periodically evaluated for impairment. There is also a risk that we could lose all or a substantial portion of our investment in these privately held entities depending on their solvency and ability to achieve their business objectives.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part of our business development strategy, we maintain strategic investments in certain entities. The carrying value of our strategic investments was $24.7 million as of June 27, 2026 and $19.2 million as of March 28, 2026. These investments are included within other long-term assets in our condensed consolidated balance sheets.</w:t>
      </w:r>
    </w:p>
    <w:p>
      <w:pPr>
        <w:pStyle w:val="TextBody"/>
        <w:bidi w:val="0"/>
        <w:spacing w:lineRule="auto" w:line="288" w:before="0" w:after="180"/>
        <w:jc w:val="both"/>
        <w:rPr/>
      </w:pPr>
      <w:r>
        <w:rPr>
          <w:rFonts w:ascii="Times New Roman;serif" w:hAnsi="Times New Roman;serif"/>
          <w:b w:val="false"/>
          <w:color w:val="000000"/>
          <w:sz w:val="20"/>
        </w:rPr>
        <w:t xml:space="preserve">During the three months ended June 27, 2026, we recognized a $1.0 million loss related to an equity method investment, which reduced the carrying value of the investment accordingly. Other than this adjustment, we did not record any material adjustments to the carrying value of its strategic investments during the three months ended June 27, 2026 or June 28, 2025. For further discussion, refer to Note 3, </w:t>
      </w:r>
      <w:r>
        <w:rPr>
          <w:rFonts w:ascii="Times New Roman;serif" w:hAnsi="Times New Roman;serif"/>
          <w:b w:val="false"/>
          <w:i/>
          <w:color w:val="000000"/>
          <w:sz w:val="20"/>
        </w:rPr>
        <w:t>Acquisitions and Strategic Investments</w:t>
      </w:r>
      <w:r>
        <w:rPr>
          <w:color w:val="000000"/>
        </w:rPr>
        <w:t xml:space="preserve"> </w:t>
      </w:r>
      <w:r>
        <w:rPr>
          <w:rFonts w:ascii="Times New Roman;serif" w:hAnsi="Times New Roman;serif"/>
          <w:b w:val="false"/>
          <w:color w:val="000000"/>
          <w:sz w:val="20"/>
        </w:rPr>
        <w:t>within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pPr>
      <w:r>
        <w:rPr>
          <w:rFonts w:ascii="Times New Roman;serif" w:hAnsi="Times New Roman;serif"/>
          <w:b/>
          <w:color w:val="000000"/>
          <w:sz w:val="20"/>
        </w:rPr>
        <w:t>ITEM 4.</w:t>
      </w:r>
      <w:r>
        <w:rPr>
          <w:color w:val="000000"/>
        </w:rPr>
        <w:t xml:space="preserve"> </w:t>
      </w:r>
      <w:r>
        <w:rPr>
          <w:rFonts w:ascii="Times New Roman;serif" w:hAnsi="Times New Roman;serif"/>
          <w:b/>
          <w:color w:val="000000"/>
          <w:sz w:val="20"/>
        </w:rPr>
        <w:t>CONTROLS AND PROCEDURES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0" w:after="180"/>
        <w:jc w:val="both"/>
        <w:rPr/>
      </w:pPr>
      <w:r>
        <w:rPr>
          <w:rFonts w:ascii="Times New Roman;serif" w:hAnsi="Times New Roman;serif"/>
          <w:b w:val="false"/>
          <w:color w:val="000000"/>
          <w:sz w:val="20"/>
        </w:rPr>
        <w:t>We conducted an evaluation, as of June 27, 2026,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under the Securities Exchange Act of 1934. Based upon that evaluation, the Chief Executive Officer and Chief Financial Offi</w:t>
      </w:r>
      <w:r>
        <w:rPr>
          <w:rFonts w:ascii="Times New Roman;serif" w:hAnsi="Times New Roman;serif"/>
          <w:b w:val="false"/>
          <w:color w:val="000000"/>
          <w:sz w:val="20"/>
          <w:shd w:fill="FFFFFF" w:val="clear"/>
        </w:rPr>
        <w:t xml:space="preserve">cer concluded that our disclosure controls and procedures were effective as of June 27,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726e356724704c8e9c10f18f6c8e56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Changes in Internal Control Over Financial Reporting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three months ended June 27,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726e356724704c8e9c10f18f6c8e56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jc w:val="both"/>
        <w:rPr/>
      </w:pPr>
      <w:r>
        <w:rPr>
          <w:rFonts w:ascii="Times New Roman;serif" w:hAnsi="Times New Roman;serif"/>
          <w:b w:val="false"/>
          <w:color w:val="000000"/>
          <w:sz w:val="20"/>
        </w:rPr>
        <w:t xml:space="preserve">Information with respect to this Item may be found in Note 14,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to the condensed consolidated financial statements in this Quarterly Report on Form 10-Q,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are no material changes from the Risk Factors previously disclosed in our Annual Report on Form 10-K for the fiscal year ended March 28,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2. Unregistered Sales of Equity Securities and Use of Proceeds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27, 2026, none of our directors or officers (as defined under Rule 16a-1(f) under the Securities Exchange Act of 1934) adopted or terminated trading arrangements for the sale of shares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726e356724704c8e9c10f18f6c8e56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2"/>
        <w:gridCol w:w="257"/>
        <w:gridCol w:w="258"/>
        <w:gridCol w:w="109"/>
        <w:gridCol w:w="109"/>
        <w:gridCol w:w="109"/>
        <w:gridCol w:w="2769"/>
        <w:gridCol w:w="2597"/>
        <w:gridCol w:w="3705"/>
      </w:tblGrid>
      <w:tr>
        <w:trPr/>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3705"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1" w:type="dxa"/>
            <w:gridSpan w:val="3"/>
            <w:tcBorders/>
            <w:vAlign w:val="center"/>
          </w:tcPr>
          <w:p>
            <w:pPr>
              <w:pStyle w:val="TableContents"/>
              <w:bidi w:val="0"/>
              <w:spacing w:before="0" w:after="283"/>
              <w:jc w:val="left"/>
              <w:rPr>
                <w:sz w:val="4"/>
                <w:szCs w:val="4"/>
              </w:rPr>
            </w:pPr>
            <w:r>
              <w:rPr>
                <w:sz w:val="4"/>
                <w:szCs w:val="4"/>
              </w:rPr>
            </w:r>
          </w:p>
        </w:tc>
      </w:tr>
      <w:tr>
        <w:trPr/>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1" w:type="dxa"/>
            <w:gridSpan w:val="3"/>
            <w:tcBorders/>
            <w:vAlign w:val="center"/>
          </w:tcPr>
          <w:p>
            <w:pPr>
              <w:pStyle w:val="TableContents"/>
              <w:bidi w:val="0"/>
              <w:spacing w:before="0" w:after="283"/>
              <w:jc w:val="left"/>
              <w:rPr>
                <w:sz w:val="4"/>
                <w:szCs w:val="4"/>
              </w:rPr>
            </w:pPr>
            <w:r>
              <w:rPr>
                <w:sz w:val="4"/>
                <w:szCs w:val="4"/>
              </w:rPr>
            </w:r>
          </w:p>
        </w:tc>
      </w:tr>
      <w:tr>
        <w:trPr/>
        <w:tc>
          <w:tcPr>
            <w:tcW w:w="8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Times New Roman;serif" w:hAnsi="Times New Roman;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Restated Articles of Organization of the Company, reflecting Articles of Amendment dated August 23, 1993, August 21, 2006, July 26, 2018 and July 25, 2019 (filed as Exhibit 3.1 to the Company’s Form 8-K dated July 29, 2019 and incorporated herein by reference).</w:t>
            </w:r>
          </w:p>
        </w:tc>
      </w:tr>
      <w:tr>
        <w:trPr/>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
              <w:r>
                <w:rPr>
                  <w:rStyle w:val="InternetLink"/>
                  <w:rFonts w:ascii="Times New Roman;serif" w:hAnsi="Times New Roman;serif"/>
                  <w:b w:val="false"/>
                  <w:color w:val="0000FF"/>
                  <w:sz w:val="20"/>
                  <w:u w:val="single"/>
                </w:rPr>
                <w:t>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By-Laws of the Company, as amended through June 29, 2020 (filed as Exhibit 3.1 to the Company’s Form 8-K dated June 30, 2020 and incorporated herein by reference).</w:t>
            </w:r>
          </w:p>
        </w:tc>
      </w:tr>
      <w:tr>
        <w:trPr/>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a101formofpsuagreementrtsr.htm">
              <w:r>
                <w:rPr>
                  <w:rStyle w:val="InternetLink"/>
                  <w:rFonts w:ascii="Times New Roman;serif" w:hAnsi="Times New Roman;serif"/>
                  <w:b w:val="false"/>
                  <w:color w:val="0000FF"/>
                  <w:sz w:val="20"/>
                  <w:u w:val="single"/>
                </w:rPr>
                <w:t>10.1</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Performance Share Unit Award Agreement under Amended and Restated 2019 Long-Term Incentive Compensation Plan (adopted fiscal 2027) (rTSR) (1).</w:t>
            </w:r>
          </w:p>
        </w:tc>
      </w:tr>
      <w:tr>
        <w:trPr/>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a102formofpsuagreementaagr.htm">
              <w:r>
                <w:rPr>
                  <w:rStyle w:val="InternetLink"/>
                  <w:rFonts w:ascii="Times New Roman;serif" w:hAnsi="Times New Roman;serif"/>
                  <w:b w:val="false"/>
                  <w:color w:val="0000FF"/>
                  <w:sz w:val="20"/>
                  <w:u w:val="single"/>
                </w:rPr>
                <w:t>10.2</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Performance Share Unit Award Agreement under Amended and Restated 2019 Long-Term Incentive Compensation Plan (adopted fiscal 2027) (AAGR) (1).</w:t>
            </w:r>
          </w:p>
        </w:tc>
      </w:tr>
      <w:tr>
        <w:trPr/>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haefy27q1decex311.htm">
              <w:r>
                <w:rPr>
                  <w:rStyle w:val="InternetLink"/>
                  <w:rFonts w:ascii="Times New Roman;serif" w:hAnsi="Times New Roman;serif"/>
                  <w:b w:val="false"/>
                  <w:color w:val="0000FF"/>
                  <w:sz w:val="20"/>
                  <w:u w:val="single"/>
                </w:rPr>
                <w:t>31.1</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pursuant to Section 302 of Sarbanes-Oxley Act of 2002, of Christopher A. Simon, President and Chief Executive Officer of the Company.</w:t>
            </w:r>
          </w:p>
        </w:tc>
      </w:tr>
      <w:tr>
        <w:trPr/>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haefy27q1decex312.htm">
              <w:r>
                <w:rPr>
                  <w:rStyle w:val="InternetLink"/>
                  <w:rFonts w:ascii="Times New Roman;serif" w:hAnsi="Times New Roman;serif"/>
                  <w:b w:val="false"/>
                  <w:color w:val="0000FF"/>
                  <w:sz w:val="20"/>
                  <w:u w:val="single"/>
                </w:rPr>
                <w:t>31.2</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pursuant to Section 302 of Sarbanes-Oxley of 2002, of James C. D'Arecca, Executive Vice President, Chief Financial Officer of the Company.</w:t>
            </w:r>
          </w:p>
        </w:tc>
      </w:tr>
      <w:tr>
        <w:trPr/>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haefy27q1decex321.htm">
              <w:r>
                <w:rPr>
                  <w:rStyle w:val="InternetLink"/>
                  <w:rFonts w:ascii="Times New Roman;serif" w:hAnsi="Times New Roman;serif"/>
                  <w:b w:val="false"/>
                  <w:color w:val="0000FF"/>
                  <w:sz w:val="20"/>
                  <w:u w:val="single"/>
                </w:rPr>
                <w:t>32.1</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Pursuant to 18 United States Code Section 1350, as adopted Pursuant to Section 906 of the Sarbanes-Oxley Act of 2002, of Christopher A. Simon, President and Chief Executive Officer of the Company.</w:t>
            </w:r>
          </w:p>
        </w:tc>
      </w:tr>
      <w:tr>
        <w:trPr/>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haefy27q1decex322.htm">
              <w:r>
                <w:rPr>
                  <w:rStyle w:val="InternetLink"/>
                  <w:rFonts w:ascii="Times New Roman;serif" w:hAnsi="Times New Roman;serif"/>
                  <w:b w:val="false"/>
                  <w:color w:val="0000FF"/>
                  <w:sz w:val="20"/>
                  <w:u w:val="single"/>
                </w:rPr>
                <w:t>32.2</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Pursuant to 18 United States Code Section 1350, as adopted Pursuant to Section 906 of the Sarbanes-Oxley Act of 2002, of James C. D'Arecca, Executive Vice President, Chief Financial Officer of the Company.</w:t>
            </w:r>
          </w:p>
        </w:tc>
      </w:tr>
      <w:tr>
        <w:trPr/>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materials from Haemonetics Corporation on Form 10-Q for the quarter ended June 27, 2026 formatted in inline Extensible Business Reporting Language (XBRL) includes: (i) Condensed Consolidated Statements of Income, (ii) Condensed Consolidated Statements of Comprehensive Income, (iii) Condensed Consolidated Balance Sheets, (iv) Condensed Consolidated Statement of Stockholders' Equity, (v) Condensed Consolidated Statements of Cash Flows, and (vi) Notes to Condensed Consolidated Financial Statements.</w:t>
            </w:r>
          </w:p>
        </w:tc>
      </w:tr>
      <w:tr>
        <w:trPr/>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 and contained in Exhibit 101).</w:t>
            </w:r>
          </w:p>
        </w:tc>
      </w:tr>
    </w:tbl>
    <w:tbl>
      <w:tblPr>
        <w:tblW w:w="7616" w:type="dxa"/>
        <w:jc w:val="left"/>
        <w:tblInd w:w="0" w:type="dxa"/>
        <w:tblLayout w:type="fixed"/>
        <w:tblCellMar>
          <w:top w:w="28" w:type="dxa"/>
          <w:left w:w="28" w:type="dxa"/>
          <w:bottom w:w="28" w:type="dxa"/>
          <w:right w:w="28" w:type="dxa"/>
        </w:tblCellMar>
      </w:tblPr>
      <w:tblGrid>
        <w:gridCol w:w="125"/>
        <w:gridCol w:w="110"/>
        <w:gridCol w:w="110"/>
        <w:gridCol w:w="109"/>
        <w:gridCol w:w="109"/>
        <w:gridCol w:w="109"/>
        <w:gridCol w:w="2032"/>
        <w:gridCol w:w="2032"/>
        <w:gridCol w:w="2880"/>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44"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44"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44"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Document filed with this report.</w:t>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Document furnished with this report.</w:t>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Agreement, plan, or arrangement related to the compensation of officers or directors.</w:t>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44"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4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726e356724704c8e9c10f18f6c8e56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8865" w:type="dxa"/>
        <w:jc w:val="left"/>
        <w:tblInd w:w="0" w:type="dxa"/>
        <w:tblLayout w:type="fixed"/>
        <w:tblCellMar>
          <w:top w:w="28" w:type="dxa"/>
          <w:left w:w="28" w:type="dxa"/>
          <w:bottom w:w="28" w:type="dxa"/>
          <w:right w:w="28" w:type="dxa"/>
        </w:tblCellMar>
      </w:tblPr>
      <w:tblGrid>
        <w:gridCol w:w="493"/>
        <w:gridCol w:w="435"/>
        <w:gridCol w:w="437"/>
        <w:gridCol w:w="481"/>
        <w:gridCol w:w="481"/>
        <w:gridCol w:w="481"/>
        <w:gridCol w:w="1885"/>
        <w:gridCol w:w="1885"/>
        <w:gridCol w:w="1915"/>
        <w:gridCol w:w="109"/>
        <w:gridCol w:w="109"/>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HAEMONETICS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A. Simon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A. Simon,</w:t>
              <w:b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C. D’Arecca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C. D’Arecca, Executive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p>
    <w:p>
      <w:pPr>
        <w:pStyle w:val="TextBody"/>
        <w:bidi w:val="0"/>
        <w:spacing w:before="0" w:after="16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HAEMONETICS CORPORATION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2019 LONG-TERM INCENTIVE COMPENSATION PLAN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PERFORMANCE SHARE UNIT AWARD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PERFORMANCE SHARE UNIT AWARD AGREEMENT (the “</w:t>
      </w:r>
      <w:r>
        <w:rPr>
          <w:rFonts w:ascii="Times New Roman;serif" w:hAnsi="Times New Roman;serif"/>
          <w:b w:val="false"/>
          <w:color w:val="000000"/>
          <w:sz w:val="24"/>
          <w:u w:val="single"/>
        </w:rPr>
        <w:t>Award Agreement</w:t>
      </w:r>
      <w:r>
        <w:rPr>
          <w:color w:val="000000"/>
        </w:rPr>
        <w:t>”</w:t>
      </w:r>
      <w:r>
        <w:rPr>
          <w:rFonts w:ascii="Times New Roman;serif" w:hAnsi="Times New Roman;serif"/>
          <w:b w:val="false"/>
          <w:color w:val="000000"/>
          <w:sz w:val="24"/>
        </w:rPr>
        <w:t>), dated as of [●] (the “</w:t>
      </w:r>
      <w:r>
        <w:rPr>
          <w:rFonts w:ascii="Times New Roman;serif" w:hAnsi="Times New Roman;serif"/>
          <w:b w:val="false"/>
          <w:color w:val="000000"/>
          <w:sz w:val="24"/>
          <w:u w:val="single"/>
        </w:rPr>
        <w:t>Date of Grant</w:t>
      </w:r>
      <w:r>
        <w:rPr>
          <w:color w:val="000000"/>
        </w:rPr>
        <w:t>”</w:t>
      </w:r>
      <w:r>
        <w:rPr>
          <w:rFonts w:ascii="Times New Roman;serif" w:hAnsi="Times New Roman;serif"/>
          <w:b w:val="false"/>
          <w:color w:val="000000"/>
          <w:sz w:val="24"/>
        </w:rPr>
        <w:t>), is delivered by Haemonetics Corporation</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to [●</w:t>
      </w:r>
      <w:r>
        <w:rPr>
          <w:rFonts w:ascii="Times New Roman;serif" w:hAnsi="Times New Roman;serif"/>
          <w:b w:val="false"/>
          <w:color w:val="000000"/>
          <w:sz w:val="2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Participant</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RECITALS</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Haemonetics Corporation 2019 Long-Term Incentive Compensation Plan (as amended and/or restated from time to time,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xml:space="preserve">) provides for the grant of performance-based restricted share units in accordance with the terms and conditions of the Plan. The Committee has decided to make this grant of performance-based restricted share units as an inducement for the Participant to promote the best interests of the Company and its stockholders. This Award Agreement is made pursuant to the Plan and is subject in its entirety to all applicable provisions of the Plan. Capitalized terms used herein and not otherwise defined will have the meanings set forth in the Plan. </w:t>
      </w:r>
    </w:p>
    <w:p>
      <w:pPr>
        <w:pStyle w:val="TextBody"/>
        <w:bidi w:val="0"/>
        <w:spacing w:lineRule="auto" w:line="240" w:before="0" w:after="24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Grant of Performance Share Units</w:t>
      </w:r>
      <w:r>
        <w:rPr>
          <w:rFonts w:ascii="Times New Roman;serif" w:hAnsi="Times New Roman;serif"/>
          <w:b w:val="false"/>
          <w:color w:val="000000"/>
          <w:sz w:val="24"/>
        </w:rPr>
        <w:t>. Subject to the terms and conditions set forth in this Award Agreement and in the Plan, the Company hereby grants the Participant a target award of [</w:t>
      </w:r>
      <w:r>
        <w:rPr>
          <w:color w:val="000000"/>
        </w:rPr>
        <w:t>●</w:t>
      </w:r>
      <w:r>
        <w:rPr>
          <w:rFonts w:ascii="Times New Roman;serif" w:hAnsi="Times New Roman;serif"/>
          <w:b w:val="false"/>
          <w:color w:val="000000"/>
          <w:sz w:val="24"/>
        </w:rPr>
        <w:t>] performance-based restricted share units (the “</w:t>
      </w:r>
      <w:r>
        <w:rPr>
          <w:rFonts w:ascii="Times New Roman;serif" w:hAnsi="Times New Roman;serif"/>
          <w:b w:val="false"/>
          <w:color w:val="000000"/>
          <w:sz w:val="24"/>
          <w:u w:val="single"/>
        </w:rPr>
        <w:t>Performance Share Units</w:t>
      </w:r>
      <w:r>
        <w:rPr>
          <w:color w:val="000000"/>
        </w:rPr>
        <w:t>”</w:t>
      </w:r>
      <w:r>
        <w:rPr>
          <w:rFonts w:ascii="Times New Roman;serif" w:hAnsi="Times New Roman;serif"/>
          <w:b w:val="false"/>
          <w:color w:val="000000"/>
          <w:sz w:val="24"/>
        </w:rPr>
        <w:t>), subject to the terms and restrictions set forth below and in the Plan (such amount of Performance Share Units, the “</w:t>
      </w:r>
      <w:r>
        <w:rPr>
          <w:rFonts w:ascii="Times New Roman;serif" w:hAnsi="Times New Roman;serif"/>
          <w:b w:val="false"/>
          <w:color w:val="000000"/>
          <w:sz w:val="24"/>
          <w:u w:val="single"/>
        </w:rPr>
        <w:t>Target Award</w:t>
      </w:r>
      <w:r>
        <w:rPr>
          <w:color w:val="000000"/>
        </w:rPr>
        <w:t>”</w:t>
      </w:r>
      <w:r>
        <w:rPr>
          <w:rFonts w:ascii="Times New Roman;serif" w:hAnsi="Times New Roman;serif"/>
          <w:b w:val="false"/>
          <w:color w:val="000000"/>
          <w:sz w:val="24"/>
        </w:rPr>
        <w:t>). Each Performance Share Unit represents the right of the Participant to receive a share of common stock of the Company (“</w:t>
      </w:r>
      <w:r>
        <w:rPr>
          <w:rFonts w:ascii="Times New Roman;serif" w:hAnsi="Times New Roman;serif"/>
          <w:b w:val="false"/>
          <w:color w:val="000000"/>
          <w:sz w:val="24"/>
          <w:u w:val="single"/>
        </w:rPr>
        <w:t>Company Stock</w:t>
      </w:r>
      <w:r>
        <w:rPr>
          <w:color w:val="000000"/>
        </w:rPr>
        <w:t>”</w:t>
      </w:r>
      <w:r>
        <w:rPr>
          <w:rFonts w:ascii="Times New Roman;serif" w:hAnsi="Times New Roman;serif"/>
          <w:b w:val="false"/>
          <w:color w:val="000000"/>
          <w:sz w:val="24"/>
        </w:rPr>
        <w:t xml:space="preserve">), if and when the specified conditions are met in Section 3 below, and on the applicable payment date set forth in Section 5 below. </w:t>
      </w:r>
    </w:p>
    <w:p>
      <w:pPr>
        <w:pStyle w:val="TextBody"/>
        <w:bidi w:val="0"/>
        <w:spacing w:lineRule="auto" w:line="240" w:before="0" w:after="24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Performance Share Units are Hypothetical Shares</w:t>
      </w:r>
      <w:r>
        <w:rPr>
          <w:rFonts w:ascii="Times New Roman;serif" w:hAnsi="Times New Roman;serif"/>
          <w:b w:val="false"/>
          <w:color w:val="000000"/>
          <w:sz w:val="24"/>
        </w:rPr>
        <w:t>. Performance Share Units represent hypothetical shares of Company Stock, and not actual shares of stock. No shares of Company Stock shall be issued to the Participant at the time the grant is made, and the Participant shall not be, and shall not have any of the rights or privileges of, a stockholder of the Company with respect to any Performance Share Units. The Participant shall not have any interest in any fund or specific assets of the Company by reason of this Award.</w:t>
      </w:r>
    </w:p>
    <w:p>
      <w:pPr>
        <w:pStyle w:val="TextBody"/>
        <w:bidi w:val="0"/>
        <w:spacing w:lineRule="auto" w:line="240" w:before="0" w:after="24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Vesting</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Subject to the terms of this Section 3 and the terms of </w:t>
      </w:r>
      <w:r>
        <w:rPr>
          <w:rFonts w:ascii="Times New Roman;serif" w:hAnsi="Times New Roman;serif"/>
          <w:b w:val="false"/>
          <w:color w:val="000000"/>
          <w:sz w:val="24"/>
          <w:u w:val="single"/>
        </w:rPr>
        <w:t>Appendix A</w:t>
      </w:r>
      <w:r>
        <w:rPr>
          <w:rFonts w:ascii="Times New Roman;serif" w:hAnsi="Times New Roman;serif"/>
          <w:b w:val="false"/>
          <w:color w:val="000000"/>
          <w:sz w:val="24"/>
        </w:rPr>
        <w:t xml:space="preserve">, which is incorporated by reference herein, the Performance Share Units shall become vested upon satisfaction of the Performance Goals and terms as set forth in </w:t>
      </w:r>
      <w:r>
        <w:rPr>
          <w:rFonts w:ascii="Times New Roman;serif" w:hAnsi="Times New Roman;serif"/>
          <w:b w:val="false"/>
          <w:color w:val="000000"/>
          <w:sz w:val="24"/>
          <w:u w:val="single"/>
        </w:rPr>
        <w:t>Appendix A</w:t>
      </w:r>
      <w:r>
        <w:rPr>
          <w:color w:val="000000"/>
        </w:rPr>
        <w:t xml:space="preserve"> </w:t>
      </w:r>
      <w:r>
        <w:rPr>
          <w:rFonts w:ascii="Times New Roman;serif" w:hAnsi="Times New Roman;serif"/>
          <w:b w:val="false"/>
          <w:color w:val="000000"/>
          <w:sz w:val="24"/>
        </w:rPr>
        <w:t xml:space="preserve">to this Award Agreement. The Committee shall determine whether such Performance Goals have been satisfied.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color w:val="000000"/>
        </w:rPr>
        <w:t xml:space="preserve"> </w:t>
      </w:r>
      <w:r>
        <w:rPr>
          <w:rFonts w:ascii="Times New Roman;serif" w:hAnsi="Times New Roman;serif"/>
          <w:b w:val="false"/>
          <w:color w:val="000000"/>
          <w:sz w:val="24"/>
        </w:rPr>
        <w:t xml:space="preserve">If the vesting terms set forth in </w:t>
      </w:r>
      <w:r>
        <w:rPr>
          <w:rFonts w:ascii="Times New Roman;serif" w:hAnsi="Times New Roman;serif"/>
          <w:b w:val="false"/>
          <w:color w:val="000000"/>
          <w:sz w:val="24"/>
          <w:u w:val="single"/>
        </w:rPr>
        <w:t>Appendix A</w:t>
      </w:r>
      <w:r>
        <w:rPr>
          <w:color w:val="000000"/>
        </w:rPr>
        <w:t xml:space="preserve"> </w:t>
      </w:r>
      <w:r>
        <w:rPr>
          <w:rFonts w:ascii="Times New Roman;serif" w:hAnsi="Times New Roman;serif"/>
          <w:b w:val="false"/>
          <w:color w:val="000000"/>
          <w:sz w:val="24"/>
        </w:rPr>
        <w:t>would produce fractional Performance Share Units, the number of Performance Share Units that vest shall be rounded down to the nearest whole Performance Share Unit.</w:t>
      </w: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Notwithstanding anything to the contrary contained in a written employment agreement, severance agreement, change of control agreement or other agreement entered into by and between the Participant and the Employer, this Section 3(c) shall apply in the event of a Change of Control before the Vesting Date (a “</w:t>
      </w:r>
      <w:r>
        <w:rPr>
          <w:rFonts w:ascii="Times New Roman;serif" w:hAnsi="Times New Roman;serif"/>
          <w:b w:val="false"/>
          <w:color w:val="000000"/>
          <w:sz w:val="24"/>
          <w:u w:val="single"/>
        </w:rPr>
        <w:t>Qualifying Change of Control</w:t>
      </w:r>
      <w:r>
        <w:rPr>
          <w:color w:val="000000"/>
        </w:rPr>
        <w:t>”</w:t>
      </w:r>
      <w:r>
        <w:rPr>
          <w:rFonts w:ascii="Times New Roman;serif" w:hAnsi="Times New Roman;serif"/>
          <w:b w:val="false"/>
          <w:color w:val="000000"/>
          <w:sz w:val="24"/>
        </w:rPr>
        <w:t>) and while the Participant continues to be employed by the Employer.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Effective as of immediately prior to a Qualifying Change of Control, but subject to the occurrence of such Change of Control, the number of Performance Share Units eligible to be vested shall be equal to the greater of the number of shares of Company Stock under (i) the Target Award and (ii) the Share Payout as a Percentage of Target Award as determined by the Committee under the terms of </w:t>
      </w:r>
      <w:r>
        <w:rPr>
          <w:rFonts w:ascii="Times New Roman;serif" w:hAnsi="Times New Roman;serif"/>
          <w:b w:val="false"/>
          <w:color w:val="000000"/>
          <w:sz w:val="24"/>
          <w:u w:val="single"/>
        </w:rPr>
        <w:t>Appendix A</w:t>
      </w:r>
      <w:r>
        <w:rPr>
          <w:color w:val="000000"/>
        </w:rPr>
        <w:t xml:space="preserve"> </w:t>
      </w:r>
      <w:r>
        <w:rPr>
          <w:rFonts w:ascii="Times New Roman;serif" w:hAnsi="Times New Roman;serif"/>
          <w:b w:val="false"/>
          <w:color w:val="000000"/>
          <w:sz w:val="24"/>
        </w:rPr>
        <w:t>through the latest practicable date prior to such Change of Control. For purposes of this Section 3(c)(i), the Company Relative TSR Percentile Rank shall be determined by reference to the Company’s average relative TSR rank on the twenty (20) consecutive trading days immediately preceding the Qualifying Change of Control. The number of Performance Share Units determined in accordance with this Section 3(c)(i) is referred to as the “</w:t>
      </w:r>
      <w:r>
        <w:rPr>
          <w:rFonts w:ascii="Times New Roman;serif" w:hAnsi="Times New Roman;serif"/>
          <w:b w:val="false"/>
          <w:color w:val="000000"/>
          <w:sz w:val="24"/>
          <w:u w:val="single"/>
        </w:rPr>
        <w:t>Change of Control Adjusted Performance Share Units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The Change of Control Adjusted Performance Share Units shall become vested on a Qualifying Change of Control and paid as soon as administratively practicable (but no later than thirty (30) days) following the occurrence of such Change of Control if a replacement or substitute award meeting the requirements of this Section 3(c)(ii) is not provided to the Participant in respect of such Performance Share Units. An award meeting the requirements of this Section 3(c)(ii) is referred to below as a “</w:t>
      </w:r>
      <w:r>
        <w:rPr>
          <w:rFonts w:ascii="Times New Roman;serif" w:hAnsi="Times New Roman;serif"/>
          <w:b w:val="false"/>
          <w:color w:val="000000"/>
          <w:sz w:val="24"/>
          <w:u w:val="single"/>
        </w:rPr>
        <w:t>Replacement Award</w:t>
      </w:r>
      <w:r>
        <w:rPr>
          <w:color w:val="000000"/>
        </w:rPr>
        <w:t>”</w:t>
      </w:r>
      <w:r>
        <w:rPr>
          <w:rFonts w:ascii="Times New Roman;serif" w:hAnsi="Times New Roman;serif"/>
          <w:b w:val="false"/>
          <w:color w:val="000000"/>
          <w:sz w:val="24"/>
        </w:rPr>
        <w:t xml:space="preserve">. An award shall qualify as a Replacement Award if: </w:t>
      </w:r>
    </w:p>
    <w:p>
      <w:pPr>
        <w:pStyle w:val="TextBody"/>
        <w:bidi w:val="0"/>
        <w:spacing w:lineRule="auto" w:line="240" w:before="0" w:after="240"/>
        <w:ind w:left="0" w:right="0" w:firstLine="2160"/>
        <w:jc w:val="both"/>
        <w:rPr/>
      </w:pPr>
      <w:r>
        <w:rPr>
          <w:rFonts w:ascii="Times New Roman;serif" w:hAnsi="Times New Roman;serif"/>
          <w:b w:val="false"/>
          <w:color w:val="000000"/>
          <w:sz w:val="24"/>
        </w:rPr>
        <w:t>(1)</w:t>
      </w:r>
      <w:r>
        <w:rPr>
          <w:rFonts w:ascii="Times New Roman;serif" w:hAnsi="Times New Roman;serif"/>
          <w:b w:val="false"/>
          <w:color w:val="000000"/>
          <w:sz w:val="24"/>
        </w:rPr>
        <w:t>It is comprised of restricted stock units with respect to a publicly traded equity security of the Company or the surviving corporation or the ultimate parent of the applicable entity following a Qualifying Change of Control;</w:t>
      </w:r>
    </w:p>
    <w:p>
      <w:pPr>
        <w:pStyle w:val="TextBody"/>
        <w:bidi w:val="0"/>
        <w:spacing w:lineRule="auto" w:line="240" w:before="0" w:after="240"/>
        <w:ind w:left="0" w:right="0" w:firstLine="2160"/>
        <w:jc w:val="both"/>
        <w:rPr/>
      </w:pPr>
      <w:r>
        <w:rPr>
          <w:rFonts w:ascii="Times New Roman;serif" w:hAnsi="Times New Roman;serif"/>
          <w:b w:val="false"/>
          <w:color w:val="000000"/>
          <w:sz w:val="24"/>
        </w:rPr>
        <w:t>(2)</w:t>
      </w:r>
      <w:r>
        <w:rPr>
          <w:rFonts w:ascii="Times New Roman;serif" w:hAnsi="Times New Roman;serif"/>
          <w:b w:val="false"/>
          <w:color w:val="000000"/>
          <w:sz w:val="24"/>
        </w:rPr>
        <w:t>It has a fair market value at least equal to the fair market value of the Change of Control Adjusted Performance Share Units as of the date of a Qualifying Change of Control;</w:t>
      </w:r>
    </w:p>
    <w:p>
      <w:pPr>
        <w:pStyle w:val="TextBody"/>
        <w:bidi w:val="0"/>
        <w:spacing w:lineRule="auto" w:line="240" w:before="0" w:after="240"/>
        <w:ind w:left="0" w:right="0" w:firstLine="2160"/>
        <w:jc w:val="both"/>
        <w:rPr/>
      </w:pPr>
      <w:r>
        <w:rPr>
          <w:rFonts w:ascii="Times New Roman;serif" w:hAnsi="Times New Roman;serif"/>
          <w:b w:val="false"/>
          <w:color w:val="000000"/>
          <w:sz w:val="24"/>
        </w:rPr>
        <w:t>(3)</w:t>
      </w:r>
      <w:r>
        <w:rPr>
          <w:rFonts w:ascii="Times New Roman;serif" w:hAnsi="Times New Roman;serif"/>
          <w:b w:val="false"/>
          <w:color w:val="000000"/>
          <w:sz w:val="24"/>
        </w:rPr>
        <w:t>It contains terms relating to service-based vesting (including with respect to termination of employment) that are substantially identical to the terms set forth in this Award Agreement and does not contain any terms related to performance-based vesting; and</w:t>
      </w:r>
    </w:p>
    <w:p>
      <w:pPr>
        <w:pStyle w:val="TextBody"/>
        <w:bidi w:val="0"/>
        <w:spacing w:lineRule="auto" w:line="240" w:before="0" w:after="240"/>
        <w:ind w:left="0" w:right="0" w:firstLine="2160"/>
        <w:jc w:val="both"/>
        <w:rPr/>
      </w:pPr>
      <w:r>
        <w:rPr>
          <w:rFonts w:ascii="Times New Roman;serif" w:hAnsi="Times New Roman;serif"/>
          <w:b w:val="false"/>
          <w:color w:val="000000"/>
          <w:sz w:val="24"/>
        </w:rPr>
        <w:t>(4)</w:t>
      </w:r>
      <w:r>
        <w:rPr>
          <w:rFonts w:ascii="Times New Roman;serif" w:hAnsi="Times New Roman;serif"/>
          <w:b w:val="false"/>
          <w:color w:val="000000"/>
          <w:sz w:val="24"/>
        </w:rPr>
        <w:t>Its other terms and conditions are not less favorable to the Participant than the terms and conditions set forth in this Award Agreement or in the Plan (including provisions that apply in the event of a subsequent change of control) as of the date of a Qualifying Change of Control.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determination of whether the conditions of this Section 3(c)(ii) are satisfied shall be made by the Committee, as constituted immediately prior to a Qualifying Change of Control, in its sole discretion, prior to such Change of Control. If a Replacement Award is provided, the Change of Control Adjusted Performance Share Units shall not be settled upon a Qualifying Change of Control, but instead as provided under Section 3(c)(iii) below. </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 xml:space="preserve">If, in connection with a Qualifying Change of Control, the Participant is provided with a Replacement Award, such Replacement Award shall vest on the Vesting Date and be settled at the time as set forth in </w:t>
      </w:r>
      <w:r>
        <w:rPr>
          <w:rFonts w:ascii="Times New Roman;serif" w:hAnsi="Times New Roman;serif"/>
          <w:b w:val="false"/>
          <w:color w:val="000000"/>
          <w:sz w:val="24"/>
          <w:u w:val="single"/>
        </w:rPr>
        <w:t>Appendix A</w:t>
      </w:r>
      <w:r>
        <w:rPr>
          <w:rFonts w:ascii="Times New Roman;serif" w:hAnsi="Times New Roman;serif"/>
          <w:b w:val="false"/>
          <w:color w:val="000000"/>
          <w:sz w:val="24"/>
        </w:rPr>
        <w:t xml:space="preserve">, subject to the Participant having not incurred a termination of employment with the Employer prior to such Vesting Date; provided that, if, within two years following such Qualifying Change of Control, the Participant incurs a </w:t>
      </w: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85445"/>
                <wp:effectExtent l="0" t="0" r="0" b="0"/>
                <wp:wrapNone/>
                <wp:docPr id="43" name="Frame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termination of employment due to being a Good Leaver (as defined below), then the Replacement Award shall become fully vested effective as of such termination of employment, and the Company shall issue one share to the Participant for each share under the Replacement Award as soon as reasonably practicable (but not later than 30 days) following such termination of employment.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rPr>
        <w:t xml:space="preserve">For purposes of this Award Agreement, the following terms have the meanings set forth below: </w:t>
      </w:r>
    </w:p>
    <w:p>
      <w:pPr>
        <w:pStyle w:val="TextBody"/>
        <w:bidi w:val="0"/>
        <w:spacing w:lineRule="auto" w:line="240" w:before="0" w:after="240"/>
        <w:ind w:left="0" w:right="0" w:firstLine="2160"/>
        <w:jc w:val="both"/>
        <w:rPr/>
      </w:pPr>
      <w:r>
        <w:rPr>
          <w:rFonts w:ascii="Times New Roman;serif" w:hAnsi="Times New Roman;serif"/>
          <w:b w:val="false"/>
          <w:color w:val="000000"/>
          <w:sz w:val="24"/>
        </w:rPr>
        <w:t>(1)</w:t>
      </w:r>
      <w:r>
        <w:rPr>
          <w:color w:val="000000"/>
        </w:rPr>
        <w:t>“</w:t>
      </w:r>
      <w:r>
        <w:rPr>
          <w:rFonts w:ascii="Times New Roman;serif" w:hAnsi="Times New Roman;serif"/>
          <w:b w:val="false"/>
          <w:color w:val="000000"/>
          <w:sz w:val="24"/>
          <w:u w:val="single"/>
        </w:rPr>
        <w:t>Good Leaver</w:t>
      </w:r>
      <w:r>
        <w:rPr>
          <w:color w:val="000000"/>
        </w:rPr>
        <w:t xml:space="preserve">” </w:t>
      </w:r>
      <w:r>
        <w:rPr>
          <w:rFonts w:ascii="Times New Roman;serif" w:hAnsi="Times New Roman;serif"/>
          <w:b w:val="false"/>
          <w:color w:val="000000"/>
          <w:sz w:val="24"/>
        </w:rPr>
        <w:t xml:space="preserve">means the involuntary termination of the Participant’s employment by the Employer other than a termination for Cause, the Participant’s resignation for Good Reason, or the Participant’s termination of employment due to death, Disability or a Qualifying Retirement. </w:t>
      </w:r>
    </w:p>
    <w:p>
      <w:pPr>
        <w:pStyle w:val="TextBody"/>
        <w:bidi w:val="0"/>
        <w:spacing w:lineRule="auto" w:line="240" w:before="0" w:after="240"/>
        <w:ind w:left="0" w:right="0" w:firstLine="2160"/>
        <w:jc w:val="both"/>
        <w:rPr/>
      </w:pPr>
      <w:r>
        <w:rPr>
          <w:rFonts w:ascii="Times New Roman;serif" w:hAnsi="Times New Roman;serif"/>
          <w:b w:val="false"/>
          <w:color w:val="000000"/>
          <w:sz w:val="24"/>
        </w:rPr>
        <w:t>(2)</w:t>
      </w:r>
      <w:r>
        <w:rPr>
          <w:color w:val="000000"/>
        </w:rPr>
        <w:t>“</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shall have the meaning given to such term in an employment agreement, severance or change in control agreement or, if there is no such agreement or if it does not define Good Reason, then Good Reason shall mean the occurrence of any one of the following in the absence of the Participant’s written consent:</w:t>
      </w:r>
    </w:p>
    <w:p>
      <w:pPr>
        <w:pStyle w:val="TextBody"/>
        <w:bidi w:val="0"/>
        <w:spacing w:lineRule="auto" w:line="240" w:before="0" w:after="240"/>
        <w:ind w:left="0" w:right="0" w:firstLine="2880"/>
        <w:jc w:val="both"/>
        <w:rPr/>
      </w:pPr>
      <w:r>
        <w:rPr>
          <w:rFonts w:ascii="Times New Roman;serif" w:hAnsi="Times New Roman;serif"/>
          <w:b w:val="false"/>
          <w:color w:val="000000"/>
          <w:sz w:val="24"/>
        </w:rPr>
        <w:t>a.</w:t>
      </w:r>
      <w:r>
        <w:rPr>
          <w:rFonts w:ascii="Times New Roman;serif" w:hAnsi="Times New Roman;serif"/>
          <w:b w:val="false"/>
          <w:color w:val="000000"/>
          <w:sz w:val="24"/>
        </w:rPr>
        <w:t>A material diminution in the Participant’s annual base salary or target annual incentive compensation from that in effect immediately prior to a Qualifying Change of Control;</w:t>
      </w:r>
    </w:p>
    <w:p>
      <w:pPr>
        <w:pStyle w:val="TextBody"/>
        <w:bidi w:val="0"/>
        <w:spacing w:lineRule="auto" w:line="240" w:before="0" w:after="240"/>
        <w:ind w:left="0" w:right="0" w:firstLine="2880"/>
        <w:jc w:val="both"/>
        <w:rPr/>
      </w:pPr>
      <w:r>
        <w:rPr>
          <w:rFonts w:ascii="Times New Roman;serif" w:hAnsi="Times New Roman;serif"/>
          <w:b w:val="false"/>
          <w:color w:val="000000"/>
          <w:sz w:val="24"/>
        </w:rPr>
        <w:t>b.</w:t>
      </w:r>
      <w:r>
        <w:rPr>
          <w:rFonts w:ascii="Times New Roman;serif" w:hAnsi="Times New Roman;serif"/>
          <w:b w:val="false"/>
          <w:color w:val="000000"/>
          <w:sz w:val="24"/>
        </w:rPr>
        <w:t>The assignment to the Participant of any duties materially inconsistent with the Participant’s positions (including status, offices, titles, and reporting requirements), authority, duties, or responsibilities, or any other action by the Employer that results in a material diminution in such positions, authority, duties, or responsibilities, in each case, from those in effect immediately prior to a Qualifying Change of Control; or</w:t>
      </w:r>
    </w:p>
    <w:p>
      <w:pPr>
        <w:pStyle w:val="TextBody"/>
        <w:bidi w:val="0"/>
        <w:spacing w:lineRule="auto" w:line="240" w:before="0" w:after="240"/>
        <w:ind w:left="0" w:right="0" w:firstLine="2880"/>
        <w:jc w:val="both"/>
        <w:rPr/>
      </w:pPr>
      <w:r>
        <w:rPr>
          <w:rFonts w:ascii="Times New Roman;serif" w:hAnsi="Times New Roman;serif"/>
          <w:b w:val="false"/>
          <w:color w:val="000000"/>
          <w:sz w:val="24"/>
        </w:rPr>
        <w:t>c.</w:t>
      </w:r>
      <w:r>
        <w:rPr>
          <w:rFonts w:ascii="Times New Roman;serif" w:hAnsi="Times New Roman;serif"/>
          <w:b w:val="false"/>
          <w:color w:val="000000"/>
          <w:sz w:val="24"/>
        </w:rPr>
        <w:t>The relocation of the Participant to a work location more than 50 miles from the Participant’s current work location (unless, as a result of such relocation, the Participant’s work location is closer to his or her place of residence);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provided that, in each case the Participant provides written notice to the Employer of the existence of one or more of the conditions described in clauses described above within 30 days following the Participant’s knowledge of the initial existence of such condition or conditions, specifying in reasonable detail the conditions constituting Good Reason, (ii) the Employer fails to cure such event or condition within 30 days following the receipt of such notice and (iii) the Participant incurs a termination of employment within 30 days following the expiration of such cure period.</w:t>
      </w:r>
    </w:p>
    <w:p>
      <w:pPr>
        <w:pStyle w:val="TextBody"/>
        <w:bidi w:val="0"/>
        <w:spacing w:lineRule="auto" w:line="240" w:before="0" w:after="240"/>
        <w:ind w:left="0" w:right="0" w:firstLine="2160"/>
        <w:jc w:val="both"/>
        <w:rPr/>
      </w:pPr>
      <w:r>
        <w:rPr>
          <w:rFonts w:ascii="Times New Roman;serif" w:hAnsi="Times New Roman;serif"/>
          <w:b w:val="false"/>
          <w:color w:val="000000"/>
          <w:sz w:val="24"/>
        </w:rPr>
        <w:t>(3)</w:t>
      </w:r>
      <w:r>
        <w:rPr>
          <w:color w:val="000000"/>
        </w:rPr>
        <w:t>“</w:t>
      </w:r>
      <w:r>
        <w:rPr>
          <w:rFonts w:ascii="Times New Roman;serif" w:hAnsi="Times New Roman;serif"/>
          <w:b w:val="false"/>
          <w:color w:val="000000"/>
          <w:sz w:val="24"/>
          <w:u w:val="single"/>
        </w:rPr>
        <w:t>employed by the Employer</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employment with the Employer</w:t>
      </w:r>
      <w:r>
        <w:rPr>
          <w:color w:val="000000"/>
        </w:rPr>
        <w:t xml:space="preserve">” </w:t>
      </w:r>
      <w:r>
        <w:rPr>
          <w:rFonts w:ascii="Times New Roman;serif" w:hAnsi="Times New Roman;serif"/>
          <w:b w:val="false"/>
          <w:color w:val="000000"/>
          <w:sz w:val="24"/>
        </w:rPr>
        <w:t xml:space="preserve">shall mean employment with the Company, or employment with any corporation, partnership, joint venture or other entity in which the Company, directly or indirectly, has a majority voting interest. </w:t>
      </w:r>
    </w:p>
    <w:p>
      <w:pPr>
        <w:pStyle w:val="TextBody"/>
        <w:bidi w:val="0"/>
        <w:spacing w:lineRule="auto" w:line="240" w:before="0" w:after="24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Termination of Performance Share Units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as set forth in this Award Agreement, if the Participant ceases to be employed by the Employer for any reason before the Vesting Date, the unvested Performance Share Units shall automatically terminate and shall be forfeited as of the date of the Participant’s termination of employment. No payment shall be made with respect to any unvested </w:t>
      </w: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85445"/>
                <wp:effectExtent l="0" t="0" r="0" b="0"/>
                <wp:wrapNone/>
                <wp:docPr id="44" name="Frame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Performance Share Units that terminate. For the avoidance of doubt, except as provided in Section 3(c) of this Award Agreement, vesting shall not be pro-rated between the Date of Grant and the Vesting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If the Participant ceases to be employed by the Employer as a result of the Participant’s Disability or the Participant becoming Disabled, the Performance Share Units shall continue to vest pursuant to Section 3(a) and </w:t>
      </w:r>
      <w:r>
        <w:rPr>
          <w:rFonts w:ascii="Times New Roman;serif" w:hAnsi="Times New Roman;serif"/>
          <w:b w:val="false"/>
          <w:color w:val="000000"/>
          <w:sz w:val="24"/>
          <w:u w:val="single"/>
        </w:rPr>
        <w:t>Appendix A</w:t>
      </w:r>
      <w:r>
        <w:rPr>
          <w:color w:val="000000"/>
        </w:rPr>
        <w:t xml:space="preserve"> </w:t>
      </w:r>
      <w:r>
        <w:rPr>
          <w:rFonts w:ascii="Times New Roman;serif" w:hAnsi="Times New Roman;serif"/>
          <w:b w:val="false"/>
          <w:color w:val="000000"/>
          <w:sz w:val="24"/>
        </w:rPr>
        <w:t>of this Award Agreement, and the Share Payout as a Percentage of Target Award for the Performance Share Units shall be determined as of the Vesting Date and paid in accordance with Section 5 of this Award Agreement; provided, however that the number of shares of Company Stock paid to the Participant shall be multiplied by a fraction, the numerator of which is the number of days elapsed from the Date of Grant to the Participant’s Disability, and the denominator of which is the number of days in the Performance Period.</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If the Participant ceases to be employed by the Employer as a result of the Participant’s death, the Performance Share Units shall continue to vest pursuant to Section 3(a) and </w:t>
      </w:r>
      <w:r>
        <w:rPr>
          <w:rFonts w:ascii="Times New Roman;serif" w:hAnsi="Times New Roman;serif"/>
          <w:b w:val="false"/>
          <w:color w:val="000000"/>
          <w:sz w:val="24"/>
          <w:u w:val="single"/>
        </w:rPr>
        <w:t>Appendix A</w:t>
      </w:r>
      <w:r>
        <w:rPr>
          <w:color w:val="000000"/>
        </w:rPr>
        <w:t xml:space="preserve"> </w:t>
      </w:r>
      <w:r>
        <w:rPr>
          <w:rFonts w:ascii="Times New Roman;serif" w:hAnsi="Times New Roman;serif"/>
          <w:b w:val="false"/>
          <w:color w:val="000000"/>
          <w:sz w:val="24"/>
        </w:rPr>
        <w:t>of this Award Agreement, and the Share Payout as a Percentage of Target Award for the Performance Share Units shall be determined as of the Vesting Date and paid in accordance with Section 5 of this Award Agreement; provided, however that the number of shares of Company Stock paid to the Participant’s estate or other applicable party shall be multiplied by a fraction, the numerator of which is the number of days elapsed from the Date of Grant to the Participant’s death, and the denominator of which is the number of days in the Performance Period.</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If the Participant ceases to be employed by the Employer as a result of the Participant’s Qualifying Retirement, the Performance Share Units shall continue to vest pursuant to Section 3(a) and </w:t>
      </w:r>
      <w:r>
        <w:rPr>
          <w:rFonts w:ascii="Times New Roman;serif" w:hAnsi="Times New Roman;serif"/>
          <w:b w:val="false"/>
          <w:color w:val="000000"/>
          <w:sz w:val="24"/>
          <w:u w:val="single"/>
        </w:rPr>
        <w:t>Appendix A</w:t>
      </w:r>
      <w:r>
        <w:rPr>
          <w:color w:val="000000"/>
        </w:rPr>
        <w:t xml:space="preserve"> </w:t>
      </w:r>
      <w:r>
        <w:rPr>
          <w:rFonts w:ascii="Times New Roman;serif" w:hAnsi="Times New Roman;serif"/>
          <w:b w:val="false"/>
          <w:color w:val="000000"/>
          <w:sz w:val="24"/>
        </w:rPr>
        <w:t>of this Award Agreement, and the Share Payout as a Percentage of Target Award for the Performance Share Units shall be determined as of the Vesting Date and paid in accordance with Section 5 of this Award Agreement; provided, however that the number of shares of Company Stock paid to the Participant shall be multiplied by a fraction, the numerator of which is the number of days elapsed from the Date of Grant to the Participant’s Qualifying Retirement, and the denominator of which is the number of days in the Performance Period. For purposes of this Award Agreement, a “</w:t>
      </w:r>
      <w:r>
        <w:rPr>
          <w:rFonts w:ascii="Times New Roman;serif" w:hAnsi="Times New Roman;serif"/>
          <w:b w:val="false"/>
          <w:color w:val="000000"/>
          <w:sz w:val="24"/>
          <w:u w:val="single"/>
        </w:rPr>
        <w:t>Qualifying Retirement</w:t>
      </w:r>
      <w:r>
        <w:rPr>
          <w:color w:val="000000"/>
        </w:rPr>
        <w:t xml:space="preserve">” </w:t>
      </w:r>
      <w:r>
        <w:rPr>
          <w:rFonts w:ascii="Times New Roman;serif" w:hAnsi="Times New Roman;serif"/>
          <w:b w:val="false"/>
          <w:color w:val="000000"/>
          <w:sz w:val="24"/>
        </w:rPr>
        <w:t>shall mean that the Participant voluntarily retires from the employ of the Employer at or after both attaining age fifty-five (55) and completing five (5) consecutive years of service. For purposes of this Award Agreement, a “year of service” shall mean a twelve (12) month period of continuous full-time employment with the Employer (determined without regard to any breaks in service due to a paid leave of absence or any unpaid leave of absence authorized in writing by the Employer). For the avoidance of doubt, termination of the Participant’s employment with the Employer, either with or without Cause, shall not be treated as a Qualifying Retirement.  If the Participant ceases to be employed by the Employer as a result of the Participant’s Qualifying Retirement prior to a Qualifying Change of Control and a Qualifying Change of Control occurs, the Performance Share Units shall vest consistent with Section 3(c) except that the number of shares of Company Stock paid to the Participant shall be multiplied by a fraction, the numerator of which is the number of days elapsed from the Date of Grant to the Participant’s Qualifying Retirement, and the denominator of which is the number of days in the Performance Period and shall be paid as soon as administratively practicable (but no later than thirty (30) days) following the occurrence of such Change of Control.</w:t>
      </w:r>
    </w:p>
    <w:p>
      <w:pPr>
        <w:pStyle w:val="TextBody"/>
        <w:bidi w:val="0"/>
        <w:spacing w:lineRule="auto" w:line="240" w:before="0" w:after="24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Payment of Performance Share Units and Tax Withholding</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If and when the Performance Share Units vest, the Company shall issue to the Participant one share of Company Stock for each vested Performance Share Unit, subject to applicable tax withholding obligations. Subject to Sections 5(b) and 19 below, the issuance of </w:t>
      </w: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85445"/>
                <wp:effectExtent l="0" t="0" r="0" b="0"/>
                <wp:wrapNone/>
                <wp:docPr id="45" name="Frame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shares of Company Stock pursuant to the preceding sentence of this Section 5(a) shall be made as soon as administratively practicable (but no later than thirty (30) days) following the applicable Vesting Date and following the certification by the Committee of the of the Company’s achievement, if any, of the Performance Goals set forth on </w:t>
      </w:r>
      <w:r>
        <w:rPr>
          <w:rFonts w:ascii="Times New Roman;serif" w:hAnsi="Times New Roman;serif"/>
          <w:b w:val="false"/>
          <w:color w:val="000000"/>
          <w:sz w:val="24"/>
          <w:u w:val="single"/>
        </w:rPr>
        <w:t>Appendix A</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All obligations of the Company under this Award Agreement shall be subject to the rights of the Employer as set forth in the Plan to withhold amounts required to be withheld for any taxes, if applicable. The Participant agrees that the Company shall automatically and mandatorily withhold a number of shares of Company Stock having a value (as measured on the date the Performance Share Units are subject to tax) equal to the Participant’s FICA, federal income, state, local and other tax liabilities required by law to be withheld with respect to the payment of the Performance Share Units. To the extent Participant’s tax liabilities are not satisfied in accordance with the immediately preceding sentence, the Participant shall be required to pay to the Employer, or make other arrangements satisfactory to the Employer to provide for the payment of, any federal, state, local or other taxes that the Employer is required to withhold with respect to the Performance Share Units. </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 obligation of the Company to deliver Company Stock shall also be subject to the condition that if at any time the Board shall determine in its discretion that the listing, registration or qualification of the shares upon any securities exchange or under any state or federal law, or the consent or approval of any governmental regulatory body is necessary or desirable as a condition of, or in connection with, the issuance of shares, the shares may not be issued in whole or in part unless such listing, registration, qualification, consent or approval shall have been effected or obtained free of any conditions not acceptable to the Board. The issuance of shares, if any, to the Participant pursuant to this Award Agreement is subject to any applicable taxes and other laws or regulations of the United States or of any state, municipality or other country having jurisdiction thereof.</w:t>
      </w:r>
    </w:p>
    <w:p>
      <w:pPr>
        <w:pStyle w:val="TextBody"/>
        <w:bidi w:val="0"/>
        <w:spacing w:lineRule="auto" w:line="240" w:before="0" w:after="24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No Stockholder Rights</w:t>
      </w:r>
      <w:r>
        <w:rPr>
          <w:rFonts w:ascii="Times New Roman;serif" w:hAnsi="Times New Roman;serif"/>
          <w:b w:val="false"/>
          <w:color w:val="000000"/>
          <w:sz w:val="24"/>
        </w:rPr>
        <w:t>. Neither the Participant, nor any person or entity entitled to receive payment in the event of the Participant’s death, shall have any of the rights and privileges of a stockholder with respect to shares of Company Stock, including voting or dividend rights (including Dividend Equivalents), until certificates for shares have been issued upon payment of Performance Share Units. The Participant acknowledges that no election under Section 83(b) of the Code is available with respect to the Performance Share Units.</w:t>
      </w:r>
      <w:r>
        <w:rPr>
          <w:color w:val="000000"/>
        </w:rPr>
        <w:t xml:space="preserve"> </w:t>
      </w:r>
    </w:p>
    <w:p>
      <w:pPr>
        <w:pStyle w:val="TextBody"/>
        <w:bidi w:val="0"/>
        <w:spacing w:lineRule="auto" w:line="240" w:before="0" w:after="24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Grant Subject to Plan Provisions</w:t>
      </w:r>
      <w:r>
        <w:rPr>
          <w:rFonts w:ascii="Times New Roman;serif" w:hAnsi="Times New Roman;serif"/>
          <w:b w:val="false"/>
          <w:color w:val="000000"/>
          <w:sz w:val="24"/>
        </w:rPr>
        <w:t>. This grant is made pursuant to the Plan, the terms of which are incorporated herein by reference, and in all respects shall be interpreted in accordance with the Plan. The grant and payment of the Performance Share Units are subject to the provisions of the Plan and to interpretations, regulations and determinations concerning the Plan established from time to time by the Committee in accordance with the provisions of the Plan, including, but not limited to, provisions pertaining to (a) rights and obligations with respect to withholding taxes, (b) the registration, qualification or listing of the shares of Company Stock, (c) changes in capitalization of the Company and (d) other requirements of applicable law. The Committee shall have the authority to interpret and construe the Performance Share Units pursuant to the terms of the Plan, and its decisions shall be conclusive as to any questions arising hereunder.</w:t>
      </w:r>
    </w:p>
    <w:p>
      <w:pPr>
        <w:pStyle w:val="TextBody"/>
        <w:bidi w:val="0"/>
        <w:spacing w:lineRule="auto" w:line="240" w:before="0" w:after="24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No Employment or Other Rights</w:t>
      </w:r>
      <w:r>
        <w:rPr>
          <w:rFonts w:ascii="Times New Roman;serif" w:hAnsi="Times New Roman;serif"/>
          <w:b w:val="false"/>
          <w:color w:val="000000"/>
          <w:sz w:val="24"/>
        </w:rPr>
        <w:t xml:space="preserve">. The grant of the Performance Share Units shall not confer upon the Participant any right to be retained by or in the employ of any Employer and shall not interfere in any way with the right of any Employer to terminate the Participant’s employment at any time. The right of any Employer to terminate at will the Participant’s employment at any time for any reason is specifically reserved. The obligations of the Company hereunder will be that of an unfunded and unsecured promise of the Company to deliver, for each vested Performance Share Unit, one share of Company Stock, and the rights of the Participant </w:t>
      </w: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85445"/>
                <wp:effectExtent l="0" t="0" r="0" b="0"/>
                <wp:wrapNone/>
                <wp:docPr id="46" name="Frame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will be no greater than that of an unsecured general creditor. No assets of the Company will be held or set aside as security for the obligations of the Company hereunder. </w:t>
      </w:r>
    </w:p>
    <w:p>
      <w:pPr>
        <w:pStyle w:val="TextBody"/>
        <w:bidi w:val="0"/>
        <w:spacing w:lineRule="auto" w:line="240" w:before="0" w:after="24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Assignment and Transfers</w:t>
      </w:r>
      <w:r>
        <w:rPr>
          <w:rFonts w:ascii="Times New Roman;serif" w:hAnsi="Times New Roman;serif"/>
          <w:b w:val="false"/>
          <w:color w:val="000000"/>
          <w:sz w:val="24"/>
        </w:rPr>
        <w:t>. Except as the Committee may otherwise permit pursuant to the Plan, the rights and interests of the Participant under this Award Agreement may not be sold, assigned, encumbered or otherwise transferred except, in the event of the death of the Participant, by will or by the laws of descent and distribution. In the event of any attempt by the Participant to alienate, assign, pledge, hypothecate, or otherwise dispose of the Performance Share Units or any right hereunder, except as provided for in this Award Agreement, or in the event of the levy or any attachment, execution or similar process upon the rights or interests hereby conferred, the Company may terminate the Performance Share Units by notice to the Participant, and the Performance Share Units and all rights hereunder shall thereupon become null and void. The rights and protections of the Company hereunder shall extend to any successors or assigns of the Company and to the Company’s parents, subsidiaries, and affiliates. This Award Agreement may be assigned by the Company without the Participant’s consent.</w:t>
      </w:r>
    </w:p>
    <w:p>
      <w:pPr>
        <w:pStyle w:val="TextBody"/>
        <w:bidi w:val="0"/>
        <w:spacing w:lineRule="auto" w:line="240" w:before="0" w:after="24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Applicable Law; Jurisdiction</w:t>
      </w:r>
      <w:r>
        <w:rPr>
          <w:rFonts w:ascii="Times New Roman;serif" w:hAnsi="Times New Roman;serif"/>
          <w:b w:val="false"/>
          <w:color w:val="000000"/>
          <w:sz w:val="24"/>
        </w:rPr>
        <w:t>. The validity, construction, interpretation and effect of this Award Agreement shall be governed by and construed in accordance with the laws of the Commonwealth of Massachusetts, without giving effect to the conflicts of laws provisions thereof. Any action arising out of, or relating to, any of the provisions of this Award Agreement shall be brought only in the United States District Court for the District of Massachusetts, or if such court does not have jurisdiction or will not accept jurisdiction, in any court of general jurisdiction in Boston, Massachusetts, and the jurisdiction of such court in any such proceeding shall be exclusive. Notwithstanding the foregoing sentence, on and after the date a Participant receives shares of Company Stock hereunder, the Participant will be subject to the jurisdiction provision set forth in the Company’s bylaws.</w:t>
      </w:r>
      <w:r>
        <w:rPr>
          <w:color w:val="000000"/>
        </w:rPr>
        <w:t xml:space="preserve"> </w:t>
      </w:r>
    </w:p>
    <w:p>
      <w:pPr>
        <w:pStyle w:val="TextBody"/>
        <w:bidi w:val="0"/>
        <w:spacing w:lineRule="auto" w:line="240" w:before="0" w:after="24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Notice</w:t>
      </w:r>
      <w:r>
        <w:rPr>
          <w:rFonts w:ascii="Times New Roman;serif" w:hAnsi="Times New Roman;serif"/>
          <w:b w:val="false"/>
          <w:color w:val="000000"/>
          <w:sz w:val="24"/>
        </w:rPr>
        <w:t xml:space="preserve">. Subject to Section 13 of this Award Agreement, any notice to the Company provided for in this instrument shall be addressed to the Company in care of the General Counsel at the corporate headquarters of the Company, and any notice to the Participant shall be addressed to such Participant at the current address shown on the payroll of the Employer. Any notice shall be delivered by hand, or enclosed in a properly sealed envelope addressed as stated above, registered and deposited, postage prepaid, in a post office regularly maintained by the United States Postal Service or by the postal authority of the country in which the Participant resides or to an internationally recognized expedited mail courier. </w:t>
      </w:r>
    </w:p>
    <w:p>
      <w:pPr>
        <w:pStyle w:val="TextBody"/>
        <w:bidi w:val="0"/>
        <w:spacing w:lineRule="auto" w:line="240" w:before="0" w:after="24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Recoupment Policy</w:t>
      </w:r>
      <w:r>
        <w:rPr>
          <w:rFonts w:ascii="Times New Roman;serif" w:hAnsi="Times New Roman;serif"/>
          <w:b w:val="false"/>
          <w:color w:val="000000"/>
          <w:sz w:val="24"/>
        </w:rPr>
        <w:t>. The Participant agrees that, subject to the requirements of applicable law, the Performance Share Units, and the right to receive and retain any Company Stock covered by this Award Agreement, shall be subject to rescission, cancellation or recoupment, in whole or part, if and to the extent so provided under any “clawback” or recoupment policies, securities exchange listing standard, share trading policy or and similar standard or policy that may be required by law or implemented by the Company and that is in effect on the Date of Grant or that may be established thereafter</w:t>
      </w:r>
      <w:r>
        <w:rPr>
          <w:rFonts w:ascii="Times New Roman;serif" w:hAnsi="Times New Roman;serif"/>
          <w:b w:val="false"/>
          <w:color w:val="000000"/>
          <w:sz w:val="20"/>
        </w:rPr>
        <w:t xml:space="preserve">, </w:t>
      </w:r>
      <w:r>
        <w:rPr>
          <w:rFonts w:ascii="Times New Roman;serif" w:hAnsi="Times New Roman;serif"/>
          <w:b w:val="false"/>
          <w:color w:val="000000"/>
          <w:sz w:val="24"/>
        </w:rPr>
        <w:t>including, but not limited to, the Company’s Clawback Policy as set forth in the Principles of Corporate Governance, or other policy in effect from time to time, and any successor policy, whether approved before or after the Date of Grant. By accepting the Performance Share Units, the Participant agrees and acknowledges that the Participant is obligated to cooperate with, and provide any and all assistance necessary to, the Company to recover or recoup any such Performance Share Units or shares or amounts paid under the Performance Share Units subject to clawback or recoupment pursuant to such policy, listing standard or law. Such cooperation and assistance shall include, but is not limited to, executing, completing and submitting any documentation necessary to recover or recoup any such Performance Share Units or shares or amount paid from the Participant’s accounts, or pending or future compensation or Awards under the Plan.</w:t>
      </w: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85445"/>
                <wp:effectExtent l="0" t="0" r="0" b="0"/>
                <wp:wrapNone/>
                <wp:docPr id="47" name="Frame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Electronic Delivery</w:t>
      </w:r>
      <w:r>
        <w:rPr>
          <w:rFonts w:ascii="Times New Roman;serif" w:hAnsi="Times New Roman;serif"/>
          <w:b w:val="false"/>
          <w:color w:val="000000"/>
          <w:sz w:val="24"/>
        </w:rPr>
        <w:t>. The Company may, in its sole discretion, deliver any documents relating to the Participant’s Performance Share Units and the Participant’s participation in the Plan, or future Awards that may be granted under the Plan, by electronic means or request the Participant’s consent to participate in the Plan by electronic means. The Participant hereby consents to receive such documents by electronic delivery and, if requested, agrees to participate in the Plan through an on-line or electronic system established and maintained by the Company or another third-party designated by the Company.</w:t>
      </w:r>
    </w:p>
    <w:p>
      <w:pPr>
        <w:pStyle w:val="TextBody"/>
        <w:bidi w:val="0"/>
        <w:spacing w:lineRule="auto" w:line="240" w:before="0" w:after="24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any provision of this Award Agreement is held to be unenforceable, illegal or invalid for any reason, the unenforceability, illegality or invalidity will not affect the remaining provisions of the Award Agreement, and the Award Agreement is to be construed and enforced as if the unenforceable, illegal or invalid provision had not been inserted, and the provisions so held to be invalid, unenforceable or otherwise illegal shall be reformed to the extent (and only to the extent) necessary to make it enforceable, valid and legal.</w:t>
      </w:r>
    </w:p>
    <w:p>
      <w:pPr>
        <w:pStyle w:val="TextBody"/>
        <w:bidi w:val="0"/>
        <w:spacing w:lineRule="auto" w:line="240" w:before="0" w:after="24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Waiver</w:t>
      </w:r>
      <w:r>
        <w:rPr>
          <w:rFonts w:ascii="Times New Roman;serif" w:hAnsi="Times New Roman;serif"/>
          <w:b w:val="false"/>
          <w:color w:val="000000"/>
          <w:sz w:val="24"/>
        </w:rPr>
        <w:t>. The waiver by the Company with respect to the Participant’s (or any other participant’s) compliance of any provision of this Award Agreement shall not operate or be construed as a waiver of any other provision of this Award Agreement, or of any subsequent breach by such party of a provision of this Award Agreement.</w:t>
      </w:r>
    </w:p>
    <w:p>
      <w:pPr>
        <w:pStyle w:val="TextBody"/>
        <w:bidi w:val="0"/>
        <w:spacing w:lineRule="auto" w:line="240" w:before="0" w:after="24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Amendment</w:t>
      </w:r>
      <w:r>
        <w:rPr>
          <w:rFonts w:ascii="Times New Roman;serif" w:hAnsi="Times New Roman;serif"/>
          <w:b w:val="false"/>
          <w:color w:val="000000"/>
          <w:sz w:val="24"/>
        </w:rPr>
        <w:t xml:space="preserve">. Except as permitted by the Plan, this Award Agreement may not be amended, modified, terminated or otherwise altered except by the written consent of the Company and the Participant. </w:t>
      </w:r>
    </w:p>
    <w:p>
      <w:pPr>
        <w:pStyle w:val="TextBody"/>
        <w:bidi w:val="0"/>
        <w:spacing w:lineRule="auto" w:line="240" w:before="0" w:after="24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Award Agreement may be executed in one or more counterparts, each of which will be deemed to be an original but all of which together will constitute one and the same instrument.</w:t>
      </w:r>
    </w:p>
    <w:p>
      <w:pPr>
        <w:pStyle w:val="TextBody"/>
        <w:bidi w:val="0"/>
        <w:spacing w:lineRule="auto" w:line="240" w:before="0" w:after="240"/>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Binding Effect; No Third Party Beneficiaries</w:t>
      </w:r>
      <w:r>
        <w:rPr>
          <w:rFonts w:ascii="Times New Roman;serif" w:hAnsi="Times New Roman;serif"/>
          <w:b w:val="false"/>
          <w:color w:val="000000"/>
          <w:sz w:val="24"/>
        </w:rPr>
        <w:t>. This Award Agreement shall be binding upon and inure to the benefit of the Company and the Participant and each of their respective heirs, representatives, successors and permitted assigns. This Award Agreement shall not confer any rights or remedies upon any person other than the Company and the Participant and each of their respective heirs, representatives, successor and permitted assigns.</w:t>
      </w:r>
    </w:p>
    <w:p>
      <w:pPr>
        <w:pStyle w:val="TextBody"/>
        <w:bidi w:val="0"/>
        <w:spacing w:lineRule="auto" w:line="240" w:before="0" w:after="240"/>
        <w:jc w:val="both"/>
        <w:rPr/>
      </w:pPr>
      <w:r>
        <w:rPr>
          <w:rFonts w:ascii="Times New Roman;serif" w:hAnsi="Times New Roman;serif"/>
          <w:b w:val="false"/>
          <w:color w:val="000000"/>
          <w:sz w:val="24"/>
        </w:rPr>
        <w:t>19.</w:t>
      </w:r>
      <w:r>
        <w:rPr>
          <w:rFonts w:ascii="Times New Roman;serif" w:hAnsi="Times New Roman;serif"/>
          <w:b w:val="false"/>
          <w:color w:val="000000"/>
          <w:sz w:val="24"/>
          <w:u w:val="single"/>
        </w:rPr>
        <w:t>Application of Section 409A of the Code</w:t>
      </w:r>
      <w:r>
        <w:rPr>
          <w:rFonts w:ascii="Times New Roman;serif" w:hAnsi="Times New Roman;serif"/>
          <w:b w:val="false"/>
          <w:color w:val="000000"/>
          <w:sz w:val="24"/>
        </w:rPr>
        <w:t>. The Award covered by this Award Agreement is intended to be exempt from or otherwise comply with the provisions of Section 409A of the Code, as amended, and the regulations and other guidance promulgated thereunder (“</w:t>
      </w:r>
      <w:r>
        <w:rPr>
          <w:rFonts w:ascii="Times New Roman;serif" w:hAnsi="Times New Roman;serif"/>
          <w:b w:val="false"/>
          <w:color w:val="000000"/>
          <w:sz w:val="24"/>
          <w:u w:val="single"/>
        </w:rPr>
        <w:t>Section 409A</w:t>
      </w:r>
      <w:r>
        <w:rPr>
          <w:color w:val="000000"/>
        </w:rPr>
        <w:t>”</w:t>
      </w:r>
      <w:r>
        <w:rPr>
          <w:rFonts w:ascii="Times New Roman;serif" w:hAnsi="Times New Roman;serif"/>
          <w:b w:val="false"/>
          <w:color w:val="000000"/>
          <w:sz w:val="24"/>
        </w:rPr>
        <w:t xml:space="preserve">). Notwithstanding the foregoing, if the Performance Share Units constitute “deferred compensation” under Section 409A and the Performance Share Units become vested and settled upon the Participant’s termination of employment, payment with respect to the Performance Share Units shall be delayed for a period of six months after the Participant’s termination of employment if the Participant is a “specified employee” as defined under Section 409A and if required pursuant to Section 409A. If payment is delayed, the Performance Share Units shall be settled and paid within thirty (30) days after the date that is six (6) months following the Participant’s termination of employment. Payments with respect to the Performance Share Units may only be paid in a manner and upon an event permitted by Section 409A, and each payment under the Performance Share Units shall be treated as a separate payment, and the right to a series of installment payments under the Performance Share Units shall be treated as a right to a series of separate payments. In no event shall the Participant, directly or indirectly, designate the calendar year of payment. The Company may change or modify the terms of this Award Agreement without the Participant’s consent or signature if the Company determines, in its sole discretion, that such change or modification is necessary for purposes of compliance with or exemption from the requirements of Section 409A or any regulations or other guidance issued thereunder. Notwithstanding the foregoing, the Company makes no representations and/or </w:t>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85445"/>
                <wp:effectExtent l="0" t="0" r="0" b="0"/>
                <wp:wrapNone/>
                <wp:docPr id="48" name="Frame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warranties with respect to compliance with Section 409A, and the Participant recognizes and acknowledges that Section 409A could potentially impose upon the Participant certain taxes and/or interest charges for which the Participant is and shall remain solely responsible. </w:t>
      </w:r>
    </w:p>
    <w:p>
      <w:pPr>
        <w:pStyle w:val="TextBody"/>
        <w:bidi w:val="0"/>
        <w:spacing w:lineRule="auto" w:line="240" w:before="0" w:after="240"/>
        <w:jc w:val="both"/>
        <w:rPr/>
      </w:pPr>
      <w:r>
        <w:rPr>
          <w:rFonts w:ascii="Times New Roman;serif" w:hAnsi="Times New Roman;serif"/>
          <w:b w:val="false"/>
          <w:color w:val="000000"/>
          <w:sz w:val="24"/>
        </w:rPr>
        <w:t>20.</w:t>
      </w:r>
      <w:r>
        <w:rPr>
          <w:rFonts w:ascii="Times New Roman;serif" w:hAnsi="Times New Roman;serif"/>
          <w:b/>
          <w:color w:val="000000"/>
          <w:sz w:val="24"/>
          <w:u w:val="single"/>
        </w:rPr>
        <w:t>Time for Acceptance</w:t>
      </w:r>
      <w:r>
        <w:rPr>
          <w:rFonts w:ascii="Times New Roman;serif" w:hAnsi="Times New Roman;serif"/>
          <w:b/>
          <w:color w:val="000000"/>
          <w:sz w:val="24"/>
        </w:rPr>
        <w:t>. Unless the Participant shall evidence acceptance of this Performance Share Unit Award Agreement by electronic or other means prescribed by the Committee within ninety (90) days after its delivery, the Performance Share Units shall be null and void (unless waived by the Committee).</w:t>
      </w:r>
    </w:p>
    <w:p>
      <w:pPr>
        <w:pStyle w:val="TextBody"/>
        <w:bidi w:val="0"/>
        <w:spacing w:lineRule="auto" w:line="240" w:before="0" w:after="0"/>
        <w:ind w:left="0" w:right="0" w:firstLine="360"/>
        <w:jc w:val="center"/>
        <w:rPr>
          <w:rFonts w:ascii="Times New Roman;serif" w:hAnsi="Times New Roman;serif"/>
          <w:b/>
          <w:i/>
          <w:color w:val="000000"/>
          <w:sz w:val="24"/>
        </w:rPr>
      </w:pPr>
      <w:r>
        <w:rPr>
          <w:rFonts w:ascii="Times New Roman;serif" w:hAnsi="Times New Roman;serif"/>
          <w:b/>
          <w:i/>
          <w:color w:val="000000"/>
          <w:sz w:val="24"/>
        </w:rPr>
        <w:t>[Signature Page Follows]</w:t>
      </w:r>
    </w:p>
    <w:p>
      <w:pPr>
        <w:pStyle w:val="TextBody"/>
        <w:bidi w:val="0"/>
        <w:ind w:left="0" w:right="0" w:firstLine="36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85445"/>
                <wp:effectExtent l="0" t="0" r="0" b="0"/>
                <wp:wrapNone/>
                <wp:docPr id="49" name="Frame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Company has caused its duly authorized officer to execute this Award Agreement, and the Participant has executed this Award Agreement, effective as of the Date of Grant.</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pPr>
      <w:r>
        <w:rPr>
          <w:color w:val="000000"/>
        </w:rPr>
        <w:t>        </w:t>
      </w:r>
      <w:r>
        <w:rPr>
          <w:rFonts w:ascii="Times New Roman;serif" w:hAnsi="Times New Roman;serif"/>
          <w:b w:val="false"/>
          <w:color w:val="000000"/>
          <w:sz w:val="24"/>
        </w:rPr>
        <w:t>HAEMONETICS CORPORATION</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color w:val="000000"/>
          <w:u w:val="single"/>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Name: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Title: </w:t>
      </w:r>
    </w:p>
    <w:p>
      <w:pPr>
        <w:pStyle w:val="TextBody"/>
        <w:bidi w:val="0"/>
        <w:spacing w:before="0" w:after="240"/>
        <w:jc w:val="left"/>
        <w:rPr/>
      </w:pPr>
      <w:r>
        <w:rPr/>
      </w:r>
    </w:p>
    <w:p>
      <w:pPr>
        <w:pStyle w:val="TextBody"/>
        <w:bidi w:val="0"/>
        <w:spacing w:before="0" w:after="0"/>
        <w:jc w:val="center"/>
        <w:rPr/>
      </w:pPr>
      <w:r>
        <w:rPr/>
      </w:r>
    </w:p>
    <w:p>
      <w:pPr>
        <w:pStyle w:val="TextBody"/>
        <w:bidi w:val="0"/>
        <w:spacing w:lineRule="auto" w:line="288" w:before="0" w:after="720"/>
        <w:jc w:val="both"/>
        <w:rPr>
          <w:rFonts w:ascii="Times New Roman;serif" w:hAnsi="Times New Roman;serif"/>
          <w:b w:val="false"/>
          <w:color w:val="000000"/>
          <w:sz w:val="24"/>
        </w:rPr>
      </w:pPr>
      <w:r>
        <w:rPr>
          <w:rFonts w:ascii="Times New Roman;serif" w:hAnsi="Times New Roman;serif"/>
          <w:b w:val="false"/>
          <w:color w:val="000000"/>
          <w:sz w:val="24"/>
        </w:rPr>
        <w:t>I hereby accept the award of Performance Share Units described in this Award Agreement, and I agree to be bound by the terms of the Plan and this Award Agreement. I hereby agree that all decisions and determinations of the Committee with respect to the Performance Share Units shall be final and binding.</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Participant</w:t>
      </w:r>
    </w:p>
    <w:p>
      <w:pPr>
        <w:pStyle w:val="TextBody"/>
        <w:bidi w:val="0"/>
        <w:spacing w:before="0" w:after="720"/>
        <w:jc w:val="both"/>
        <w:rPr/>
      </w:pPr>
      <w:r>
        <w:rPr/>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85445"/>
                <wp:effectExtent l="0" t="0" r="0" b="0"/>
                <wp:wrapNone/>
                <wp:docPr id="50" name="Frame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4"/>
        </w:rPr>
        <w:t>*</w:t>
      </w:r>
      <w:r>
        <w:rPr>
          <w:rFonts w:ascii="Times New Roman;serif" w:hAnsi="Times New Roman;serif"/>
          <w:b w:val="false"/>
          <w:color w:val="000000"/>
          <w:sz w:val="24"/>
          <w:u w:val="single"/>
        </w:rPr>
        <w:t>Appendix A</w:t>
      </w:r>
      <w:r>
        <w:rPr>
          <w:color w:val="000000"/>
        </w:rPr>
        <w:t> </w:t>
      </w:r>
      <w:r>
        <w:rPr>
          <w:rFonts w:ascii="Times New Roman;serif" w:hAnsi="Times New Roman;serif"/>
          <w:b w:val="false"/>
          <w:color w:val="000000"/>
          <w:sz w:val="24"/>
        </w:rPr>
        <w:t>omitted pursuant to Item 601(a)(5) of Regulation S-K. A copy of any omitted schedule and/or exhibit will be furnished as a supplement to the Securities and Exchange Commission upon request.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85445"/>
                <wp:effectExtent l="0" t="0" r="0" b="0"/>
                <wp:wrapNone/>
                <wp:docPr id="51" name="Frame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HAEMONETICS CORPORATION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2019 LONG-TERM INCENTIVE COMPENSATION PLAN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PERFORMANCE SHARE UNIT AWARD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PERFORMANCE SHARE UNIT AWARD AGREEMENT (the “</w:t>
      </w:r>
      <w:r>
        <w:rPr>
          <w:rFonts w:ascii="Times New Roman;serif" w:hAnsi="Times New Roman;serif"/>
          <w:b w:val="false"/>
          <w:color w:val="000000"/>
          <w:sz w:val="24"/>
          <w:u w:val="single"/>
        </w:rPr>
        <w:t>Award Agreement</w:t>
      </w:r>
      <w:r>
        <w:rPr>
          <w:color w:val="000000"/>
        </w:rPr>
        <w:t>”</w:t>
      </w:r>
      <w:r>
        <w:rPr>
          <w:rFonts w:ascii="Times New Roman;serif" w:hAnsi="Times New Roman;serif"/>
          <w:b w:val="false"/>
          <w:color w:val="000000"/>
          <w:sz w:val="24"/>
        </w:rPr>
        <w:t>), dated as of [●]</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Date of Grant</w:t>
      </w:r>
      <w:r>
        <w:rPr>
          <w:color w:val="000000"/>
        </w:rPr>
        <w:t>”</w:t>
      </w:r>
      <w:r>
        <w:rPr>
          <w:rFonts w:ascii="Times New Roman;serif" w:hAnsi="Times New Roman;serif"/>
          <w:b w:val="false"/>
          <w:color w:val="000000"/>
          <w:sz w:val="24"/>
        </w:rPr>
        <w:t>), is delivered by Haemonetics Corporation</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to [●] (the “</w:t>
      </w:r>
      <w:r>
        <w:rPr>
          <w:rFonts w:ascii="Times New Roman;serif" w:hAnsi="Times New Roman;serif"/>
          <w:b w:val="false"/>
          <w:color w:val="000000"/>
          <w:sz w:val="24"/>
          <w:u w:val="single"/>
        </w:rPr>
        <w:t>Participant</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RECITALS</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Haemonetics Corporation 2019 Long-Term Incentive Compensation Plan (as amended and/or restated from time to time,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xml:space="preserve">) provides for the grant of performance-based restricted share units in accordance with the terms and conditions of the Plan. The Committee has decided to make this grant of performance-based restricted share units as an inducement for the Participant to promote the best interests of the Company and its stockholders. This Award Agreement is made pursuant to the Plan and is subject in its entirety to all applicable provisions of the Plan. Capitalized terms used herein and not otherwise defined will have the meanings set forth in the Plan. </w:t>
      </w:r>
    </w:p>
    <w:p>
      <w:pPr>
        <w:pStyle w:val="TextBody"/>
        <w:bidi w:val="0"/>
        <w:spacing w:lineRule="auto" w:line="240" w:before="0" w:after="24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Grant of Performance Share Units</w:t>
      </w:r>
      <w:r>
        <w:rPr>
          <w:rFonts w:ascii="Times New Roman;serif" w:hAnsi="Times New Roman;serif"/>
          <w:b w:val="false"/>
          <w:color w:val="000000"/>
          <w:sz w:val="24"/>
        </w:rPr>
        <w:t>. Subject to the terms and conditions set forth in this Award Agreement and in the Plan, the Company hereby grants the Participant a target award of [●] performance-based restricted share units (the “</w:t>
      </w:r>
      <w:r>
        <w:rPr>
          <w:rFonts w:ascii="Times New Roman;serif" w:hAnsi="Times New Roman;serif"/>
          <w:b w:val="false"/>
          <w:color w:val="000000"/>
          <w:sz w:val="24"/>
          <w:u w:val="single"/>
        </w:rPr>
        <w:t>Performance Share Units</w:t>
      </w:r>
      <w:r>
        <w:rPr>
          <w:color w:val="000000"/>
        </w:rPr>
        <w:t>”</w:t>
      </w:r>
      <w:r>
        <w:rPr>
          <w:rFonts w:ascii="Times New Roman;serif" w:hAnsi="Times New Roman;serif"/>
          <w:b w:val="false"/>
          <w:color w:val="000000"/>
          <w:sz w:val="24"/>
        </w:rPr>
        <w:t>), subject to the terms and restrictions set forth below and in the Plan (such amount of Performance Share Units, the “</w:t>
      </w:r>
      <w:r>
        <w:rPr>
          <w:rFonts w:ascii="Times New Roman;serif" w:hAnsi="Times New Roman;serif"/>
          <w:b w:val="false"/>
          <w:color w:val="000000"/>
          <w:sz w:val="24"/>
          <w:u w:val="single"/>
        </w:rPr>
        <w:t>Target Award</w:t>
      </w:r>
      <w:r>
        <w:rPr>
          <w:color w:val="000000"/>
        </w:rPr>
        <w:t>”</w:t>
      </w:r>
      <w:r>
        <w:rPr>
          <w:rFonts w:ascii="Times New Roman;serif" w:hAnsi="Times New Roman;serif"/>
          <w:b w:val="false"/>
          <w:color w:val="000000"/>
          <w:sz w:val="24"/>
        </w:rPr>
        <w:t>). Each Performance Share Unit represents the right of the Participant to receive a share of common stock of the Company (“</w:t>
      </w:r>
      <w:r>
        <w:rPr>
          <w:rFonts w:ascii="Times New Roman;serif" w:hAnsi="Times New Roman;serif"/>
          <w:b w:val="false"/>
          <w:color w:val="000000"/>
          <w:sz w:val="24"/>
          <w:u w:val="single"/>
        </w:rPr>
        <w:t>Company Stock</w:t>
      </w:r>
      <w:r>
        <w:rPr>
          <w:color w:val="000000"/>
        </w:rPr>
        <w:t>”</w:t>
      </w:r>
      <w:r>
        <w:rPr>
          <w:rFonts w:ascii="Times New Roman;serif" w:hAnsi="Times New Roman;serif"/>
          <w:b w:val="false"/>
          <w:color w:val="000000"/>
          <w:sz w:val="24"/>
        </w:rPr>
        <w:t xml:space="preserve">), if and when the specified conditions are met in Section 3 below, and on the applicable payment date set forth in Section 5 below. </w:t>
      </w:r>
    </w:p>
    <w:p>
      <w:pPr>
        <w:pStyle w:val="TextBody"/>
        <w:bidi w:val="0"/>
        <w:spacing w:lineRule="auto" w:line="240" w:before="0" w:after="24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Performance Share Units are Hypothetical Shares</w:t>
      </w:r>
      <w:r>
        <w:rPr>
          <w:rFonts w:ascii="Times New Roman;serif" w:hAnsi="Times New Roman;serif"/>
          <w:b w:val="false"/>
          <w:color w:val="000000"/>
          <w:sz w:val="24"/>
        </w:rPr>
        <w:t>. Performance Share Units represent hypothetical shares of Company Stock, and not actual shares of stock. No shares of Company Stock shall be issued to the Participant at the time the grant is made, and the Participant shall not be, and shall not have any of the rights or privileges of, a stockholder of the Company with respect to any Performance Share Units. The Participant shall not have any interest in any fund or specific assets of the Company by reason of this Award.</w:t>
      </w:r>
    </w:p>
    <w:p>
      <w:pPr>
        <w:pStyle w:val="TextBody"/>
        <w:bidi w:val="0"/>
        <w:spacing w:lineRule="auto" w:line="240" w:before="0" w:after="24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Vesting</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Subject to the terms of this Section 3 and the terms of </w:t>
      </w:r>
      <w:r>
        <w:rPr>
          <w:rFonts w:ascii="Times New Roman;serif" w:hAnsi="Times New Roman;serif"/>
          <w:b w:val="false"/>
          <w:color w:val="000000"/>
          <w:sz w:val="24"/>
          <w:u w:val="single"/>
        </w:rPr>
        <w:t>Appendix A</w:t>
      </w:r>
      <w:r>
        <w:rPr>
          <w:rFonts w:ascii="Times New Roman;serif" w:hAnsi="Times New Roman;serif"/>
          <w:b w:val="false"/>
          <w:color w:val="000000"/>
          <w:sz w:val="24"/>
        </w:rPr>
        <w:t xml:space="preserve">, which is incorporated by reference herein, the Performance Share Units shall become vested upon satisfaction of the Performance Goals and terms as set forth in </w:t>
      </w:r>
      <w:r>
        <w:rPr>
          <w:rFonts w:ascii="Times New Roman;serif" w:hAnsi="Times New Roman;serif"/>
          <w:b w:val="false"/>
          <w:color w:val="000000"/>
          <w:sz w:val="24"/>
          <w:u w:val="single"/>
        </w:rPr>
        <w:t>Appendix A</w:t>
      </w:r>
      <w:r>
        <w:rPr>
          <w:color w:val="000000"/>
        </w:rPr>
        <w:t xml:space="preserve"> </w:t>
      </w:r>
      <w:r>
        <w:rPr>
          <w:rFonts w:ascii="Times New Roman;serif" w:hAnsi="Times New Roman;serif"/>
          <w:b w:val="false"/>
          <w:color w:val="000000"/>
          <w:sz w:val="24"/>
        </w:rPr>
        <w:t xml:space="preserve">to this Award Agreement. The Committee shall determine whether such Performance Goals have been satisfied.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color w:val="000000"/>
        </w:rPr>
        <w:t xml:space="preserve"> </w:t>
      </w:r>
      <w:r>
        <w:rPr>
          <w:rFonts w:ascii="Times New Roman;serif" w:hAnsi="Times New Roman;serif"/>
          <w:b w:val="false"/>
          <w:color w:val="000000"/>
          <w:sz w:val="24"/>
        </w:rPr>
        <w:t xml:space="preserve">If the vesting terms set forth in </w:t>
      </w:r>
      <w:r>
        <w:rPr>
          <w:rFonts w:ascii="Times New Roman;serif" w:hAnsi="Times New Roman;serif"/>
          <w:b w:val="false"/>
          <w:color w:val="000000"/>
          <w:sz w:val="24"/>
          <w:u w:val="single"/>
        </w:rPr>
        <w:t>Appendix A</w:t>
      </w:r>
      <w:r>
        <w:rPr>
          <w:color w:val="000000"/>
        </w:rPr>
        <w:t xml:space="preserve"> </w:t>
      </w:r>
      <w:r>
        <w:rPr>
          <w:rFonts w:ascii="Times New Roman;serif" w:hAnsi="Times New Roman;serif"/>
          <w:b w:val="false"/>
          <w:color w:val="000000"/>
          <w:sz w:val="24"/>
        </w:rPr>
        <w:t>would produce fractional Performance Share Units, the number of Performance Share Units that vest shall be rounded down to the nearest whole Performance Share Unit.</w:t>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Notwithstanding anything to the contrary contained in a written employment agreement, severance agreement, change of control agreement or other agreement entered into by and between the Participant and the Employer, this Section 3(c) shall apply in the event of a Change of Control before the Vesting Date (a “</w:t>
      </w:r>
      <w:r>
        <w:rPr>
          <w:rFonts w:ascii="Times New Roman;serif" w:hAnsi="Times New Roman;serif"/>
          <w:b w:val="false"/>
          <w:color w:val="000000"/>
          <w:sz w:val="24"/>
          <w:u w:val="single"/>
        </w:rPr>
        <w:t>Qualifying Change of Control</w:t>
      </w:r>
      <w:r>
        <w:rPr>
          <w:color w:val="000000"/>
        </w:rPr>
        <w:t>”</w:t>
      </w:r>
      <w:r>
        <w:rPr>
          <w:rFonts w:ascii="Times New Roman;serif" w:hAnsi="Times New Roman;serif"/>
          <w:b w:val="false"/>
          <w:color w:val="000000"/>
          <w:sz w:val="24"/>
        </w:rPr>
        <w:t>) and while the Participant continues to be employed by the Employer.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Effective as of immediately prior to a Qualifying Change of Control, but subject to the occurrence of such Change of Control, the number of Performance Share Units eligible to be vested shall be equal to the greater of the number of shares of Company Stock under (a) the Target Award and (b) provided that the Company has completed at least one full fiscal year included in the Performance Period under this Award Agreement prior to such Change of Control, the Share Payout as a Percentage of Target Award as determined by the Committee under the terms of </w:t>
      </w:r>
      <w:r>
        <w:rPr>
          <w:rFonts w:ascii="Times New Roman;serif" w:hAnsi="Times New Roman;serif"/>
          <w:b w:val="false"/>
          <w:color w:val="000000"/>
          <w:sz w:val="24"/>
          <w:u w:val="single"/>
        </w:rPr>
        <w:t>Appendix A</w:t>
      </w:r>
      <w:r>
        <w:rPr>
          <w:color w:val="000000"/>
        </w:rPr>
        <w:t xml:space="preserve"> </w:t>
      </w:r>
      <w:r>
        <w:rPr>
          <w:rFonts w:ascii="Times New Roman;serif" w:hAnsi="Times New Roman;serif"/>
          <w:b w:val="false"/>
          <w:color w:val="000000"/>
          <w:sz w:val="24"/>
        </w:rPr>
        <w:t xml:space="preserve">through the latest practicable date prior to such Change of Control. For purposes of this Section 3(c)(i), the Company’s average Annual Organic Revenue growth rate shall be determined by reference to the Company’s average Annual Organic Revenue growth rate for the completed fiscal years covered under this Award Agreement as set forth in </w:t>
      </w:r>
      <w:r>
        <w:rPr>
          <w:rFonts w:ascii="Times New Roman;serif" w:hAnsi="Times New Roman;serif"/>
          <w:b w:val="false"/>
          <w:color w:val="000000"/>
          <w:sz w:val="24"/>
          <w:u w:val="single"/>
        </w:rPr>
        <w:t>Appendix A</w:t>
      </w:r>
      <w:r>
        <w:rPr>
          <w:rFonts w:ascii="Times New Roman;serif" w:hAnsi="Times New Roman;serif"/>
          <w:b w:val="false"/>
          <w:color w:val="000000"/>
          <w:sz w:val="24"/>
        </w:rPr>
        <w:t>, if any, preceding the Qualifying Change of Control. The number of Performance Share Units determined in accordance with this Section 3(c)(i) is referred to as the “</w:t>
      </w:r>
      <w:r>
        <w:rPr>
          <w:rFonts w:ascii="Times New Roman;serif" w:hAnsi="Times New Roman;serif"/>
          <w:b w:val="false"/>
          <w:color w:val="000000"/>
          <w:sz w:val="24"/>
          <w:u w:val="single"/>
        </w:rPr>
        <w:t>Change of Control Adjusted Performance Share Units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The Change of Control Adjusted Performance Share Units shall become vested on a Qualifying Change of Control and paid as soon as administratively practicable (but no later than thirty (30) days) following the occurrence of such Change of Control if a replacement or substitute award meeting the requirements of this Section 3(c)(ii) is not provided to the Participant in respect of such Performance Share Units. An award meeting the requirements of this Section 3(c)(ii) is referred to below as a “</w:t>
      </w:r>
      <w:r>
        <w:rPr>
          <w:rFonts w:ascii="Times New Roman;serif" w:hAnsi="Times New Roman;serif"/>
          <w:b w:val="false"/>
          <w:color w:val="000000"/>
          <w:sz w:val="24"/>
          <w:u w:val="single"/>
        </w:rPr>
        <w:t>Replacement Award</w:t>
      </w:r>
      <w:r>
        <w:rPr>
          <w:color w:val="000000"/>
        </w:rPr>
        <w:t>”</w:t>
      </w:r>
      <w:r>
        <w:rPr>
          <w:rFonts w:ascii="Times New Roman;serif" w:hAnsi="Times New Roman;serif"/>
          <w:b w:val="false"/>
          <w:color w:val="000000"/>
          <w:sz w:val="24"/>
        </w:rPr>
        <w:t xml:space="preserve">. An award shall qualify as a Replacement Award if: </w:t>
      </w:r>
    </w:p>
    <w:p>
      <w:pPr>
        <w:pStyle w:val="TextBody"/>
        <w:bidi w:val="0"/>
        <w:spacing w:lineRule="auto" w:line="240" w:before="0" w:after="240"/>
        <w:ind w:left="0" w:right="0" w:firstLine="2160"/>
        <w:jc w:val="both"/>
        <w:rPr/>
      </w:pPr>
      <w:r>
        <w:rPr>
          <w:rFonts w:ascii="Times New Roman;serif" w:hAnsi="Times New Roman;serif"/>
          <w:b w:val="false"/>
          <w:color w:val="000000"/>
          <w:sz w:val="24"/>
        </w:rPr>
        <w:t>(1)</w:t>
      </w:r>
      <w:r>
        <w:rPr>
          <w:rFonts w:ascii="Times New Roman;serif" w:hAnsi="Times New Roman;serif"/>
          <w:b w:val="false"/>
          <w:color w:val="000000"/>
          <w:sz w:val="24"/>
        </w:rPr>
        <w:t>It is comprised of restricted stock units with respect to a publicly traded equity security of the Company or the surviving corporation or the ultimate parent of the applicable entity following a Qualifying Change of Control;</w:t>
      </w:r>
    </w:p>
    <w:p>
      <w:pPr>
        <w:pStyle w:val="TextBody"/>
        <w:bidi w:val="0"/>
        <w:spacing w:lineRule="auto" w:line="240" w:before="0" w:after="240"/>
        <w:ind w:left="0" w:right="0" w:firstLine="2160"/>
        <w:jc w:val="both"/>
        <w:rPr/>
      </w:pPr>
      <w:r>
        <w:rPr>
          <w:rFonts w:ascii="Times New Roman;serif" w:hAnsi="Times New Roman;serif"/>
          <w:b w:val="false"/>
          <w:color w:val="000000"/>
          <w:sz w:val="24"/>
        </w:rPr>
        <w:t>(2)</w:t>
      </w:r>
      <w:r>
        <w:rPr>
          <w:rFonts w:ascii="Times New Roman;serif" w:hAnsi="Times New Roman;serif"/>
          <w:b w:val="false"/>
          <w:color w:val="000000"/>
          <w:sz w:val="24"/>
        </w:rPr>
        <w:t>It has a fair market value at least equal to the fair market value of the Change of Control Adjusted Performance Share Units as of the date of a Qualifying Change of Control;</w:t>
      </w:r>
    </w:p>
    <w:p>
      <w:pPr>
        <w:pStyle w:val="TextBody"/>
        <w:bidi w:val="0"/>
        <w:spacing w:lineRule="auto" w:line="240" w:before="0" w:after="240"/>
        <w:ind w:left="0" w:right="0" w:firstLine="2160"/>
        <w:jc w:val="both"/>
        <w:rPr/>
      </w:pPr>
      <w:r>
        <w:rPr>
          <w:rFonts w:ascii="Times New Roman;serif" w:hAnsi="Times New Roman;serif"/>
          <w:b w:val="false"/>
          <w:color w:val="000000"/>
          <w:sz w:val="24"/>
        </w:rPr>
        <w:t>(3)</w:t>
      </w:r>
      <w:r>
        <w:rPr>
          <w:rFonts w:ascii="Times New Roman;serif" w:hAnsi="Times New Roman;serif"/>
          <w:b w:val="false"/>
          <w:color w:val="000000"/>
          <w:sz w:val="24"/>
        </w:rPr>
        <w:t>It contains terms relating to service-based vesting (including with respect to termination of employment) that are substantially identical to the terms set forth in this Award Agreement and does not contain any terms related to performance-based vesting; and</w:t>
      </w:r>
    </w:p>
    <w:p>
      <w:pPr>
        <w:pStyle w:val="TextBody"/>
        <w:bidi w:val="0"/>
        <w:spacing w:lineRule="auto" w:line="240" w:before="0" w:after="240"/>
        <w:ind w:left="0" w:right="0" w:firstLine="2160"/>
        <w:jc w:val="both"/>
        <w:rPr/>
      </w:pPr>
      <w:r>
        <w:rPr>
          <w:rFonts w:ascii="Times New Roman;serif" w:hAnsi="Times New Roman;serif"/>
          <w:b w:val="false"/>
          <w:color w:val="000000"/>
          <w:sz w:val="24"/>
        </w:rPr>
        <w:t>(4)</w:t>
      </w:r>
      <w:r>
        <w:rPr>
          <w:rFonts w:ascii="Times New Roman;serif" w:hAnsi="Times New Roman;serif"/>
          <w:b w:val="false"/>
          <w:color w:val="000000"/>
          <w:sz w:val="24"/>
        </w:rPr>
        <w:t xml:space="preserve">Its other terms and conditions are not less favorable to the Participant than the terms and conditions set forth in this Award Agreement or in the Plan (including provisions that apply in the event of a subsequent change of control) as of the date of a Qualifying Change of Control.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The determination of whether the conditions of this Section 3(c)(ii) are satisfied shall be made by the Committee, as constituted immediately prior to a Qualifying Change of Control, in its sole discretion, prior to such Change of Control. If a Replacement Award is provided, the Change of Control Adjusted Performance Share Units shall not be settled upon a Qualifying Change of Control, but instead as provided under Section 3(c)(iii) below. </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 xml:space="preserve">If, in connection with a Qualifying Change of Control, the Participant is provided with a Replacement Award, such Replacement Award shall vest on the Vesting Date </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85445"/>
                <wp:effectExtent l="0" t="0" r="0" b="0"/>
                <wp:wrapNone/>
                <wp:docPr id="53" name="Frame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and be settled at the time as set forth in </w:t>
      </w:r>
      <w:r>
        <w:rPr>
          <w:rFonts w:ascii="Times New Roman;serif" w:hAnsi="Times New Roman;serif"/>
          <w:b w:val="false"/>
          <w:color w:val="000000"/>
          <w:sz w:val="24"/>
          <w:u w:val="single"/>
        </w:rPr>
        <w:t>Appendix A</w:t>
      </w:r>
      <w:r>
        <w:rPr>
          <w:rFonts w:ascii="Times New Roman;serif" w:hAnsi="Times New Roman;serif"/>
          <w:b w:val="false"/>
          <w:color w:val="000000"/>
          <w:sz w:val="24"/>
        </w:rPr>
        <w:t>, subject to the Participant having not incurred a termination of employment with the Employer prior to such Vesting Date; provided that, if, within two years following such Qualifying Change of Control, the Participant incurs a termination of employment due to being a Good Leaver (as defined below), then the Replacement Award shall become fully vested effective as of such termination of employment, and the Company shall issue one share to the Participant for each share under the Replacement Award as soon as reasonably practicable (but not later than 30 days) following such termination of employment.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rPr>
        <w:t xml:space="preserve">For purposes of this Award Agreement, the following terms have the meanings set forth below: </w:t>
      </w:r>
    </w:p>
    <w:p>
      <w:pPr>
        <w:pStyle w:val="TextBody"/>
        <w:bidi w:val="0"/>
        <w:spacing w:lineRule="auto" w:line="240" w:before="0" w:after="240"/>
        <w:ind w:left="0" w:right="0" w:firstLine="2160"/>
        <w:jc w:val="both"/>
        <w:rPr/>
      </w:pPr>
      <w:r>
        <w:rPr>
          <w:rFonts w:ascii="Times New Roman;serif" w:hAnsi="Times New Roman;serif"/>
          <w:b w:val="false"/>
          <w:color w:val="000000"/>
          <w:sz w:val="24"/>
        </w:rPr>
        <w:t>(1)</w:t>
      </w:r>
      <w:r>
        <w:rPr>
          <w:color w:val="000000"/>
        </w:rPr>
        <w:t>“</w:t>
      </w:r>
      <w:r>
        <w:rPr>
          <w:rFonts w:ascii="Times New Roman;serif" w:hAnsi="Times New Roman;serif"/>
          <w:b w:val="false"/>
          <w:color w:val="000000"/>
          <w:sz w:val="24"/>
          <w:u w:val="single"/>
        </w:rPr>
        <w:t>Good Leaver</w:t>
      </w:r>
      <w:r>
        <w:rPr>
          <w:color w:val="000000"/>
        </w:rPr>
        <w:t xml:space="preserve">” </w:t>
      </w:r>
      <w:r>
        <w:rPr>
          <w:rFonts w:ascii="Times New Roman;serif" w:hAnsi="Times New Roman;serif"/>
          <w:b w:val="false"/>
          <w:color w:val="000000"/>
          <w:sz w:val="24"/>
        </w:rPr>
        <w:t xml:space="preserve">means the involuntary termination of the Participant’s employment by the Employer other than a termination for Cause, the Participant’s resignation for Good Reason, or the Participant’s termination of employment due to death, Disability or a Qualifying Retirement. </w:t>
      </w:r>
    </w:p>
    <w:p>
      <w:pPr>
        <w:pStyle w:val="TextBody"/>
        <w:bidi w:val="0"/>
        <w:spacing w:lineRule="auto" w:line="240" w:before="0" w:after="240"/>
        <w:ind w:left="0" w:right="0" w:firstLine="2160"/>
        <w:jc w:val="both"/>
        <w:rPr/>
      </w:pPr>
      <w:r>
        <w:rPr>
          <w:rFonts w:ascii="Times New Roman;serif" w:hAnsi="Times New Roman;serif"/>
          <w:b w:val="false"/>
          <w:color w:val="000000"/>
          <w:sz w:val="24"/>
        </w:rPr>
        <w:t>(2)</w:t>
      </w:r>
      <w:r>
        <w:rPr>
          <w:color w:val="000000"/>
        </w:rPr>
        <w:t>“</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shall have the meaning given to such term in an employment agreement, severance or change in control agreement or, if there is no such agreement or if it does not define Good Reason, then Good Reason shall mean the occurrence of any one of the following in the absence of the Participant’s written consent:</w:t>
      </w:r>
    </w:p>
    <w:p>
      <w:pPr>
        <w:pStyle w:val="TextBody"/>
        <w:bidi w:val="0"/>
        <w:spacing w:lineRule="auto" w:line="240" w:before="0" w:after="240"/>
        <w:ind w:left="0" w:right="0" w:firstLine="2880"/>
        <w:jc w:val="both"/>
        <w:rPr/>
      </w:pPr>
      <w:r>
        <w:rPr>
          <w:rFonts w:ascii="Times New Roman;serif" w:hAnsi="Times New Roman;serif"/>
          <w:b w:val="false"/>
          <w:color w:val="000000"/>
          <w:sz w:val="24"/>
        </w:rPr>
        <w:t>a.</w:t>
      </w:r>
      <w:r>
        <w:rPr>
          <w:rFonts w:ascii="Times New Roman;serif" w:hAnsi="Times New Roman;serif"/>
          <w:b w:val="false"/>
          <w:color w:val="000000"/>
          <w:sz w:val="24"/>
        </w:rPr>
        <w:t>A material diminution in the Participant’s annual base salary or target annual incentive compensation from that in effect immediately prior to a Qualifying Change of Control;</w:t>
      </w:r>
    </w:p>
    <w:p>
      <w:pPr>
        <w:pStyle w:val="TextBody"/>
        <w:bidi w:val="0"/>
        <w:spacing w:lineRule="auto" w:line="240" w:before="0" w:after="240"/>
        <w:ind w:left="0" w:right="0" w:firstLine="2880"/>
        <w:jc w:val="both"/>
        <w:rPr/>
      </w:pPr>
      <w:r>
        <w:rPr>
          <w:rFonts w:ascii="Times New Roman;serif" w:hAnsi="Times New Roman;serif"/>
          <w:b w:val="false"/>
          <w:color w:val="000000"/>
          <w:sz w:val="24"/>
        </w:rPr>
        <w:t>b.</w:t>
      </w:r>
      <w:r>
        <w:rPr>
          <w:rFonts w:ascii="Times New Roman;serif" w:hAnsi="Times New Roman;serif"/>
          <w:b w:val="false"/>
          <w:color w:val="000000"/>
          <w:sz w:val="24"/>
        </w:rPr>
        <w:t>The assignment to the Participant of any duties materially inconsistent with the Participant’s positions (including status, offices, titles, and reporting requirements), authority, duties, or responsibilities, or any other action by the Employer that results in a material diminution in such positions, authority, duties, or responsibilities, in each case, from those in effect immediately prior to a Qualifying Change of Control; or</w:t>
      </w:r>
    </w:p>
    <w:p>
      <w:pPr>
        <w:pStyle w:val="TextBody"/>
        <w:bidi w:val="0"/>
        <w:spacing w:lineRule="auto" w:line="240" w:before="0" w:after="240"/>
        <w:ind w:left="0" w:right="0" w:firstLine="2880"/>
        <w:jc w:val="both"/>
        <w:rPr/>
      </w:pPr>
      <w:r>
        <w:rPr>
          <w:rFonts w:ascii="Times New Roman;serif" w:hAnsi="Times New Roman;serif"/>
          <w:b w:val="false"/>
          <w:color w:val="000000"/>
          <w:sz w:val="24"/>
        </w:rPr>
        <w:t>c.</w:t>
      </w:r>
      <w:r>
        <w:rPr>
          <w:rFonts w:ascii="Times New Roman;serif" w:hAnsi="Times New Roman;serif"/>
          <w:b w:val="false"/>
          <w:color w:val="000000"/>
          <w:sz w:val="24"/>
        </w:rPr>
        <w:t>The relocation of the Participant to a work location more than 50 miles from the Participant’s current work location (unless, as a result of such relocation, the Participant’s work location is closer to his or her place of residence);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provided that, in each case the Participant provides written notice to the Employer of the existence of one or more of the conditions described in clauses described above within 30 days following the Participant’s knowledge of the initial existence of such condition or conditions, specifying in reasonable detail the conditions constituting Good Reason, (ii) the Employer fails to cure such event or condition within 30 days following the receipt of such notice and (iii) the Participant incurs a termination of employment within 30 days following the expiration of such cure period.</w:t>
      </w:r>
    </w:p>
    <w:p>
      <w:pPr>
        <w:pStyle w:val="TextBody"/>
        <w:bidi w:val="0"/>
        <w:spacing w:lineRule="auto" w:line="240" w:before="0" w:after="240"/>
        <w:ind w:left="0" w:right="0" w:firstLine="2160"/>
        <w:jc w:val="both"/>
        <w:rPr/>
      </w:pPr>
      <w:r>
        <w:rPr>
          <w:rFonts w:ascii="Times New Roman;serif" w:hAnsi="Times New Roman;serif"/>
          <w:b w:val="false"/>
          <w:color w:val="000000"/>
          <w:sz w:val="24"/>
        </w:rPr>
        <w:t>(3)</w:t>
      </w:r>
      <w:r>
        <w:rPr>
          <w:color w:val="000000"/>
        </w:rPr>
        <w:t>“</w:t>
      </w:r>
      <w:r>
        <w:rPr>
          <w:rFonts w:ascii="Times New Roman;serif" w:hAnsi="Times New Roman;serif"/>
          <w:b w:val="false"/>
          <w:color w:val="000000"/>
          <w:sz w:val="24"/>
          <w:u w:val="single"/>
        </w:rPr>
        <w:t>employed by the Employer</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employment with the Employer</w:t>
      </w:r>
      <w:r>
        <w:rPr>
          <w:color w:val="000000"/>
        </w:rPr>
        <w:t xml:space="preserve">” </w:t>
      </w:r>
      <w:r>
        <w:rPr>
          <w:rFonts w:ascii="Times New Roman;serif" w:hAnsi="Times New Roman;serif"/>
          <w:b w:val="false"/>
          <w:color w:val="000000"/>
          <w:sz w:val="24"/>
        </w:rPr>
        <w:t xml:space="preserve">shall mean employment with the Company, or employment with any corporation, partnership, joint venture or other entity in which the Company, directly or indirectly, has a majority voting interest. </w:t>
      </w:r>
    </w:p>
    <w:p>
      <w:pPr>
        <w:pStyle w:val="TextBody"/>
        <w:bidi w:val="0"/>
        <w:spacing w:lineRule="auto" w:line="240" w:before="0" w:after="24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Termination of Performance Share Units</w:t>
      </w:r>
      <w:r>
        <w:rPr>
          <w:rFonts w:ascii="Times New Roman;serif" w:hAnsi="Times New Roman;serif"/>
          <w:b w:val="false"/>
          <w:color w:val="000000"/>
          <w:sz w:val="24"/>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85445"/>
                <wp:effectExtent l="0" t="0" r="0" b="0"/>
                <wp:wrapNone/>
                <wp:docPr id="54" name="Frame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Except as set forth in this Award Agreement, if the Participant ceases to be employed by the Employer for any reason before the Vesting Date, the unvested Performance Share Units shall automatically terminate and shall be forfeited as of the date of the Participant’s termination of employment. No payment shall be made with respect to any unvested Performance Share Units that terminate. For the avoidance of doubt, except as provided in Section 3(c) of this Award Agreement, vesting shall not be pro-rated between the Date of Grant and the Vesting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If the Participant ceases to be employed by the Employer as a result of the Participant’s Disability or the Participant becoming Disabled, the Performance Share Units shall continue to vest pursuant to Section 3(a) and </w:t>
      </w:r>
      <w:r>
        <w:rPr>
          <w:rFonts w:ascii="Times New Roman;serif" w:hAnsi="Times New Roman;serif"/>
          <w:b w:val="false"/>
          <w:color w:val="000000"/>
          <w:sz w:val="24"/>
          <w:u w:val="single"/>
        </w:rPr>
        <w:t>Appendix A</w:t>
      </w:r>
      <w:r>
        <w:rPr>
          <w:color w:val="000000"/>
        </w:rPr>
        <w:t xml:space="preserve"> </w:t>
      </w:r>
      <w:r>
        <w:rPr>
          <w:rFonts w:ascii="Times New Roman;serif" w:hAnsi="Times New Roman;serif"/>
          <w:b w:val="false"/>
          <w:color w:val="000000"/>
          <w:sz w:val="24"/>
        </w:rPr>
        <w:t>of this Award Agreement, and the Share Payout as a Percentage of Target Award for the Performance Share Units shall be determined as of the Vesting Date and paid in accordance with Section 5 of this Award Agreement; provided, however that the number of shares of Company Stock paid to the Participant shall be multiplied by a fraction, the numerator of which is the number of days elapsed from the Date of Grant to the Participant’s Disability, and the denominator of which is the number of days in the Vesting Period.</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If the Participant ceases to be employed by the Employer as a result of the Participant’s death, the Performance Share Units shall continue to vest pursuant to Section 3(a) and </w:t>
      </w:r>
      <w:r>
        <w:rPr>
          <w:rFonts w:ascii="Times New Roman;serif" w:hAnsi="Times New Roman;serif"/>
          <w:b w:val="false"/>
          <w:color w:val="000000"/>
          <w:sz w:val="24"/>
          <w:u w:val="single"/>
        </w:rPr>
        <w:t>Appendix A</w:t>
      </w:r>
      <w:r>
        <w:rPr>
          <w:color w:val="000000"/>
        </w:rPr>
        <w:t xml:space="preserve"> </w:t>
      </w:r>
      <w:r>
        <w:rPr>
          <w:rFonts w:ascii="Times New Roman;serif" w:hAnsi="Times New Roman;serif"/>
          <w:b w:val="false"/>
          <w:color w:val="000000"/>
          <w:sz w:val="24"/>
        </w:rPr>
        <w:t>of this Award Agreement, and the Share Payout as a Percentage of Target Award for the Performance Share Units shall be determined as of the Vesting Date and paid in accordance with Section 5 of this Award Agreement; provided, however that the number of shares of Company Stock paid to the Participant’s estate or other applicable party shall be multiplied by a fraction, the numerator of which is the number of days elapsed from the Date of Grant to the Participant’s death, and the denominator of which is the number of days in the Vesting Period.</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If the Participant ceases to be employed by the Employer as a result of the Participant’s Qualifying Retirement, the Performance Share Units shall continue to vest pursuant to Section 3(a) and </w:t>
      </w:r>
      <w:r>
        <w:rPr>
          <w:rFonts w:ascii="Times New Roman;serif" w:hAnsi="Times New Roman;serif"/>
          <w:b w:val="false"/>
          <w:color w:val="000000"/>
          <w:sz w:val="24"/>
          <w:u w:val="single"/>
        </w:rPr>
        <w:t>Appendix A</w:t>
      </w:r>
      <w:r>
        <w:rPr>
          <w:color w:val="000000"/>
        </w:rPr>
        <w:t xml:space="preserve"> </w:t>
      </w:r>
      <w:r>
        <w:rPr>
          <w:rFonts w:ascii="Times New Roman;serif" w:hAnsi="Times New Roman;serif"/>
          <w:b w:val="false"/>
          <w:color w:val="000000"/>
          <w:sz w:val="24"/>
        </w:rPr>
        <w:t>of this Award Agreement, and the Share Payout as a Percentage of Target Award for the Performance Share Units shall be determined as of the Vesting Date and paid in accordance with Section 5 of this Award Agreement; provided, however that the number of shares of Company Stock paid to the Participant shall be multiplied by a fraction, the numerator of which is the number of days elapsed from the Date of Grant to the Participant’s Qualifying Retirement, and the denominator of which is the number of days in the Vesting Period. For purposes of this Award Agreement, a “</w:t>
      </w:r>
      <w:r>
        <w:rPr>
          <w:rFonts w:ascii="Times New Roman;serif" w:hAnsi="Times New Roman;serif"/>
          <w:b w:val="false"/>
          <w:color w:val="000000"/>
          <w:sz w:val="24"/>
          <w:u w:val="single"/>
        </w:rPr>
        <w:t>Qualifying Retirement</w:t>
      </w:r>
      <w:r>
        <w:rPr>
          <w:color w:val="000000"/>
        </w:rPr>
        <w:t xml:space="preserve">” </w:t>
      </w:r>
      <w:r>
        <w:rPr>
          <w:rFonts w:ascii="Times New Roman;serif" w:hAnsi="Times New Roman;serif"/>
          <w:b w:val="false"/>
          <w:color w:val="000000"/>
          <w:sz w:val="24"/>
        </w:rPr>
        <w:t>shall mean that the Participant voluntarily retires from the employ of the Employer at or after both attaining age fifty-five (55) and completing five (5) consecutive years of service. For purposes of this Award Agreement, a “year of service” shall mean a twelve (12) month period of continuous full-time employment with the Employer (determined without regard to any breaks in service due to a paid leave of absence or any unpaid leave of absence authorized in writing by the Employer). For the avoidance of doubt, termination of the Participant’s employment with the Employer, either with or without Cause, shall not be treated as a Qualifying Retirement. If the Participant ceases to be employed by the Employer as a result of the Participant’s Qualifying Retirement prior to a Qualifying Change of Control and a Qualifying Change of Control occurs, the Performance Share Units shall vest consistent with Section 3(c) except that the number of shares of Company Stock paid to the Participant shall be multiplied by a fraction, the numerator of which is the number of days elapsed from the Date of Grant to the Participant’s Qualifying Retirement, and the denominator of which is the number of days in the Vesting Period and shall be paid as soon as administratively practicable (but no later than thirty (30) days) following the occurrence of such Change of Control.</w:t>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85445"/>
                <wp:effectExtent l="0" t="0" r="0" b="0"/>
                <wp:wrapNone/>
                <wp:docPr id="55" name="Frame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Payment of Performance Share Units and Tax Withholding</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If and when the Performance Share Units vest, the Company shall issue to the Participant one share of Company Stock for each vested Performance Share Unit, subject to applicable tax withholding obligations. Subject to Sections 5(b) and 19 below, the issuance of shares of Company Stock pursuant to the preceding sentence of this Section 5(a) shall be made as soon as administratively practicable (but no later than thirty (30) days) following the applicable Vesting Date and following the certification by the Committee of the of the Company’s achievement, if any, of the Performance Goals set forth on </w:t>
      </w:r>
      <w:r>
        <w:rPr>
          <w:rFonts w:ascii="Times New Roman;serif" w:hAnsi="Times New Roman;serif"/>
          <w:b w:val="false"/>
          <w:color w:val="000000"/>
          <w:sz w:val="24"/>
          <w:u w:val="single"/>
        </w:rPr>
        <w:t>Appendix A</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All obligations of the Company under this Award Agreement shall be subject to the rights of the Employer as set forth in the Plan to withhold amounts required to be withheld for any taxes, if applicable. The Participant agrees that the Company shall automatically and mandatorily withhold a number of shares of Company Stock having a value (as measured on the date the Performance Share Units are subject to tax) equal to the Participant’s FICA, federal income, state, local and other tax liabilities required by law to be withheld with respect to the payment of the Performance Share Units. To the extent Participant’s tax liabilities are not satisfied in accordance with the immediately preceding sentence, the Participant shall be required to pay to the Employer or make other arrangements satisfactory to the Employer to provide for the payment of, any federal, state, local or other taxes that the Employer is required to withhold with respect to the Performance Share Units.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color w:val="000000"/>
        </w:rPr>
        <w:t xml:space="preserve"> </w:t>
      </w:r>
      <w:r>
        <w:rPr>
          <w:rFonts w:ascii="Times New Roman;serif" w:hAnsi="Times New Roman;serif"/>
          <w:b w:val="false"/>
          <w:color w:val="000000"/>
          <w:sz w:val="24"/>
        </w:rPr>
        <w:t>The obligation of the Company to deliver Company Stock shall also be subject to the condition that if at any time the Board shall determine in its discretion that the listing, registration or qualification of the shares upon any securities exchange or under any state or federal law, or the consent or approval of any governmental regulatory body is necessary or desirable as a condition of, or in connection with, the issuance of shares, the shares may not be issued in whole or in part unless such listing, registration, qualification, consent or approval shall have been effected or obtained free of any conditions not acceptable to the Board. The issuance of shares, if any, to the Participant pursuant to this Award Agreement is subject to any applicable taxes and other laws or regulations of the United States or of any state, municipality or other country having jurisdiction thereof.</w:t>
      </w:r>
    </w:p>
    <w:p>
      <w:pPr>
        <w:pStyle w:val="TextBody"/>
        <w:bidi w:val="0"/>
        <w:spacing w:lineRule="auto" w:line="240" w:before="0" w:after="24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No Stockholder Rights</w:t>
      </w:r>
      <w:r>
        <w:rPr>
          <w:rFonts w:ascii="Times New Roman;serif" w:hAnsi="Times New Roman;serif"/>
          <w:b w:val="false"/>
          <w:color w:val="000000"/>
          <w:sz w:val="24"/>
        </w:rPr>
        <w:t>. Neither the Participant, nor any person or entity entitled to receive payment in the event of the Participant’s death, shall have any of the rights and privileges of a stockholder with respect to shares of Company Stock, including voting or dividend rights (including Dividend Equivalents), until certificates for shares have been issued upon payment of Performance Share Units. The Participant acknowledges that no election under Section 83(b) of the Code is available with respect to the Performance Share Units.</w:t>
      </w:r>
      <w:r>
        <w:rPr>
          <w:color w:val="000000"/>
        </w:rPr>
        <w:t xml:space="preserve"> </w:t>
      </w:r>
    </w:p>
    <w:p>
      <w:pPr>
        <w:pStyle w:val="TextBody"/>
        <w:bidi w:val="0"/>
        <w:spacing w:lineRule="auto" w:line="240" w:before="0" w:after="24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Grant Subject to Plan Provisions</w:t>
      </w:r>
      <w:r>
        <w:rPr>
          <w:rFonts w:ascii="Times New Roman;serif" w:hAnsi="Times New Roman;serif"/>
          <w:b w:val="false"/>
          <w:color w:val="000000"/>
          <w:sz w:val="24"/>
        </w:rPr>
        <w:t>. This grant is made pursuant to the Plan, the terms of which are incorporated herein by reference, and in all respects shall be interpreted in accordance with the Plan. The grant and payment of the Performance Share Units are subject to the provisions of the Plan and to interpretations, regulations and determinations concerning the Plan established from time to time by the Committee in accordance with the provisions of the Plan, including, but not limited to, provisions pertaining to (a) rights and obligations with respect to withholding taxes, (b) the registration, qualification or listing of the shares of Company Stock, (c) changes in capitalization of the Company and (d) other requirements of applicable law. The Committee shall have the authority to interpret and construe the Performance Share Units pursuant to the terms of the Plan, and its decisions shall be conclusive as to any questions arising hereunder.</w:t>
      </w:r>
    </w:p>
    <w:p>
      <w:pPr>
        <w:pStyle w:val="TextBody"/>
        <w:bidi w:val="0"/>
        <w:spacing w:lineRule="auto" w:line="240" w:before="0" w:after="24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No Employment or Other Rights</w:t>
      </w:r>
      <w:r>
        <w:rPr>
          <w:rFonts w:ascii="Times New Roman;serif" w:hAnsi="Times New Roman;serif"/>
          <w:b w:val="false"/>
          <w:color w:val="000000"/>
          <w:sz w:val="24"/>
        </w:rPr>
        <w:t xml:space="preserve">. The grant of the Performance Share Units shall not confer upon the Participant any right to be retained by or in the employ of any Employer and </w:t>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85445"/>
                <wp:effectExtent l="0" t="0" r="0" b="0"/>
                <wp:wrapNone/>
                <wp:docPr id="56" name="Frame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shall not interfere in any way with the right of any Employer to terminate the Participant’s employment at any time. The right of any Employer to terminate at will the Participant’s employment at any time for any reason is specifically reserved. The obligations of the Company hereunder will be that of an unfunded and unsecured promise of the Company to deliver, for each vested Performance Share Unit, one share of Company Stock, and the rights of the Participant will be no greater than that of an unsecured general creditor. No assets of the Company will be held or set aside as security for the obligations of the Company hereunder. </w:t>
      </w:r>
    </w:p>
    <w:p>
      <w:pPr>
        <w:pStyle w:val="TextBody"/>
        <w:bidi w:val="0"/>
        <w:spacing w:lineRule="auto" w:line="240" w:before="0" w:after="24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Assignment and Transfers</w:t>
      </w:r>
      <w:r>
        <w:rPr>
          <w:rFonts w:ascii="Times New Roman;serif" w:hAnsi="Times New Roman;serif"/>
          <w:b w:val="false"/>
          <w:color w:val="000000"/>
          <w:sz w:val="24"/>
        </w:rPr>
        <w:t>. Except as the Committee may otherwise permit pursuant to the Plan, the rights and interests of the Participant under this Award Agreement may not be sold, assigned, encumbered or otherwise transferred except, in the event of the death of the Participant, by will or by the laws of descent and distribution. In the event of any attempt by the Participant to alienate, assign, pledge, hypothecate, or otherwise dispose of the Performance Share Units or any right hereunder, except as provided for in this Award Agreement, or in the event of the levy or any attachment, execution or similar process upon the rights or interests hereby conferred, the Company may terminate the Performance Share Units by notice to the Participant, and the Performance Share Units and all rights hereunder shall thereupon become null and void. The rights and protections of the Company hereunder shall extend to any successors or assigns of the Company and to the Company’s parents, subsidiaries, and affiliates. This Award Agreement may be assigned by the Company without the Participant’s consent.</w:t>
      </w:r>
    </w:p>
    <w:p>
      <w:pPr>
        <w:pStyle w:val="TextBody"/>
        <w:bidi w:val="0"/>
        <w:spacing w:lineRule="auto" w:line="240" w:before="0" w:after="24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Applicable Law; Jurisdiction</w:t>
      </w:r>
      <w:r>
        <w:rPr>
          <w:rFonts w:ascii="Times New Roman;serif" w:hAnsi="Times New Roman;serif"/>
          <w:b w:val="false"/>
          <w:color w:val="000000"/>
          <w:sz w:val="24"/>
        </w:rPr>
        <w:t>. The validity, construction, interpretation and effect of this Award Agreement shall be governed by and construed in accordance with the laws of the Commonwealth of Massachusetts, without giving effect to the conflicts of laws provisions thereof. Any action arising out of, or relating to, any of the provisions of this Award Agreement shall be brought only in the United States District Court for the District of Massachusetts, or if such court does not have jurisdiction or will not accept jurisdiction, in any court of general jurisdiction in Boston, Massachusetts, and the jurisdiction of such court in any such proceeding shall be exclusive. Notwithstanding the foregoing sentence, on and after the date a Participant receives shares of Company Stock hereunder, the Participant will be subject to the jurisdiction provision set forth in the Company’s bylaws.</w:t>
      </w:r>
      <w:r>
        <w:rPr>
          <w:color w:val="000000"/>
        </w:rPr>
        <w:t xml:space="preserve"> </w:t>
      </w:r>
    </w:p>
    <w:p>
      <w:pPr>
        <w:pStyle w:val="TextBody"/>
        <w:bidi w:val="0"/>
        <w:spacing w:lineRule="auto" w:line="240" w:before="0" w:after="24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Notice</w:t>
      </w:r>
      <w:r>
        <w:rPr>
          <w:rFonts w:ascii="Times New Roman;serif" w:hAnsi="Times New Roman;serif"/>
          <w:b w:val="false"/>
          <w:color w:val="000000"/>
          <w:sz w:val="24"/>
        </w:rPr>
        <w:t xml:space="preserve">. Subject to Section 13 of this Award Agreement, any notice to the Company provided for in this instrument shall be addressed to the Company in care of the General Counsel at the corporate headquarters of the Company, and any notice to the Participant shall be addressed to such Participant at the current address shown on the payroll of the Employer. Any notice shall be delivered by hand, or enclosed in a properly sealed envelope addressed as stated above, registered and deposited, postage prepaid, in a post office regularly maintained by the United States Postal Service or by the postal authority of the country in which the Participant resides or to an internationally recognized expedited mail courier. </w:t>
      </w:r>
    </w:p>
    <w:p>
      <w:pPr>
        <w:pStyle w:val="TextBody"/>
        <w:bidi w:val="0"/>
        <w:spacing w:lineRule="auto" w:line="240" w:before="0" w:after="24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Recoupment Policy</w:t>
      </w:r>
      <w:r>
        <w:rPr>
          <w:rFonts w:ascii="Times New Roman;serif" w:hAnsi="Times New Roman;serif"/>
          <w:b w:val="false"/>
          <w:color w:val="000000"/>
          <w:sz w:val="24"/>
        </w:rPr>
        <w:t>. The Participant agrees that, subject to the requirements of applicable law, the Performance Share Units, and the right to receive and retain any Company Stock covered by this Award Agreement, shall be subject to rescission, cancellation or recoupment, in whole or part, if and to the extent so provided under any “clawback” or recoupment policies, securities exchange listing standard, share trading policy or and similar standard or policy that may be required by law or implemented by the Company and that is in effect on the Date of Grant or that may be established thereafter</w:t>
      </w:r>
      <w:r>
        <w:rPr>
          <w:rFonts w:ascii="Times New Roman;serif" w:hAnsi="Times New Roman;serif"/>
          <w:b w:val="false"/>
          <w:color w:val="000000"/>
          <w:sz w:val="20"/>
        </w:rPr>
        <w:t xml:space="preserve">, </w:t>
      </w:r>
      <w:r>
        <w:rPr>
          <w:rFonts w:ascii="Times New Roman;serif" w:hAnsi="Times New Roman;serif"/>
          <w:b w:val="false"/>
          <w:color w:val="000000"/>
          <w:sz w:val="24"/>
        </w:rPr>
        <w:t xml:space="preserve">including, but not limited to, the Company’s Clawback Policy as set forth in the Principles of Corporate Governance, or other policy in effect from time to time, and any successor policy, whether approved before or after the Date of Grant. By accepting the Performance Share Units, the Participant agrees and acknowledges that the Participant is obligated to cooperate with, and provide any and all assistance necessary to, the Company to recover or recoup any such Performance Share Units or shares or amounts paid under the Performance Share Units subject to clawback or recoupment </w:t>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85445"/>
                <wp:effectExtent l="0" t="0" r="0" b="0"/>
                <wp:wrapNone/>
                <wp:docPr id="57" name="Frame5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pursuant to such policy, listing standard or law. Such cooperation and assistance shall include, but is not limited to, executing, completing and submitting any documentation necessary to recover or recoup any such Performance Share Units or shares or amount paid from the Participant’s accounts, or pending or future compensation or Awards under the Plan.</w:t>
      </w:r>
    </w:p>
    <w:p>
      <w:pPr>
        <w:pStyle w:val="TextBody"/>
        <w:bidi w:val="0"/>
        <w:spacing w:lineRule="auto" w:line="240" w:before="0" w:after="24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Electronic Delivery</w:t>
      </w:r>
      <w:r>
        <w:rPr>
          <w:rFonts w:ascii="Times New Roman;serif" w:hAnsi="Times New Roman;serif"/>
          <w:b w:val="false"/>
          <w:color w:val="000000"/>
          <w:sz w:val="24"/>
        </w:rPr>
        <w:t>. The Company may, in its sole discretion, deliver any documents relating to the Participant’s Performance Share Units and the Participant’s participation in the Plan, or future Awards that may be granted under the Plan, by electronic means or request the Participant’s consent to participate in the Plan by electronic means. The Participant hereby consents to receive such documents by electronic delivery and, if requested, agrees to participate in the Plan through an on-line or electronic system established and maintained by the Company or another third-party designated by the Company.</w:t>
      </w:r>
    </w:p>
    <w:p>
      <w:pPr>
        <w:pStyle w:val="TextBody"/>
        <w:bidi w:val="0"/>
        <w:spacing w:lineRule="auto" w:line="240" w:before="0" w:after="24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any provision of this Award Agreement is held to be unenforceable, illegal or invalid for any reason, the unenforceability, illegality or invalidity will not affect the remaining provisions of the Award Agreement, and the Award Agreement is to be construed and enforced as if the unenforceable, illegal or invalid provision had not been inserted, and the provisions so held to be invalid, unenforceable or otherwise illegal shall be reformed to the extent (and only to the extent) necessary to make it enforceable, valid and legal.</w:t>
      </w:r>
    </w:p>
    <w:p>
      <w:pPr>
        <w:pStyle w:val="TextBody"/>
        <w:bidi w:val="0"/>
        <w:spacing w:lineRule="auto" w:line="240" w:before="0" w:after="24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Waiver</w:t>
      </w:r>
      <w:r>
        <w:rPr>
          <w:rFonts w:ascii="Times New Roman;serif" w:hAnsi="Times New Roman;serif"/>
          <w:b w:val="false"/>
          <w:color w:val="000000"/>
          <w:sz w:val="24"/>
        </w:rPr>
        <w:t>. The waiver by the Company with respect to the Participant’s (or any other participant’s) compliance of any provision of this Award Agreement shall not operate or be construed as a waiver of any other provision of this Award Agreement, or of any subsequent breach by such party of a provision of this Award Agreement.</w:t>
      </w:r>
    </w:p>
    <w:p>
      <w:pPr>
        <w:pStyle w:val="TextBody"/>
        <w:bidi w:val="0"/>
        <w:spacing w:lineRule="auto" w:line="240" w:before="0" w:after="24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Amendment</w:t>
      </w:r>
      <w:r>
        <w:rPr>
          <w:rFonts w:ascii="Times New Roman;serif" w:hAnsi="Times New Roman;serif"/>
          <w:b w:val="false"/>
          <w:color w:val="000000"/>
          <w:sz w:val="24"/>
        </w:rPr>
        <w:t xml:space="preserve">. Except as permitted by the Plan, this Award Agreement may not be amended, modified, terminated or otherwise altered except by the written consent of the Company and the Participant. </w:t>
      </w:r>
    </w:p>
    <w:p>
      <w:pPr>
        <w:pStyle w:val="TextBody"/>
        <w:bidi w:val="0"/>
        <w:spacing w:lineRule="auto" w:line="240" w:before="0" w:after="24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Award Agreement may be executed in one or more counterparts, each of which will be deemed to be an original but all of which together will constitute one and the same instrument.</w:t>
      </w:r>
    </w:p>
    <w:p>
      <w:pPr>
        <w:pStyle w:val="TextBody"/>
        <w:bidi w:val="0"/>
        <w:spacing w:lineRule="auto" w:line="240" w:before="0" w:after="240"/>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Binding Effect; No Third Party Beneficiaries</w:t>
      </w:r>
      <w:r>
        <w:rPr>
          <w:rFonts w:ascii="Times New Roman;serif" w:hAnsi="Times New Roman;serif"/>
          <w:b w:val="false"/>
          <w:color w:val="000000"/>
          <w:sz w:val="24"/>
        </w:rPr>
        <w:t>. This Award Agreement shall be binding upon and inure to the benefit of the Company and the Participant and each of their respective heirs, representatives, successors and permitted assigns. This Award Agreement shall not confer any rights or remedies upon any person other than the Company and the Participant and each of their respective heirs, representatives, successor and permitted assigns.</w:t>
      </w:r>
    </w:p>
    <w:p>
      <w:pPr>
        <w:pStyle w:val="TextBody"/>
        <w:bidi w:val="0"/>
        <w:spacing w:lineRule="auto" w:line="240" w:before="0" w:after="240"/>
        <w:jc w:val="both"/>
        <w:rPr/>
      </w:pPr>
      <w:r>
        <w:rPr>
          <w:rFonts w:ascii="Times New Roman;serif" w:hAnsi="Times New Roman;serif"/>
          <w:b w:val="false"/>
          <w:color w:val="000000"/>
          <w:sz w:val="24"/>
        </w:rPr>
        <w:t>19.</w:t>
      </w:r>
      <w:r>
        <w:rPr>
          <w:rFonts w:ascii="Times New Roman;serif" w:hAnsi="Times New Roman;serif"/>
          <w:b w:val="false"/>
          <w:color w:val="000000"/>
          <w:sz w:val="24"/>
          <w:u w:val="single"/>
        </w:rPr>
        <w:t>Application of Section 409A of the Code</w:t>
      </w:r>
      <w:r>
        <w:rPr>
          <w:rFonts w:ascii="Times New Roman;serif" w:hAnsi="Times New Roman;serif"/>
          <w:b w:val="false"/>
          <w:color w:val="000000"/>
          <w:sz w:val="24"/>
        </w:rPr>
        <w:t>. The Award covered by this Award Agreement is intended to be exempt from or otherwise comply with the provisions of Section 409A of the Code, as amended, and the regulations and other guidance promulgated thereunder (“</w:t>
      </w:r>
      <w:r>
        <w:rPr>
          <w:rFonts w:ascii="Times New Roman;serif" w:hAnsi="Times New Roman;serif"/>
          <w:b w:val="false"/>
          <w:color w:val="000000"/>
          <w:sz w:val="24"/>
          <w:u w:val="single"/>
        </w:rPr>
        <w:t>Section 409A</w:t>
      </w:r>
      <w:r>
        <w:rPr>
          <w:color w:val="000000"/>
        </w:rPr>
        <w:t>”</w:t>
      </w:r>
      <w:r>
        <w:rPr>
          <w:rFonts w:ascii="Times New Roman;serif" w:hAnsi="Times New Roman;serif"/>
          <w:b w:val="false"/>
          <w:color w:val="000000"/>
          <w:sz w:val="24"/>
        </w:rPr>
        <w:t xml:space="preserve">). Notwithstanding the foregoing, if the Performance Share Units constitute “deferred compensation” under Section 409A and the Performance Share Units become vested and settled upon the Participant’s termination of employment, payment with respect to the Performance Share Units shall be delayed for a period of six months after the Participant’s termination of employment if the Participant is a “specified employee” as defined under Section 409A and if required pursuant to Section 409A. If payment is delayed, the Performance Share Units shall be settled and paid within thirty (30) days after the date that is six (6) months following the Participant’s termination of employment. Payments with respect to the Performance Share Units may only be paid in a manner and upon an event permitted by Section 409A, and each payment under the Performance Share Units shall be treated as a separate payment, and the right to a series of installment payments under the Performance Share Units shall be treated as a right to a series of separate payments. In no event shall the Participant, directly or indirectly, designate the </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85445"/>
                <wp:effectExtent l="0" t="0" r="0" b="0"/>
                <wp:wrapNone/>
                <wp:docPr id="58" name="Frame5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calendar year of payment. The Company may change or modify the terms of this Award Agreement without the Participant’s consent or signature if the Company determines, in its sole discretion, that such change or modification is necessary for purposes of compliance with or exemption from the requirements of Section 409A or any regulations or other guidance issued thereunder. Notwithstanding the foregoing, the Company makes no representations and/or warranties with respect to compliance with Section 409A, and the Participant recognizes and acknowledges that Section 409A could potentially impose upon the Participant certain taxes and/or interest charges for which the Participant is and shall remain solely responsible. </w:t>
      </w:r>
    </w:p>
    <w:p>
      <w:pPr>
        <w:pStyle w:val="TextBody"/>
        <w:bidi w:val="0"/>
        <w:spacing w:lineRule="auto" w:line="240" w:before="0" w:after="240"/>
        <w:jc w:val="both"/>
        <w:rPr/>
      </w:pPr>
      <w:r>
        <w:rPr>
          <w:rFonts w:ascii="Times New Roman;serif" w:hAnsi="Times New Roman;serif"/>
          <w:b w:val="false"/>
          <w:color w:val="000000"/>
          <w:sz w:val="24"/>
        </w:rPr>
        <w:t>20.</w:t>
      </w:r>
      <w:r>
        <w:rPr>
          <w:color w:val="000000"/>
        </w:rPr>
        <w:t xml:space="preserve"> </w:t>
      </w:r>
      <w:r>
        <w:rPr>
          <w:rFonts w:ascii="Times New Roman;serif" w:hAnsi="Times New Roman;serif"/>
          <w:b/>
          <w:color w:val="000000"/>
          <w:sz w:val="24"/>
          <w:u w:val="single"/>
        </w:rPr>
        <w:t>Time for Acceptance</w:t>
      </w:r>
      <w:r>
        <w:rPr>
          <w:rFonts w:ascii="Times New Roman;serif" w:hAnsi="Times New Roman;serif"/>
          <w:b/>
          <w:color w:val="000000"/>
          <w:sz w:val="24"/>
        </w:rPr>
        <w:t>. Unless the Participant shall evidence acceptance of this Performance Share Unit Award Agreement by electronic or other means prescribed by the Committee within ninety (90) days after its delivery, the Performance Share Units shall be null and void (unless waived by the Committee).</w:t>
      </w:r>
    </w:p>
    <w:p>
      <w:pPr>
        <w:pStyle w:val="TextBody"/>
        <w:bidi w:val="0"/>
        <w:spacing w:lineRule="auto" w:line="240"/>
        <w:jc w:val="center"/>
        <w:rPr>
          <w:rFonts w:ascii="Times New Roman;serif" w:hAnsi="Times New Roman;serif"/>
          <w:b/>
          <w:i/>
          <w:color w:val="000000"/>
          <w:sz w:val="24"/>
        </w:rPr>
      </w:pPr>
      <w:r>
        <w:rPr>
          <w:rFonts w:ascii="Times New Roman;serif" w:hAnsi="Times New Roman;serif"/>
          <w:b/>
          <w:i/>
          <w:color w:val="000000"/>
          <w:sz w:val="24"/>
        </w:rPr>
        <w:t>[Signature Page Follows]</w:t>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85445"/>
                <wp:effectExtent l="0" t="0" r="0" b="0"/>
                <wp:wrapNone/>
                <wp:docPr id="59" name="Frame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Company has caused its duly authorized officer to execute this Award Agreement, and the Participant has executed this Award Agreement, effective as of the Date of Grant.</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HAEMONETICS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color w:val="000000"/>
          <w:u w:val="single"/>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Name: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Title: </w:t>
      </w:r>
    </w:p>
    <w:p>
      <w:pPr>
        <w:pStyle w:val="TextBody"/>
        <w:bidi w:val="0"/>
        <w:spacing w:before="0" w:after="0"/>
        <w:jc w:val="left"/>
        <w:rPr/>
      </w:pPr>
      <w:r>
        <w:rPr/>
      </w:r>
    </w:p>
    <w:p>
      <w:pPr>
        <w:pStyle w:val="TextBody"/>
        <w:bidi w:val="0"/>
        <w:spacing w:before="0" w:after="240"/>
        <w:jc w:val="left"/>
        <w:rPr/>
      </w:pPr>
      <w:r>
        <w:rPr/>
      </w:r>
    </w:p>
    <w:p>
      <w:pPr>
        <w:pStyle w:val="TextBody"/>
        <w:bidi w:val="0"/>
        <w:spacing w:lineRule="auto" w:line="288" w:before="0" w:after="720"/>
        <w:jc w:val="both"/>
        <w:rPr>
          <w:rFonts w:ascii="Times New Roman;serif" w:hAnsi="Times New Roman;serif"/>
          <w:b w:val="false"/>
          <w:color w:val="000000"/>
          <w:sz w:val="24"/>
        </w:rPr>
      </w:pPr>
      <w:r>
        <w:rPr>
          <w:rFonts w:ascii="Times New Roman;serif" w:hAnsi="Times New Roman;serif"/>
          <w:b w:val="false"/>
          <w:color w:val="000000"/>
          <w:sz w:val="24"/>
        </w:rPr>
        <w:t>I hereby accept the award of Performance Share Units described in this Award Agreement, and I agree to be bound by the terms of the Plan and this Award Agreement. I hereby agree that all decisions and determinations of the Committee with respect to the Performance Share Units shall be final and binding.</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Participant</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85445"/>
                <wp:effectExtent l="0" t="0" r="0" b="0"/>
                <wp:wrapNone/>
                <wp:docPr id="60" name="Frame6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color w:val="000000"/>
          <w:sz w:val="24"/>
        </w:rPr>
        <w:br/>
      </w:r>
      <w:r>
        <w:rPr>
          <w:rFonts w:ascii="Times New Roman;serif" w:hAnsi="Times New Roman;serif"/>
          <w:b w:val="false"/>
          <w:color w:val="000000"/>
          <w:sz w:val="24"/>
        </w:rPr>
        <w:t>*</w:t>
      </w:r>
      <w:r>
        <w:rPr>
          <w:rFonts w:ascii="Times New Roman;serif" w:hAnsi="Times New Roman;serif"/>
          <w:b w:val="false"/>
          <w:color w:val="000000"/>
          <w:sz w:val="24"/>
          <w:u w:val="single"/>
        </w:rPr>
        <w:t>Appendix A</w:t>
      </w:r>
      <w:r>
        <w:rPr>
          <w:color w:val="000000"/>
        </w:rPr>
        <w:t> </w:t>
      </w:r>
      <w:r>
        <w:rPr>
          <w:rFonts w:ascii="Times New Roman;serif" w:hAnsi="Times New Roman;serif"/>
          <w:b w:val="false"/>
          <w:color w:val="000000"/>
          <w:sz w:val="24"/>
        </w:rPr>
        <w:t>omitted pursuant to Item 601(a)(5) of Regulation S-K. A copy of any omitted schedule and/or exhibit will be furnished as a supplement to the Securities and Exchange Commission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85445"/>
                <wp:effectExtent l="0" t="0" r="0" b="0"/>
                <wp:wrapNone/>
                <wp:docPr id="61" name="Frame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right"/>
        <w:rPr>
          <w:rFonts w:ascii="Times New Roman;serif" w:hAnsi="Times New Roman;serif"/>
          <w:b/>
          <w:color w:val="000000"/>
          <w:sz w:val="20"/>
          <w:u w:val="single"/>
        </w:rPr>
      </w:pPr>
      <w:r>
        <w:rPr>
          <w:rFonts w:ascii="Times New Roman;serif" w:hAnsi="Times New Roman;serif"/>
          <w:b/>
          <w:color w:val="000000"/>
          <w:sz w:val="20"/>
          <w:u w:val="single"/>
        </w:rPr>
        <w:t>EXHIBIT 31.1</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CERTIFICATION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Christopher A. Simon, certify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Haemonetics Corporation;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August 6, 2026 </w:t>
      </w:r>
    </w:p>
    <w:tbl>
      <w:tblPr>
        <w:tblW w:w="5718" w:type="dxa"/>
        <w:jc w:val="left"/>
        <w:tblInd w:w="0" w:type="dxa"/>
        <w:tblLayout w:type="fixed"/>
        <w:tblCellMar>
          <w:top w:w="28" w:type="dxa"/>
          <w:left w:w="28" w:type="dxa"/>
          <w:bottom w:w="28" w:type="dxa"/>
          <w:right w:w="28" w:type="dxa"/>
        </w:tblCellMar>
      </w:tblPr>
      <w:tblGrid>
        <w:gridCol w:w="124"/>
        <w:gridCol w:w="109"/>
        <w:gridCol w:w="109"/>
        <w:gridCol w:w="556"/>
        <w:gridCol w:w="556"/>
        <w:gridCol w:w="556"/>
        <w:gridCol w:w="556"/>
        <w:gridCol w:w="556"/>
        <w:gridCol w:w="556"/>
        <w:gridCol w:w="556"/>
        <w:gridCol w:w="556"/>
        <w:gridCol w:w="5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A. Simon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A. Simon, 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right"/>
        <w:rPr>
          <w:rFonts w:ascii="Times New Roman;serif" w:hAnsi="Times New Roman;serif"/>
          <w:b/>
          <w:color w:val="000000"/>
          <w:sz w:val="20"/>
          <w:u w:val="single"/>
        </w:rPr>
      </w:pPr>
      <w:r>
        <w:rPr>
          <w:rFonts w:ascii="Times New Roman;serif" w:hAnsi="Times New Roman;serif"/>
          <w:b/>
          <w:color w:val="000000"/>
          <w:sz w:val="20"/>
          <w:u w:val="single"/>
        </w:rPr>
        <w:t>EXHIBIT 31.2</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CERTIFICATION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James C. D'Arecca, certify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Haemonetics Corporation;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2026</w:t>
      </w:r>
    </w:p>
    <w:tbl>
      <w:tblPr>
        <w:tblW w:w="6366" w:type="dxa"/>
        <w:jc w:val="left"/>
        <w:tblInd w:w="0" w:type="dxa"/>
        <w:tblLayout w:type="fixed"/>
        <w:tblCellMar>
          <w:top w:w="28" w:type="dxa"/>
          <w:left w:w="28" w:type="dxa"/>
          <w:bottom w:w="28" w:type="dxa"/>
          <w:right w:w="28" w:type="dxa"/>
        </w:tblCellMar>
      </w:tblPr>
      <w:tblGrid>
        <w:gridCol w:w="124"/>
        <w:gridCol w:w="109"/>
        <w:gridCol w:w="109"/>
        <w:gridCol w:w="628"/>
        <w:gridCol w:w="628"/>
        <w:gridCol w:w="628"/>
        <w:gridCol w:w="628"/>
        <w:gridCol w:w="628"/>
        <w:gridCol w:w="628"/>
        <w:gridCol w:w="628"/>
        <w:gridCol w:w="628"/>
        <w:gridCol w:w="62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C. D'Arecca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C. D'Arecca, Executive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u w:val="single"/>
        </w:rPr>
      </w:pPr>
      <w:r>
        <w:rPr>
          <w:rFonts w:ascii="Times New Roman;serif" w:hAnsi="Times New Roman;serif"/>
          <w:b/>
          <w:color w:val="000000"/>
          <w:sz w:val="20"/>
          <w:u w:val="single"/>
        </w:rPr>
        <w:t>EXHIBIT 32.1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Haemonetics Corporation (the “Company”) on Form 10-Q for the period ended June 27, 2026 as filed with the Securities and Exchange Commission on the date hereof (the “Report”), I, Christopher A. Simon,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August 6, 2026 </w:t>
      </w:r>
    </w:p>
    <w:tbl>
      <w:tblPr>
        <w:tblW w:w="3918" w:type="dxa"/>
        <w:jc w:val="left"/>
        <w:tblInd w:w="0" w:type="dxa"/>
        <w:tblLayout w:type="fixed"/>
        <w:tblCellMar>
          <w:top w:w="28" w:type="dxa"/>
          <w:left w:w="28" w:type="dxa"/>
          <w:bottom w:w="28" w:type="dxa"/>
          <w:right w:w="28" w:type="dxa"/>
        </w:tblCellMar>
      </w:tblPr>
      <w:tblGrid>
        <w:gridCol w:w="124"/>
        <w:gridCol w:w="109"/>
        <w:gridCol w:w="109"/>
        <w:gridCol w:w="356"/>
        <w:gridCol w:w="356"/>
        <w:gridCol w:w="356"/>
        <w:gridCol w:w="356"/>
        <w:gridCol w:w="356"/>
        <w:gridCol w:w="356"/>
        <w:gridCol w:w="356"/>
        <w:gridCol w:w="356"/>
        <w:gridCol w:w="3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A. Simon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A. Simon,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u w:val="single"/>
        </w:rPr>
      </w:pPr>
      <w:r>
        <w:rPr>
          <w:rFonts w:ascii="Times New Roman;serif" w:hAnsi="Times New Roman;serif"/>
          <w:b/>
          <w:color w:val="000000"/>
          <w:sz w:val="20"/>
          <w:u w:val="single"/>
        </w:rPr>
        <w:t>EXHIBIT 32.2</w:t>
      </w:r>
    </w:p>
    <w:p>
      <w:pPr>
        <w:pStyle w:val="TextBody"/>
        <w:bidi w:val="0"/>
        <w:spacing w:before="240" w:after="283"/>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Haemonetics Corporation (the “Company”) on Form 10-Q for the period ended June 27, 2026 as filed with the Securities and Exchange Commission on the date hereof (the “Report”), I, James C. D'Arecca, Executive Vice President,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August 6, 2026 </w:t>
      </w:r>
    </w:p>
    <w:tbl>
      <w:tblPr>
        <w:tblW w:w="4809" w:type="dxa"/>
        <w:jc w:val="left"/>
        <w:tblInd w:w="0" w:type="dxa"/>
        <w:tblLayout w:type="fixed"/>
        <w:tblCellMar>
          <w:top w:w="28" w:type="dxa"/>
          <w:left w:w="28" w:type="dxa"/>
          <w:bottom w:w="28" w:type="dxa"/>
          <w:right w:w="28" w:type="dxa"/>
        </w:tblCellMar>
      </w:tblPr>
      <w:tblGrid>
        <w:gridCol w:w="124"/>
        <w:gridCol w:w="109"/>
        <w:gridCol w:w="109"/>
        <w:gridCol w:w="455"/>
        <w:gridCol w:w="455"/>
        <w:gridCol w:w="455"/>
        <w:gridCol w:w="455"/>
        <w:gridCol w:w="455"/>
        <w:gridCol w:w="455"/>
        <w:gridCol w:w="455"/>
        <w:gridCol w:w="455"/>
        <w:gridCol w:w="45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C. D'Arecca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C. D'Arecca,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313143/000031314319000035/exhibit31-restatedarticles.htm" TargetMode="External"/><Relationship Id="rId3" Type="http://schemas.openxmlformats.org/officeDocument/2006/relationships/hyperlink" Target="https://www.sec.gov/Archives/edgar/data/313143/000031314320000052/by-lawsasamended62920.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28668</Words>
  <Characters>157284</Characters>
  <CharactersWithSpaces>184607</CharactersWithSpaces>
  <Paragraphs>2558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