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7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ANNUAL REPORT PURSUANT TO SECTION 13 OR 15(d)</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fiscal year ended March 29, 2014</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001-14041</w:t>
      </w:r>
    </w:p>
    <w:p>
      <w:pPr>
        <w:spacing w:after="0" w:line="52"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HAEMONETICS CORPORATION</w:t>
      </w:r>
    </w:p>
    <w:p>
      <w:pPr>
        <w:spacing w:after="0" w:line="42" w:lineRule="exact"/>
        <w:rPr>
          <w:sz w:val="24"/>
          <w:szCs w:val="24"/>
          <w:color w:val="auto"/>
        </w:rPr>
      </w:pPr>
    </w:p>
    <w:p>
      <w:pPr>
        <w:jc w:val="center"/>
        <w:ind w:right="-5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5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86"/>
              </w:rPr>
              <w:t>Massachusetts</w:t>
            </w:r>
          </w:p>
        </w:tc>
        <w:tc>
          <w:tcPr>
            <w:tcW w:w="5900" w:type="dxa"/>
            <w:vAlign w:val="bottom"/>
            <w:gridSpan w:val="2"/>
          </w:tcPr>
          <w:p>
            <w:pPr>
              <w:jc w:val="right"/>
              <w:ind w:right="2264"/>
              <w:spacing w:after="0"/>
              <w:rPr>
                <w:sz w:val="20"/>
                <w:szCs w:val="20"/>
                <w:color w:val="auto"/>
              </w:rPr>
            </w:pPr>
            <w:r>
              <w:rPr>
                <w:rFonts w:ascii="Arial" w:cs="Arial" w:eastAsia="Arial" w:hAnsi="Arial"/>
                <w:sz w:val="18"/>
                <w:szCs w:val="18"/>
                <w:b w:val="1"/>
                <w:bCs w:val="1"/>
                <w:color w:val="auto"/>
              </w:rPr>
              <w:t>04-2882273</w:t>
            </w:r>
          </w:p>
        </w:tc>
      </w:tr>
      <w:tr>
        <w:trPr>
          <w:trHeight w:val="184"/>
        </w:trPr>
        <w:tc>
          <w:tcPr>
            <w:tcW w:w="5460" w:type="dxa"/>
            <w:vAlign w:val="bottom"/>
          </w:tcPr>
          <w:p>
            <w:pPr>
              <w:jc w:val="center"/>
              <w:spacing w:after="0"/>
              <w:rPr>
                <w:sz w:val="20"/>
                <w:szCs w:val="20"/>
                <w:color w:val="auto"/>
              </w:rPr>
            </w:pPr>
            <w:r>
              <w:rPr>
                <w:rFonts w:ascii="Arial" w:cs="Arial" w:eastAsia="Arial" w:hAnsi="Arial"/>
                <w:sz w:val="14"/>
                <w:szCs w:val="14"/>
                <w:i w:val="1"/>
                <w:iCs w:val="1"/>
                <w:color w:val="auto"/>
                <w:w w:val="95"/>
              </w:rPr>
              <w:t>(State or other jurisdiction of</w:t>
            </w:r>
          </w:p>
        </w:tc>
        <w:tc>
          <w:tcPr>
            <w:tcW w:w="340" w:type="dxa"/>
            <w:vAlign w:val="bottom"/>
          </w:tcPr>
          <w:p>
            <w:pPr>
              <w:spacing w:after="0"/>
              <w:rPr>
                <w:sz w:val="15"/>
                <w:szCs w:val="15"/>
                <w:color w:val="auto"/>
              </w:rPr>
            </w:pPr>
          </w:p>
        </w:tc>
        <w:tc>
          <w:tcPr>
            <w:tcW w:w="5560" w:type="dxa"/>
            <w:vAlign w:val="bottom"/>
          </w:tcPr>
          <w:p>
            <w:pPr>
              <w:jc w:val="center"/>
              <w:spacing w:after="0"/>
              <w:rPr>
                <w:sz w:val="20"/>
                <w:szCs w:val="20"/>
                <w:color w:val="auto"/>
              </w:rPr>
            </w:pPr>
            <w:r>
              <w:rPr>
                <w:rFonts w:ascii="Arial" w:cs="Arial" w:eastAsia="Arial" w:hAnsi="Arial"/>
                <w:sz w:val="14"/>
                <w:szCs w:val="14"/>
                <w:i w:val="1"/>
                <w:iCs w:val="1"/>
                <w:color w:val="auto"/>
                <w:w w:val="93"/>
              </w:rPr>
              <w:t>(I.R.S. Employer</w:t>
            </w:r>
          </w:p>
        </w:tc>
      </w:tr>
      <w:tr>
        <w:trPr>
          <w:trHeight w:val="182"/>
        </w:trPr>
        <w:tc>
          <w:tcPr>
            <w:tcW w:w="5460" w:type="dxa"/>
            <w:vAlign w:val="bottom"/>
          </w:tcPr>
          <w:p>
            <w:pPr>
              <w:jc w:val="center"/>
              <w:spacing w:after="0"/>
              <w:rPr>
                <w:sz w:val="20"/>
                <w:szCs w:val="20"/>
                <w:color w:val="auto"/>
              </w:rPr>
            </w:pPr>
            <w:r>
              <w:rPr>
                <w:rFonts w:ascii="Arial" w:cs="Arial" w:eastAsia="Arial" w:hAnsi="Arial"/>
                <w:sz w:val="14"/>
                <w:szCs w:val="14"/>
                <w:i w:val="1"/>
                <w:iCs w:val="1"/>
                <w:color w:val="auto"/>
                <w:w w:val="97"/>
              </w:rPr>
              <w:t>incorporation or organization)</w:t>
            </w:r>
          </w:p>
        </w:tc>
        <w:tc>
          <w:tcPr>
            <w:tcW w:w="340" w:type="dxa"/>
            <w:vAlign w:val="bottom"/>
          </w:tcPr>
          <w:p>
            <w:pPr>
              <w:spacing w:after="0"/>
              <w:rPr>
                <w:sz w:val="15"/>
                <w:szCs w:val="15"/>
                <w:color w:val="auto"/>
              </w:rPr>
            </w:pPr>
          </w:p>
        </w:tc>
        <w:tc>
          <w:tcPr>
            <w:tcW w:w="5560" w:type="dxa"/>
            <w:vAlign w:val="bottom"/>
          </w:tcPr>
          <w:p>
            <w:pPr>
              <w:jc w:val="center"/>
              <w:spacing w:after="0"/>
              <w:rPr>
                <w:sz w:val="20"/>
                <w:szCs w:val="20"/>
                <w:color w:val="auto"/>
              </w:rPr>
            </w:pPr>
            <w:r>
              <w:rPr>
                <w:rFonts w:ascii="Arial" w:cs="Arial" w:eastAsia="Arial" w:hAnsi="Arial"/>
                <w:sz w:val="14"/>
                <w:szCs w:val="14"/>
                <w:i w:val="1"/>
                <w:iCs w:val="1"/>
                <w:color w:val="auto"/>
                <w:w w:val="97"/>
              </w:rPr>
              <w:t>Identification No.)</w:t>
            </w:r>
          </w:p>
        </w:tc>
      </w:tr>
      <w:tr>
        <w:trPr>
          <w:trHeight w:val="358"/>
        </w:trPr>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89"/>
              </w:rPr>
              <w:t>400 Wood Road,</w:t>
            </w:r>
          </w:p>
        </w:tc>
        <w:tc>
          <w:tcPr>
            <w:tcW w:w="340" w:type="dxa"/>
            <w:vAlign w:val="bottom"/>
          </w:tcPr>
          <w:p>
            <w:pPr>
              <w:spacing w:after="0"/>
              <w:rPr>
                <w:sz w:val="24"/>
                <w:szCs w:val="24"/>
                <w:color w:val="auto"/>
              </w:rPr>
            </w:pPr>
          </w:p>
        </w:tc>
        <w:tc>
          <w:tcPr>
            <w:tcW w:w="5560" w:type="dxa"/>
            <w:vAlign w:val="bottom"/>
          </w:tcPr>
          <w:p>
            <w:pPr>
              <w:spacing w:after="0"/>
              <w:rPr>
                <w:sz w:val="24"/>
                <w:szCs w:val="24"/>
                <w:color w:val="auto"/>
              </w:rPr>
            </w:pPr>
          </w:p>
        </w:tc>
      </w:tr>
      <w:tr>
        <w:trPr>
          <w:trHeight w:val="234"/>
        </w:trPr>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88"/>
              </w:rPr>
              <w:t>Braintree, Massachusetts 02184-9114</w:t>
            </w:r>
          </w:p>
        </w:tc>
        <w:tc>
          <w:tcPr>
            <w:tcW w:w="5900" w:type="dxa"/>
            <w:vAlign w:val="bottom"/>
            <w:gridSpan w:val="2"/>
          </w:tcPr>
          <w:p>
            <w:pPr>
              <w:jc w:val="right"/>
              <w:ind w:right="2144"/>
              <w:spacing w:after="0"/>
              <w:rPr>
                <w:sz w:val="20"/>
                <w:szCs w:val="20"/>
                <w:color w:val="auto"/>
              </w:rPr>
            </w:pPr>
            <w:r>
              <w:rPr>
                <w:rFonts w:ascii="Arial" w:cs="Arial" w:eastAsia="Arial" w:hAnsi="Arial"/>
                <w:sz w:val="18"/>
                <w:szCs w:val="18"/>
                <w:b w:val="1"/>
                <w:bCs w:val="1"/>
                <w:color w:val="auto"/>
              </w:rPr>
              <w:t>(781) 848-7100</w:t>
            </w:r>
          </w:p>
        </w:tc>
      </w:tr>
      <w:tr>
        <w:trPr>
          <w:trHeight w:val="204"/>
        </w:trPr>
        <w:tc>
          <w:tcPr>
            <w:tcW w:w="5460" w:type="dxa"/>
            <w:vAlign w:val="bottom"/>
          </w:tcPr>
          <w:p>
            <w:pPr>
              <w:ind w:left="1640"/>
              <w:spacing w:after="0"/>
              <w:rPr>
                <w:sz w:val="20"/>
                <w:szCs w:val="20"/>
                <w:color w:val="auto"/>
              </w:rPr>
            </w:pPr>
            <w:r>
              <w:rPr>
                <w:rFonts w:ascii="Arial" w:cs="Arial" w:eastAsia="Arial" w:hAnsi="Arial"/>
                <w:sz w:val="14"/>
                <w:szCs w:val="14"/>
                <w:i w:val="1"/>
                <w:iCs w:val="1"/>
                <w:color w:val="auto"/>
              </w:rPr>
              <w:t>(Address of principal executive offices)</w:t>
            </w:r>
          </w:p>
        </w:tc>
        <w:tc>
          <w:tcPr>
            <w:tcW w:w="340" w:type="dxa"/>
            <w:vAlign w:val="bottom"/>
          </w:tcPr>
          <w:p>
            <w:pPr>
              <w:spacing w:after="0"/>
              <w:rPr>
                <w:sz w:val="17"/>
                <w:szCs w:val="17"/>
                <w:color w:val="auto"/>
              </w:rPr>
            </w:pPr>
          </w:p>
        </w:tc>
        <w:tc>
          <w:tcPr>
            <w:tcW w:w="5560" w:type="dxa"/>
            <w:vAlign w:val="bottom"/>
          </w:tcPr>
          <w:p>
            <w:pPr>
              <w:jc w:val="center"/>
              <w:spacing w:after="0"/>
              <w:rPr>
                <w:sz w:val="20"/>
                <w:szCs w:val="20"/>
                <w:color w:val="auto"/>
              </w:rPr>
            </w:pPr>
            <w:r>
              <w:rPr>
                <w:rFonts w:ascii="Arial" w:cs="Arial" w:eastAsia="Arial" w:hAnsi="Arial"/>
                <w:sz w:val="14"/>
                <w:szCs w:val="14"/>
                <w:i w:val="1"/>
                <w:iCs w:val="1"/>
                <w:color w:val="auto"/>
                <w:w w:val="92"/>
              </w:rPr>
              <w:t>(Registrant’s telephone number)</w:t>
            </w:r>
          </w:p>
        </w:tc>
      </w:tr>
      <w:tr>
        <w:trPr>
          <w:trHeight w:val="309"/>
        </w:trPr>
        <w:tc>
          <w:tcPr>
            <w:tcW w:w="113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399"/>
        </w:trPr>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(Title of Each Class)</w:t>
            </w:r>
          </w:p>
        </w:tc>
        <w:tc>
          <w:tcPr>
            <w:tcW w:w="340" w:type="dxa"/>
            <w:vAlign w:val="bottom"/>
          </w:tcPr>
          <w:p>
            <w:pPr>
              <w:spacing w:after="0"/>
              <w:rPr>
                <w:sz w:val="24"/>
                <w:szCs w:val="24"/>
                <w:color w:val="auto"/>
              </w:rPr>
            </w:pPr>
          </w:p>
        </w:tc>
        <w:tc>
          <w:tcPr>
            <w:tcW w:w="5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Exchange on Which Registered)</w:t>
            </w:r>
          </w:p>
        </w:tc>
      </w:tr>
      <w:tr>
        <w:trPr>
          <w:trHeight w:val="243"/>
        </w:trPr>
        <w:tc>
          <w:tcPr>
            <w:tcW w:w="5460" w:type="dxa"/>
            <w:vAlign w:val="bottom"/>
          </w:tcPr>
          <w:p>
            <w:pPr>
              <w:jc w:val="center"/>
              <w:spacing w:after="0"/>
              <w:rPr>
                <w:sz w:val="20"/>
                <w:szCs w:val="20"/>
                <w:color w:val="auto"/>
              </w:rPr>
            </w:pPr>
            <w:r>
              <w:rPr>
                <w:rFonts w:ascii="Arial" w:cs="Arial" w:eastAsia="Arial" w:hAnsi="Arial"/>
                <w:sz w:val="18"/>
                <w:szCs w:val="18"/>
                <w:color w:val="auto"/>
                <w:w w:val="89"/>
              </w:rPr>
              <w:t>Common stock, $.01 par value per share</w:t>
            </w:r>
          </w:p>
        </w:tc>
        <w:tc>
          <w:tcPr>
            <w:tcW w:w="340" w:type="dxa"/>
            <w:vAlign w:val="bottom"/>
          </w:tcPr>
          <w:p>
            <w:pPr>
              <w:spacing w:after="0"/>
              <w:rPr>
                <w:sz w:val="21"/>
                <w:szCs w:val="21"/>
                <w:color w:val="auto"/>
              </w:rPr>
            </w:pPr>
          </w:p>
        </w:tc>
        <w:tc>
          <w:tcPr>
            <w:tcW w:w="556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79"/>
        </w:trPr>
        <w:tc>
          <w:tcPr>
            <w:tcW w:w="113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r>
      <w:tr>
        <w:trPr>
          <w:trHeight w:val="234"/>
        </w:trPr>
        <w:tc>
          <w:tcPr>
            <w:tcW w:w="5460" w:type="dxa"/>
            <w:vAlign w:val="bottom"/>
          </w:tcPr>
          <w:p>
            <w:pPr>
              <w:spacing w:after="0"/>
              <w:rPr>
                <w:sz w:val="20"/>
                <w:szCs w:val="20"/>
                <w:color w:val="auto"/>
              </w:rPr>
            </w:pPr>
          </w:p>
        </w:tc>
        <w:tc>
          <w:tcPr>
            <w:tcW w:w="5900" w:type="dxa"/>
            <w:vAlign w:val="bottom"/>
            <w:gridSpan w:val="2"/>
          </w:tcPr>
          <w:p>
            <w:pPr>
              <w:jc w:val="center"/>
              <w:ind w:right="5304"/>
              <w:spacing w:after="0"/>
              <w:rPr>
                <w:sz w:val="20"/>
                <w:szCs w:val="20"/>
                <w:color w:val="auto"/>
              </w:rPr>
            </w:pPr>
            <w:r>
              <w:rPr>
                <w:rFonts w:ascii="Arial" w:cs="Arial" w:eastAsia="Arial" w:hAnsi="Arial"/>
                <w:sz w:val="18"/>
                <w:szCs w:val="18"/>
                <w:b w:val="1"/>
                <w:bCs w:val="1"/>
                <w:color w:val="auto"/>
                <w:w w:val="88"/>
              </w:rPr>
              <w:t>None</w:t>
            </w:r>
          </w:p>
        </w:tc>
      </w:tr>
    </w:tbl>
    <w:p>
      <w:pPr>
        <w:ind w:left="340" w:right="980"/>
        <w:spacing w:after="0" w:line="253" w:lineRule="exact"/>
        <w:rPr>
          <w:sz w:val="20"/>
          <w:szCs w:val="20"/>
          <w:color w:val="auto"/>
        </w:rPr>
      </w:pPr>
      <w:r>
        <w:rPr>
          <w:rFonts w:ascii="Arial" w:cs="Arial" w:eastAsia="Arial" w:hAnsi="Arial"/>
          <w:sz w:val="16"/>
          <w:szCs w:val="16"/>
          <w:color w:val="auto"/>
        </w:rPr>
        <w:t xml:space="preserve">Indicate by check mark whether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 Indicate by check mark whether the registrant is not required to file reports pursuant to Section 13 or 15(d) of the Act. Yes o No </w:t>
      </w:r>
      <w:r>
        <w:rPr>
          <w:rFonts w:ascii="MS PGothic" w:cs="MS PGothic" w:eastAsia="MS PGothic" w:hAnsi="MS PGothic"/>
          <w:sz w:val="16"/>
          <w:szCs w:val="16"/>
          <w:color w:val="auto"/>
        </w:rPr>
        <w:t>☑</w:t>
      </w:r>
    </w:p>
    <w:p>
      <w:pPr>
        <w:jc w:val="both"/>
        <w:ind w:right="20" w:firstLine="324"/>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(2.) has been subject to the filing requirements for at least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3" w:lineRule="exact"/>
        <w:rPr>
          <w:sz w:val="24"/>
          <w:szCs w:val="24"/>
          <w:color w:val="auto"/>
        </w:rPr>
      </w:pPr>
    </w:p>
    <w:p>
      <w:pPr>
        <w:ind w:right="160" w:firstLine="324"/>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3" w:lineRule="exact"/>
        <w:rPr>
          <w:sz w:val="24"/>
          <w:szCs w:val="24"/>
          <w:color w:val="auto"/>
        </w:rPr>
      </w:pPr>
    </w:p>
    <w:p>
      <w:pPr>
        <w:jc w:val="both"/>
        <w:ind w:firstLine="324"/>
        <w:spacing w:after="0" w:line="258"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jc w:val="both"/>
        <w:ind w:right="20"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12" w:lineRule="exact"/>
        <w:rPr>
          <w:sz w:val="24"/>
          <w:szCs w:val="24"/>
          <w:color w:val="auto"/>
        </w:rPr>
      </w:pPr>
    </w:p>
    <w:p>
      <w:pPr>
        <w:ind w:left="2880" w:right="460" w:hanging="4603"/>
        <w:spacing w:after="0" w:line="238" w:lineRule="exact"/>
        <w:tabs>
          <w:tab w:leader="none" w:pos="286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Accelerated filer o Non-accelerated filer o Smaller reporting company o (Do not check if a smaller reporting company)</w:t>
      </w:r>
    </w:p>
    <w:p>
      <w:pPr>
        <w:spacing w:after="0" w:line="44" w:lineRule="exact"/>
        <w:rPr>
          <w:sz w:val="24"/>
          <w:szCs w:val="24"/>
          <w:color w:val="auto"/>
        </w:rPr>
      </w:pPr>
    </w:p>
    <w:p>
      <w:pPr>
        <w:ind w:left="340"/>
        <w:spacing w:after="0" w:line="196" w:lineRule="exact"/>
        <w:tabs>
          <w:tab w:leader="none" w:pos="92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88" w:lineRule="exact"/>
        <w:rPr>
          <w:sz w:val="24"/>
          <w:szCs w:val="24"/>
          <w:color w:val="auto"/>
        </w:rPr>
      </w:pPr>
    </w:p>
    <w:p>
      <w:pPr>
        <w:ind w:right="180" w:firstLine="324"/>
        <w:spacing w:after="0" w:line="256" w:lineRule="auto"/>
        <w:rPr>
          <w:sz w:val="20"/>
          <w:szCs w:val="20"/>
          <w:color w:val="auto"/>
        </w:rPr>
      </w:pPr>
      <w:r>
        <w:rPr>
          <w:rFonts w:ascii="Arial" w:cs="Arial" w:eastAsia="Arial" w:hAnsi="Arial"/>
          <w:sz w:val="18"/>
          <w:szCs w:val="18"/>
          <w:color w:val="auto"/>
        </w:rPr>
        <w:t>The aggregate market value of the voting and non-voting common equity held by non-affiliates of the registrant (assuming for these purposes that all executive officers and directors are “affiliates” of the registrant) as of September 28, 2013, the last business day of the registrant’s most recently completed second fiscal quarter was $2,058,543,720 (based on the closing sale price of the registrant’s common stock on that date as reported on the New York Stock Exchange).</w:t>
      </w:r>
    </w:p>
    <w:p>
      <w:pPr>
        <w:spacing w:after="0" w:line="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shares of $0.01 par value common stock outstanding as of April 26, 2014 was 52,053,753.</w:t>
      </w:r>
    </w:p>
    <w:p>
      <w:pPr>
        <w:spacing w:after="0" w:line="32"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Documents Incorporated By Reference</w:t>
      </w:r>
    </w:p>
    <w:p>
      <w:pPr>
        <w:spacing w:after="0" w:line="40"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Portions of the definitive proxy statement for our Annual Meeting of Shareholders to be held on July 23, 2014 are incorporated by reference in Part III of this report.</w:t>
      </w:r>
    </w:p>
    <w:p>
      <w:pPr>
        <w:sectPr>
          <w:pgSz w:w="11900" w:h="16838" w:orient="portrait"/>
          <w:cols w:equalWidth="0" w:num="1">
            <w:col w:w="11360"/>
          </w:cols>
          <w:pgMar w:left="240" w:top="468"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0" w:type="dxa"/>
            <w:vAlign w:val="bottom"/>
            <w:gridSpan w:val="9"/>
          </w:tcPr>
          <w:p>
            <w:pPr>
              <w:ind w:left="360"/>
              <w:spacing w:after="0"/>
              <w:rPr>
                <w:sz w:val="20"/>
                <w:szCs w:val="20"/>
                <w:color w:val="auto"/>
              </w:rPr>
            </w:pPr>
            <w:r>
              <w:rPr>
                <w:rFonts w:ascii="Arial" w:cs="Arial" w:eastAsia="Arial" w:hAnsi="Arial"/>
                <w:sz w:val="18"/>
                <w:szCs w:val="18"/>
                <w:b w:val="1"/>
                <w:bCs w:val="1"/>
                <w:color w:val="auto"/>
              </w:rPr>
              <w:t>TABLE OF CONTENTS</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504"/>
        </w:trPr>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Page</w:t>
            </w:r>
          </w:p>
        </w:tc>
      </w:tr>
      <w:tr>
        <w:trPr>
          <w:trHeight w:val="192"/>
        </w:trPr>
        <w:tc>
          <w:tcPr>
            <w:tcW w:w="10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Number</w:t>
            </w:r>
          </w:p>
        </w:tc>
      </w:tr>
      <w:tr>
        <w:trPr>
          <w:trHeight w:val="203"/>
        </w:trPr>
        <w:tc>
          <w:tcPr>
            <w:tcW w:w="1020" w:type="dxa"/>
            <w:vAlign w:val="bottom"/>
          </w:tcPr>
          <w:p>
            <w:pPr>
              <w:spacing w:after="0" w:line="202" w:lineRule="exact"/>
              <w:rPr>
                <w:sz w:val="20"/>
                <w:szCs w:val="20"/>
                <w:color w:val="auto"/>
              </w:rPr>
            </w:pPr>
            <w:r>
              <w:rPr>
                <w:rFonts w:ascii="Arial" w:cs="Arial" w:eastAsia="Arial" w:hAnsi="Arial"/>
                <w:sz w:val="18"/>
                <w:szCs w:val="18"/>
                <w:color w:val="auto"/>
              </w:rPr>
              <w:t>Item 1.</w:t>
            </w:r>
          </w:p>
        </w:tc>
        <w:tc>
          <w:tcPr>
            <w:tcW w:w="9540" w:type="dxa"/>
            <w:vAlign w:val="bottom"/>
            <w:gridSpan w:val="23"/>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800" w:type="dxa"/>
            <w:vAlign w:val="bottom"/>
            <w:gridSpan w:val="4"/>
          </w:tcPr>
          <w:p>
            <w:pPr>
              <w:jc w:val="right"/>
              <w:ind w:right="4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1"/>
                <w:szCs w:val="21"/>
                <w:color w:val="auto"/>
              </w:rPr>
            </w:pPr>
          </w:p>
        </w:tc>
        <w:tc>
          <w:tcPr>
            <w:tcW w:w="1460" w:type="dxa"/>
            <w:vAlign w:val="bottom"/>
            <w:gridSpan w:val="5"/>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Company Overview</w:t>
              </w:r>
            </w:hyperlink>
          </w:p>
        </w:tc>
        <w:tc>
          <w:tcPr>
            <w:tcW w:w="8080" w:type="dxa"/>
            <w:vAlign w:val="bottom"/>
            <w:gridSpan w:val="18"/>
          </w:tcPr>
          <w:p>
            <w:pPr>
              <w:spacing w:after="0"/>
              <w:rPr>
                <w:sz w:val="21"/>
                <w:szCs w:val="21"/>
                <w:color w:val="auto"/>
              </w:rPr>
            </w:pPr>
          </w:p>
        </w:tc>
        <w:tc>
          <w:tcPr>
            <w:tcW w:w="800" w:type="dxa"/>
            <w:vAlign w:val="bottom"/>
            <w:gridSpan w:val="4"/>
          </w:tcPr>
          <w:p>
            <w:pPr>
              <w:jc w:val="right"/>
              <w:ind w:right="4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10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1"/>
                <w:szCs w:val="21"/>
                <w:color w:val="auto"/>
              </w:rPr>
            </w:pPr>
          </w:p>
        </w:tc>
        <w:tc>
          <w:tcPr>
            <w:tcW w:w="9540" w:type="dxa"/>
            <w:vAlign w:val="bottom"/>
            <w:gridSpan w:val="2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Market and Products</w:t>
              </w:r>
            </w:hyperlink>
          </w:p>
        </w:tc>
        <w:tc>
          <w:tcPr>
            <w:tcW w:w="800" w:type="dxa"/>
            <w:vAlign w:val="bottom"/>
            <w:gridSpan w:val="4"/>
          </w:tcPr>
          <w:p>
            <w:pPr>
              <w:jc w:val="right"/>
              <w:ind w:right="40"/>
              <w:spacing w:after="0"/>
              <w:rPr>
                <w:rFonts w:ascii="Arial" w:cs="Arial" w:eastAsia="Arial" w:hAnsi="Arial"/>
                <w:sz w:val="18"/>
                <w:szCs w:val="18"/>
                <w:color w:val="0000EE"/>
              </w:rPr>
            </w:pPr>
            <w:hyperlink w:anchor="page3">
              <w:r>
                <w:rPr>
                  <w:rFonts w:ascii="Arial" w:cs="Arial" w:eastAsia="Arial" w:hAnsi="Arial"/>
                  <w:sz w:val="18"/>
                  <w:szCs w:val="18"/>
                  <w:color w:val="0000EE"/>
                </w:rPr>
                <w:t>2</w:t>
              </w:r>
            </w:hyperlink>
          </w:p>
        </w:tc>
      </w:tr>
      <w:tr>
        <w:trPr>
          <w:trHeight w:val="20"/>
        </w:trPr>
        <w:tc>
          <w:tcPr>
            <w:tcW w:w="10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1"/>
                <w:szCs w:val="21"/>
                <w:color w:val="auto"/>
              </w:rPr>
            </w:pPr>
          </w:p>
        </w:tc>
        <w:tc>
          <w:tcPr>
            <w:tcW w:w="9540" w:type="dxa"/>
            <w:vAlign w:val="bottom"/>
            <w:gridSpan w:val="2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Description of the Business</w:t>
              </w:r>
            </w:hyperlink>
          </w:p>
        </w:tc>
        <w:tc>
          <w:tcPr>
            <w:tcW w:w="800" w:type="dxa"/>
            <w:vAlign w:val="bottom"/>
            <w:gridSpan w:val="4"/>
          </w:tcPr>
          <w:p>
            <w:pPr>
              <w:jc w:val="right"/>
              <w:ind w:right="40"/>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20"/>
        </w:trPr>
        <w:tc>
          <w:tcPr>
            <w:tcW w:w="10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1"/>
                <w:szCs w:val="21"/>
                <w:color w:val="auto"/>
              </w:rPr>
            </w:pPr>
          </w:p>
        </w:tc>
        <w:tc>
          <w:tcPr>
            <w:tcW w:w="9540" w:type="dxa"/>
            <w:vAlign w:val="bottom"/>
            <w:gridSpan w:val="23"/>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Financial Information about Foreign and Domestic Operations and Export Sales</w:t>
              </w:r>
            </w:hyperlink>
          </w:p>
        </w:tc>
        <w:tc>
          <w:tcPr>
            <w:tcW w:w="800" w:type="dxa"/>
            <w:vAlign w:val="bottom"/>
            <w:gridSpan w:val="4"/>
          </w:tcPr>
          <w:p>
            <w:pPr>
              <w:jc w:val="right"/>
              <w:ind w:right="40"/>
              <w:spacing w:after="0"/>
              <w:rPr>
                <w:rFonts w:ascii="Arial" w:cs="Arial" w:eastAsia="Arial" w:hAnsi="Arial"/>
                <w:sz w:val="18"/>
                <w:szCs w:val="18"/>
                <w:color w:val="0000EE"/>
              </w:rPr>
            </w:pPr>
            <w:hyperlink w:anchor="page12">
              <w:r>
                <w:rPr>
                  <w:rFonts w:ascii="Arial" w:cs="Arial" w:eastAsia="Arial" w:hAnsi="Arial"/>
                  <w:sz w:val="18"/>
                  <w:szCs w:val="18"/>
                  <w:color w:val="0000EE"/>
                </w:rPr>
                <w:t>10</w:t>
              </w:r>
            </w:hyperlink>
          </w:p>
        </w:tc>
      </w:tr>
      <w:tr>
        <w:trPr>
          <w:trHeight w:val="20"/>
        </w:trPr>
        <w:tc>
          <w:tcPr>
            <w:tcW w:w="10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1A.</w:t>
            </w:r>
          </w:p>
        </w:tc>
        <w:tc>
          <w:tcPr>
            <w:tcW w:w="5760" w:type="dxa"/>
            <w:vAlign w:val="bottom"/>
            <w:gridSpan w:val="18"/>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Risk Factors</w:t>
              </w:r>
            </w:hyperlink>
          </w:p>
        </w:tc>
        <w:tc>
          <w:tcPr>
            <w:tcW w:w="3780" w:type="dxa"/>
            <w:vAlign w:val="bottom"/>
            <w:gridSpan w:val="5"/>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12">
              <w:r>
                <w:rPr>
                  <w:rFonts w:ascii="Arial" w:cs="Arial" w:eastAsia="Arial" w:hAnsi="Arial"/>
                  <w:sz w:val="17"/>
                  <w:szCs w:val="17"/>
                  <w:color w:val="0000EE"/>
                  <w:w w:val="73"/>
                </w:rPr>
                <w:t>11</w:t>
              </w:r>
            </w:hyperlink>
          </w:p>
        </w:tc>
      </w:tr>
      <w:tr>
        <w:trPr>
          <w:trHeight w:val="20"/>
        </w:trPr>
        <w:tc>
          <w:tcPr>
            <w:tcW w:w="10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1B.</w:t>
            </w:r>
          </w:p>
        </w:tc>
        <w:tc>
          <w:tcPr>
            <w:tcW w:w="9540" w:type="dxa"/>
            <w:vAlign w:val="bottom"/>
            <w:gridSpan w:val="23"/>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Unresolved Staff Comments</w:t>
              </w:r>
            </w:hyperlink>
          </w:p>
        </w:tc>
        <w:tc>
          <w:tcPr>
            <w:tcW w:w="800" w:type="dxa"/>
            <w:vAlign w:val="bottom"/>
            <w:gridSpan w:val="4"/>
          </w:tcPr>
          <w:p>
            <w:pPr>
              <w:jc w:val="right"/>
              <w:ind w:right="40"/>
              <w:spacing w:after="0"/>
              <w:rPr>
                <w:rFonts w:ascii="Arial" w:cs="Arial" w:eastAsia="Arial" w:hAnsi="Arial"/>
                <w:sz w:val="18"/>
                <w:szCs w:val="18"/>
                <w:color w:val="0000EE"/>
              </w:rPr>
            </w:pPr>
            <w:hyperlink w:anchor="page17">
              <w:r>
                <w:rPr>
                  <w:rFonts w:ascii="Arial" w:cs="Arial" w:eastAsia="Arial" w:hAnsi="Arial"/>
                  <w:sz w:val="18"/>
                  <w:szCs w:val="18"/>
                  <w:color w:val="0000EE"/>
                </w:rPr>
                <w:t>16</w:t>
              </w:r>
            </w:hyperlink>
          </w:p>
        </w:tc>
      </w:tr>
      <w:tr>
        <w:trPr>
          <w:trHeight w:val="20"/>
        </w:trPr>
        <w:tc>
          <w:tcPr>
            <w:tcW w:w="10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740" w:type="dxa"/>
            <w:vAlign w:val="bottom"/>
            <w:gridSpan w:val="2"/>
          </w:tcPr>
          <w:p>
            <w:pPr>
              <w:spacing w:after="0"/>
              <w:rPr>
                <w:rFonts w:ascii="Arial" w:cs="Arial" w:eastAsia="Arial" w:hAnsi="Arial"/>
                <w:sz w:val="18"/>
                <w:szCs w:val="18"/>
                <w:color w:val="0000EE"/>
                <w:w w:val="87"/>
              </w:rPr>
            </w:pPr>
            <w:hyperlink w:anchor="page18">
              <w:r>
                <w:rPr>
                  <w:rFonts w:ascii="Arial" w:cs="Arial" w:eastAsia="Arial" w:hAnsi="Arial"/>
                  <w:sz w:val="18"/>
                  <w:szCs w:val="18"/>
                  <w:color w:val="0000EE"/>
                  <w:w w:val="87"/>
                </w:rPr>
                <w:t>Properties</w:t>
              </w:r>
            </w:hyperlink>
          </w:p>
        </w:tc>
        <w:tc>
          <w:tcPr>
            <w:tcW w:w="1300" w:type="dxa"/>
            <w:vAlign w:val="bottom"/>
            <w:gridSpan w:val="9"/>
          </w:tcPr>
          <w:p>
            <w:pPr>
              <w:spacing w:after="0"/>
              <w:rPr>
                <w:sz w:val="21"/>
                <w:szCs w:val="21"/>
                <w:color w:val="auto"/>
              </w:rPr>
            </w:pPr>
          </w:p>
        </w:tc>
        <w:tc>
          <w:tcPr>
            <w:tcW w:w="7500" w:type="dxa"/>
            <w:vAlign w:val="bottom"/>
            <w:gridSpan w:val="12"/>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18">
              <w:r>
                <w:rPr>
                  <w:rFonts w:ascii="Arial" w:cs="Arial" w:eastAsia="Arial" w:hAnsi="Arial"/>
                  <w:sz w:val="17"/>
                  <w:szCs w:val="17"/>
                  <w:color w:val="0000EE"/>
                  <w:w w:val="73"/>
                </w:rPr>
                <w:t>16</w:t>
              </w:r>
            </w:hyperlink>
          </w:p>
        </w:tc>
      </w:tr>
      <w:tr>
        <w:trPr>
          <w:trHeight w:val="20"/>
        </w:trPr>
        <w:tc>
          <w:tcPr>
            <w:tcW w:w="10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1320" w:type="dxa"/>
            <w:vAlign w:val="bottom"/>
            <w:gridSpan w:val="4"/>
          </w:tcPr>
          <w:p>
            <w:pPr>
              <w:spacing w:after="0"/>
              <w:rPr>
                <w:rFonts w:ascii="Arial" w:cs="Arial" w:eastAsia="Arial" w:hAnsi="Arial"/>
                <w:sz w:val="18"/>
                <w:szCs w:val="18"/>
                <w:color w:val="0000EE"/>
                <w:w w:val="85"/>
              </w:rPr>
            </w:pPr>
            <w:hyperlink w:anchor="page18">
              <w:r>
                <w:rPr>
                  <w:rFonts w:ascii="Arial" w:cs="Arial" w:eastAsia="Arial" w:hAnsi="Arial"/>
                  <w:sz w:val="18"/>
                  <w:szCs w:val="18"/>
                  <w:color w:val="0000EE"/>
                  <w:w w:val="85"/>
                </w:rPr>
                <w:t>Legal Proceedings</w:t>
              </w:r>
            </w:hyperlink>
          </w:p>
        </w:tc>
        <w:tc>
          <w:tcPr>
            <w:tcW w:w="8220" w:type="dxa"/>
            <w:vAlign w:val="bottom"/>
            <w:gridSpan w:val="19"/>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18">
              <w:r>
                <w:rPr>
                  <w:rFonts w:ascii="Arial" w:cs="Arial" w:eastAsia="Arial" w:hAnsi="Arial"/>
                  <w:sz w:val="17"/>
                  <w:szCs w:val="17"/>
                  <w:color w:val="0000EE"/>
                  <w:w w:val="73"/>
                </w:rPr>
                <w:t>17</w:t>
              </w:r>
            </w:hyperlink>
          </w:p>
        </w:tc>
      </w:tr>
      <w:tr>
        <w:trPr>
          <w:trHeight w:val="20"/>
        </w:trPr>
        <w:tc>
          <w:tcPr>
            <w:tcW w:w="102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tcBorders>
              <w:left w:val="single" w:sz="8" w:color="0000EE"/>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8"/>
          </w:tcPr>
          <w:p>
            <w:pPr>
              <w:spacing w:after="0"/>
              <w:rPr>
                <w:rFonts w:ascii="Arial" w:cs="Arial" w:eastAsia="Arial" w:hAnsi="Arial"/>
                <w:sz w:val="18"/>
                <w:szCs w:val="18"/>
                <w:color w:val="0000EE"/>
                <w:w w:val="91"/>
              </w:rPr>
            </w:pPr>
            <w:hyperlink w:anchor="page19">
              <w:r>
                <w:rPr>
                  <w:rFonts w:ascii="Arial" w:cs="Arial" w:eastAsia="Arial" w:hAnsi="Arial"/>
                  <w:sz w:val="18"/>
                  <w:szCs w:val="18"/>
                  <w:color w:val="0000EE"/>
                  <w:w w:val="91"/>
                </w:rPr>
                <w:t>Mine Safety Disclosures</w:t>
              </w:r>
            </w:hyperlink>
          </w:p>
        </w:tc>
        <w:tc>
          <w:tcPr>
            <w:tcW w:w="7760" w:type="dxa"/>
            <w:vAlign w:val="bottom"/>
            <w:gridSpan w:val="15"/>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19">
              <w:r>
                <w:rPr>
                  <w:rFonts w:ascii="Arial" w:cs="Arial" w:eastAsia="Arial" w:hAnsi="Arial"/>
                  <w:sz w:val="17"/>
                  <w:szCs w:val="17"/>
                  <w:color w:val="0000EE"/>
                  <w:w w:val="73"/>
                </w:rPr>
                <w:t>17</w:t>
              </w:r>
            </w:hyperlink>
          </w:p>
        </w:tc>
      </w:tr>
      <w:tr>
        <w:trPr>
          <w:trHeight w:val="20"/>
        </w:trPr>
        <w:tc>
          <w:tcPr>
            <w:tcW w:w="102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5.</w:t>
            </w:r>
          </w:p>
        </w:tc>
        <w:tc>
          <w:tcPr>
            <w:tcW w:w="9540" w:type="dxa"/>
            <w:vAlign w:val="bottom"/>
            <w:gridSpan w:val="2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Market for the Registrant’s Common Equity, Related Stockholder Matters, and Issuer Purchases of Equity Securities</w:t>
              </w:r>
            </w:hyperlink>
          </w:p>
        </w:tc>
        <w:tc>
          <w:tcPr>
            <w:tcW w:w="800" w:type="dxa"/>
            <w:vAlign w:val="bottom"/>
            <w:gridSpan w:val="4"/>
          </w:tcPr>
          <w:p>
            <w:pPr>
              <w:jc w:val="right"/>
              <w:ind w:right="40"/>
              <w:spacing w:after="0"/>
              <w:rPr>
                <w:rFonts w:ascii="Arial" w:cs="Arial" w:eastAsia="Arial" w:hAnsi="Arial"/>
                <w:sz w:val="18"/>
                <w:szCs w:val="18"/>
                <w:color w:val="0000EE"/>
              </w:rPr>
            </w:pPr>
            <w:hyperlink w:anchor="page21">
              <w:r>
                <w:rPr>
                  <w:rFonts w:ascii="Arial" w:cs="Arial" w:eastAsia="Arial" w:hAnsi="Arial"/>
                  <w:sz w:val="18"/>
                  <w:szCs w:val="18"/>
                  <w:color w:val="0000EE"/>
                </w:rPr>
                <w:t>19</w:t>
              </w:r>
            </w:hyperlink>
          </w:p>
        </w:tc>
      </w:tr>
      <w:tr>
        <w:trPr>
          <w:trHeight w:val="20"/>
        </w:trPr>
        <w:tc>
          <w:tcPr>
            <w:tcW w:w="102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6.</w:t>
            </w:r>
          </w:p>
        </w:tc>
        <w:tc>
          <w:tcPr>
            <w:tcW w:w="8380" w:type="dxa"/>
            <w:vAlign w:val="bottom"/>
            <w:gridSpan w:val="22"/>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Selected Consolidated Financial Data</w:t>
              </w:r>
            </w:hyperlink>
          </w:p>
        </w:tc>
        <w:tc>
          <w:tcPr>
            <w:tcW w:w="1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22">
              <w:r>
                <w:rPr>
                  <w:rFonts w:ascii="Arial" w:cs="Arial" w:eastAsia="Arial" w:hAnsi="Arial"/>
                  <w:sz w:val="17"/>
                  <w:szCs w:val="17"/>
                  <w:color w:val="0000EE"/>
                  <w:w w:val="73"/>
                </w:rPr>
                <w:t>21</w:t>
              </w:r>
            </w:hyperlink>
          </w:p>
        </w:tc>
      </w:tr>
      <w:tr>
        <w:trPr>
          <w:trHeight w:val="20"/>
        </w:trPr>
        <w:tc>
          <w:tcPr>
            <w:tcW w:w="102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7.</w:t>
            </w:r>
          </w:p>
        </w:tc>
        <w:tc>
          <w:tcPr>
            <w:tcW w:w="9540" w:type="dxa"/>
            <w:vAlign w:val="bottom"/>
            <w:gridSpan w:val="2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800" w:type="dxa"/>
            <w:vAlign w:val="bottom"/>
            <w:gridSpan w:val="4"/>
          </w:tcPr>
          <w:p>
            <w:pPr>
              <w:jc w:val="right"/>
              <w:ind w:right="40"/>
              <w:spacing w:after="0"/>
              <w:rPr>
                <w:rFonts w:ascii="Arial" w:cs="Arial" w:eastAsia="Arial" w:hAnsi="Arial"/>
                <w:sz w:val="18"/>
                <w:szCs w:val="18"/>
                <w:color w:val="0000EE"/>
              </w:rPr>
            </w:pPr>
            <w:hyperlink w:anchor="page23">
              <w:r>
                <w:rPr>
                  <w:rFonts w:ascii="Arial" w:cs="Arial" w:eastAsia="Arial" w:hAnsi="Arial"/>
                  <w:sz w:val="18"/>
                  <w:szCs w:val="18"/>
                  <w:color w:val="0000EE"/>
                </w:rPr>
                <w:t>22</w:t>
              </w:r>
            </w:hyperlink>
          </w:p>
        </w:tc>
      </w:tr>
      <w:tr>
        <w:trPr>
          <w:trHeight w:val="20"/>
        </w:trPr>
        <w:tc>
          <w:tcPr>
            <w:tcW w:w="102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7A.</w:t>
            </w:r>
          </w:p>
        </w:tc>
        <w:tc>
          <w:tcPr>
            <w:tcW w:w="4320" w:type="dxa"/>
            <w:vAlign w:val="bottom"/>
            <w:gridSpan w:val="15"/>
          </w:tcPr>
          <w:p>
            <w:pPr>
              <w:spacing w:after="0"/>
              <w:rPr>
                <w:rFonts w:ascii="Arial" w:cs="Arial" w:eastAsia="Arial" w:hAnsi="Arial"/>
                <w:sz w:val="18"/>
                <w:szCs w:val="18"/>
                <w:color w:val="0000EE"/>
                <w:w w:val="91"/>
              </w:rPr>
            </w:pPr>
            <w:hyperlink w:anchor="page42">
              <w:r>
                <w:rPr>
                  <w:rFonts w:ascii="Arial" w:cs="Arial" w:eastAsia="Arial" w:hAnsi="Arial"/>
                  <w:sz w:val="18"/>
                  <w:szCs w:val="18"/>
                  <w:color w:val="0000EE"/>
                  <w:w w:val="91"/>
                </w:rPr>
                <w:t>Quantitative and Qualitative Disclosures about Market Risk</w:t>
              </w:r>
            </w:hyperlink>
          </w:p>
        </w:tc>
        <w:tc>
          <w:tcPr>
            <w:tcW w:w="2140" w:type="dxa"/>
            <w:vAlign w:val="bottom"/>
            <w:gridSpan w:val="4"/>
          </w:tcPr>
          <w:p>
            <w:pPr>
              <w:spacing w:after="0"/>
              <w:rPr>
                <w:sz w:val="21"/>
                <w:szCs w:val="21"/>
                <w:color w:val="auto"/>
              </w:rPr>
            </w:pPr>
          </w:p>
        </w:tc>
        <w:tc>
          <w:tcPr>
            <w:tcW w:w="3080" w:type="dxa"/>
            <w:vAlign w:val="bottom"/>
            <w:gridSpan w:val="4"/>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42">
              <w:r>
                <w:rPr>
                  <w:rFonts w:ascii="Arial" w:cs="Arial" w:eastAsia="Arial" w:hAnsi="Arial"/>
                  <w:sz w:val="17"/>
                  <w:szCs w:val="17"/>
                  <w:color w:val="0000EE"/>
                  <w:w w:val="73"/>
                </w:rPr>
                <w:t>41</w:t>
              </w:r>
            </w:hyperlink>
          </w:p>
        </w:tc>
      </w:tr>
      <w:tr>
        <w:trPr>
          <w:trHeight w:val="20"/>
        </w:trPr>
        <w:tc>
          <w:tcPr>
            <w:tcW w:w="102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8.</w:t>
            </w:r>
          </w:p>
        </w:tc>
        <w:tc>
          <w:tcPr>
            <w:tcW w:w="3340" w:type="dxa"/>
            <w:vAlign w:val="bottom"/>
            <w:gridSpan w:val="14"/>
          </w:tcPr>
          <w:p>
            <w:pPr>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Financial Statements and Supplementary Data</w:t>
              </w:r>
            </w:hyperlink>
          </w:p>
        </w:tc>
        <w:tc>
          <w:tcPr>
            <w:tcW w:w="980" w:type="dxa"/>
            <w:vAlign w:val="bottom"/>
          </w:tcPr>
          <w:p>
            <w:pPr>
              <w:spacing w:after="0"/>
              <w:rPr>
                <w:sz w:val="21"/>
                <w:szCs w:val="21"/>
                <w:color w:val="auto"/>
              </w:rPr>
            </w:pPr>
          </w:p>
        </w:tc>
        <w:tc>
          <w:tcPr>
            <w:tcW w:w="5220" w:type="dxa"/>
            <w:vAlign w:val="bottom"/>
            <w:gridSpan w:val="8"/>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45">
              <w:r>
                <w:rPr>
                  <w:rFonts w:ascii="Arial" w:cs="Arial" w:eastAsia="Arial" w:hAnsi="Arial"/>
                  <w:sz w:val="17"/>
                  <w:szCs w:val="17"/>
                  <w:color w:val="0000EE"/>
                  <w:w w:val="73"/>
                </w:rPr>
                <w:t>44</w:t>
              </w:r>
            </w:hyperlink>
          </w:p>
        </w:tc>
      </w:tr>
      <w:tr>
        <w:trPr>
          <w:trHeight w:val="20"/>
        </w:trPr>
        <w:tc>
          <w:tcPr>
            <w:tcW w:w="102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9.</w:t>
            </w:r>
          </w:p>
        </w:tc>
        <w:tc>
          <w:tcPr>
            <w:tcW w:w="6480" w:type="dxa"/>
            <w:vAlign w:val="bottom"/>
            <w:gridSpan w:val="20"/>
          </w:tcPr>
          <w:p>
            <w:pPr>
              <w:spacing w:after="0"/>
              <w:rPr>
                <w:rFonts w:ascii="Arial" w:cs="Arial" w:eastAsia="Arial" w:hAnsi="Arial"/>
                <w:sz w:val="18"/>
                <w:szCs w:val="18"/>
                <w:color w:val="0000EE"/>
                <w:w w:val="90"/>
              </w:rPr>
            </w:pPr>
            <w:hyperlink w:anchor="page84">
              <w:r>
                <w:rPr>
                  <w:rFonts w:ascii="Arial" w:cs="Arial" w:eastAsia="Arial" w:hAnsi="Arial"/>
                  <w:sz w:val="18"/>
                  <w:szCs w:val="18"/>
                  <w:color w:val="0000EE"/>
                  <w:w w:val="90"/>
                </w:rPr>
                <w:t>Changes in and Disagreements with Accountants on Accounting and Financial Disclosure</w:t>
              </w:r>
            </w:hyperlink>
          </w:p>
        </w:tc>
        <w:tc>
          <w:tcPr>
            <w:tcW w:w="3060" w:type="dxa"/>
            <w:vAlign w:val="bottom"/>
            <w:gridSpan w:val="3"/>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84">
              <w:r>
                <w:rPr>
                  <w:rFonts w:ascii="Arial" w:cs="Arial" w:eastAsia="Arial" w:hAnsi="Arial"/>
                  <w:sz w:val="17"/>
                  <w:szCs w:val="17"/>
                  <w:color w:val="0000EE"/>
                  <w:w w:val="73"/>
                </w:rPr>
                <w:t>83</w:t>
              </w:r>
            </w:hyperlink>
          </w:p>
        </w:tc>
      </w:tr>
      <w:tr>
        <w:trPr>
          <w:trHeight w:val="20"/>
        </w:trPr>
        <w:tc>
          <w:tcPr>
            <w:tcW w:w="102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252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9A.</w:t>
            </w:r>
          </w:p>
        </w:tc>
        <w:tc>
          <w:tcPr>
            <w:tcW w:w="6480" w:type="dxa"/>
            <w:vAlign w:val="bottom"/>
            <w:gridSpan w:val="20"/>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Control and Procedures</w:t>
              </w:r>
            </w:hyperlink>
          </w:p>
        </w:tc>
        <w:tc>
          <w:tcPr>
            <w:tcW w:w="3060" w:type="dxa"/>
            <w:vAlign w:val="bottom"/>
            <w:gridSpan w:val="3"/>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85">
              <w:r>
                <w:rPr>
                  <w:rFonts w:ascii="Arial" w:cs="Arial" w:eastAsia="Arial" w:hAnsi="Arial"/>
                  <w:sz w:val="17"/>
                  <w:szCs w:val="17"/>
                  <w:color w:val="0000EE"/>
                  <w:w w:val="73"/>
                </w:rPr>
                <w:t>84</w:t>
              </w:r>
            </w:hyperlink>
          </w:p>
        </w:tc>
      </w:tr>
      <w:tr>
        <w:trPr>
          <w:trHeight w:val="20"/>
        </w:trPr>
        <w:tc>
          <w:tcPr>
            <w:tcW w:w="102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9B.</w:t>
            </w:r>
          </w:p>
        </w:tc>
        <w:tc>
          <w:tcPr>
            <w:tcW w:w="1320" w:type="dxa"/>
            <w:vAlign w:val="bottom"/>
            <w:gridSpan w:val="4"/>
          </w:tcPr>
          <w:p>
            <w:pPr>
              <w:spacing w:after="0"/>
              <w:rPr>
                <w:rFonts w:ascii="Arial" w:cs="Arial" w:eastAsia="Arial" w:hAnsi="Arial"/>
                <w:sz w:val="18"/>
                <w:szCs w:val="18"/>
                <w:color w:val="0000EE"/>
                <w:w w:val="91"/>
              </w:rPr>
            </w:pPr>
            <w:hyperlink w:anchor="page88">
              <w:r>
                <w:rPr>
                  <w:rFonts w:ascii="Arial" w:cs="Arial" w:eastAsia="Arial" w:hAnsi="Arial"/>
                  <w:sz w:val="18"/>
                  <w:szCs w:val="18"/>
                  <w:color w:val="0000EE"/>
                  <w:w w:val="91"/>
                </w:rPr>
                <w:t>Other Information</w:t>
              </w:r>
            </w:hyperlink>
          </w:p>
        </w:tc>
        <w:tc>
          <w:tcPr>
            <w:tcW w:w="380" w:type="dxa"/>
            <w:vAlign w:val="bottom"/>
            <w:gridSpan w:val="3"/>
          </w:tcPr>
          <w:p>
            <w:pPr>
              <w:spacing w:after="0"/>
              <w:rPr>
                <w:sz w:val="21"/>
                <w:szCs w:val="21"/>
                <w:color w:val="auto"/>
              </w:rPr>
            </w:pPr>
          </w:p>
        </w:tc>
        <w:tc>
          <w:tcPr>
            <w:tcW w:w="7840" w:type="dxa"/>
            <w:vAlign w:val="bottom"/>
            <w:gridSpan w:val="16"/>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88">
              <w:r>
                <w:rPr>
                  <w:rFonts w:ascii="Arial" w:cs="Arial" w:eastAsia="Arial" w:hAnsi="Arial"/>
                  <w:sz w:val="17"/>
                  <w:szCs w:val="17"/>
                  <w:color w:val="0000EE"/>
                  <w:w w:val="73"/>
                </w:rPr>
                <w:t>86</w:t>
              </w:r>
            </w:hyperlink>
          </w:p>
        </w:tc>
      </w:tr>
      <w:tr>
        <w:trPr>
          <w:trHeight w:val="20"/>
        </w:trPr>
        <w:tc>
          <w:tcPr>
            <w:tcW w:w="102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10.</w:t>
            </w:r>
          </w:p>
        </w:tc>
        <w:tc>
          <w:tcPr>
            <w:tcW w:w="9540" w:type="dxa"/>
            <w:vAlign w:val="bottom"/>
            <w:gridSpan w:val="23"/>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Directors and Executive Officers of the Registrant and Corporate Governance</w:t>
              </w:r>
            </w:hyperlink>
          </w:p>
        </w:tc>
        <w:tc>
          <w:tcPr>
            <w:tcW w:w="800" w:type="dxa"/>
            <w:vAlign w:val="bottom"/>
            <w:gridSpan w:val="4"/>
          </w:tcPr>
          <w:p>
            <w:pPr>
              <w:jc w:val="right"/>
              <w:ind w:right="40"/>
              <w:spacing w:after="0"/>
              <w:rPr>
                <w:rFonts w:ascii="Arial" w:cs="Arial" w:eastAsia="Arial" w:hAnsi="Arial"/>
                <w:sz w:val="18"/>
                <w:szCs w:val="18"/>
                <w:color w:val="0000EE"/>
              </w:rPr>
            </w:pPr>
            <w:hyperlink w:anchor="page88">
              <w:r>
                <w:rPr>
                  <w:rFonts w:ascii="Arial" w:cs="Arial" w:eastAsia="Arial" w:hAnsi="Arial"/>
                  <w:sz w:val="18"/>
                  <w:szCs w:val="18"/>
                  <w:color w:val="0000EE"/>
                </w:rPr>
                <w:t>86</w:t>
              </w:r>
            </w:hyperlink>
          </w:p>
        </w:tc>
      </w:tr>
      <w:tr>
        <w:trPr>
          <w:trHeight w:val="20"/>
        </w:trPr>
        <w:tc>
          <w:tcPr>
            <w:tcW w:w="1020" w:type="dxa"/>
            <w:vAlign w:val="bottom"/>
          </w:tcPr>
          <w:p>
            <w:pPr>
              <w:spacing w:after="0" w:line="20" w:lineRule="exact"/>
              <w:rPr>
                <w:sz w:val="1"/>
                <w:szCs w:val="1"/>
                <w:color w:val="auto"/>
              </w:rPr>
            </w:pPr>
          </w:p>
        </w:tc>
        <w:tc>
          <w:tcPr>
            <w:tcW w:w="1800" w:type="dxa"/>
            <w:vAlign w:val="bottom"/>
            <w:gridSpan w:val="9"/>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252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11.</w:t>
            </w:r>
          </w:p>
        </w:tc>
        <w:tc>
          <w:tcPr>
            <w:tcW w:w="5600" w:type="dxa"/>
            <w:vAlign w:val="bottom"/>
            <w:gridSpan w:val="17"/>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Executive Compensation</w:t>
              </w:r>
            </w:hyperlink>
          </w:p>
        </w:tc>
        <w:tc>
          <w:tcPr>
            <w:tcW w:w="3940" w:type="dxa"/>
            <w:vAlign w:val="bottom"/>
            <w:gridSpan w:val="6"/>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88">
              <w:r>
                <w:rPr>
                  <w:rFonts w:ascii="Arial" w:cs="Arial" w:eastAsia="Arial" w:hAnsi="Arial"/>
                  <w:sz w:val="17"/>
                  <w:szCs w:val="17"/>
                  <w:color w:val="0000EE"/>
                  <w:w w:val="73"/>
                </w:rPr>
                <w:t>86</w:t>
              </w:r>
            </w:hyperlink>
          </w:p>
        </w:tc>
      </w:tr>
      <w:tr>
        <w:trPr>
          <w:trHeight w:val="20"/>
        </w:trPr>
        <w:tc>
          <w:tcPr>
            <w:tcW w:w="1020" w:type="dxa"/>
            <w:vAlign w:val="bottom"/>
          </w:tcPr>
          <w:p>
            <w:pPr>
              <w:spacing w:after="0" w:line="20" w:lineRule="exact"/>
              <w:rPr>
                <w:sz w:val="1"/>
                <w:szCs w:val="1"/>
                <w:color w:val="auto"/>
              </w:rPr>
            </w:pPr>
          </w:p>
        </w:tc>
        <w:tc>
          <w:tcPr>
            <w:tcW w:w="1800" w:type="dxa"/>
            <w:vAlign w:val="bottom"/>
            <w:gridSpan w:val="9"/>
            <w:shd w:val="clear" w:color="auto" w:fill="0000EE"/>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12.</w:t>
            </w:r>
          </w:p>
        </w:tc>
        <w:tc>
          <w:tcPr>
            <w:tcW w:w="7300" w:type="dxa"/>
            <w:vAlign w:val="bottom"/>
            <w:gridSpan w:val="21"/>
          </w:tcPr>
          <w:p>
            <w:pPr>
              <w:spacing w:after="0"/>
              <w:rPr>
                <w:rFonts w:ascii="Arial" w:cs="Arial" w:eastAsia="Arial" w:hAnsi="Arial"/>
                <w:sz w:val="18"/>
                <w:szCs w:val="18"/>
                <w:color w:val="0000EE"/>
                <w:w w:val="90"/>
              </w:rPr>
            </w:pPr>
            <w:hyperlink w:anchor="page88">
              <w:r>
                <w:rPr>
                  <w:rFonts w:ascii="Arial" w:cs="Arial" w:eastAsia="Arial" w:hAnsi="Arial"/>
                  <w:sz w:val="18"/>
                  <w:szCs w:val="18"/>
                  <w:color w:val="0000EE"/>
                  <w:w w:val="90"/>
                </w:rPr>
                <w:t>Security Ownership of Certain Beneficial Owners and Management and Related Stockholder Matters</w:t>
              </w:r>
            </w:hyperlink>
          </w:p>
        </w:tc>
        <w:tc>
          <w:tcPr>
            <w:tcW w:w="2240" w:type="dxa"/>
            <w:vAlign w:val="bottom"/>
            <w:gridSpan w:val="2"/>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88">
              <w:r>
                <w:rPr>
                  <w:rFonts w:ascii="Arial" w:cs="Arial" w:eastAsia="Arial" w:hAnsi="Arial"/>
                  <w:sz w:val="17"/>
                  <w:szCs w:val="17"/>
                  <w:color w:val="0000EE"/>
                  <w:w w:val="73"/>
                </w:rPr>
                <w:t>86</w:t>
              </w:r>
            </w:hyperlink>
          </w:p>
        </w:tc>
      </w:tr>
      <w:tr>
        <w:trPr>
          <w:trHeight w:val="20"/>
        </w:trPr>
        <w:tc>
          <w:tcPr>
            <w:tcW w:w="1020" w:type="dxa"/>
            <w:vAlign w:val="bottom"/>
          </w:tcPr>
          <w:p>
            <w:pPr>
              <w:spacing w:after="0" w:line="20" w:lineRule="exact"/>
              <w:rPr>
                <w:sz w:val="1"/>
                <w:szCs w:val="1"/>
                <w:color w:val="auto"/>
              </w:rPr>
            </w:pPr>
          </w:p>
        </w:tc>
        <w:tc>
          <w:tcPr>
            <w:tcW w:w="2880" w:type="dxa"/>
            <w:vAlign w:val="bottom"/>
            <w:gridSpan w:val="13"/>
            <w:shd w:val="clear" w:color="auto" w:fill="0000EE"/>
          </w:tcPr>
          <w:p>
            <w:pPr>
              <w:spacing w:after="0" w:line="20" w:lineRule="exact"/>
              <w:rPr>
                <w:sz w:val="1"/>
                <w:szCs w:val="1"/>
                <w:color w:val="auto"/>
              </w:rPr>
            </w:pPr>
          </w:p>
        </w:tc>
        <w:tc>
          <w:tcPr>
            <w:tcW w:w="2520" w:type="dxa"/>
            <w:vAlign w:val="bottom"/>
            <w:tcBorders>
              <w:left w:val="single" w:sz="8" w:color="0000EE"/>
            </w:tcBorders>
            <w:gridSpan w:val="3"/>
            <w:shd w:val="clear" w:color="auto" w:fill="0000EE"/>
          </w:tcPr>
          <w:p>
            <w:pPr>
              <w:spacing w:after="0" w:line="20" w:lineRule="exact"/>
              <w:rPr>
                <w:sz w:val="1"/>
                <w:szCs w:val="1"/>
                <w:color w:val="auto"/>
              </w:rPr>
            </w:pPr>
          </w:p>
        </w:tc>
        <w:tc>
          <w:tcPr>
            <w:tcW w:w="1900" w:type="dxa"/>
            <w:vAlign w:val="bottom"/>
            <w:gridSpan w:val="5"/>
            <w:shd w:val="clear" w:color="auto" w:fill="0000EE"/>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13.</w:t>
            </w:r>
          </w:p>
        </w:tc>
        <w:tc>
          <w:tcPr>
            <w:tcW w:w="7300" w:type="dxa"/>
            <w:vAlign w:val="bottom"/>
            <w:gridSpan w:val="21"/>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Certain Relationships and Related Transactions and Director Independence</w:t>
              </w:r>
            </w:hyperlink>
          </w:p>
        </w:tc>
        <w:tc>
          <w:tcPr>
            <w:tcW w:w="2240" w:type="dxa"/>
            <w:vAlign w:val="bottom"/>
            <w:gridSpan w:val="2"/>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89">
              <w:r>
                <w:rPr>
                  <w:rFonts w:ascii="Arial" w:cs="Arial" w:eastAsia="Arial" w:hAnsi="Arial"/>
                  <w:sz w:val="17"/>
                  <w:szCs w:val="17"/>
                  <w:color w:val="0000EE"/>
                  <w:w w:val="73"/>
                </w:rPr>
                <w:t>87</w:t>
              </w:r>
            </w:hyperlink>
          </w:p>
        </w:tc>
      </w:tr>
      <w:tr>
        <w:trPr>
          <w:trHeight w:val="20"/>
        </w:trPr>
        <w:tc>
          <w:tcPr>
            <w:tcW w:w="1020" w:type="dxa"/>
            <w:vAlign w:val="bottom"/>
          </w:tcPr>
          <w:p>
            <w:pPr>
              <w:spacing w:after="0" w:line="20" w:lineRule="exact"/>
              <w:rPr>
                <w:sz w:val="1"/>
                <w:szCs w:val="1"/>
                <w:color w:val="auto"/>
              </w:rPr>
            </w:pPr>
          </w:p>
        </w:tc>
        <w:tc>
          <w:tcPr>
            <w:tcW w:w="2880" w:type="dxa"/>
            <w:vAlign w:val="bottom"/>
            <w:gridSpan w:val="13"/>
            <w:shd w:val="clear" w:color="auto" w:fill="0000EE"/>
          </w:tcPr>
          <w:p>
            <w:pPr>
              <w:spacing w:after="0" w:line="20" w:lineRule="exact"/>
              <w:rPr>
                <w:sz w:val="1"/>
                <w:szCs w:val="1"/>
                <w:color w:val="auto"/>
              </w:rPr>
            </w:pPr>
          </w:p>
        </w:tc>
        <w:tc>
          <w:tcPr>
            <w:tcW w:w="2520" w:type="dxa"/>
            <w:vAlign w:val="bottom"/>
            <w:tcBorders>
              <w:left w:val="single" w:sz="8" w:color="0000EE"/>
            </w:tcBorders>
            <w:gridSpan w:val="3"/>
            <w:shd w:val="clear" w:color="auto" w:fill="0000EE"/>
          </w:tcPr>
          <w:p>
            <w:pPr>
              <w:spacing w:after="0" w:line="20" w:lineRule="exact"/>
              <w:rPr>
                <w:sz w:val="1"/>
                <w:szCs w:val="1"/>
                <w:color w:val="auto"/>
              </w:rPr>
            </w:pPr>
          </w:p>
        </w:tc>
        <w:tc>
          <w:tcPr>
            <w:tcW w:w="4140" w:type="dxa"/>
            <w:vAlign w:val="bottom"/>
            <w:gridSpan w:val="7"/>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14.</w:t>
            </w:r>
          </w:p>
        </w:tc>
        <w:tc>
          <w:tcPr>
            <w:tcW w:w="2880" w:type="dxa"/>
            <w:vAlign w:val="bottom"/>
            <w:gridSpan w:val="13"/>
          </w:tcPr>
          <w:p>
            <w:pPr>
              <w:spacing w:after="0"/>
              <w:rPr>
                <w:rFonts w:ascii="Arial" w:cs="Arial" w:eastAsia="Arial" w:hAnsi="Arial"/>
                <w:sz w:val="18"/>
                <w:szCs w:val="18"/>
                <w:color w:val="0000EE"/>
                <w:w w:val="89"/>
              </w:rPr>
            </w:pPr>
            <w:hyperlink w:anchor="page89">
              <w:r>
                <w:rPr>
                  <w:rFonts w:ascii="Arial" w:cs="Arial" w:eastAsia="Arial" w:hAnsi="Arial"/>
                  <w:sz w:val="18"/>
                  <w:szCs w:val="18"/>
                  <w:color w:val="0000EE"/>
                  <w:w w:val="89"/>
                </w:rPr>
                <w:t>Principal Accounting Fees and Services</w:t>
              </w:r>
            </w:hyperlink>
          </w:p>
        </w:tc>
        <w:tc>
          <w:tcPr>
            <w:tcW w:w="2520" w:type="dxa"/>
            <w:vAlign w:val="bottom"/>
            <w:gridSpan w:val="3"/>
          </w:tcPr>
          <w:p>
            <w:pPr>
              <w:spacing w:after="0"/>
              <w:rPr>
                <w:sz w:val="21"/>
                <w:szCs w:val="21"/>
                <w:color w:val="auto"/>
              </w:rPr>
            </w:pPr>
          </w:p>
        </w:tc>
        <w:tc>
          <w:tcPr>
            <w:tcW w:w="4140" w:type="dxa"/>
            <w:vAlign w:val="bottom"/>
            <w:gridSpan w:val="7"/>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89">
              <w:r>
                <w:rPr>
                  <w:rFonts w:ascii="Arial" w:cs="Arial" w:eastAsia="Arial" w:hAnsi="Arial"/>
                  <w:sz w:val="17"/>
                  <w:szCs w:val="17"/>
                  <w:color w:val="0000EE"/>
                  <w:w w:val="73"/>
                </w:rPr>
                <w:t>87</w:t>
              </w:r>
            </w:hyperlink>
          </w:p>
        </w:tc>
      </w:tr>
      <w:tr>
        <w:trPr>
          <w:trHeight w:val="20"/>
        </w:trPr>
        <w:tc>
          <w:tcPr>
            <w:tcW w:w="1020" w:type="dxa"/>
            <w:vAlign w:val="bottom"/>
          </w:tcPr>
          <w:p>
            <w:pPr>
              <w:spacing w:after="0" w:line="20" w:lineRule="exact"/>
              <w:rPr>
                <w:sz w:val="1"/>
                <w:szCs w:val="1"/>
                <w:color w:val="auto"/>
              </w:rPr>
            </w:pPr>
          </w:p>
        </w:tc>
        <w:tc>
          <w:tcPr>
            <w:tcW w:w="2880" w:type="dxa"/>
            <w:vAlign w:val="bottom"/>
            <w:gridSpan w:val="13"/>
            <w:shd w:val="clear" w:color="auto" w:fill="0000EE"/>
          </w:tcPr>
          <w:p>
            <w:pPr>
              <w:spacing w:after="0" w:line="20" w:lineRule="exact"/>
              <w:rPr>
                <w:sz w:val="1"/>
                <w:szCs w:val="1"/>
                <w:color w:val="auto"/>
              </w:rPr>
            </w:pPr>
          </w:p>
        </w:tc>
        <w:tc>
          <w:tcPr>
            <w:tcW w:w="6660" w:type="dxa"/>
            <w:vAlign w:val="bottom"/>
            <w:gridSpan w:val="10"/>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15.</w:t>
            </w:r>
          </w:p>
        </w:tc>
        <w:tc>
          <w:tcPr>
            <w:tcW w:w="9540" w:type="dxa"/>
            <w:vAlign w:val="bottom"/>
            <w:gridSpan w:val="23"/>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Exhibits, Financial Statement Schedules</w:t>
              </w:r>
            </w:hyperlink>
          </w:p>
        </w:tc>
        <w:tc>
          <w:tcPr>
            <w:tcW w:w="800" w:type="dxa"/>
            <w:vAlign w:val="bottom"/>
            <w:gridSpan w:val="4"/>
          </w:tcPr>
          <w:p>
            <w:pPr>
              <w:jc w:val="right"/>
              <w:ind w:right="40"/>
              <w:spacing w:after="0"/>
              <w:rPr>
                <w:rFonts w:ascii="Arial" w:cs="Arial" w:eastAsia="Arial" w:hAnsi="Arial"/>
                <w:sz w:val="18"/>
                <w:szCs w:val="18"/>
                <w:color w:val="0000EE"/>
              </w:rPr>
            </w:pPr>
            <w:hyperlink w:anchor="page90">
              <w:r>
                <w:rPr>
                  <w:rFonts w:ascii="Arial" w:cs="Arial" w:eastAsia="Arial" w:hAnsi="Arial"/>
                  <w:sz w:val="18"/>
                  <w:szCs w:val="18"/>
                  <w:color w:val="0000EE"/>
                </w:rPr>
                <w:t>88</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360"/>
          </w:cols>
          <w:pgMar w:left="280" w:top="688" w:right="25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Company Overview</w:t>
      </w:r>
    </w:p>
    <w:p>
      <w:pPr>
        <w:spacing w:after="0" w:line="347"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Haemonetics is a global healthcare company dedicated to providing innovative blood management solutions to our customers. Our comprehensive portfolio of integrated devices, information management, and consulting services offers blood management solutions for each facet of the blood supply chain, helping improve clinical outcomes and reduce costs for blood and plasma collectors, hospitals, and patients around the world. Our products and services help prevent a transfusion to a patient who does not need one and provide the right blood product, at the right time, in the right dose to the patient who does.</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Blood and its components (plasma, platelets, and red cells) have many vital - and frequently life-saving - clinical applications. Plasma is used for patients with major blood loss and is manufactured into pharmaceuticals to treat a variety of illnesses and hereditary disorders such as hemophilia. Red cells treat trauma patients or patients undergoing surgery with high blood loss, such as open heart surgery or organ transplant. Platelets treat cancer patients undergoing chemotherapy. Blood is essential to a modern healthcare system.</w:t>
      </w:r>
    </w:p>
    <w:p>
      <w:pPr>
        <w:spacing w:after="0" w:line="187"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Haemonetics is committed to helping our customers create and maintain a safe and efficient blood supply chain. Specifically, we develop and market a wide range of systems used with plasma and blood donors that collect and process blood into its components using both manual and automated methods. We also develop and market a variety of systems to hospitals that automate the cleaning and reinfusion of a surgical patient's own blood, automate the tracking and distribution of blood in the hospital, and enhance blood diagnostics. We also sell information technology platforms to promote efficient and compliant operations for all of our customer groups. Finally, we provide consulting services to reduce costs and improve operating efficiencies in blood management. By better understanding our customers' needs, we are creating comprehensive blood management solutions for blood collectors and healthcare systems in more than 100 countries around the world.</w:t>
      </w:r>
    </w:p>
    <w:p>
      <w:pPr>
        <w:spacing w:after="0" w:line="17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Haemonetics was founded in 1971 as a medical device company — a pioneer and market leader in developing and manufacturing automated blood component collection devices and surgical blood salvage devices. In May 1991, we completed an initial public offering and to this day remain an independent company. Several years ago, we embarked on a strategy to expand our markets and product portfolio to offer more comprehensive blood management solutions to our customers. Through internal product development and external acquisitions, we have significantly expanded our product offerings.</w:t>
      </w:r>
    </w:p>
    <w:p>
      <w:pPr>
        <w:spacing w:after="0" w:line="15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2012, we entered the market for manual whole blood collections with the acquisition of Pall Corporation’s blood collection, filtration and processing product lines and the business assets of Hemerus Medical, LLC, a company that develops innovative technologies for the collection of whole blood and processing and storage of blood components, including SOLX storage solutions. We paid $535.2 million in cash consideration for the Pall assets after post-closing adjustments for working capital and historical earnings levels. The acquisition was funded utilizing $475.0 million of loans and the remainder from cash on hand. We paid $24.1 million for the Hemerus assets and may pay an additional $3.0 million contingent upon receipt of an FDA approval of the SOLX solution for 24 hour storage of whole blood prior to processing. Additionally, up to $14.0 million may be paid dependent on future sales levels of SOLX-based products. We refer to these recently acquired businesses as the whole blood product line. These acquisitions provide access to the manual collection and whole blood markets and provide scope for introduction of automated solutions into those markets.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0"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Market and Products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Lines</w:t>
      </w:r>
    </w:p>
    <w:p>
      <w:pPr>
        <w:spacing w:after="0" w:line="31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We serve three markets: manufacturers of plasma derived pharmaceuticals, blood collectors, and hospitals. We report revenues for multiple product lines under four global product categories: </w:t>
      </w:r>
      <w:r>
        <w:rPr>
          <w:rFonts w:ascii="Arial" w:cs="Arial" w:eastAsia="Arial" w:hAnsi="Arial"/>
          <w:sz w:val="17"/>
          <w:szCs w:val="17"/>
          <w:b w:val="1"/>
          <w:bCs w:val="1"/>
          <w:color w:val="auto"/>
        </w:rPr>
        <w:t>Plasma, Blood Center, Hospital,</w:t>
      </w:r>
      <w:r>
        <w:rPr>
          <w:rFonts w:ascii="Arial" w:cs="Arial" w:eastAsia="Arial" w:hAnsi="Arial"/>
          <w:sz w:val="17"/>
          <w:szCs w:val="17"/>
          <w:color w:val="auto"/>
        </w:rPr>
        <w:t xml:space="preserve"> and </w:t>
      </w:r>
      <w:r>
        <w:rPr>
          <w:rFonts w:ascii="Arial" w:cs="Arial" w:eastAsia="Arial" w:hAnsi="Arial"/>
          <w:sz w:val="17"/>
          <w:szCs w:val="17"/>
          <w:b w:val="1"/>
          <w:bCs w:val="1"/>
          <w:color w:val="auto"/>
        </w:rPr>
        <w:t>Software Solutions</w:t>
      </w:r>
      <w:r>
        <w:rPr>
          <w:rFonts w:ascii="Arial" w:cs="Arial" w:eastAsia="Arial" w:hAnsi="Arial"/>
          <w:sz w:val="17"/>
          <w:szCs w:val="17"/>
          <w:color w:val="auto"/>
        </w:rPr>
        <w:t>. “Plasma” includes plasma collection devices and consumables. “Blood Center” includes blood collection and processing devices and consumables. “Hospital” includes surgical blood salvage and blood demand diagnostic devices and consumables. “Software Solutions” includes information technology platforms and consulting services provided to all three markets. Although we address our customers' needs through multiple product lines, we manage our business as five operating segments based primarily on geography; North America Plasma, North America Blood Center and Hospital, Europe, Asia Pacific and Japan. However, for financial reporting purposes we aggregate our five operating segments into one reportable segment. Our chief operating decision maker ("CODM") principally uses consolidated financial results to make operating and strategic decisions. Design and manufacturing processes, as well as economic characteristics and the regulatory environment in which we operate, are largely the same for all operating segments.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financial information required for segments is included herein in Note 15 of the financial statements, entitled </w:t>
      </w:r>
      <w:r>
        <w:rPr>
          <w:rFonts w:ascii="Arial" w:cs="Arial" w:eastAsia="Arial" w:hAnsi="Arial"/>
          <w:sz w:val="18"/>
          <w:szCs w:val="18"/>
          <w:i w:val="1"/>
          <w:iCs w:val="1"/>
          <w:color w:val="auto"/>
        </w:rPr>
        <w:t>Segment Information</w:t>
      </w:r>
      <w:r>
        <w:rPr>
          <w:rFonts w:ascii="Arial" w:cs="Arial" w:eastAsia="Arial" w:hAnsi="Arial"/>
          <w:sz w:val="18"/>
          <w:szCs w:val="18"/>
          <w:color w:val="auto"/>
        </w:rPr>
        <w:t>.</w:t>
      </w:r>
    </w:p>
    <w:p>
      <w:pPr>
        <w:spacing w:after="0" w:line="221"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Plasma</w:t>
      </w:r>
    </w:p>
    <w:p>
      <w:pPr>
        <w:spacing w:after="0" w:line="134" w:lineRule="exact"/>
        <w:rPr>
          <w:rFonts w:ascii="Arial" w:cs="Arial" w:eastAsia="Arial" w:hAnsi="Arial"/>
          <w:sz w:val="18"/>
          <w:szCs w:val="18"/>
          <w:b w:val="1"/>
          <w:bCs w:val="1"/>
          <w:color w:val="auto"/>
        </w:rPr>
      </w:pPr>
    </w:p>
    <w:p>
      <w:pPr>
        <w:ind w:left="660" w:right="200"/>
        <w:spacing w:after="0" w:line="257"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The Plasma Collection Market for Fractionation </w:t>
      </w:r>
      <w:r>
        <w:rPr>
          <w:rFonts w:ascii="Arial" w:cs="Arial" w:eastAsia="Arial" w:hAnsi="Arial"/>
          <w:sz w:val="18"/>
          <w:szCs w:val="18"/>
          <w:color w:val="auto"/>
        </w:rPr>
        <w:t>— Human plasma is collected and processed by bio-pharmaceutical companies into therapeutic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diagnostic products that aid in the treatment of immune diseases and coagulation disorders. While plasma is also used to aid patients with extreme blood loss, such as trauma victims, bio-pharmaceutical companies solely focus on plasma's pharmaceutical uses. Automated plasma collection technology allows for the safe and efficient collection of plasma. We manufacture and market plasma collection devices and respective disposables, but do not make plasma-derived pharmaceuticals.</w:t>
      </w:r>
    </w:p>
    <w:p>
      <w:pPr>
        <w:spacing w:after="0" w:line="93" w:lineRule="exact"/>
        <w:rPr>
          <w:rFonts w:ascii="Arial" w:cs="Arial" w:eastAsia="Arial" w:hAnsi="Arial"/>
          <w:sz w:val="18"/>
          <w:szCs w:val="18"/>
          <w:b w:val="1"/>
          <w:bCs w:val="1"/>
          <w:color w:val="auto"/>
        </w:rPr>
      </w:pPr>
    </w:p>
    <w:p>
      <w:pPr>
        <w:ind w:left="66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Many bio-pharmaceutical companies are vertically integrated in all components of their business and thus are now collecting and fractionating the plasma required to manufacture their pharmaceuticals. This vertical integration paved the way for highly efficient plasma supply chain management and the plasma industry leverages information technology to manage operations from the point of plasma donation to fractionation to the production of the final product.</w:t>
      </w:r>
    </w:p>
    <w:p>
      <w:pPr>
        <w:spacing w:after="0" w:line="200" w:lineRule="exact"/>
        <w:rPr>
          <w:rFonts w:ascii="Arial" w:cs="Arial" w:eastAsia="Arial" w:hAnsi="Arial"/>
          <w:sz w:val="18"/>
          <w:szCs w:val="18"/>
          <w:b w:val="1"/>
          <w:bCs w:val="1"/>
          <w:color w:val="auto"/>
        </w:rPr>
      </w:pPr>
    </w:p>
    <w:p>
      <w:pPr>
        <w:ind w:left="660"/>
        <w:spacing w:after="0" w:line="259"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Haemonetics' Plasma Products </w:t>
      </w:r>
      <w:r>
        <w:rPr>
          <w:rFonts w:ascii="Arial" w:cs="Arial" w:eastAsia="Arial" w:hAnsi="Arial"/>
          <w:sz w:val="18"/>
          <w:szCs w:val="18"/>
          <w:color w:val="auto"/>
        </w:rPr>
        <w:t>— Our portfolio of products and services is designed to support multiple facets of plasma collector operations.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a long-standing commitment to understanding our customers' collection and fractionation processes. As a result, we deliver product quality and reliability; design equipment that is durable, dependable, and easy to use; and provide comprehensive training support and strong business continuity practices.</w:t>
      </w:r>
    </w:p>
    <w:p>
      <w:pPr>
        <w:spacing w:after="0" w:line="92" w:lineRule="exact"/>
        <w:rPr>
          <w:rFonts w:ascii="Arial" w:cs="Arial" w:eastAsia="Arial" w:hAnsi="Arial"/>
          <w:sz w:val="18"/>
          <w:szCs w:val="18"/>
          <w:b w:val="1"/>
          <w:bCs w:val="1"/>
          <w:color w:val="auto"/>
        </w:rPr>
      </w:pPr>
    </w:p>
    <w:p>
      <w:pPr>
        <w:ind w:left="660" w:right="40"/>
        <w:spacing w:after="0" w:line="272" w:lineRule="auto"/>
        <w:rPr>
          <w:rFonts w:ascii="Arial" w:cs="Arial" w:eastAsia="Arial" w:hAnsi="Arial"/>
          <w:sz w:val="18"/>
          <w:szCs w:val="18"/>
          <w:b w:val="1"/>
          <w:bCs w:val="1"/>
          <w:color w:val="auto"/>
        </w:rPr>
      </w:pPr>
      <w:r>
        <w:rPr>
          <w:rFonts w:ascii="Arial" w:cs="Arial" w:eastAsia="Arial" w:hAnsi="Arial"/>
          <w:sz w:val="16"/>
          <w:szCs w:val="16"/>
          <w:color w:val="auto"/>
        </w:rPr>
        <w:t>Historically, plasma for fractionation was collected manually, which was time-consuming, labor-intensive, produced relatively poor yields, and posed risk to donors. Today, the vast majority of plasma collections worldwide are performed using automated collection technology because it is safer and more cost-effective. With our PCS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automated plasma collection technology, more plasma can be collected during any one donation event because the other blood components are returned to the donor through the sterile disposable sets used for the plasma donation procedure.</w:t>
      </w:r>
    </w:p>
    <w:p>
      <w:pPr>
        <w:spacing w:after="0" w:line="73" w:lineRule="exact"/>
        <w:rPr>
          <w:rFonts w:ascii="Arial" w:cs="Arial" w:eastAsia="Arial" w:hAnsi="Arial"/>
          <w:sz w:val="18"/>
          <w:szCs w:val="18"/>
          <w:b w:val="1"/>
          <w:bCs w:val="1"/>
          <w:color w:val="auto"/>
        </w:rPr>
      </w:pPr>
    </w:p>
    <w:p>
      <w:pPr>
        <w:ind w:left="660" w:right="120"/>
        <w:spacing w:after="0" w:line="254" w:lineRule="auto"/>
        <w:rPr>
          <w:rFonts w:ascii="Arial" w:cs="Arial" w:eastAsia="Arial" w:hAnsi="Arial"/>
          <w:sz w:val="18"/>
          <w:szCs w:val="18"/>
          <w:b w:val="1"/>
          <w:bCs w:val="1"/>
          <w:color w:val="auto"/>
        </w:rPr>
      </w:pPr>
      <w:r>
        <w:rPr>
          <w:rFonts w:ascii="Arial" w:cs="Arial" w:eastAsia="Arial" w:hAnsi="Arial"/>
          <w:sz w:val="17"/>
          <w:szCs w:val="17"/>
          <w:color w:val="auto"/>
        </w:rPr>
        <w:t>We offer “one stop shopping” to our plasma collection customers, enabling them to source from us the full range of products necessary for plasma collection and storage, including PCS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plasma collection equipment and consumables, plasma collection containers, and intravenous solutions. We also offer a robust portfolio of integrated information technology platforms for plasma customers to manage their donors, operations, and supply chain. Our products automate the donor interview and qualification process; streamline the workflow process in the plasma center; provide the controls necessary to evaluate donor suitability; determine the ability to release units collected; and manage unit distribution. With our software solutions, plasma collectors can manage processes across the plasma supply chain, react quickly to business changes, and identify opportunities to reduce costs.</w:t>
      </w:r>
    </w:p>
    <w:p>
      <w:pPr>
        <w:spacing w:after="0" w:line="10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Our plasma disposables product line represented 31.1%, 30.1%, and 35.5% of our total revenue in fiscal 2014, 2013 and 2012, respectively.</w:t>
      </w: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130" w:right="27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Blood Center</w:t>
      </w:r>
    </w:p>
    <w:p>
      <w:pPr>
        <w:spacing w:after="0" w:line="242" w:lineRule="exact"/>
        <w:rPr>
          <w:rFonts w:ascii="Arial" w:cs="Arial" w:eastAsia="Arial" w:hAnsi="Arial"/>
          <w:sz w:val="18"/>
          <w:szCs w:val="18"/>
          <w:b w:val="1"/>
          <w:bCs w:val="1"/>
          <w:color w:val="auto"/>
        </w:rPr>
      </w:pPr>
    </w:p>
    <w:p>
      <w:pPr>
        <w:ind w:left="660" w:right="440"/>
        <w:spacing w:after="0" w:line="312" w:lineRule="auto"/>
        <w:rPr>
          <w:rFonts w:ascii="Arial" w:cs="Arial" w:eastAsia="Arial" w:hAnsi="Arial"/>
          <w:sz w:val="18"/>
          <w:szCs w:val="18"/>
          <w:b w:val="1"/>
          <w:bCs w:val="1"/>
          <w:color w:val="auto"/>
        </w:rPr>
      </w:pPr>
      <w:r>
        <w:rPr>
          <w:rFonts w:ascii="Arial" w:cs="Arial" w:eastAsia="Arial" w:hAnsi="Arial"/>
          <w:sz w:val="16"/>
          <w:szCs w:val="16"/>
          <w:b w:val="1"/>
          <w:bCs w:val="1"/>
          <w:i w:val="1"/>
          <w:iCs w:val="1"/>
          <w:color w:val="auto"/>
        </w:rPr>
        <w:t xml:space="preserve">The Blood Collection Market for Transfusion </w:t>
      </w:r>
      <w:r>
        <w:rPr>
          <w:rFonts w:ascii="Arial" w:cs="Arial" w:eastAsia="Arial" w:hAnsi="Arial"/>
          <w:sz w:val="16"/>
          <w:szCs w:val="16"/>
          <w:color w:val="auto"/>
        </w:rPr>
        <w:t>— There are millions of blood donations throughout the world every year that produce blood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for transfusion to surgical, trauma, or chronically ill patients. Patients typically receive only the blood components necessary to treat a particular clinical condition: for example, red cells to surgical patients, platelets to cancer patients, and plasma to trauma victims.</w:t>
      </w:r>
    </w:p>
    <w:p>
      <w:pPr>
        <w:spacing w:after="0" w:line="52" w:lineRule="exact"/>
        <w:rPr>
          <w:rFonts w:ascii="Arial" w:cs="Arial" w:eastAsia="Arial" w:hAnsi="Arial"/>
          <w:sz w:val="18"/>
          <w:szCs w:val="18"/>
          <w:b w:val="1"/>
          <w:bCs w:val="1"/>
          <w:color w:val="auto"/>
        </w:rPr>
      </w:pPr>
    </w:p>
    <w:p>
      <w:pPr>
        <w:ind w:left="66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Platelet therapy is frequently used to alleviate the effects of chemotherapy and help patients with bleeding disorders. Red cells are often transfused to patients to replace blood lost during surgery. Red cells are also transfused to patients with blood disorders, such as sickle cell anemia or aplastic anemia. Plasma, in addition to its role in creating life-saving pharmaceuticals, is frequently transfused to trauma victims and to replace blood volume lost during surgery.</w:t>
      </w:r>
    </w:p>
    <w:p>
      <w:pPr>
        <w:spacing w:after="0" w:line="186" w:lineRule="exact"/>
        <w:rPr>
          <w:rFonts w:ascii="Arial" w:cs="Arial" w:eastAsia="Arial" w:hAnsi="Arial"/>
          <w:sz w:val="18"/>
          <w:szCs w:val="18"/>
          <w:b w:val="1"/>
          <w:bCs w:val="1"/>
          <w:color w:val="auto"/>
        </w:rPr>
      </w:pPr>
    </w:p>
    <w:p>
      <w:pPr>
        <w:ind w:left="660" w:right="20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The demand for blood varies across the world. While overall we expect total demand to remain stable, demand in individual markets can vary greatly. Highly populated emerging market countries are seeing demand growth as they expand healthcare coverage. As greater numbers of people gain access to more advanced medical treatment, demand for blood components, plasma-derived drugs, and surgical procedures increases. In more mature markets, the development of less invasive, lower blood loss procedures and better blood management has offset the demand increases from aging populations. This is particularly true in the United States, where we expect to see collections decline by approximately 10% in fiscal 2015.</w:t>
      </w:r>
    </w:p>
    <w:p>
      <w:pPr>
        <w:spacing w:after="0" w:line="158" w:lineRule="exact"/>
        <w:rPr>
          <w:rFonts w:ascii="Arial" w:cs="Arial" w:eastAsia="Arial" w:hAnsi="Arial"/>
          <w:sz w:val="18"/>
          <w:szCs w:val="18"/>
          <w:b w:val="1"/>
          <w:bCs w:val="1"/>
          <w:color w:val="auto"/>
        </w:rPr>
      </w:pPr>
    </w:p>
    <w:p>
      <w:pPr>
        <w:ind w:left="660" w:right="3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Most donations worldwide are manual whole blood donations. In this process, whole blood is collected from the donor and then transported to a laboratory where it is separated into its components: red cells, platelets and/or plasma.</w:t>
      </w:r>
    </w:p>
    <w:p>
      <w:pPr>
        <w:spacing w:after="0" w:line="75" w:lineRule="exact"/>
        <w:rPr>
          <w:rFonts w:ascii="Arial" w:cs="Arial" w:eastAsia="Arial" w:hAnsi="Arial"/>
          <w:sz w:val="18"/>
          <w:szCs w:val="18"/>
          <w:b w:val="1"/>
          <w:bCs w:val="1"/>
          <w:color w:val="auto"/>
        </w:rPr>
      </w:pPr>
    </w:p>
    <w:p>
      <w:pPr>
        <w:ind w:left="660" w:right="2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addition to manual collections, there is a significant market for automated component blood collections. In this procedure, the blood separation process is automated and occurs in “real-time” while a person is donating blood. In this separation method, only the specific blood component targeted is collected, and the remaining components are returned to the blood donor. Automated blood component collection allows significantly more of the targeted blood component to be collected during a donation event, especially red cells where our automated system supports collection of two units from eligible donors.</w:t>
      </w:r>
    </w:p>
    <w:p>
      <w:pPr>
        <w:spacing w:after="0" w:line="201" w:lineRule="exact"/>
        <w:rPr>
          <w:rFonts w:ascii="Arial" w:cs="Arial" w:eastAsia="Arial" w:hAnsi="Arial"/>
          <w:sz w:val="18"/>
          <w:szCs w:val="18"/>
          <w:b w:val="1"/>
          <w:bCs w:val="1"/>
          <w:color w:val="auto"/>
        </w:rPr>
      </w:pPr>
    </w:p>
    <w:p>
      <w:pPr>
        <w:ind w:left="660" w:right="340"/>
        <w:spacing w:after="0" w:line="277"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Haemonetics’ Blood Center Products </w:t>
      </w:r>
      <w:r>
        <w:rPr>
          <w:rFonts w:ascii="Arial" w:cs="Arial" w:eastAsia="Arial" w:hAnsi="Arial"/>
          <w:sz w:val="18"/>
          <w:szCs w:val="18"/>
          <w:color w:val="auto"/>
        </w:rPr>
        <w:t>— Today, Haemonetics offers automated blood component and manual whole blood collection systems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blood collection centers to collect blood products efficiently and cost effectively.</w:t>
      </w:r>
    </w:p>
    <w:p>
      <w:pPr>
        <w:spacing w:after="0" w:line="75" w:lineRule="exact"/>
        <w:rPr>
          <w:rFonts w:ascii="Arial" w:cs="Arial" w:eastAsia="Arial" w:hAnsi="Arial"/>
          <w:sz w:val="18"/>
          <w:szCs w:val="18"/>
          <w:b w:val="1"/>
          <w:bCs w:val="1"/>
          <w:color w:val="auto"/>
        </w:rPr>
      </w:pPr>
    </w:p>
    <w:p>
      <w:pPr>
        <w:ind w:left="660"/>
        <w:spacing w:after="0" w:line="207" w:lineRule="auto"/>
        <w:rPr>
          <w:rFonts w:ascii="Arial" w:cs="Arial" w:eastAsia="Arial" w:hAnsi="Arial"/>
          <w:sz w:val="18"/>
          <w:szCs w:val="18"/>
          <w:b w:val="1"/>
          <w:bCs w:val="1"/>
          <w:color w:val="auto"/>
        </w:rPr>
      </w:pPr>
      <w:r>
        <w:rPr>
          <w:rFonts w:ascii="Arial" w:cs="Arial" w:eastAsia="Arial" w:hAnsi="Arial"/>
          <w:sz w:val="18"/>
          <w:szCs w:val="18"/>
          <w:color w:val="auto"/>
        </w:rPr>
        <w:t>We market the MCS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(Multicomponent Collection System) brand apheresis equipment which is designed to collect specific blood components integrated from the donor. Utilizing the MCS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automated platelet collection protocols, blood centers collect one or more therapeutic “doses” of platelets during a single donation. The MCS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two-unit protocol or double red cell collection device helps blood collectors optimize the collection of red cells by automating the blood separation function, eliminating the need for laboratory processing, and enabling the collection of two units of red cells from a single donor thus maximizing the amount of red cells collected per eligible donor and helping to mitigate red cell shortages in countries where this problem exists. Blood collectors can also use the MCS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system to collect one unit of red cells and a "jumbo" (double) unit of plasma, or one unit of red cells and one unit of platelets from a single donor. The MCS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plasma protocol provides the possibility to collect 600-800ml of plasma for transfusion to patients or for pharmaceutical industry use completes the comprehensive portfolio of different blood component collection options on this device.</w:t>
      </w:r>
    </w:p>
    <w:p>
      <w:pPr>
        <w:spacing w:after="0" w:line="112" w:lineRule="exact"/>
        <w:rPr>
          <w:rFonts w:ascii="Arial" w:cs="Arial" w:eastAsia="Arial" w:hAnsi="Arial"/>
          <w:sz w:val="18"/>
          <w:szCs w:val="18"/>
          <w:b w:val="1"/>
          <w:bCs w:val="1"/>
          <w:color w:val="auto"/>
        </w:rPr>
      </w:pPr>
    </w:p>
    <w:p>
      <w:pPr>
        <w:ind w:left="660" w:right="20"/>
        <w:spacing w:after="0" w:line="230" w:lineRule="auto"/>
        <w:rPr>
          <w:rFonts w:ascii="Arial" w:cs="Arial" w:eastAsia="Arial" w:hAnsi="Arial"/>
          <w:sz w:val="18"/>
          <w:szCs w:val="18"/>
          <w:b w:val="1"/>
          <w:bCs w:val="1"/>
          <w:color w:val="auto"/>
        </w:rPr>
      </w:pPr>
      <w:r>
        <w:rPr>
          <w:rFonts w:ascii="Arial" w:cs="Arial" w:eastAsia="Arial" w:hAnsi="Arial"/>
          <w:sz w:val="18"/>
          <w:szCs w:val="18"/>
          <w:color w:val="auto"/>
        </w:rPr>
        <w:t>With the whole blood acquisition, Haemonetics now also offers a portfolio of products for manual whole blood collection and processing. The assets acquired from Pall Corporation provide us with filter technology and manufacturing capability as well as a broad portfolio of manual collection, filtration and processing products. Haemonetics' portfolio of disposable whole blood collection and component storage sets offer flexibility in collecting a unit of whole blood and the subsequent production and storage of the red blood cell, platelet, and/or plasma products, including options for in-line or dockable filters for leukoreduction of any blood component. In addition, our innovative Acrodose</w:t>
      </w:r>
      <w:r>
        <w:rPr>
          <w:rFonts w:ascii="Arial" w:cs="Arial" w:eastAsia="Arial" w:hAnsi="Arial"/>
          <w:sz w:val="25"/>
          <w:szCs w:val="25"/>
          <w:color w:val="auto"/>
          <w:vertAlign w:val="superscript"/>
        </w:rPr>
        <w:t>SM</w:t>
      </w:r>
      <w:r>
        <w:rPr>
          <w:rFonts w:ascii="Arial" w:cs="Arial" w:eastAsia="Arial" w:hAnsi="Arial"/>
          <w:sz w:val="18"/>
          <w:szCs w:val="18"/>
          <w:color w:val="auto"/>
        </w:rPr>
        <w:t xml:space="preserve"> product line provides a closed system for the pooling, storage, and bacteria testing of leukoreduced whole blood derived platelet concentrates, an Acrodose</w:t>
      </w:r>
      <w:r>
        <w:rPr>
          <w:rFonts w:ascii="Arial" w:cs="Arial" w:eastAsia="Arial" w:hAnsi="Arial"/>
          <w:sz w:val="25"/>
          <w:szCs w:val="25"/>
          <w:color w:val="auto"/>
          <w:vertAlign w:val="superscript"/>
        </w:rPr>
        <w:t>SM</w:t>
      </w:r>
      <w:r>
        <w:rPr>
          <w:rFonts w:ascii="Arial" w:cs="Arial" w:eastAsia="Arial" w:hAnsi="Arial"/>
          <w:sz w:val="18"/>
          <w:szCs w:val="18"/>
          <w:color w:val="auto"/>
        </w:rPr>
        <w:t xml:space="preserve"> Platelet, that is “transfusion ready” for the hospital. Use of Acrodose platelets lowers hospital handling costs by eliminating the need for pooling and bacteria testing at the hospital.</w:t>
      </w:r>
    </w:p>
    <w:p>
      <w:pPr>
        <w:spacing w:after="0" w:line="109" w:lineRule="exact"/>
        <w:rPr>
          <w:rFonts w:ascii="Arial" w:cs="Arial" w:eastAsia="Arial" w:hAnsi="Arial"/>
          <w:sz w:val="18"/>
          <w:szCs w:val="18"/>
          <w:b w:val="1"/>
          <w:bCs w:val="1"/>
          <w:color w:val="auto"/>
        </w:rPr>
      </w:pPr>
    </w:p>
    <w:p>
      <w:pPr>
        <w:ind w:left="660" w:right="200"/>
        <w:spacing w:after="0" w:line="268" w:lineRule="auto"/>
        <w:rPr>
          <w:rFonts w:ascii="Arial" w:cs="Arial" w:eastAsia="Arial" w:hAnsi="Arial"/>
          <w:sz w:val="18"/>
          <w:szCs w:val="18"/>
          <w:b w:val="1"/>
          <w:bCs w:val="1"/>
          <w:color w:val="auto"/>
        </w:rPr>
      </w:pPr>
      <w:r>
        <w:rPr>
          <w:rFonts w:ascii="Arial" w:cs="Arial" w:eastAsia="Arial" w:hAnsi="Arial"/>
          <w:sz w:val="16"/>
          <w:szCs w:val="16"/>
          <w:color w:val="auto"/>
        </w:rPr>
        <w:t>With the ACP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(Automated Cell Processor) brand, Haemonetics offers a small bench-top solution to automate the washing and freezing of red cell components in the lab. The automated red cell washing procedure removes plasma proteins within the red cell units to provide a safer product for transfusion to frequently transfused patients, neonates, or patients with a history of transfusion reactions. The automated glycerolization and deglycerolization steps are required to prepare red cells for frozen storage. Freezing the red cell units can expand the shelf life of these products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30" w:right="2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left="660" w:right="340"/>
        <w:spacing w:after="0" w:line="277" w:lineRule="auto"/>
        <w:rPr>
          <w:sz w:val="20"/>
          <w:szCs w:val="20"/>
          <w:color w:val="auto"/>
        </w:rPr>
      </w:pPr>
      <w:r>
        <w:rPr>
          <w:rFonts w:ascii="Arial" w:cs="Arial" w:eastAsia="Arial" w:hAnsi="Arial"/>
          <w:sz w:val="18"/>
          <w:szCs w:val="18"/>
          <w:color w:val="auto"/>
        </w:rPr>
        <w:t>up to 10 years. Customers utilize this technology to implement strategic red cell inventories for catastrophe cases, storage of rare blood types, or enhanced inventory management.</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blood center disposables product line represented 41.5%, 40.1%, and 29.7% of our total revenue in fiscal 2014, 2013 and 2012, respectively.</w:t>
      </w:r>
    </w:p>
    <w:p>
      <w:pPr>
        <w:spacing w:after="0" w:line="25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Hospital</w:t>
      </w:r>
    </w:p>
    <w:p>
      <w:pPr>
        <w:spacing w:after="0" w:line="134" w:lineRule="exact"/>
        <w:rPr>
          <w:rFonts w:ascii="Arial" w:cs="Arial" w:eastAsia="Arial" w:hAnsi="Arial"/>
          <w:sz w:val="18"/>
          <w:szCs w:val="18"/>
          <w:b w:val="1"/>
          <w:bCs w:val="1"/>
          <w:color w:val="auto"/>
        </w:rPr>
      </w:pPr>
    </w:p>
    <w:p>
      <w:pPr>
        <w:ind w:left="660"/>
        <w:spacing w:after="0" w:line="257"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The Transfusion Market for Hospitals </w:t>
      </w:r>
      <w:r>
        <w:rPr>
          <w:rFonts w:ascii="Arial" w:cs="Arial" w:eastAsia="Arial" w:hAnsi="Arial"/>
          <w:sz w:val="18"/>
          <w:szCs w:val="18"/>
          <w:color w:val="auto"/>
        </w:rPr>
        <w:t>— Loss of blood is common in many surgical procedures, including open heart, trauma, transplant, vascular,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orthopedic procedures, and the need for transfusion of oxygen-carrying red cells to make up for lost blood volume is routine. Patients commonly receive donor blood, referred to as “allogeneic blood,” which carries various risks including risk of transfusion with the wrong blood type; risk of transfusion reactions including death, but more commonly chills, fevers or other side effects that can prolong a patient’s recovery; and risk of transfusion of blood with a blood-borne disease or infectious agent.</w:t>
      </w:r>
    </w:p>
    <w:p>
      <w:pPr>
        <w:spacing w:after="0" w:line="93" w:lineRule="exact"/>
        <w:rPr>
          <w:rFonts w:ascii="Arial" w:cs="Arial" w:eastAsia="Arial" w:hAnsi="Arial"/>
          <w:sz w:val="18"/>
          <w:szCs w:val="18"/>
          <w:b w:val="1"/>
          <w:bCs w:val="1"/>
          <w:color w:val="auto"/>
        </w:rPr>
      </w:pPr>
    </w:p>
    <w:p>
      <w:pPr>
        <w:ind w:left="660" w:right="1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An alternative to allogeneic blood is surgical cell salvage, also known as autotransfusion, which reduces or eliminates a patient’s need for blood donated from others and ensures that the patient receives the freshest and safest blood possible — his or her own. Surgical cell salvage involves the collection of a patient’s own blood during and after surgery, for reinfusion of red cells to that patient. Blood is suctioned from the surgical site or collected from a wound or chest drain, processed and washed through a centrifuge-based system that yields concentrated red cells available for transfusion back to the patient. This process occurs in a sterile, closed-circuit, single-use consumable set that is fitted into an electromechanical device. We market our surgical blood salvage products to surgical specialists, primarily cardiovascular, orthopedic, and trauma surgeons, and to surgical suite service providers.</w:t>
      </w:r>
    </w:p>
    <w:p>
      <w:pPr>
        <w:spacing w:after="0" w:line="94" w:lineRule="exact"/>
        <w:rPr>
          <w:rFonts w:ascii="Arial" w:cs="Arial" w:eastAsia="Arial" w:hAnsi="Arial"/>
          <w:sz w:val="18"/>
          <w:szCs w:val="18"/>
          <w:b w:val="1"/>
          <w:bCs w:val="1"/>
          <w:color w:val="auto"/>
        </w:rPr>
      </w:pPr>
    </w:p>
    <w:p>
      <w:pPr>
        <w:ind w:left="660" w:right="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With the whole blood acquisition, Haemonetics now offers filtration products for the hospital. These filters are used during the blood transfusion process for reduction of particulate debris, fat globules and leukocytes in the blood components.</w:t>
      </w:r>
    </w:p>
    <w:p>
      <w:pPr>
        <w:spacing w:after="0" w:line="183" w:lineRule="exact"/>
        <w:rPr>
          <w:rFonts w:ascii="Arial" w:cs="Arial" w:eastAsia="Arial" w:hAnsi="Arial"/>
          <w:sz w:val="18"/>
          <w:szCs w:val="18"/>
          <w:b w:val="1"/>
          <w:bCs w:val="1"/>
          <w:color w:val="auto"/>
        </w:rPr>
      </w:pPr>
    </w:p>
    <w:p>
      <w:pPr>
        <w:ind w:left="660" w:right="140"/>
        <w:spacing w:after="0" w:line="259"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Haemonetics’ Hospital Products </w:t>
      </w:r>
      <w:r>
        <w:rPr>
          <w:rFonts w:ascii="Arial" w:cs="Arial" w:eastAsia="Arial" w:hAnsi="Arial"/>
          <w:sz w:val="18"/>
          <w:szCs w:val="18"/>
          <w:color w:val="auto"/>
        </w:rPr>
        <w:t>— Haemonetics offers a range of blood management solutions that significantly improve a hospital's systems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acquiring blood, storing it in the hospital, and dispensing it efficiently and correctly. Over the last few years, hospitals have become more aware of their need to control costs and improve patient safety by managing blood more effectively. Our products and integrated solution platforms help hospitals optimize performance of blood acquisition, storage, and distribution.</w:t>
      </w:r>
    </w:p>
    <w:p>
      <w:pPr>
        <w:spacing w:after="0" w:line="186" w:lineRule="exact"/>
        <w:rPr>
          <w:rFonts w:ascii="Arial" w:cs="Arial" w:eastAsia="Arial" w:hAnsi="Arial"/>
          <w:sz w:val="18"/>
          <w:szCs w:val="18"/>
          <w:b w:val="1"/>
          <w:bCs w:val="1"/>
          <w:color w:val="auto"/>
        </w:rPr>
      </w:pPr>
    </w:p>
    <w:p>
      <w:pPr>
        <w:ind w:left="660" w:right="180"/>
        <w:spacing w:after="0" w:line="271" w:lineRule="auto"/>
        <w:rPr>
          <w:rFonts w:ascii="Arial" w:cs="Arial" w:eastAsia="Arial" w:hAnsi="Arial"/>
          <w:sz w:val="18"/>
          <w:szCs w:val="18"/>
          <w:b w:val="1"/>
          <w:bCs w:val="1"/>
          <w:color w:val="auto"/>
        </w:rPr>
      </w:pPr>
      <w:r>
        <w:rPr>
          <w:rFonts w:ascii="Arial" w:cs="Arial" w:eastAsia="Arial" w:hAnsi="Arial"/>
          <w:sz w:val="16"/>
          <w:szCs w:val="16"/>
          <w:color w:val="auto"/>
        </w:rPr>
        <w:t>Our TEG</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Thrombelastograph Hemostasis Analyzer system is a blood diagnostic instrument that measures a patient's hemostasis or the ability to form and maintain blood clots. By understanding a patient’s clotting ability, clinicians can better plan for the patient’s care, deciding in advance whether to start or discontinue use of certain drugs or, determine the likelihood of the patient's need for a transfusion and which blood components will be most effective in stopping bleeding. Such planning supports better care, which can lead to lower hospital costs through a reduction in unnecessary donor blood transfusions, reduced adverse transfusion reactions, and shorter intensive care unit and hospital stays.</w:t>
      </w:r>
    </w:p>
    <w:p>
      <w:pPr>
        <w:spacing w:after="0" w:line="85" w:lineRule="exact"/>
        <w:rPr>
          <w:rFonts w:ascii="Arial" w:cs="Arial" w:eastAsia="Arial" w:hAnsi="Arial"/>
          <w:sz w:val="18"/>
          <w:szCs w:val="18"/>
          <w:b w:val="1"/>
          <w:bCs w:val="1"/>
          <w:color w:val="auto"/>
        </w:rPr>
      </w:pPr>
    </w:p>
    <w:p>
      <w:pPr>
        <w:ind w:left="660" w:right="60"/>
        <w:spacing w:after="0" w:line="212" w:lineRule="auto"/>
        <w:rPr>
          <w:rFonts w:ascii="Arial" w:cs="Arial" w:eastAsia="Arial" w:hAnsi="Arial"/>
          <w:sz w:val="18"/>
          <w:szCs w:val="18"/>
          <w:b w:val="1"/>
          <w:bCs w:val="1"/>
          <w:color w:val="auto"/>
        </w:rPr>
      </w:pPr>
      <w:r>
        <w:rPr>
          <w:rFonts w:ascii="Arial" w:cs="Arial" w:eastAsia="Arial" w:hAnsi="Arial"/>
          <w:sz w:val="17"/>
          <w:szCs w:val="17"/>
          <w:color w:val="auto"/>
        </w:rPr>
        <w:t>The Cell Saver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system is a surgical blood salvage system targeted to procedures that involve rapid, high-volume blood loss, such as cardiovascular surgeries. It has become the standard of care for high blood-loss surgeries. In fiscal 2012, we launched the Cell Saver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Elite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system, which is our most advanced autotransfusion option to minimize allogeneic blood use for surgeries with medium to high blood loss.</w:t>
      </w:r>
    </w:p>
    <w:p>
      <w:pPr>
        <w:spacing w:after="0" w:line="109" w:lineRule="exact"/>
        <w:rPr>
          <w:rFonts w:ascii="Arial" w:cs="Arial" w:eastAsia="Arial" w:hAnsi="Arial"/>
          <w:sz w:val="18"/>
          <w:szCs w:val="18"/>
          <w:b w:val="1"/>
          <w:bCs w:val="1"/>
          <w:color w:val="auto"/>
        </w:rPr>
      </w:pPr>
    </w:p>
    <w:p>
      <w:pPr>
        <w:ind w:left="660" w:right="60"/>
        <w:spacing w:after="0" w:line="232" w:lineRule="auto"/>
        <w:rPr>
          <w:rFonts w:ascii="Arial" w:cs="Arial" w:eastAsia="Arial" w:hAnsi="Arial"/>
          <w:sz w:val="18"/>
          <w:szCs w:val="18"/>
          <w:b w:val="1"/>
          <w:bCs w:val="1"/>
          <w:color w:val="auto"/>
        </w:rPr>
      </w:pPr>
      <w:r>
        <w:rPr>
          <w:rFonts w:ascii="Arial" w:cs="Arial" w:eastAsia="Arial" w:hAnsi="Arial"/>
          <w:sz w:val="18"/>
          <w:szCs w:val="18"/>
          <w:color w:val="auto"/>
        </w:rPr>
        <w:t>The OrthoPAT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surgical blood salvage system is targeted to orthopedic procedures, such as hip and knee replacements, which involve slower, lower volume blood loss that often occurs well after surgery. The system is designed to remain with the patient following surgery, to recover blood and produce a washed red cell product for autotransfusion. Its Quick-Connect feature permits customers to utilize the blood processing set selectively, depending on the patient's need.</w:t>
      </w:r>
    </w:p>
    <w:p>
      <w:pPr>
        <w:spacing w:after="0" w:line="107" w:lineRule="exact"/>
        <w:rPr>
          <w:rFonts w:ascii="Arial" w:cs="Arial" w:eastAsia="Arial" w:hAnsi="Arial"/>
          <w:sz w:val="18"/>
          <w:szCs w:val="18"/>
          <w:b w:val="1"/>
          <w:bCs w:val="1"/>
          <w:color w:val="auto"/>
        </w:rPr>
      </w:pPr>
    </w:p>
    <w:p>
      <w:pPr>
        <w:ind w:left="660" w:right="180"/>
        <w:spacing w:after="0" w:line="262" w:lineRule="auto"/>
        <w:rPr>
          <w:rFonts w:ascii="Arial" w:cs="Arial" w:eastAsia="Arial" w:hAnsi="Arial"/>
          <w:sz w:val="18"/>
          <w:szCs w:val="18"/>
          <w:b w:val="1"/>
          <w:bCs w:val="1"/>
          <w:color w:val="auto"/>
        </w:rPr>
      </w:pPr>
      <w:r>
        <w:rPr>
          <w:rFonts w:ascii="Arial" w:cs="Arial" w:eastAsia="Arial" w:hAnsi="Arial"/>
          <w:sz w:val="16"/>
          <w:szCs w:val="16"/>
          <w:color w:val="auto"/>
        </w:rPr>
        <w:t>Our IMPACT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Online web-based software platform, which monitors and measures improvements in a hospital’s blood management practices, provides hospitals with a baseline view of their transfusion practices and helps monitor their blood management performance. Business consulting solutions are offered to support process excellence and blood management efforts to our customers on an as needed basis.</w:t>
      </w:r>
    </w:p>
    <w:p>
      <w:pPr>
        <w:spacing w:after="0" w:line="9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Our hospital consumables product line represented 13.3%, 14.7%, and 16.6% of our total revenue in fiscal 2014, 2013 and 2012, respectively.</w:t>
      </w: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130" w:right="27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u w:val="single" w:color="auto"/>
          <w:color w:val="auto"/>
        </w:rPr>
        <w:t>Software Solutions</w:t>
      </w:r>
    </w:p>
    <w:p>
      <w:pPr>
        <w:spacing w:after="0" w:line="134" w:lineRule="exact"/>
        <w:rPr>
          <w:rFonts w:ascii="Arial" w:cs="Arial" w:eastAsia="Arial" w:hAnsi="Arial"/>
          <w:sz w:val="18"/>
          <w:szCs w:val="18"/>
          <w:b w:val="1"/>
          <w:bCs w:val="1"/>
          <w:i w:val="1"/>
          <w:iCs w:val="1"/>
          <w:color w:val="auto"/>
        </w:rPr>
      </w:pPr>
    </w:p>
    <w:p>
      <w:pPr>
        <w:ind w:left="660" w:right="60"/>
        <w:spacing w:after="0" w:line="290" w:lineRule="auto"/>
        <w:rPr>
          <w:rFonts w:ascii="Arial" w:cs="Arial" w:eastAsia="Arial" w:hAnsi="Arial"/>
          <w:sz w:val="18"/>
          <w:szCs w:val="18"/>
          <w:b w:val="1"/>
          <w:bCs w:val="1"/>
          <w:i w:val="1"/>
          <w:iCs w:val="1"/>
          <w:color w:val="auto"/>
        </w:rPr>
      </w:pPr>
      <w:r>
        <w:rPr>
          <w:rFonts w:ascii="Arial" w:cs="Arial" w:eastAsia="Arial" w:hAnsi="Arial"/>
          <w:sz w:val="16"/>
          <w:szCs w:val="16"/>
          <w:b w:val="1"/>
          <w:bCs w:val="1"/>
          <w:i w:val="1"/>
          <w:iCs w:val="1"/>
          <w:color w:val="auto"/>
        </w:rPr>
        <w:t xml:space="preserve">Haemonetics' Software Products and Services </w:t>
      </w:r>
      <w:r>
        <w:rPr>
          <w:rFonts w:ascii="Arial" w:cs="Arial" w:eastAsia="Arial" w:hAnsi="Arial"/>
          <w:sz w:val="16"/>
          <w:szCs w:val="16"/>
          <w:color w:val="auto"/>
        </w:rPr>
        <w:t>— We have a suite of integrated software solutions for improving efficiencies and helping ensure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donor and patient safety. This includes solutions for blood drive planning, donor recruitment and retention, blood collection, component manufacturing and distribution, transfusion management, and remote blood allocation. For our plasma customers, we also provide information technology platforms for managing donors and information associated with the collection of plasma products within fractionation facilities. While each Haemonetics information technology platform can be used independently, our mission to provide "Arm to Arm®" blood management solutions means they can also work together through integration to further improve process workflows. Also, the ability to evaluate information based on the integration of these systems allows customers to continually improve their business processes. Leveraging information to make more informed decisions is a significant component of Haemonetics' overall commitment to improving blood management systems globally.</w:t>
      </w:r>
    </w:p>
    <w:p>
      <w:pPr>
        <w:spacing w:after="0" w:line="71" w:lineRule="exact"/>
        <w:rPr>
          <w:rFonts w:ascii="Arial" w:cs="Arial" w:eastAsia="Arial" w:hAnsi="Arial"/>
          <w:sz w:val="18"/>
          <w:szCs w:val="18"/>
          <w:b w:val="1"/>
          <w:bCs w:val="1"/>
          <w:i w:val="1"/>
          <w:iCs w:val="1"/>
          <w:color w:val="auto"/>
        </w:rPr>
      </w:pPr>
    </w:p>
    <w:p>
      <w:pPr>
        <w:ind w:left="660"/>
        <w:spacing w:after="0" w:line="274" w:lineRule="auto"/>
        <w:rPr>
          <w:rFonts w:ascii="Arial" w:cs="Arial" w:eastAsia="Arial" w:hAnsi="Arial"/>
          <w:sz w:val="18"/>
          <w:szCs w:val="18"/>
          <w:b w:val="1"/>
          <w:bCs w:val="1"/>
          <w:i w:val="1"/>
          <w:iCs w:val="1"/>
          <w:color w:val="auto"/>
        </w:rPr>
      </w:pPr>
      <w:r>
        <w:rPr>
          <w:rFonts w:ascii="Arial" w:cs="Arial" w:eastAsia="Arial" w:hAnsi="Arial"/>
          <w:sz w:val="16"/>
          <w:szCs w:val="16"/>
          <w:b w:val="1"/>
          <w:bCs w:val="1"/>
          <w:i w:val="1"/>
          <w:iCs w:val="1"/>
          <w:color w:val="auto"/>
        </w:rPr>
        <w:t xml:space="preserve">Integrated Blood Management Solutions </w:t>
      </w:r>
      <w:r>
        <w:rPr>
          <w:rFonts w:ascii="Arial" w:cs="Arial" w:eastAsia="Arial" w:hAnsi="Arial"/>
          <w:sz w:val="16"/>
          <w:szCs w:val="16"/>
          <w:color w:val="auto"/>
        </w:rPr>
        <w:t>—Combining software solutions with devices, we meet our goal of offering customers powerful tools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improving blood management while driving growth of our consumables. For example, a hospital may use our consulting services to analyze its blood management practices and recommend changes in practice. Then, the hospital can leverage our systems and services to analyze blood utilization, manage blood inventory, and potentially reduce demand for donated blood. Finally, hospitals can use our IMPACT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Online blood management business intelligence portal to monitor the results of its new blood management practices. The positive patient impact and reduced costs from this integrated blood management approach can be significant. Likewise, by understanding best practices, blood demand, and discreet patient needs, hospitals can more frequently deploy our devices for hemostasis diagnosis and cell salvage to ensure best patient care.</w:t>
      </w:r>
    </w:p>
    <w:p>
      <w:pPr>
        <w:spacing w:after="0" w:line="85" w:lineRule="exact"/>
        <w:rPr>
          <w:rFonts w:ascii="Arial" w:cs="Arial" w:eastAsia="Arial" w:hAnsi="Arial"/>
          <w:sz w:val="18"/>
          <w:szCs w:val="18"/>
          <w:b w:val="1"/>
          <w:bCs w:val="1"/>
          <w:i w:val="1"/>
          <w:iCs w:val="1"/>
          <w:color w:val="auto"/>
        </w:rPr>
      </w:pPr>
    </w:p>
    <w:p>
      <w:pPr>
        <w:ind w:left="660" w:right="220"/>
        <w:spacing w:after="0" w:line="264" w:lineRule="auto"/>
        <w:rPr>
          <w:rFonts w:ascii="Arial" w:cs="Arial" w:eastAsia="Arial" w:hAnsi="Arial"/>
          <w:sz w:val="18"/>
          <w:szCs w:val="18"/>
          <w:b w:val="1"/>
          <w:bCs w:val="1"/>
          <w:i w:val="1"/>
          <w:iCs w:val="1"/>
          <w:color w:val="auto"/>
        </w:rPr>
      </w:pPr>
      <w:r>
        <w:rPr>
          <w:rFonts w:ascii="Arial" w:cs="Arial" w:eastAsia="Arial" w:hAnsi="Arial"/>
          <w:sz w:val="18"/>
          <w:szCs w:val="18"/>
          <w:color w:val="auto"/>
        </w:rPr>
        <w:t>While each of our products, platforms, and services can be marketed individually, our blood management solutions vision is to offer integrated closed-loop solutions for blood supply chain management. Our software solutions — information technology platforms and consulting services — can be combined with our devices and sold through our plasma, blood center, and hospital sales forces.</w:t>
      </w:r>
    </w:p>
    <w:p>
      <w:pPr>
        <w:spacing w:after="0" w:line="86" w:lineRule="exact"/>
        <w:rPr>
          <w:rFonts w:ascii="Arial" w:cs="Arial" w:eastAsia="Arial" w:hAnsi="Arial"/>
          <w:sz w:val="18"/>
          <w:szCs w:val="18"/>
          <w:b w:val="1"/>
          <w:bCs w:val="1"/>
          <w:i w:val="1"/>
          <w:iCs w:val="1"/>
          <w:color w:val="auto"/>
        </w:rPr>
      </w:pPr>
    </w:p>
    <w:p>
      <w:pPr>
        <w:ind w:left="660" w:right="100"/>
        <w:spacing w:after="0" w:line="224" w:lineRule="auto"/>
        <w:rPr>
          <w:rFonts w:ascii="Arial" w:cs="Arial" w:eastAsia="Arial" w:hAnsi="Arial"/>
          <w:sz w:val="18"/>
          <w:szCs w:val="18"/>
          <w:b w:val="1"/>
          <w:bCs w:val="1"/>
          <w:i w:val="1"/>
          <w:iCs w:val="1"/>
          <w:color w:val="auto"/>
        </w:rPr>
      </w:pPr>
      <w:r>
        <w:rPr>
          <w:rFonts w:ascii="Arial" w:cs="Arial" w:eastAsia="Arial" w:hAnsi="Arial"/>
          <w:sz w:val="18"/>
          <w:szCs w:val="18"/>
          <w:color w:val="auto"/>
        </w:rPr>
        <w:t>Our software products help hospitals track and safely deliver stored blood products. SafeTrace Tx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 our software solution that helps manage blood product inventory, perform patient cross-matching, and manage transfusions. In addition, our BloodTrack</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suite of solutions manages tracking and control of blood products from the hospital blood center through to transfusion to the patient. “Smart” refrigerators located in or near operating suites, emergency rooms, and other parts of the hospital dispense blood units with secure control and automated traceability for efficient documentation. With our more comprehensive offerings, hospitals are better able to manage processes across the blood supply chain and identify increased opportunities to reduce costs and enhance processes.</w:t>
      </w:r>
    </w:p>
    <w:p>
      <w:pPr>
        <w:spacing w:after="0" w:line="108" w:lineRule="exact"/>
        <w:rPr>
          <w:rFonts w:ascii="Arial" w:cs="Arial" w:eastAsia="Arial" w:hAnsi="Arial"/>
          <w:sz w:val="18"/>
          <w:szCs w:val="18"/>
          <w:b w:val="1"/>
          <w:bCs w:val="1"/>
          <w:i w:val="1"/>
          <w:iCs w:val="1"/>
          <w:color w:val="auto"/>
        </w:rPr>
      </w:pPr>
    </w:p>
    <w:p>
      <w:pPr>
        <w:ind w:left="660" w:right="120"/>
        <w:spacing w:after="0" w:line="212" w:lineRule="auto"/>
        <w:rPr>
          <w:rFonts w:ascii="Arial" w:cs="Arial" w:eastAsia="Arial" w:hAnsi="Arial"/>
          <w:sz w:val="18"/>
          <w:szCs w:val="18"/>
          <w:b w:val="1"/>
          <w:bCs w:val="1"/>
          <w:i w:val="1"/>
          <w:iCs w:val="1"/>
          <w:color w:val="auto"/>
        </w:rPr>
      </w:pPr>
      <w:r>
        <w:rPr>
          <w:rFonts w:ascii="Arial" w:cs="Arial" w:eastAsia="Arial" w:hAnsi="Arial"/>
          <w:sz w:val="18"/>
          <w:szCs w:val="18"/>
          <w:color w:val="auto"/>
        </w:rPr>
        <w:t>We believe a key example of our blood management solutions is the potential to balance blood demand with supply and mitigate shortages of blood components and reduce collection costs. Our software solutions, such as our SafeTrace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El Dorado Donor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donation and blood unit management systems, span blood center operations and automate and track operations from the recruitment of the blood donor to the disposition of the blood product. Our Hemasphere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software solution provides support for more efficient blood drive planning, and Donor Doc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e-Donor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software help to improve recruitment and retention. Combined, our solutions help blood collectors improve the safety, regulatory compliance, and efficiency of blood collection and supply.</w:t>
      </w:r>
    </w:p>
    <w:p>
      <w:pPr>
        <w:spacing w:after="0" w:line="107" w:lineRule="exact"/>
        <w:rPr>
          <w:rFonts w:ascii="Arial" w:cs="Arial" w:eastAsia="Arial" w:hAnsi="Arial"/>
          <w:sz w:val="18"/>
          <w:szCs w:val="18"/>
          <w:b w:val="1"/>
          <w:bCs w:val="1"/>
          <w:i w:val="1"/>
          <w:iCs w:val="1"/>
          <w:color w:val="auto"/>
        </w:rPr>
      </w:pPr>
    </w:p>
    <w:p>
      <w:pPr>
        <w:ind w:left="6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Our software solutions product line represented 7.5%, 7.8%, and 9.7% of our total revenue in fiscal 2014, 2013 and 2012, respectively.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Marketing/Sales/Distribution</w:t>
      </w:r>
    </w:p>
    <w:p>
      <w:pPr>
        <w:spacing w:after="0" w:line="13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We market and sell our products to bio-pharmaceutical companies, blood collection groups and independent blood centers, hospitals and hospital service providers, group purchasing organizations and national health organizations through our own direct sales force (including full-time sales representatives and clinical specialists) as well as independent distributors. Sales representatives target the primary decision-makers within each of those organizations.</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United States</w:t>
      </w:r>
    </w:p>
    <w:p>
      <w:pPr>
        <w:spacing w:after="0" w:line="13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 fiscal 2014, 2013 and 2012 approximately 53.4%, 51.0%, and 48.4%, respectively, of consolidated net revenues were generated in the U.S., where we primarily use a direct sales force to sell our products.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30"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Outside the United States</w:t>
      </w:r>
    </w:p>
    <w:p>
      <w:pPr>
        <w:spacing w:after="0" w:line="13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fiscal 2014, 2013 and 2012 approximately 46.6%, 49.0%, and 51.6%, respectively, of consolidated net revenues were generated through sales to non-U.S. customers. Outside the United States, we use a combination of direct sales force and distributors.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3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Our research and development centers in the United States and Switzerland ensure that protocol variations are incorporated to closely match local customer requirements. In addition, our Haemonetics Software Solutions also maintains development operations in Canada and France.</w:t>
      </w:r>
    </w:p>
    <w:p>
      <w:pPr>
        <w:spacing w:after="0" w:line="5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Customer collaborations are also an important part of our technical strength and competitive advantage. These collaborations with customers and transfusion experts provide us with ideas for new products and applications, enhanced protocols, and potential test sites as well as objective evaluations and expert opinions regarding technical and performance issues.</w:t>
      </w:r>
    </w:p>
    <w:p>
      <w:pPr>
        <w:spacing w:after="0" w:line="8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development of blood component separation products and extracorporeal blood typing and screening systems has required us to maintain technical expertise in various engineering disciplines, including mechanical, electrical, software, and biomedical engineering and material science. Innovations resulting from these various engineering efforts enable us to develop systems that are faster, smaller, and more user-friendly, or that incorporate additional features important to our customer base.</w:t>
      </w:r>
    </w:p>
    <w:p>
      <w:pPr>
        <w:spacing w:after="0" w:line="92" w:lineRule="exact"/>
        <w:rPr>
          <w:sz w:val="20"/>
          <w:szCs w:val="20"/>
          <w:color w:val="auto"/>
        </w:rPr>
      </w:pPr>
    </w:p>
    <w:p>
      <w:pPr>
        <w:ind w:right="1080"/>
        <w:spacing w:after="0" w:line="277" w:lineRule="auto"/>
        <w:rPr>
          <w:sz w:val="20"/>
          <w:szCs w:val="20"/>
          <w:color w:val="auto"/>
        </w:rPr>
      </w:pPr>
      <w:r>
        <w:rPr>
          <w:rFonts w:ascii="Arial" w:cs="Arial" w:eastAsia="Arial" w:hAnsi="Arial"/>
          <w:sz w:val="18"/>
          <w:szCs w:val="18"/>
          <w:color w:val="auto"/>
        </w:rPr>
        <w:t>Research and development expense was $54.2 million in fiscal 2014, $44.4 million in fiscal 2013 and $36.8 million in fiscal 2012, representing approximately 5.0% - 6.0% of our net sales each year.</w:t>
      </w:r>
    </w:p>
    <w:p>
      <w:pPr>
        <w:spacing w:after="0" w:line="170" w:lineRule="exact"/>
        <w:rPr>
          <w:sz w:val="20"/>
          <w:szCs w:val="20"/>
          <w:color w:val="auto"/>
        </w:rPr>
      </w:pPr>
    </w:p>
    <w:p>
      <w:pPr>
        <w:ind w:right="580"/>
        <w:spacing w:after="0" w:line="227" w:lineRule="auto"/>
        <w:rPr>
          <w:sz w:val="20"/>
          <w:szCs w:val="20"/>
          <w:color w:val="auto"/>
        </w:rPr>
      </w:pPr>
      <w:r>
        <w:rPr>
          <w:rFonts w:ascii="Arial" w:cs="Arial" w:eastAsia="Arial" w:hAnsi="Arial"/>
          <w:sz w:val="17"/>
          <w:szCs w:val="17"/>
          <w:color w:val="auto"/>
        </w:rPr>
        <w:t>In fiscal 2014, research and development resources were allocated to supporting next generation plasma collection and software systems, a new TEG</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Thrombelastograph Hemostasis Analyzer, and several other enhancements to both our whole blood and legacy product portfolios.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Manufacturing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principal manufacturing operations are located in the United States, Mexico, Scotland and Switzerland.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These include facilities in Mexico and Puerto Rico purchased in 2012 as part of our acquisition of the whole blood business from Pall Corporation.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On May 1, 2013, we announced a plan to pursue identified Value Creation and Capture (“VCC”) opportunities. These</w:t>
      </w:r>
    </w:p>
    <w:p>
      <w:pPr>
        <w:spacing w:after="0" w:line="2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include: (i) investment in product line extensions, next generation products and growth platforms; (ii) enhancement of commercial execution capabilities by implementing go-to-market and other strategies to enable global profitable revenue growth; and (iii) transformation of the manufacturing network to best support these commercial strategies while optimizing expense levels. Collectively, these are opportunities to position us for increased competitiveness and growth.</w:t>
      </w:r>
    </w:p>
    <w:p>
      <w:pPr>
        <w:spacing w:after="0" w:line="190"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Our manufacturing network transformation plan, part of our larger VCC initiative previously announced, now includes (i) discontinuing manufacturing activities at our Braintree, Massachusetts and Ascoli-Piceno, Italy facilities, (ii) consulting with employee representatives regarding ceasing operations and closure of our manufacturing facility in Bothwell, Scotland, (iii) creating a technology center of excellence for product development, (iv) expansion of our current facility in Tijuana, Mexico, (v) engaging Sanmina Corporation as a contract manufacturer to produce certain medical equipment, and (vi) building a new manufacturing facility in Malaysia closer to our customers in Asia.</w:t>
      </w:r>
    </w:p>
    <w:p>
      <w:pPr>
        <w:spacing w:after="0" w:line="7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general, our production activities occur in controlled settings or “clean room” environments. Each step of the manufacturing and assembly process is quality checked, qualified, and validated. Critical process steps and materials are documented to ensure that every unit is produced consistently and meets performance requirements. Our equipment and disposable manufacturing sites are certified to the ISO 13485 standard and to the Medical Device Directive allowing placement of the CE mark of conformity.</w:t>
      </w:r>
    </w:p>
    <w:p>
      <w:pPr>
        <w:spacing w:after="0" w:line="92"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Plastics are the principal component of our disposable products. Contracts with our suppliers help mitigate some of the short-term effects of price volatility in this market. However, increases in the price of petroleum derivatives could result in corresponding increases in our costs to procure plastic raw materials.</w:t>
      </w:r>
    </w:p>
    <w:p>
      <w:pPr>
        <w:spacing w:after="0" w:line="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Contractors manufacture some component-sets according to our specifications. We maintain important relationships with two Japanese manufacturers that produce finished consumables in Singapore, Japan, and Thailand. Certain parts and components are purchased from sole source vendors. We believe that if necessary, alternative sources of supply are available in most cases, and could be secured within a relatively short period of time. Nevertheless, an interruption in supply could temporarily interfere with production schedules and affect our operations.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30" w:right="2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Each blood processing machine is designed in-house and assembled by us or our contracted manufacturer from components that are manufactured to our specifications. The completed instruments are programmed, calibrated, and tested to ensure compliance with our engineering and quality assurance specifications. Inspection checks are conducted throughout the manufacturing process to verify proper assembly and functionality. When mechanical and electronic components are sourced from outside vendors, those vendors must meet detailed qualification and process control requirements.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1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consider our intellectual property rights to be important to our business. We rely on patent, trademark, copyright, and trade secret laws, as well as provisions in our agreements with third parties to protect our intellectual property rights. We hold patents in the United States and many international jurisdictions on some of our machines, processes, disposables and related technologies. These patents cover certain elements of our systems, including protocols employed in our equipment and certain aspects of our processing chambers and disposables. Our patents may cover current products, products in markets we plan to enter, or products in markets we plan to license, or the patents may be defensive in that they are directed to technologies not currently embodied in our current products. We may also license patent rights from third parties that cover technologies that we plan to use in our business. To maintain our competitive position, we rely on the technical expertise and know-how of our personnel and on our patent rights. We pursue an active and formal program of invention disclosure and patent application in both the United States and foreign jurisdictions. We own various trademarks that have been registered in the United States and certain other countries.</w:t>
      </w:r>
    </w:p>
    <w:p>
      <w:pPr>
        <w:spacing w:after="0" w:line="10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policy is to obtain patent and trademark rights in the U.S. and foreign countries where such rights are available and we believe it is commercially advantageous to do so. However, the standards for international protection of intellectual property vary widely. We cannot assure that pending patent and trademark applications will result in issued patents and registered trademarks, that patents issued to or licensed by us will not be challenged or circumvented by competitors, or that our patents will not be determined invalid.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3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have established a record of innovation and leadership in each of the areas in which we compete. To remain competitive, we must continue to develop and acquire new cost-effective products, information technology platforms, and business services. We believe that our ability to maintain a competitive advantage will continue to depend on a combination of factors. Some factors are largely within our control such as: (i) maintenance of a positive reputation among our customers, (ii) development of new products which meet our customer's needs, (iii) obtaining regulatory approvals for our products in key markets, (iv) obtaining patents which protect our innovations, (v) development and protection of proprietary know-how in important technological areas, (vi) product quality, safety and cost effectiveness and (vii) continual and rigorous documentation of clinical performance. Other factors are outside of our control. We could see changes in regulatory standards or clinical practice which favor a competitor's technology or reduce revenues in key areas of our business. For example, in fiscal 2014, we have seen changes in blood management practices at hospitals resulting in reduced demand for red cells and accordingly, decreased red cell and whole blood revenues.</w:t>
      </w:r>
    </w:p>
    <w:p>
      <w:pPr>
        <w:spacing w:after="0" w:line="263"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In addition, we face competition from several large, global companies with product offerings similar to ours, such as Terumo BCT, Sorin Biomedica and Fresenius SE &amp; Co. KGaA. Terumo and Fresenius, in particular, have significantly greater financial and other resources than we do and are strong competitors in a number of our businesses. The following provides an overview of the key competitors in each of our four global product categories.</w:t>
      </w:r>
    </w:p>
    <w:p>
      <w:pPr>
        <w:spacing w:after="0" w:line="10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Plasma</w:t>
      </w:r>
    </w:p>
    <w:p>
      <w:pPr>
        <w:spacing w:after="0" w:line="184" w:lineRule="exact"/>
        <w:rPr>
          <w:rFonts w:ascii="Arial" w:cs="Arial" w:eastAsia="Arial" w:hAnsi="Arial"/>
          <w:sz w:val="18"/>
          <w:szCs w:val="18"/>
          <w:i w:val="1"/>
          <w:iCs w:val="1"/>
          <w:color w:val="auto"/>
        </w:rPr>
      </w:pPr>
    </w:p>
    <w:p>
      <w:pPr>
        <w:ind w:left="660" w:right="4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In the automated plasma collection market, we principally compete with Fresenius, which acquired Fenwal, Inc. in November 2012, on the basis of quality, reliability, ease of use, services and technical features of the collection systems, and on the long-term cost-effectiveness of equipment and disposables. In China, the market is populated by local producers of a product that is intended to be similar to ours. Recently, those competitors have expanded to markets beyond China, into European and South American countries.</w:t>
      </w:r>
    </w:p>
    <w:p>
      <w:pPr>
        <w:spacing w:after="0" w:line="146"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Blood Center</w:t>
      </w:r>
    </w:p>
    <w:p>
      <w:pPr>
        <w:spacing w:after="0" w:line="184" w:lineRule="exact"/>
        <w:rPr>
          <w:rFonts w:ascii="Arial" w:cs="Arial" w:eastAsia="Arial" w:hAnsi="Arial"/>
          <w:sz w:val="18"/>
          <w:szCs w:val="18"/>
          <w:i w:val="1"/>
          <w:iCs w:val="1"/>
          <w:color w:val="auto"/>
        </w:rPr>
      </w:pPr>
    </w:p>
    <w:p>
      <w:pPr>
        <w:ind w:left="660" w:right="560"/>
        <w:spacing w:after="0" w:line="277" w:lineRule="auto"/>
        <w:rPr>
          <w:rFonts w:ascii="Arial" w:cs="Arial" w:eastAsia="Arial" w:hAnsi="Arial"/>
          <w:sz w:val="18"/>
          <w:szCs w:val="18"/>
          <w:i w:val="1"/>
          <w:iCs w:val="1"/>
          <w:color w:val="auto"/>
        </w:rPr>
      </w:pPr>
      <w:r>
        <w:rPr>
          <w:rFonts w:ascii="Arial" w:cs="Arial" w:eastAsia="Arial" w:hAnsi="Arial"/>
          <w:sz w:val="18"/>
          <w:szCs w:val="18"/>
          <w:color w:val="auto"/>
        </w:rPr>
        <w:t>We have several competitors in the Blood Center product lines, some of which compete across all blood components and others that are more specialized.</w:t>
      </w:r>
    </w:p>
    <w:p>
      <w:pPr>
        <w:spacing w:after="0" w:line="129" w:lineRule="exact"/>
        <w:rPr>
          <w:rFonts w:ascii="Arial" w:cs="Arial" w:eastAsia="Arial" w:hAnsi="Arial"/>
          <w:sz w:val="18"/>
          <w:szCs w:val="18"/>
          <w:i w:val="1"/>
          <w:iCs w:val="1"/>
          <w:color w:val="auto"/>
        </w:rPr>
      </w:pPr>
    </w:p>
    <w:p>
      <w:pPr>
        <w:ind w:left="660" w:right="80"/>
        <w:spacing w:after="0" w:line="264" w:lineRule="auto"/>
        <w:rPr>
          <w:rFonts w:ascii="Arial" w:cs="Arial" w:eastAsia="Arial" w:hAnsi="Arial"/>
          <w:sz w:val="18"/>
          <w:szCs w:val="18"/>
          <w:i w:val="1"/>
          <w:iCs w:val="1"/>
          <w:color w:val="auto"/>
        </w:rPr>
      </w:pPr>
      <w:r>
        <w:rPr>
          <w:rFonts w:ascii="Arial" w:cs="Arial" w:eastAsia="Arial" w:hAnsi="Arial"/>
          <w:sz w:val="18"/>
          <w:szCs w:val="18"/>
          <w:color w:val="auto"/>
        </w:rPr>
        <w:t>Terumo BCT, and Fresenius are our major competitors in platelet collection. In platelet collections, there are two areas of competition - automated collection and pooled random donor. In the automated collection area, competition is based on continual performance improvement, as measured by the time and efficiency of platelet collection and the</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30" w:right="25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right="260"/>
        <w:spacing w:after="0" w:line="286" w:lineRule="auto"/>
        <w:rPr>
          <w:sz w:val="20"/>
          <w:szCs w:val="20"/>
          <w:color w:val="auto"/>
        </w:rPr>
      </w:pPr>
      <w:r>
        <w:rPr>
          <w:rFonts w:ascii="Arial" w:cs="Arial" w:eastAsia="Arial" w:hAnsi="Arial"/>
          <w:sz w:val="17"/>
          <w:szCs w:val="17"/>
          <w:color w:val="auto"/>
        </w:rPr>
        <w:t>quality of the platelets collected. Each of these companies has taken a different technological approach in designing their systems for automated platelet collection. In addition to automated platelet collection offerings, we now also compete in the pooled random donor platelet segment from whole blood collections from which pooled platelets are derived with the Acrodose product or buffy coat pooling sets.</w:t>
      </w:r>
    </w:p>
    <w:p>
      <w:pPr>
        <w:spacing w:after="0" w:line="125" w:lineRule="exact"/>
        <w:rPr>
          <w:sz w:val="20"/>
          <w:szCs w:val="20"/>
          <w:color w:val="auto"/>
        </w:rPr>
      </w:pPr>
    </w:p>
    <w:p>
      <w:pPr>
        <w:ind w:left="660" w:right="40"/>
        <w:spacing w:after="0" w:line="255" w:lineRule="auto"/>
        <w:rPr>
          <w:sz w:val="20"/>
          <w:szCs w:val="20"/>
          <w:color w:val="auto"/>
        </w:rPr>
      </w:pPr>
      <w:r>
        <w:rPr>
          <w:rFonts w:ascii="Arial" w:cs="Arial" w:eastAsia="Arial" w:hAnsi="Arial"/>
          <w:sz w:val="18"/>
          <w:szCs w:val="18"/>
          <w:color w:val="auto"/>
        </w:rPr>
        <w:t xml:space="preserve">Terumo BCT and Fresenius (following its acquisition of Fenwal in 2012) are also competitors in the automated red cell collection market. However, it is important to note that most double red cell collection is done in the US and less than 10% of the red cells collected in the U.S. annually are collected via automation. Therefore, we also compete with the traditional method of collecting red cells from the manual collection of whole blood. As discussed in our </w:t>
      </w:r>
      <w:r>
        <w:rPr>
          <w:rFonts w:ascii="Arial" w:cs="Arial" w:eastAsia="Arial" w:hAnsi="Arial"/>
          <w:sz w:val="18"/>
          <w:szCs w:val="18"/>
          <w:i w:val="1"/>
          <w:iCs w:val="1"/>
          <w:color w:val="auto"/>
        </w:rPr>
        <w:t>Company Overview</w:t>
      </w:r>
      <w:r>
        <w:rPr>
          <w:rFonts w:ascii="Arial" w:cs="Arial" w:eastAsia="Arial" w:hAnsi="Arial"/>
          <w:sz w:val="18"/>
          <w:szCs w:val="18"/>
          <w:color w:val="auto"/>
        </w:rPr>
        <w:t>, we entered the whole blood collections market during fiscal 2013 through the acquisition of the whole blood business from Pall Corporation. We compete on the basis of total cost, type-specific collection, process control, product quality, and inventory management.</w:t>
      </w:r>
    </w:p>
    <w:p>
      <w:pPr>
        <w:spacing w:after="0" w:line="193" w:lineRule="exact"/>
        <w:rPr>
          <w:sz w:val="20"/>
          <w:szCs w:val="20"/>
          <w:color w:val="auto"/>
        </w:rPr>
      </w:pPr>
    </w:p>
    <w:p>
      <w:pPr>
        <w:jc w:val="both"/>
        <w:ind w:left="660" w:right="120"/>
        <w:spacing w:after="0" w:line="312" w:lineRule="auto"/>
        <w:rPr>
          <w:sz w:val="20"/>
          <w:szCs w:val="20"/>
          <w:color w:val="auto"/>
        </w:rPr>
      </w:pPr>
      <w:r>
        <w:rPr>
          <w:rFonts w:ascii="Arial" w:cs="Arial" w:eastAsia="Arial" w:hAnsi="Arial"/>
          <w:sz w:val="16"/>
          <w:szCs w:val="16"/>
          <w:color w:val="auto"/>
        </w:rPr>
        <w:t>Our whole blood business faces competition on the basis of quality and price. In North America, Europe and Asia-Pacific our main competitors are Fresenius, MacoPharma and Terumo BCT. We do not have significant whole blood revenues in Japan today. We have a competitive cost advantage in the supply of filtration needed for leukoreduced whole blood collection because we are vertically integrated in the production of our own filters.</w:t>
      </w:r>
    </w:p>
    <w:p>
      <w:pPr>
        <w:spacing w:after="0" w:line="147" w:lineRule="exact"/>
        <w:rPr>
          <w:sz w:val="20"/>
          <w:szCs w:val="20"/>
          <w:color w:val="auto"/>
        </w:rPr>
      </w:pPr>
    </w:p>
    <w:p>
      <w:pPr>
        <w:ind w:left="660" w:right="60"/>
        <w:spacing w:after="0" w:line="232" w:lineRule="auto"/>
        <w:rPr>
          <w:sz w:val="20"/>
          <w:szCs w:val="20"/>
          <w:color w:val="auto"/>
        </w:rPr>
      </w:pPr>
      <w:r>
        <w:rPr>
          <w:rFonts w:ascii="Arial" w:cs="Arial" w:eastAsia="Arial" w:hAnsi="Arial"/>
          <w:sz w:val="18"/>
          <w:szCs w:val="18"/>
          <w:color w:val="auto"/>
        </w:rPr>
        <w:t>In the cell processing market, competition is based on the level of automation, labor-intensiveness, and system type (open versus closed). Open systems may be weaker in good manufacturing process compliance. Moreover, blood processed through open systems has a 24-hour shelf life. With the ACP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(automated cell processor) brand, Haemonetics offers a closed system cell processor which gives blood processed through it, a 14-day shelf life. We compete with Terumo BCT's open systems in this market.</w:t>
      </w:r>
    </w:p>
    <w:p>
      <w:pPr>
        <w:spacing w:after="0" w:line="20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Hospital</w:t>
      </w:r>
    </w:p>
    <w:p>
      <w:pPr>
        <w:spacing w:after="0" w:line="225" w:lineRule="exact"/>
        <w:rPr>
          <w:rFonts w:ascii="Arial" w:cs="Arial" w:eastAsia="Arial" w:hAnsi="Arial"/>
          <w:sz w:val="18"/>
          <w:szCs w:val="18"/>
          <w:i w:val="1"/>
          <w:iCs w:val="1"/>
          <w:color w:val="auto"/>
        </w:rPr>
      </w:pPr>
    </w:p>
    <w:p>
      <w:pPr>
        <w:ind w:left="660" w:right="40"/>
        <w:spacing w:after="0" w:line="302" w:lineRule="auto"/>
        <w:rPr>
          <w:rFonts w:ascii="Arial" w:cs="Arial" w:eastAsia="Arial" w:hAnsi="Arial"/>
          <w:sz w:val="18"/>
          <w:szCs w:val="18"/>
          <w:i w:val="1"/>
          <w:iCs w:val="1"/>
          <w:color w:val="auto"/>
        </w:rPr>
      </w:pPr>
      <w:r>
        <w:rPr>
          <w:rFonts w:ascii="Arial" w:cs="Arial" w:eastAsia="Arial" w:hAnsi="Arial"/>
          <w:sz w:val="16"/>
          <w:szCs w:val="16"/>
          <w:color w:val="auto"/>
        </w:rPr>
        <w:t>Within our hospital business, in the diagnostics market, the TEG Thrombelastograph Hemostasis Analyzer is used primarily in surgical applications. One direct competitor, ROTEM, is a competitor in Europe and in the United States. Other competitive technologies include standard coagulation tests and platelet function testing. The TEG analyzer competes with other laboratory tests based on its ability to provide a complete picture of a patient's hemostasis at a single point in time, and the ability to measure the clinically relevant platelet function for an individual patient.</w:t>
      </w:r>
    </w:p>
    <w:p>
      <w:pPr>
        <w:spacing w:after="0" w:line="154" w:lineRule="exact"/>
        <w:rPr>
          <w:rFonts w:ascii="Arial" w:cs="Arial" w:eastAsia="Arial" w:hAnsi="Arial"/>
          <w:sz w:val="18"/>
          <w:szCs w:val="18"/>
          <w:i w:val="1"/>
          <w:iCs w:val="1"/>
          <w:color w:val="auto"/>
        </w:rPr>
      </w:pPr>
    </w:p>
    <w:p>
      <w:pPr>
        <w:ind w:left="660" w:right="320"/>
        <w:spacing w:after="0" w:line="264" w:lineRule="auto"/>
        <w:rPr>
          <w:rFonts w:ascii="Arial" w:cs="Arial" w:eastAsia="Arial" w:hAnsi="Arial"/>
          <w:sz w:val="18"/>
          <w:szCs w:val="18"/>
          <w:i w:val="1"/>
          <w:iCs w:val="1"/>
          <w:color w:val="auto"/>
        </w:rPr>
      </w:pPr>
      <w:r>
        <w:rPr>
          <w:rFonts w:ascii="Arial" w:cs="Arial" w:eastAsia="Arial" w:hAnsi="Arial"/>
          <w:sz w:val="18"/>
          <w:szCs w:val="18"/>
          <w:color w:val="auto"/>
        </w:rPr>
        <w:t>In the intraoperative surgical blood salvage market, competition is based on reliability, ease of use, service, support, and price. For high-volume platforms, each manufacturer's technology is similar, and our Cell Saver technology competes principally with Sorin Biomedica, Medtronic, and Fresenius.</w:t>
      </w:r>
    </w:p>
    <w:p>
      <w:pPr>
        <w:spacing w:after="0" w:line="140" w:lineRule="exact"/>
        <w:rPr>
          <w:rFonts w:ascii="Arial" w:cs="Arial" w:eastAsia="Arial" w:hAnsi="Arial"/>
          <w:sz w:val="18"/>
          <w:szCs w:val="18"/>
          <w:i w:val="1"/>
          <w:iCs w:val="1"/>
          <w:color w:val="auto"/>
        </w:rPr>
      </w:pPr>
    </w:p>
    <w:p>
      <w:pPr>
        <w:ind w:left="660" w:right="20"/>
        <w:spacing w:after="0" w:line="264" w:lineRule="auto"/>
        <w:rPr>
          <w:rFonts w:ascii="Arial" w:cs="Arial" w:eastAsia="Arial" w:hAnsi="Arial"/>
          <w:sz w:val="18"/>
          <w:szCs w:val="18"/>
          <w:i w:val="1"/>
          <w:iCs w:val="1"/>
          <w:color w:val="auto"/>
        </w:rPr>
      </w:pPr>
      <w:r>
        <w:rPr>
          <w:rFonts w:ascii="Arial" w:cs="Arial" w:eastAsia="Arial" w:hAnsi="Arial"/>
          <w:sz w:val="18"/>
          <w:szCs w:val="18"/>
          <w:color w:val="auto"/>
        </w:rPr>
        <w:t>In the perioperative surgical blood salvage market, our OrthoPAT system competes primarily against (i) non-automated processing systems whose end product is an unwashed red blood cell unit for transfusion to the patient, (ii) transfusions of donated blood and (iii) coagulation therapies such as tranexamic acid.</w:t>
      </w:r>
    </w:p>
    <w:p>
      <w:pPr>
        <w:spacing w:after="0" w:line="14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Software Solution</w:t>
      </w:r>
    </w:p>
    <w:p>
      <w:pPr>
        <w:spacing w:after="0" w:line="225" w:lineRule="exact"/>
        <w:rPr>
          <w:rFonts w:ascii="Arial" w:cs="Arial" w:eastAsia="Arial" w:hAnsi="Arial"/>
          <w:sz w:val="18"/>
          <w:szCs w:val="18"/>
          <w:i w:val="1"/>
          <w:iCs w:val="1"/>
          <w:color w:val="auto"/>
        </w:rPr>
      </w:pPr>
    </w:p>
    <w:p>
      <w:pPr>
        <w:jc w:val="both"/>
        <w:ind w:left="660" w:right="300"/>
        <w:spacing w:after="0" w:line="264" w:lineRule="auto"/>
        <w:rPr>
          <w:rFonts w:ascii="Arial" w:cs="Arial" w:eastAsia="Arial" w:hAnsi="Arial"/>
          <w:sz w:val="18"/>
          <w:szCs w:val="18"/>
          <w:i w:val="1"/>
          <w:iCs w:val="1"/>
          <w:color w:val="auto"/>
        </w:rPr>
      </w:pPr>
      <w:r>
        <w:rPr>
          <w:rFonts w:ascii="Arial" w:cs="Arial" w:eastAsia="Arial" w:hAnsi="Arial"/>
          <w:sz w:val="18"/>
          <w:szCs w:val="18"/>
          <w:color w:val="auto"/>
        </w:rPr>
        <w:t>In the software market, we compete with MAK Systems, Mediware, Sunquest Information Systems and applications developed internally by our customers. These companies provide software to blood and plasma collectors and to hospitals for managing donors, collections, and blood units. None of these companies competes with Haemonetics' non-software products.</w:t>
      </w:r>
    </w:p>
    <w:p>
      <w:pPr>
        <w:spacing w:after="0" w:line="14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technical staff is highly skilled, but certain competitors have substantially greater financial resources and larger technical staffing at their disposal. There can be no assurance that competitors will not direct substantial efforts and resources toward the development and marketing of products competitive with those of Haemonetics.</w:t>
      </w:r>
    </w:p>
    <w:p>
      <w:pPr>
        <w:spacing w:after="0" w:line="3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Significant Customers</w:t>
      </w:r>
    </w:p>
    <w:p>
      <w:pPr>
        <w:spacing w:after="0" w:line="13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customers that accounted for greater than 10% of our net revenues in fiscal 2014. The Japanese Red Cross Society (JRC) represented 10.1% of our net revenues in fiscal 2013.</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30" w:right="27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Government Regulation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Medical Device Regulation</w:t>
      </w:r>
    </w:p>
    <w:p>
      <w:pPr>
        <w:spacing w:after="0" w:line="13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products we manufacture and market are subject to regulation by the Center of Biologics Evaluation and Research (“CBER”) and the Center of Devices and Radiological Health (“CDRH”) of the United States Food and Drug Administration (“FDA”), and other non-United States regulatory bodies.</w:t>
      </w:r>
    </w:p>
    <w:p>
      <w:pPr>
        <w:spacing w:after="0" w:line="2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All medical devices introduced to the United States market since 1976 are required by the FDA, as a condition of marketing, to secure either a 510(k) pre-market notification clearance or an approved premarket approval application (“PMA”). In the United States, software used to automate blood center operations and blood collections and to track those components through the system are considered by FDA to be medical devices, subject to 510(k) pre-market notification. Intravenous solutions (blood anticoagulants and solutions for storage of red blood cells) marketed by us for use with our manual collection and automated systems requires us to obtain an approved New Drug Application (“NDA”) or Abbreviated New Drug Application (“ANDA”) from CBER. A 510(k) pre-market clearance indicates FDA’s agreement with an applicant’s determination that the product for which clearance is sought is substantially equivalent to another legally marketed medical device. The process of obtaining a 510(k) clearance may involve the submission of clinical data and supporting information. The process of obtaining NDA approval for solutions is likely to take much longer than 510(k) clearances because the FDA review process is more complicated.</w:t>
      </w:r>
    </w:p>
    <w:p>
      <w:pPr>
        <w:spacing w:after="0" w:line="10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FDA’s Quality System regulations set forth standards for our product design and manufacturing processes, require the maintenance of certain records and provide for inspections of our facilities. There are also certain requirements of state, local and foreign governments that must be complied with in the manufacturing and marketing of our products. We maintain customer complaint files, record all lot numbers of disposable products, and conduct periodic audits to assure compliance with FDA regulations. We place special emphasis on customer training and advise all customers that device operation should be undertaken only by qualified personnel.</w:t>
      </w:r>
    </w:p>
    <w:p>
      <w:pPr>
        <w:spacing w:after="0" w:line="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FDA can ban certain medical devices; detain or seize adulterated or misbranded medical devices; order repair, replacement or refund of these devices; and require notification of health professionals and others with regard to medical devices that present unreasonable risks of substantial harm to the public health. The FDA may also enjoin and restrain certain violations of the Food, Drug and Cosmetic Act and the Safe Medical Devices Act pertaining to medical devices, or initiate action for criminal prosecution of such violations.</w:t>
      </w:r>
    </w:p>
    <w:p>
      <w:pPr>
        <w:spacing w:after="0" w:line="92"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are also subject to regulation in the countries outside the United States in which we market our products. The member states of the European Union (EU) have adopted the European Medical Device Directives, which create a single set of medical device regulations for all EU member countries. These regulations require companies that wish to manufacture and distribute medical devices in EU member countries to obtain CE Marking for their products. Outside of the EU, many of the regulations applicable to our products are similar to those of the FDA. However, the national health or social security organizations of certain countries require our products to be registered by those countries before they can be marketed in those countries.</w:t>
      </w:r>
    </w:p>
    <w:p>
      <w:pPr>
        <w:spacing w:after="0" w:line="64"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We have complied with these regulations and have obtained such registrations where we market our products. Federal, state and foreign regulations regarding the manufacture and sale of products such as ours are subject to change. We cannot predict what impact, if any, such changes might have on our business.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Conflict Minerals</w:t>
      </w:r>
    </w:p>
    <w:p>
      <w:pPr>
        <w:spacing w:after="0" w:line="1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Dodd-Frank Wall Street Reform and Consumer Protection Act imposes new disclosure requirements regarding the use of "Conflict Minerals" mined from the Democratic Republic of Congo and adjoining countries in products, whether or not these products are manufactured by third parties. The conflict minerals include tin, tantalum, tungsten and gold, and their derivatives. These new requirements could affect the pricing, sourcing and availability of minerals used in the manufacture of our products. There will be additional costs associated with complying with the disclosure requirements, such as costs related to determining the source of any conflict minerals used in our products. Our supply chain is complex and we may be unable to verify the origins for all metals used in our products.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Regulation</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also subject to various environmental, health and general safety laws, directives and regulations both in the U.S. and abroad. Our operations, like those of other medical device companies, involve the use of substances regulated under environmental laws, primarily in manufacturing and sterilization processes. We believe that sound environmental, health and safety performance contributes to our competitive strength while benefiting our customers, shareholders and employees.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30"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13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Failure to comply with international, federal and local environmental protection laws or regulations could have an adverse impact on our business or could require material capital expenditures. We continue to monitor changes in U.S. and international environmental regulations that may present a significant risk to the business, including laws or regulations relating to the manufacture or sale of products using plastics.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Employees</w:t>
      </w:r>
    </w:p>
    <w:p>
      <w:pPr>
        <w:spacing w:after="0" w:line="131"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As of March 29, 2014, we employed the full-time equivalent of 3,782 persons assigned to the following functional areas: manufacturing, 2,172; sales and marketing, 767; general and administrative, 284; research and development, 261; and quality control and field service, 298.</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Availability of Reports and Other Information</w:t>
      </w:r>
    </w:p>
    <w:p>
      <w:pPr>
        <w:spacing w:after="0" w:line="13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All of our corporate governance materials, including the Principles of Corporate Governance, the Business Conduct Policy and the charters of the Audit, Compensation, and Nominating and Governance Committees are published on the Investor Relations section of our website at </w:t>
      </w:r>
      <w:r>
        <w:rPr>
          <w:rFonts w:ascii="Arial" w:cs="Arial" w:eastAsia="Arial" w:hAnsi="Arial"/>
          <w:sz w:val="18"/>
          <w:szCs w:val="18"/>
          <w:u w:val="single" w:color="auto"/>
          <w:color w:val="003399"/>
        </w:rPr>
        <w:t>http://phx.corporate-ir.net/phoenix.zhtml?c=72118&amp;p=irol-IRHome</w:t>
      </w:r>
      <w:r>
        <w:rPr>
          <w:rFonts w:ascii="Arial" w:cs="Arial" w:eastAsia="Arial" w:hAnsi="Arial"/>
          <w:sz w:val="18"/>
          <w:szCs w:val="18"/>
          <w:color w:val="000000"/>
        </w:rPr>
        <w:t>. On this web site the public can also access, free of charge, our annual, quarterly and current reports and other</w:t>
      </w:r>
      <w:r>
        <w:rPr>
          <w:rFonts w:ascii="Arial" w:cs="Arial" w:eastAsia="Arial" w:hAnsi="Arial"/>
          <w:sz w:val="18"/>
          <w:szCs w:val="18"/>
          <w:color w:val="003399"/>
        </w:rPr>
        <w:t xml:space="preserve"> </w:t>
      </w:r>
      <w:r>
        <w:rPr>
          <w:rFonts w:ascii="Arial" w:cs="Arial" w:eastAsia="Arial" w:hAnsi="Arial"/>
          <w:sz w:val="18"/>
          <w:szCs w:val="18"/>
          <w:color w:val="000000"/>
        </w:rPr>
        <w:t>documents filed or furnished to the Securities and Exchange Commission, or SEC, as soon as reasonably practicable after we electronically file such material with, or furnish it to, the SEC.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Statements contained in this report, as well as oral statements we make which are prefaced with the words “may,” “will,” “expect,” “anticipate,” “continue,” “estimate,” “project,” “intend,” “designed,” and similar expressions, are intended to identify forward looking statements regarding events, conditions, and financial trends that may affect our future plans of operations, business strategy, results of operations, and financial position. These statements are based on our current expectations and estimates as to prospective events and circumstances about which we can give no firm assurance. Further, any forward-looking statement speaks only as of the date on which such statement is made, and we undertake no obligation to update any forward-looking statement to reflect events or circumstances after the date on which such statement is made. As it is not possible to predict every new factor that may emerge, forward-looking statements should not be relied upon as a prediction of our actual future financial condition or results. These forward-looking statements, like any forward-looking statements, involve risks and uncertainties that could cause actual results to differ materially from those projected or anticipated, including: the effects of disruption from the manufacturing transformation making it more difficult to maintain relationships with employees and timely deliver high quality products, unexpected expenses incurred during our VCC initiatives, technological advances in the medical field and standards for transfusion medicine, our ability to successfully implement products that incorporate such advances and standards, demand for whole blood and blood components, product quality, market acceptance, regulatory uncertainties, the ability of our contract manufacturing vendors to timely supply high quality goods, the effect of economic and political conditions, the impact of competitive products and pricing, blood product reimbursement policies and practices, foreign currency exchange rates, changes in customers’ ordering patterns including single-source tenders, the effect of industry consolidation as seen in the plasma and blood center markets, the effect of communicable diseases and the effect of uncertainties in markets outside the U.S. (including Europe and Asia) in which we operate and such other risks described under Item 1A. Risk Factors included in this report. The foregoing list should not be construed as exhaustive.</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30"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Set forth below are the risks that we believe are material to our investors. This section contains forward-looking statements. You should refer to the explanation of the qualifications and limitations on forward-looking statements on page 10 and page 40.</w:t>
      </w:r>
    </w:p>
    <w:p>
      <w:pPr>
        <w:spacing w:after="0" w:line="7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expand our product lines through internal research &amp; development and acquisitions, our business may be materially and adversely affected.</w:t>
      </w:r>
    </w:p>
    <w:p>
      <w:pPr>
        <w:spacing w:after="0" w:line="76"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Continued growth of our business depends on our maintaining a pipeline of profitable new products and successful improvements to our existing products. This requires accurate market analysis and carefully targeted application of intellectual and financial resources toward technological innovation or acquisition of new products. The creation and adoption of technological advances is only one step. We must also efficiently develop the technology into a product which confers a competitive advantage, represents a cost effective solution or provides improved clinical outcomes. The risks of missteps and set backs are an inherent part of the innovation and development processes in the medical device industry.</w:t>
      </w:r>
    </w:p>
    <w:p>
      <w:pPr>
        <w:spacing w:after="0" w:line="7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grow our business through marketing partnerships and acquisitions, our business may be materially and adversely affected.</w:t>
      </w:r>
    </w:p>
    <w:p>
      <w:pPr>
        <w:spacing w:after="0" w:line="76"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Promising partnerships and acquisitions may not be completed for reasons such as competition among prospective partners or buyers, our inability to reach satisfactory terms, or the need for regulatory approvals. Any acquisition that we complete may be dilutive to earnings and require the investment of significant resources. The economic environment may constrain our ability to access the capital needed for acquisitions and other capital investments.</w:t>
      </w:r>
    </w:p>
    <w:p>
      <w:pPr>
        <w:spacing w:after="0" w:line="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 significant portion of our revenue derives from the sale of blood collection supplies. The decline in the number of blood collection procedures may have an adverse effect on our business, financial condition and results of operations.</w:t>
      </w:r>
    </w:p>
    <w:p>
      <w:pPr>
        <w:spacing w:after="0" w:line="76"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Sales to blood collectors represented 48.3% of our consolidated disposables revenues in fiscal 2014. In certain markets, changes in medical protocols and the development of less invasive, lower blood loss procedures has reduced the number of transfusions of red blood cells, which has in turn led to a decline in the number of blood collection procedures. This is particularly true in the United States, where we expect to see collections decline by approximately 10% in fiscal 2015. If we are unable to gain and maintain higher market share, lower procedure levels could result in lower net revenues and higher product costs.</w:t>
      </w:r>
    </w:p>
    <w:p>
      <w:pPr>
        <w:spacing w:after="0" w:line="60"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Consolidation of the healthcare providers and blood collectors has increased demand for price concessions and caused the exclusion of suppliers from significant market segments, which could have an adverse effect on our business, financial condition and results of operations.</w:t>
      </w:r>
    </w:p>
    <w:p>
      <w:pPr>
        <w:spacing w:after="0" w:line="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costs of healthcare in the United States have risen significantly over the past decade. Numerous initiatives and reform by legislators, regulators and third-party payers to curb these costs has reduced reimbursement rates which is causing hospitals to consolidate into larger integrated delivery networks and group purchasing organizations in an effort to reduce administrative costs and increase purchasing power. This consolidation has resulted in greater pricing pressure on suppliers, decreased average selling prices and a greater the number of sole source relationships. This pressure impacts our Hospital and Blood Center businesses.</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expansion among hospitals in the United States of group purchasing organizations, integrated delivery networks and large single accounts directly puts price pressure on our Hospital business. It also puts price pressure on our United States Blood Center customers who are also facing reduced demand for red cells. Our Blood Center customers have responded to this pressure by creating their own group purchasing organizations and resorting to single source tenders to create incentives for suppliers, including us, to significantly reduce prices.</w:t>
      </w:r>
    </w:p>
    <w:p>
      <w:pPr>
        <w:spacing w:after="0" w:line="92"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We expect that market demand, government regulation, third-party reimbursement policies, government contracting requirements and societal pressures will continue to change the worldwide healthcare industry, resulting in further business consolidations and alliances among our customers and competitors. This may exert further downward pressure on the prices of our products and adversely impact our business, financial condition or results of operations.</w:t>
      </w:r>
    </w:p>
    <w:p>
      <w:pPr>
        <w:spacing w:after="0" w:line="14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Quality problems with our processes, goods, and services could harm our reputation for producing high-quality products and erode our competitive advantage, sales, and market share.</w:t>
      </w:r>
    </w:p>
    <w:p>
      <w:pPr>
        <w:spacing w:after="0" w:line="17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Quality is extremely important to us and our customers due to the serious and costly consequences of product failure. Our quality certifications are critical to the marketing success of our products and services. If we fail to meet these standards or fail to adapt to evolving standards, our reputation could be damaged, we could lose customers, and our revenue and results of operations could decline.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30"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As approximately half of our revenue comes from outside the United States, we are subject to geopolitical risk, economic volatility, anti-corruption laws, export and import restrictions, local regulatory authorities and the laws and medical practices in foreign jurisdictions.</w:t>
      </w:r>
    </w:p>
    <w:p>
      <w:pPr>
        <w:spacing w:after="0" w:line="52"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We do business in over 100 countries, including significant business in Russia and China. We have distributors in 90 of those countries. This exposes us to geopolitical risk, economic volatility, anti-corruption laws, export and import restrictions, local regulatory authorities and the laws and medical practices in foreign jurisdictions.</w:t>
      </w:r>
    </w:p>
    <w:p>
      <w:pPr>
        <w:spacing w:after="0" w:line="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there are sanctions or restrictions on the flow of capital which prevent product importation or receipt of payments in Russia or China, our business could be adversely affected.</w:t>
      </w:r>
    </w:p>
    <w:p>
      <w:pPr>
        <w:spacing w:after="0" w:line="7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international operations are governed by the U.S. Foreign Corrupt Practices Act (FCPA) and other similar anti-corruption laws in other countries. Generally, these laws prohibit companies and their business partners or other intermediaries from making improper payments to foreign governments and government officials in order to obtain or retain business. Global enforcement of such anti-corruption laws has increased in recent years, including aggressive investigations and enforcement proceedings. While we have an active compliance program and various other safeguards to discourage impermissible practices, we have distributors in 90 countries, several of which are considered high risk for corruption. As a result, our global operations carry some risk of unauthorized impermissible activity on the part of one of our distributors, employees, agents or consultants. Any alleged or actual violation could subject us to government scrutiny, severe criminal or civil fines, or sanctions on our ability to export product outside the U.S., which could adversely affect our reputation and financial condition.</w:t>
      </w:r>
    </w:p>
    <w:p>
      <w:pPr>
        <w:spacing w:after="0" w:line="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Export of U.S. technology or goods manufactured in the United States to some jurisdictions requires special U.S. export authorization or local market controls that may be influenced by factors, including political dynamics, outside our control.</w:t>
      </w:r>
    </w:p>
    <w:p>
      <w:pPr>
        <w:spacing w:after="0" w:line="7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Finally, any other significant changes in the competitive, legal, regulatory, reimbursement or economic environments of the jurisdictions in which we conduct our international business could have a material impact on our business.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implementation of healthcare reform in the United States may adversely affect us.</w:t>
      </w:r>
    </w:p>
    <w:p>
      <w:pPr>
        <w:spacing w:after="0" w:line="225"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The Patient Protection and Affordable Health Care Act was enacted into law in the U.S. in March 2010. In addition to a medical device tax, effective as of January 2013, the effects of which are considered in our financial disclosures, there are many programs and requirements for which the details have not yet been fully established or consequences not fully understood. We are unable to predict what healthcare programs and regulations will be ultimately implemented at either the federal or state level, but any changes that may decrease reimbursement for our products, reduce medical procedure volumes or increase cost containment measures could adversely impact our business.</w:t>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 interruption in our ability to manufacture our products or an inability to obtain key components or raw materials may adversely affect our business.</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Certain key products are manufactured at single locations, with limited alternate facilities. If an event occurs that results in damage to one or more of our facilities, we may be unable to manufacture the relevant products at previous levels or at all. In addition, for reasons of quality assurance or cost effectiveness, we purchase certain finished goods, components and raw materials from sole suppliers, notably JMS Co. Ltd., Kawasumi Laboratories and Sanmina Corporation. Due to the stringent regulations and requirements of the FDA and other similar non-U.S. regulatory agencies regarding the manufacture of our products, we may not be able to quickly establish additional or replacement sources for certain components or materials. A reduction or interruption in manufacturing, or an inability to secure alternative sources of raw materials or components, could have a material adverse effect on our business, results of operations, financial condition and cash flows.</w:t>
      </w:r>
    </w:p>
    <w:p>
      <w:pPr>
        <w:spacing w:after="0" w:line="9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are unable to meet our debt obligations or experience a disruption in our cash flows, it could have an adverse effect on our financial condition, results of operations or cost of borrowing.</w:t>
      </w:r>
    </w:p>
    <w:p>
      <w:pPr>
        <w:spacing w:after="0" w:line="7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incurred $475.0 million in debt to acquire the whole blood business. The obligations to pay interest and repay the borrowed amounts may restrict our ability to adjust to adverse economic conditions, our ability to fund working capital, capital expenditures, acquisition or other general corporate requirements. The interest rate on the loan is variable and subject to change based on market forces. Fluctuations in interest rates could adversely affect our profitability and cash flows.</w:t>
      </w:r>
    </w:p>
    <w:p>
      <w:pPr>
        <w:spacing w:after="0" w:line="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addition, as a global corporation we have significant cash reserves held in foreign countries. These balances may not be immediately available to repay our debt.</w:t>
      </w:r>
    </w:p>
    <w:p>
      <w:pPr>
        <w:spacing w:after="0" w:line="76"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Our credit facilities contain financial covenants that require us to maintain specified financial ratios and make interest and principal payments. If we are unable to satisfy these covenants, we may be required to obtain waivers from our lenders and no assurance can be made that our lenders would grant such waivers on favorable terms, or at all, and we could be required to repay any borrowed amounts on short notice.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30" w:right="25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As a medical device manufacturer we are subject to a number of laws and regulations. Non-compliance with those laws or regulations could adversely affect our financial condition and results of operations.</w:t>
      </w:r>
    </w:p>
    <w:p>
      <w:pPr>
        <w:spacing w:after="0" w:line="7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manufacture, distribution and marketing of our products are subject to regulation by the FDA and other non-United States regulatory bodies. We must obtain specific regulatory clearance prior to selling any new product or service, a process which is costly and time consuming. If we are unable to obtain the necessary regulatory clearance we will be unable to introduce new enhanced product. Our operations are also subject to continuous review and monitoring by the FDA and other regulatory authorities. Failure to substantially comply with applicable regulations could subject our products to recall or seizure by government authorities, or an order to suspend manufacturing activities. As well, if our products were determined to have design or manufacturing flaws, this could result in their recall or seizure. Either of these situations could also result in the imposition of fines.</w:t>
      </w:r>
    </w:p>
    <w:p>
      <w:pPr>
        <w:spacing w:after="0" w:line="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Many of our competitors have significantly greater financial means and resources, which may allow them to more rapidly develop new technologies and more quickly address changes in customer requirements.</w:t>
      </w:r>
    </w:p>
    <w:p>
      <w:pPr>
        <w:spacing w:after="0" w:line="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ability to remain competitive depends on a combination of factors. Certain factors are within our control such as reputation, regulatory approvals, patents, unpatented proprietary know-how in several technological areas, product quality, safety, cost effectiveness and continued rigorous documentation of clinical performance. Other factors are outside of our control such as regulatory standards, medical standards, reimbursement policies and practices, and the practice of medicine.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a significant customer could adversely affect our business.</w:t>
      </w:r>
    </w:p>
    <w:p>
      <w:pPr>
        <w:spacing w:after="0" w:line="13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fiscal 2014, although no one customer represented more than 10% of our revenues, our ten largest customers accounted for approximately 46% of our revenue. If any of our largest customers materially reduce their purchases from us or terminate their relationship with us for any reason, we could experience an adverse effect on our results of operations or financial condition.</w:t>
      </w:r>
    </w:p>
    <w:p>
      <w:pPr>
        <w:spacing w:after="0" w:line="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may not realize the expected benefits from our Manufacturing Network Optimization Program; our long-term plans will result in higher short-term expenses and require more cash expenditures.</w:t>
      </w:r>
    </w:p>
    <w:p>
      <w:pPr>
        <w:spacing w:after="0" w:line="7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May 2013, we announced a multi-year Manufacturing Network Optimization Program which is intended to reduce our manufacturing costs by changing our current manufacturing footprint and supply chain strategy. We expect the program will reduce manufacturing costs and improve supply chain efficiency when complete. However, there are no assurances these cost savings or supply chain efficiencies will be achieved, and implementation of the program could introduce risks such as management distraction, business disruption, and attrition beyond our planned reduction in workforce and reduced employee productivity which may reduce our revenue or increase our costs. In addition, the activities involve the movement of several product lines to new manufacturing locations. During these transitions, we may experience delays in the construction of our new facility in Malaysia or expanded facility in Mexico, challenges in transferring production to the new locations, additional costs, or unacceptable quality. These may lead to additional working capital, warranty or inventory costs. Finally, implementing the program will result in charges and expenses that impact our operating results and increase our level of capital expenditures.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integrate acquired businesses into our operations successfully could adversely affect our business.</w:t>
      </w:r>
    </w:p>
    <w:p>
      <w:pPr>
        <w:spacing w:after="0" w:line="131" w:lineRule="exact"/>
        <w:rPr>
          <w:sz w:val="20"/>
          <w:szCs w:val="20"/>
          <w:color w:val="auto"/>
        </w:rPr>
      </w:pPr>
    </w:p>
    <w:p>
      <w:pPr>
        <w:ind w:right="400"/>
        <w:spacing w:after="0" w:line="297" w:lineRule="auto"/>
        <w:rPr>
          <w:sz w:val="20"/>
          <w:szCs w:val="20"/>
          <w:color w:val="auto"/>
        </w:rPr>
      </w:pPr>
      <w:r>
        <w:rPr>
          <w:rFonts w:ascii="Arial" w:cs="Arial" w:eastAsia="Arial" w:hAnsi="Arial"/>
          <w:sz w:val="16"/>
          <w:szCs w:val="16"/>
          <w:color w:val="auto"/>
        </w:rPr>
        <w:t>The integration of the operations of acquired businesses requires significant efforts, including the coordination of information technologies, research and development, sales and marketing, operations, manufacturing and finance. These efforts result in additional expenses and involve significant amounts of management's time. Factors that affect the success of acquisitions include the strength of the acquired company's underlying technology and ability to execute, our ability to retain employees, and our ability to achieve synergies, such as increasing sales and achieving cost savings. Our failure to manage successfully and coordinate the growth of the combined acquired companies could have an adverse impact on our business and our future growth.</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or worsening economic conditions may adversely affect our business and financial condition.</w:t>
      </w:r>
    </w:p>
    <w:p>
      <w:pPr>
        <w:spacing w:after="0" w:line="13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 portion of our trade accounts receivable outside the United States include sales to government-owned or supported healthcare systems in several countries, which are subject to payment delays. Payment is dependent upon the financial stability and creditworthiness of those countries’ national economies. Although, we have not incurred significant losses on government receivables to date, we continually evaluate all government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30" w:right="25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b w:val="1"/>
          <w:bCs w:val="1"/>
          <w:i w:val="1"/>
          <w:iCs w:val="1"/>
          <w:color w:val="auto"/>
        </w:rPr>
        <w:t>As a global corporation, we are exposed to fluctuations in currency exchange rates, which could adversely affect our cash flows and results of operations.</w:t>
      </w:r>
    </w:p>
    <w:p>
      <w:pPr>
        <w:spacing w:after="0" w:line="76"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International revenues and expenses account for a substantial portion of our operations and we intend to continue expanding our presence in international markets. In fiscal 2014, our international revenues accounted for 46.6% of our total revenues. The exposure to fluctuations in currency exchange rates takes different forms. Reported revenues for sales, as well as manufacturing and operational costs denominated in foreign currencies by our international businesses, fluctuate due to exchange rate movement when translated into U.S. dollars for financial reporting purposes. Fluctuations in exchange rates could adversely affect our profitability in U.S. dollars of products and services sold by us into international markets, where payment for our products and services and related manufacturing and operational costs is made in local currencies.</w:t>
      </w:r>
    </w:p>
    <w:p>
      <w:pPr>
        <w:spacing w:after="0" w:line="84" w:lineRule="exact"/>
        <w:rPr>
          <w:sz w:val="20"/>
          <w:szCs w:val="20"/>
          <w:color w:val="auto"/>
        </w:rPr>
      </w:pPr>
    </w:p>
    <w:p>
      <w:pPr>
        <w:jc w:val="both"/>
        <w:ind w:right="360"/>
        <w:spacing w:after="0" w:line="277" w:lineRule="auto"/>
        <w:rPr>
          <w:sz w:val="20"/>
          <w:szCs w:val="20"/>
          <w:color w:val="auto"/>
        </w:rPr>
      </w:pPr>
      <w:r>
        <w:rPr>
          <w:rFonts w:ascii="Arial" w:cs="Arial" w:eastAsia="Arial" w:hAnsi="Arial"/>
          <w:sz w:val="18"/>
          <w:szCs w:val="18"/>
          <w:b w:val="1"/>
          <w:bCs w:val="1"/>
          <w:i w:val="1"/>
          <w:iCs w:val="1"/>
          <w:color w:val="auto"/>
        </w:rPr>
        <w:t>We are subject to the risks associated with communicable diseases. A significant outbreak of a disease could reduce the demand for our products and affect our ability to provide our customers with products and services.</w:t>
      </w:r>
    </w:p>
    <w:p>
      <w:pPr>
        <w:spacing w:after="0" w:line="76" w:lineRule="exact"/>
        <w:rPr>
          <w:sz w:val="20"/>
          <w:szCs w:val="20"/>
          <w:color w:val="auto"/>
        </w:rPr>
      </w:pPr>
    </w:p>
    <w:p>
      <w:pPr>
        <w:jc w:val="both"/>
        <w:ind w:right="360"/>
        <w:spacing w:after="0" w:line="312" w:lineRule="auto"/>
        <w:rPr>
          <w:sz w:val="20"/>
          <w:szCs w:val="20"/>
          <w:color w:val="auto"/>
        </w:rPr>
      </w:pPr>
      <w:r>
        <w:rPr>
          <w:rFonts w:ascii="Arial" w:cs="Arial" w:eastAsia="Arial" w:hAnsi="Arial"/>
          <w:sz w:val="16"/>
          <w:szCs w:val="16"/>
          <w:color w:val="auto"/>
        </w:rPr>
        <w:t>An eligible donor’s willingness to donate is affected by concerns about their personal health and safety. Concerns about communicable diseases (such as pandemic flu, SARS, or HIV) could reduce the number of donors, and accordingly reduce the demand for our products for a period of time. A significant outbreak of a disease could also affect our employees’ ability to work, which could limit our ability to produce product and service our customers.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risk that the Company’s intellectual property may be subject to misappropriation in some countries.</w:t>
      </w:r>
    </w:p>
    <w:p>
      <w:pPr>
        <w:spacing w:after="0" w:line="13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Certain countries, particularly China, do not enforce compliance with laws that protect intellectual property (“IP”) rights with the same degree of vigor as is available under the U.S. and European systems of justice. Further, certain of the Company’s IP rights are not registered in China, or if they were, have since expired. This may permit others to produce copies of products in China that are not covered by currently valid patent registrations. There is also a risk that such products may be exported from China to other countries.</w:t>
      </w:r>
    </w:p>
    <w:p>
      <w:pPr>
        <w:spacing w:after="0" w:line="92"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order to aggressively protect our intellectual property throughout the world, we have a program of patent disclosures and filings in markets where we conduct significant business. While we believe this program is reasonable and adequate, the risk of loss is inherent in litigation as different legal systems offer different levels of protection to intellectual property, and it is still possible that even patented technologies may not be protected absolutely from infringement.</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Pending and future intellectual property litigation could be costly and disruptive to us.</w:t>
      </w:r>
    </w:p>
    <w:p>
      <w:pPr>
        <w:spacing w:after="0" w:line="13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 xml:space="preserve">We operate in an industry that is susceptible to significant intellectual property litigation. We are currently pursuing intellectual property infringement claims described in more detail under Item 3. Legal Proceedings and </w:t>
      </w:r>
      <w:r>
        <w:rPr>
          <w:rFonts w:ascii="Arial" w:cs="Arial" w:eastAsia="Arial" w:hAnsi="Arial"/>
          <w:sz w:val="16"/>
          <w:szCs w:val="16"/>
          <w:i w:val="1"/>
          <w:iCs w:val="1"/>
          <w:color w:val="auto"/>
        </w:rPr>
        <w:t>Note 10- Commitments and Contingencies</w:t>
      </w:r>
      <w:r>
        <w:rPr>
          <w:rFonts w:ascii="Arial" w:cs="Arial" w:eastAsia="Arial" w:hAnsi="Arial"/>
          <w:sz w:val="16"/>
          <w:szCs w:val="16"/>
          <w:color w:val="auto"/>
        </w:rPr>
        <w:t xml:space="preserve"> to our fiscal 2014 consolidated financial statements included in Item 8 of this Annual Report. Intellectual property litigation is expensive, complex and lengthy and its outcome is difficult to predict. Patent litigation may result in adverse outcomes and could significantly divert the attention of our technical and management personnel.</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sell our products in certain emerging economies.</w:t>
      </w:r>
    </w:p>
    <w:p>
      <w:pPr>
        <w:spacing w:after="0" w:line="13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There are risks with doing business in emerging economies, such as Brazil, Russia, India and China. These economies tend to have less mature product regulatory systems, and more volatile financial markets. In addition, the government controlled health care system's ability to invest in our products and systems may abruptly shift due to changing government priorities or funding capacity. Our ability to sell products in these economies is dependent upon our ability to hire qualified employees or agents to represent our products locally, and our ability to obtain and maintain the necessary regulatory approvals in a less mature regulatory environment. If we are unable to retain qualified representatives or maintain the necessary regulatory approvals, we will not be able to continue to sell products in these markets. We are exposed to a higher degree of financial risk, if we extend credit to customers in these economies.</w:t>
      </w:r>
    </w:p>
    <w:p>
      <w:pPr>
        <w:spacing w:after="0" w:line="7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auto"/>
        </w:rPr>
        <w:t>In many of the international markets in which we do business, including certain parts of Europe, South America, the Middle East, Russia and Asia, our employees, agents or distributors offer to sell our products in response to public tenders issued by various governmental agencies.</w:t>
      </w:r>
    </w:p>
    <w:p>
      <w:pPr>
        <w:spacing w:after="0" w:line="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There is additional risk in selling our products through agents or distributors, particularly in public tenders. If they misrepresent our products, do not provide appropriate service and delivery, or commit a violation of local or U.S. law, our reputation could be harmed, and we could be subject to fines, sanctions or both.</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complex international supply chain which includes key sole source suppliers.</w:t>
      </w:r>
    </w:p>
    <w:p>
      <w:pPr>
        <w:spacing w:after="0" w:line="131"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We have a complex international supply chain which involves integrating key suppliers and our manufacturing capacity into a global movement of components and finished goods.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30" w:right="25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have certain key suppliers, JMS Co. Ltd., Kawasumi Laboratories and Sanmina Corporation, who have their own complex supply chains. JMS and Kawasumi make certain finished goods and important sub components in locations throughout Asia. We have engaged Sanmina to be the sole manufacturer of certain equipment as part of our manufacturing network optimization activities.</w:t>
      </w:r>
    </w:p>
    <w:p>
      <w:pPr>
        <w:spacing w:after="0" w:line="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Any disruption to one or more of our suppliers’ production or delivery of sufficient volumes of subcomponents conforming to our specifications could disrupt or delay our ability to deliver finished products to our customers. For example, we purchase components in Asia for use in manufacturing in the United States, Puerto Rico, Mexico and Scotland. We also regularly ship finished goods from the United States, Puerto Rico, Mexico and Scotland to Europe and Asia.</w:t>
      </w:r>
    </w:p>
    <w:p>
      <w:pPr>
        <w:spacing w:after="0" w:line="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Plastics are the principal component of our disposables, which are the main source of our revenues. Any change in the price, composition or availability of the plastics we purchase could adversely affect our business.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We have three risks with this key raw material: price, composition and availability.</w:t>
      </w:r>
    </w:p>
    <w:p>
      <w:pPr>
        <w:spacing w:after="0" w:line="13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Increases in the price of petroleum derivatives could result in corresponding increases in our costs to procure plastic raw materials. Increases in the costs of other commodities may affect our procurement costs to a lesser degree.</w:t>
      </w:r>
    </w:p>
    <w:p>
      <w:pPr>
        <w:spacing w:after="0" w:line="76"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The composition of the plastic we purchase is also important. Today, we purchase plastics which contain DEHP. Should plastics with DEHP become unavailable due to regulatory changes, we may be required to obtain new FDA or foreign approvals for a number of products.</w:t>
      </w:r>
    </w:p>
    <w:p>
      <w:pPr>
        <w:spacing w:after="0" w:line="5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While we have not experienced shortages in the past, any interruption in the supply for certain plastics could have a material impact on our business by limiting our ability to manufacture and sell the products which represent a significant portion of our revenues.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technologies that support our products are the subject of active patent prosecution.</w:t>
      </w:r>
    </w:p>
    <w:p>
      <w:pPr>
        <w:spacing w:after="0" w:line="131"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There is a risk that one or more of our products may be determined to infringe a patent held by another party. If this were to occur we may be subject to an injunction or to payment of royalties, or both, which may adversely affect our ability to market the affected product(s). In addition, competitors may patent technological advances which may give them a competitive advantage or create barriers to entry.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 are made with materials which are subject to regulation by governmental agencies.</w:t>
      </w:r>
    </w:p>
    <w:p>
      <w:pPr>
        <w:spacing w:after="0" w:line="131" w:lineRule="exact"/>
        <w:rPr>
          <w:sz w:val="20"/>
          <w:szCs w:val="20"/>
          <w:color w:val="auto"/>
        </w:rPr>
      </w:pPr>
    </w:p>
    <w:p>
      <w:pPr>
        <w:ind w:right="440"/>
        <w:spacing w:after="0" w:line="312" w:lineRule="auto"/>
        <w:rPr>
          <w:sz w:val="20"/>
          <w:szCs w:val="20"/>
          <w:color w:val="auto"/>
        </w:rPr>
      </w:pPr>
      <w:r>
        <w:rPr>
          <w:rFonts w:ascii="Arial" w:cs="Arial" w:eastAsia="Arial" w:hAnsi="Arial"/>
          <w:sz w:val="16"/>
          <w:szCs w:val="16"/>
          <w:color w:val="auto"/>
        </w:rPr>
        <w:t>Environmental regulations may prohibit the use of certain compounds in products we market and sell in regulated markets. If we are unable to substitute suitable materials into our processes, our manufacturing operations may be disrupted. In addition, we may be obligated to disclose the origin of certain materials used in our products, including but not limited to, metals mined from locations which have been the site of human rights violations.</w:t>
      </w:r>
    </w:p>
    <w:p>
      <w:pPr>
        <w:spacing w:after="0" w:line="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are entrusted with sensitive personal information relating to surgical patients, blood donors, employees and other persons in the course of operating our business and serving our customers.</w:t>
      </w:r>
    </w:p>
    <w:p>
      <w:pPr>
        <w:spacing w:after="0" w:line="76"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Government agencies require that we implement measures to ensure the integrity and security of such personal data and, in the event of a breach of protocol, we inform affected individuals. If our systems are not properly designed or implemented, or should suffer a breach of security or an intrusion (e.g., “hacking”) by unauthorized persons, the Company’s reputation could be harmed, and it could incur costs and liabilities to affected persons and enforcement agencies.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an industry susceptible to significant product liability claims.</w:t>
      </w:r>
    </w:p>
    <w:p>
      <w:pPr>
        <w:spacing w:after="0" w:line="13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products are relied upon by medical personnel in connection with the treatment of patients and the collection of blood from donors. In the event that patients or donors sustain injury or death in connection with their condition or treatment, we, along with others, may be sued, and whether or not we are ultimately determined to be liable, we may incur significant legal expenses. These claims may be brought by individuals seeking relief on their own behalf or purporting to represent a class. In addition, product liability claims may be asserted against us in the future based on events we are not aware of at the present time.</w:t>
      </w:r>
    </w:p>
    <w:p>
      <w:pPr>
        <w:spacing w:after="0" w:line="9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addition, such litigation could damage our reputation and, therefore, impair our ability to market our products and obtain professional or product liability insurance. This causes the premiums for such insurances to increase. As such, we carry product liability coverage. While we believe that current coverage is sufficient, there is no assurance that such coverage will be adequate to cover incurred liabilities. Moreover, we may be unable to obtain acceptable product and professional liability coverage.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30"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35"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Our headquarters facility, which the Company owns, is located on 14 acres in Braintree, Massachusetts. This facility is located in a light industrial park and was constructed in the 1970s. The building is approximately 180,000 square feet, of which 70,000 square feet are devoted to manufacturing and quality control operations, 35,000 square feet to warehousing, 72,000 square feet for administrative and research, development and engineering activities.</w:t>
      </w:r>
    </w:p>
    <w:p>
      <w:pPr>
        <w:spacing w:after="0" w:line="5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Company leases an 81,929 square foot facility in Leetsdale, Pennsylvania. This facility is used for warehousing, distribution and manufacturing operations supporting our plasma business. Annual lease expense is $383,970 for this facility.</w:t>
      </w:r>
    </w:p>
    <w:p>
      <w:pPr>
        <w:spacing w:after="0" w:line="76"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Company leases 99,931 square feet in Draper, Utah. This facility is used for the manufacturing and distribution of plasma disposable products. Annual lease expense is $503,652. During fiscal 2014, the Company entered an agreement to purchase this facility for $6.6 million which is payable during the first quarter of fiscal 2015.</w:t>
      </w:r>
    </w:p>
    <w:p>
      <w:pPr>
        <w:spacing w:after="0" w:line="8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Company owns a facility in Union, South Carolina. This facility is used to manufacture sterile solutions that support our blood center and plasma businesses. The facility is approximately 69,300 square feet.</w:t>
      </w:r>
    </w:p>
    <w:p>
      <w:pPr>
        <w:spacing w:after="0" w:line="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leases a facility in Niles, Illinois, which performs research and manufacturing for the Company. This facility is 16,478 square feet of office and manufacturing space. Annual lease expense is $293,003.</w:t>
      </w:r>
    </w:p>
    <w:p>
      <w:pPr>
        <w:spacing w:after="0" w:line="76"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The Company owns a facility in Bothwell, Scotland used to manufacture disposable components for European and Asian customers. This facility is approximately 40,200 square feet. We are currently consulting with employee representatives regarding ceasing operations and closure of this facility.</w:t>
      </w:r>
    </w:p>
    <w:p>
      <w:pPr>
        <w:spacing w:after="0" w:line="29"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The Company leases 26,264 square feet of office space in Signy, Switzerland. This facility is used for sales, marketing, finance and other administrative services, as well as supply chain and procurement management activities related to our manufacturing operations. Annual lease expense for this space is approximately $950,000.</w:t>
      </w:r>
    </w:p>
    <w:p>
      <w:pPr>
        <w:spacing w:after="0" w:line="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leases a facility in Fajardo, Puerto Rico that is approximately 114,860 square feet under an agreement with Pall Corporation executed in connection with the Company's acquisition of Pall's transfusion medicine business on August 1, 2012. This facility is used for production of blood filters. We recorded a $2.1 million capital lease under purchase accounting for this property for which we are recording approximately $0.2 million of depreciation expense annually.</w:t>
      </w:r>
    </w:p>
    <w:p>
      <w:pPr>
        <w:spacing w:after="0" w:line="9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owns a facility in Ascoli, Italy, used for the production of whole blood collection kits. This facility is 87,188 square feet. During fiscal 2014, the Company announced it has discontinued manufacturing activities at this location as part of its VCC initiatives.</w:t>
      </w:r>
    </w:p>
    <w:p>
      <w:pPr>
        <w:spacing w:after="0" w:line="7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Company leases 126,569 square feet of space in Tijuana, Mexico used for the production of blood collection sets used for collection, handling and storage of whole blood. Annual lease expense is approximately $325,000.</w:t>
      </w:r>
    </w:p>
    <w:p>
      <w:pPr>
        <w:spacing w:after="0" w:line="7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Company owns a facility in Tijuana, Mexico which will be used for the production of whole blood collection sets and disposables. This facility is approximately 182,380 square feet.</w:t>
      </w:r>
    </w:p>
    <w:p>
      <w:pPr>
        <w:spacing w:after="0" w:line="76"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The Company owns two facilities in Covina, California that occupy 70,781 square feet, dedicated to manufacturing, R&amp;D and engineering functions. The facilities also include general administration space. The Company also leases 40,400 square feet of space for warehousing and logistic operations. Annual lease expense is approximately $264,450. These facilities are used for the production of whole blood collection kits.</w:t>
      </w:r>
    </w:p>
    <w:p>
      <w:pPr>
        <w:spacing w:after="0" w:line="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leases land in Penang, Malaysia where we are building a new manufacturing facility closer to our customers in Asia. Annual lease expense is approximately $100,000.</w:t>
      </w:r>
    </w:p>
    <w:p>
      <w:pPr>
        <w:spacing w:after="0" w:line="7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Company leases 166,400 square feet in Nashville, TN. This facility is used for warehousing and distribution. Annual lease expense is approximately $415,000 for this facility. This lease was executed in fiscal 2014 and effective during the first quarter of fiscal 2015.</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leases administration, sales, marketing, service, and distribution facilities in locations around the world.</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130" w:right="27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3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are presently engaged in various legal actions, and although our ultimate liability cannot be determined at the present time, we believe that any such liability will not materially affect our consolidated financial position or our results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Fenwal (Fresenius) Patent Infringement</w:t>
      </w:r>
    </w:p>
    <w:p>
      <w:pPr>
        <w:spacing w:after="0" w:line="18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For the past seven years, we have pursued patent infringement lawsuits against Fenwal Inc. seeking an injunction and damages from their infringement of a Haemonetics patent, through the sale of the ALYX brand automated red cell collection system, a competitor of our automated red cell collection systems.</w:t>
      </w:r>
    </w:p>
    <w:p>
      <w:pPr>
        <w:spacing w:after="0" w:line="8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Most recently, we have pursued a patent infringement action in Germany against Fenwal, and its European and German subsidiary. On September 20, 2010, we filed a patent infringement action in Germany. In response, Fenwal filed an action to invalidate the Haemonetics patent which is the subject of this infringement action on December 1, 2010. In January 2014, we received a final ruling which narrowed the scope of our patent. This ruling will prevent us from further claims of infringement and effectively ends our claims against Fenwal.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Italian Employment Litigation</w:t>
      </w:r>
    </w:p>
    <w:p>
      <w:pPr>
        <w:spacing w:after="0" w:line="18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have recently received notices from employees of the facility in Ascoli-Piceno, Italy where we are discontinuing operations of claimed violations of employment related contracts. Seventy-two employees served actions in February 2014 claiming their working conditions should have been established by the national collective bargaining agreement for the chemical and pharmaceutical industries rather than the one actually used. They claim applying the alternative bargaining agreement would have resulted in slightly higher minimum salaries according to their job functions. Also in February, sixty-eight employees served actions claiming that certain solidarity agreements are void. Solidarity agreements are arrangements between the company, employees and the government to continue full pay and benefits for employees who would otherwise be terminated in times of low demand. As of March 29, 2014, the total amount of damages claimed by the plaintiffs in these matters is approximately $3.5 million, however it is not possible at this point in the proceedings to accurately evaluate the likelihood or amount of any potential losses. As such, no amounts have been accrued. We may receive other, similar claims, in the future.</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4A. EXECUTIVE OFFICERS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3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information concerning our Executive Officers is as follows. Executive officers are elected by and serve at the discretion of our Board of Directors. There are no family relationships between any director or executive officer and any other director or executive officer of Haemonetics Corporation.</w:t>
      </w:r>
    </w:p>
    <w:p>
      <w:pPr>
        <w:spacing w:after="0" w:line="52"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i w:val="1"/>
          <w:iCs w:val="1"/>
          <w:color w:val="auto"/>
        </w:rPr>
        <w:t xml:space="preserve">PETER ALLEN </w:t>
      </w:r>
      <w:r>
        <w:rPr>
          <w:rFonts w:ascii="Arial" w:cs="Arial" w:eastAsia="Arial" w:hAnsi="Arial"/>
          <w:sz w:val="16"/>
          <w:szCs w:val="16"/>
          <w:color w:val="auto"/>
        </w:rPr>
        <w:t>(age 55), President, Global Plasma joined Haemonetics in 2003 as President of the Donor Division. In March 2008, Mr. Allen was appointed</w:t>
      </w:r>
      <w:r>
        <w:rPr>
          <w:rFonts w:ascii="Arial" w:cs="Arial" w:eastAsia="Arial" w:hAnsi="Arial"/>
          <w:sz w:val="16"/>
          <w:szCs w:val="16"/>
          <w:i w:val="1"/>
          <w:iCs w:val="1"/>
          <w:color w:val="auto"/>
        </w:rPr>
        <w:t xml:space="preserve"> </w:t>
      </w:r>
      <w:r>
        <w:rPr>
          <w:rFonts w:ascii="Arial" w:cs="Arial" w:eastAsia="Arial" w:hAnsi="Arial"/>
          <w:sz w:val="16"/>
          <w:szCs w:val="16"/>
          <w:color w:val="auto"/>
        </w:rPr>
        <w:t>Chief Marketing Officer. In October 2011, he was promoted to President of Global Plasma. Prior to joining Haemonetics, Mr. Allen was Vice President of The Aethena Group, a private equity firm providing services to the global healthcare industry. From 1998 to 2001, he held various positions including Vice President of Sales and the Oncology Business at Syncor International, a provider of radiopharmaceutical and comprehensive medical imaging</w:t>
      </w:r>
    </w:p>
    <w:p>
      <w:pPr>
        <w:spacing w:after="0" w:line="2" w:lineRule="exact"/>
        <w:rPr>
          <w:sz w:val="20"/>
          <w:szCs w:val="20"/>
          <w:color w:val="auto"/>
        </w:rPr>
      </w:pPr>
    </w:p>
    <w:p>
      <w:pPr>
        <w:ind w:right="280"/>
        <w:spacing w:after="0" w:line="323" w:lineRule="auto"/>
        <w:rPr>
          <w:sz w:val="20"/>
          <w:szCs w:val="20"/>
          <w:color w:val="auto"/>
        </w:rPr>
      </w:pPr>
      <w:r>
        <w:rPr>
          <w:rFonts w:ascii="Arial" w:cs="Arial" w:eastAsia="Arial" w:hAnsi="Arial"/>
          <w:sz w:val="16"/>
          <w:szCs w:val="16"/>
          <w:color w:val="auto"/>
        </w:rPr>
        <w:t>services. Previously, Mr. Allen held executive level positions in sales, marketing, and operations in DataMedic, Inc., Enterprise Systems, Inc./HBOC, and Robertson Lowstuter, Inc. Mr. Allen has also worked in sales and marketing at American Hospital Supply Corporation and Baxter International, Inc.</w:t>
      </w:r>
    </w:p>
    <w:p>
      <w:pPr>
        <w:spacing w:after="0" w:line="44"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i w:val="1"/>
          <w:iCs w:val="1"/>
          <w:color w:val="auto"/>
        </w:rPr>
        <w:t xml:space="preserve">BRIAN BURNS </w:t>
      </w:r>
      <w:r>
        <w:rPr>
          <w:rFonts w:ascii="Arial" w:cs="Arial" w:eastAsia="Arial" w:hAnsi="Arial"/>
          <w:sz w:val="18"/>
          <w:szCs w:val="18"/>
          <w:color w:val="auto"/>
        </w:rPr>
        <w:t>(age 50) Executive Vice President, Global Quality Assurance and Regulatory Affairs joined Haemonetics in January 2014. Mr. Burns most</w:t>
      </w:r>
      <w:r>
        <w:rPr>
          <w:rFonts w:ascii="Arial" w:cs="Arial" w:eastAsia="Arial" w:hAnsi="Arial"/>
          <w:sz w:val="18"/>
          <w:szCs w:val="18"/>
          <w:i w:val="1"/>
          <w:iCs w:val="1"/>
          <w:color w:val="auto"/>
        </w:rPr>
        <w:t xml:space="preserve"> </w:t>
      </w:r>
      <w:r>
        <w:rPr>
          <w:rFonts w:ascii="Arial" w:cs="Arial" w:eastAsia="Arial" w:hAnsi="Arial"/>
          <w:sz w:val="18"/>
          <w:szCs w:val="18"/>
          <w:color w:val="auto"/>
        </w:rPr>
        <w:t>recently held the position of Senior Vice President, North America QA, RA for Fresenius Medical Corporation, Dialysis Division, where he was also the Corporate Management Representative. Brian was previously with Boston Scientific as Executive Vice President, Global QA, RA and Safety. During his tenure, he held leadership positions at the Senior Vice President and Vice President levels with accountability and expertise in global quality, CAPA, Complaints, Clinical, and Regulatory functions.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30" w:right="25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i w:val="1"/>
          <w:iCs w:val="1"/>
          <w:color w:val="auto"/>
        </w:rPr>
        <w:t xml:space="preserve">BRIAN CONCANNON </w:t>
      </w:r>
      <w:r>
        <w:rPr>
          <w:rFonts w:ascii="Arial" w:cs="Arial" w:eastAsia="Arial" w:hAnsi="Arial"/>
          <w:sz w:val="16"/>
          <w:szCs w:val="16"/>
          <w:color w:val="auto"/>
        </w:rPr>
        <w:t>(age 56) , President and Chief Executive Officer joined Haemonetics in 2003 as President of the Patient Division. He was promoted to</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of Global Markets in 2006 and then to Chief Operating Officer in 2007. In April 2009, he was promoted to President and Chief Executive Officer, and elected to the Haemonetics Board of Directors. Immediately prior to joining Haemonetics, Mr. Concannon was President of the Northeast Region at Cardinal Health Medical Products and Services where he was employed since 1998. From 1985 to 1998, he was employed by American Hospital Supply Corporation, Baxter Healthcare Corporation, and Allegiance Healthcare in a series of sales and operations management positions of increasing responsibility.</w:t>
      </w:r>
    </w:p>
    <w:p>
      <w:pPr>
        <w:spacing w:after="0" w:line="6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SUSAN HANLON </w:t>
      </w:r>
      <w:r>
        <w:rPr>
          <w:rFonts w:ascii="Arial" w:cs="Arial" w:eastAsia="Arial" w:hAnsi="Arial"/>
          <w:sz w:val="18"/>
          <w:szCs w:val="18"/>
          <w:color w:val="auto"/>
        </w:rPr>
        <w:t>(age 46), Vice President Finance and Chief Accounting Officer joined our Company in 2002 as Vice President and Corporate Controller. In</w:t>
      </w:r>
      <w:r>
        <w:rPr>
          <w:rFonts w:ascii="Arial" w:cs="Arial" w:eastAsia="Arial" w:hAnsi="Arial"/>
          <w:sz w:val="18"/>
          <w:szCs w:val="18"/>
          <w:i w:val="1"/>
          <w:iCs w:val="1"/>
          <w:color w:val="auto"/>
        </w:rPr>
        <w:t xml:space="preserve"> </w:t>
      </w:r>
      <w:r>
        <w:rPr>
          <w:rFonts w:ascii="Arial" w:cs="Arial" w:eastAsia="Arial" w:hAnsi="Arial"/>
          <w:sz w:val="18"/>
          <w:szCs w:val="18"/>
          <w:color w:val="auto"/>
        </w:rPr>
        <w:t>2004, she was promoted to Vice President Planning and Control, and in 2008, Ms. Hanlon was promoted to Vice President Finance. She presently has responsibility for Controllership, Financial Planning, Tax, and Treasury. Prior to joining Haemonetics, Ms. Hanlon was a partner with Arthur Andersen LLP in Boston.</w:t>
      </w:r>
    </w:p>
    <w:p>
      <w:pPr>
        <w:spacing w:after="0" w:line="92"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i w:val="1"/>
          <w:iCs w:val="1"/>
          <w:color w:val="auto"/>
        </w:rPr>
        <w:t xml:space="preserve">DAVID HELSEL </w:t>
      </w:r>
      <w:r>
        <w:rPr>
          <w:rFonts w:ascii="Arial" w:cs="Arial" w:eastAsia="Arial" w:hAnsi="Arial"/>
          <w:sz w:val="17"/>
          <w:szCs w:val="17"/>
          <w:color w:val="auto"/>
        </w:rPr>
        <w:t>(age 50) Executive Vice President, Global Manufacturing joined Haemonetics as Vice President of Global Manufacturing in March 2012,</w:t>
      </w:r>
      <w:r>
        <w:rPr>
          <w:rFonts w:ascii="Arial" w:cs="Arial" w:eastAsia="Arial" w:hAnsi="Arial"/>
          <w:sz w:val="17"/>
          <w:szCs w:val="17"/>
          <w:i w:val="1"/>
          <w:iCs w:val="1"/>
          <w:color w:val="auto"/>
        </w:rPr>
        <w:t xml:space="preserve"> </w:t>
      </w:r>
      <w:r>
        <w:rPr>
          <w:rFonts w:ascii="Arial" w:cs="Arial" w:eastAsia="Arial" w:hAnsi="Arial"/>
          <w:sz w:val="17"/>
          <w:szCs w:val="17"/>
          <w:color w:val="auto"/>
        </w:rPr>
        <w:t>and is responsible for worldwide oversight of the Company’s manufacturing and supply chain organizations. Mr. Helsel was previously with Covidien, Ltd. for 16 years, where he most recently was Vice President of Operations for the Surgical Solutions global business unit. During his tenure with Covidien, his previous roles included Vice President of Operations for the Medical Supplies segment and Global Director of Operational Excellence – Manufacturing. Mr. Helsel holds a Bachelor of Science degree in Mechanical Engineering from LeTourneau University.</w:t>
      </w:r>
    </w:p>
    <w:p>
      <w:pPr>
        <w:spacing w:after="0" w:line="7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i w:val="1"/>
          <w:iCs w:val="1"/>
          <w:color w:val="auto"/>
        </w:rPr>
        <w:t xml:space="preserve">SANDRA JESSE </w:t>
      </w:r>
      <w:r>
        <w:rPr>
          <w:rFonts w:ascii="Arial" w:cs="Arial" w:eastAsia="Arial" w:hAnsi="Arial"/>
          <w:sz w:val="17"/>
          <w:szCs w:val="17"/>
          <w:color w:val="auto"/>
        </w:rPr>
        <w:t>(age 61) Chief Legal Officer joined Haemonetics as Vice President, Chief Legal Officer in September 2011, and is responsible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world-wide Legal, Compliance and Corporate Audit and Controls groups. Ms. Jesse was previously the Executive Vice President and Chief Legal Officer of Blue Cross Blue Shield of Massachusetts, a Partner in the Boston law firm of Choate, Hall and Stewart, and Press Secretary for United States Congressman, Lee Hamilton. She has served on a number of Boards of Directors, including the New England Legal Foundation, Longy School of Music, Boston Harbor Island Alliance and the Landmark School. Ms. Jesse is a former President of the Boston Bar Foundation.</w:t>
      </w:r>
    </w:p>
    <w:p>
      <w:pPr>
        <w:spacing w:after="0" w:line="213"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 xml:space="preserve">CHRISTOPHER LINDOP </w:t>
      </w:r>
      <w:r>
        <w:rPr>
          <w:rFonts w:ascii="Arial" w:cs="Arial" w:eastAsia="Arial" w:hAnsi="Arial"/>
          <w:sz w:val="17"/>
          <w:szCs w:val="17"/>
          <w:color w:val="auto"/>
        </w:rPr>
        <w:t>(age 56) Executive Vice President, Business Development and Chief Financial Officer joined Haemonetics in January of 2007 as</w:t>
      </w:r>
      <w:r>
        <w:rPr>
          <w:rFonts w:ascii="Arial" w:cs="Arial" w:eastAsia="Arial" w:hAnsi="Arial"/>
          <w:sz w:val="17"/>
          <w:szCs w:val="17"/>
          <w:i w:val="1"/>
          <w:iCs w:val="1"/>
          <w:color w:val="auto"/>
        </w:rPr>
        <w:t xml:space="preserve"> </w:t>
      </w:r>
      <w:r>
        <w:rPr>
          <w:rFonts w:ascii="Arial" w:cs="Arial" w:eastAsia="Arial" w:hAnsi="Arial"/>
          <w:sz w:val="17"/>
          <w:szCs w:val="17"/>
          <w:color w:val="auto"/>
        </w:rPr>
        <w:t>Chief Financial Officer. In 2007, Mr. Lindop assumed responsibility for business development. Prior to joining Haemonetics, he was Chief Financial Officer at Inverness Medical Innovations, a rapidly growing global developer of advanced consumer and professional diagnostic products from 2003 to 2006. Prior to this, Mr. Lindop was a Partner in the Boston offices of Ernst &amp; Young LLP and Arthur Andersen LLP.</w:t>
      </w:r>
    </w:p>
    <w:p>
      <w:pPr>
        <w:spacing w:after="0" w:line="77"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 xml:space="preserve">KATHLEEN MCDANIEL </w:t>
      </w:r>
      <w:r>
        <w:rPr>
          <w:rFonts w:ascii="Arial" w:cs="Arial" w:eastAsia="Arial" w:hAnsi="Arial"/>
          <w:sz w:val="17"/>
          <w:szCs w:val="17"/>
          <w:color w:val="auto"/>
        </w:rPr>
        <w:t>(age 50) Executive Vice President, Global Human Resources joined Haemonetics in March 2013 as EVP, Global Human Resources.</w:t>
      </w:r>
      <w:r>
        <w:rPr>
          <w:rFonts w:ascii="Arial" w:cs="Arial" w:eastAsia="Arial" w:hAnsi="Arial"/>
          <w:sz w:val="17"/>
          <w:szCs w:val="17"/>
          <w:i w:val="1"/>
          <w:iCs w:val="1"/>
          <w:color w:val="auto"/>
        </w:rPr>
        <w:t xml:space="preserve"> </w:t>
      </w:r>
      <w:r>
        <w:rPr>
          <w:rFonts w:ascii="Arial" w:cs="Arial" w:eastAsia="Arial" w:hAnsi="Arial"/>
          <w:sz w:val="17"/>
          <w:szCs w:val="17"/>
          <w:color w:val="auto"/>
        </w:rPr>
        <w:t>Ms. McDaniel most recently served as worldwide VP of Human Resources for DePuy Synthes, a Johnson &amp; Johnson Company. Prior to Depuy, Ms. McDaniel was an Executive Vice President at Fleet Credit Card Services. She has over 25 years of broad global HR leadership experience having held executive, senior human resources generalist and compensation positions at leading computer and financial services companies.</w:t>
      </w:r>
    </w:p>
    <w:p>
      <w:pPr>
        <w:spacing w:after="0" w:line="7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i w:val="1"/>
          <w:iCs w:val="1"/>
          <w:color w:val="auto"/>
        </w:rPr>
        <w:t xml:space="preserve">DR. JONATHAN WHITE </w:t>
      </w:r>
      <w:r>
        <w:rPr>
          <w:rFonts w:ascii="Arial" w:cs="Arial" w:eastAsia="Arial" w:hAnsi="Arial"/>
          <w:sz w:val="18"/>
          <w:szCs w:val="18"/>
          <w:color w:val="auto"/>
        </w:rPr>
        <w:t>(age 54) Chief Science and Technology Officer joined Haemonetics in 2008 as Vice President of Research and Development. Dr.</w:t>
      </w:r>
      <w:r>
        <w:rPr>
          <w:rFonts w:ascii="Arial" w:cs="Arial" w:eastAsia="Arial" w:hAnsi="Arial"/>
          <w:sz w:val="18"/>
          <w:szCs w:val="18"/>
          <w:i w:val="1"/>
          <w:iCs w:val="1"/>
          <w:color w:val="auto"/>
        </w:rPr>
        <w:t xml:space="preserve"> </w:t>
      </w:r>
      <w:r>
        <w:rPr>
          <w:rFonts w:ascii="Arial" w:cs="Arial" w:eastAsia="Arial" w:hAnsi="Arial"/>
          <w:sz w:val="18"/>
          <w:szCs w:val="18"/>
          <w:color w:val="auto"/>
        </w:rPr>
        <w:t>White joined Haemonetics from Pfizer where he held a number of roles including Chief Information Officer. He previously worked at McKinsey and Company in New York. Dr. White is a Fellow of the Royal College of Surgery in England.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30" w:right="25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ITEM 5. MARKET FOR THE REGISTRANT'S COMMON EQUITY, RELATED STOCKHOLDER MATTERS AND ISSUER PURCHASES OF EQUITY SECURITIES</w:t>
      </w:r>
    </w:p>
    <w:p>
      <w:pPr>
        <w:spacing w:after="0" w:line="71"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Our common stock is listed on the New York Stock Exchange under the symbol HAE. The following table sets forth for the periods indicated the high and low sales prices of such common stock, which represent actual transactions as reported by the New York Stock Exchange. On November 30, 2012 the Company completed a two-for-one split of its common stock in the form of a stock dividend. Unless otherwise indicated, all common stock shares and per share information referenced below have been retroactively adjusted to reflect the stock split. The exercise price of each outstanding option has also been proportionately and retroactively adjusted for all periods presented. Par value per share and authorized shares were however not affected by the stock split.</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color w:val="auto"/>
                <w:w w:val="97"/>
              </w:rPr>
              <w:t>First</w:t>
            </w:r>
          </w:p>
        </w:tc>
        <w:tc>
          <w:tcPr>
            <w:tcW w:w="2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Second</w:t>
            </w:r>
          </w:p>
        </w:tc>
        <w:tc>
          <w:tcPr>
            <w:tcW w:w="20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97"/>
              </w:rPr>
              <w:t>Third</w:t>
            </w:r>
          </w:p>
        </w:tc>
        <w:tc>
          <w:tcPr>
            <w:tcW w:w="220" w:type="dxa"/>
            <w:vAlign w:val="bottom"/>
          </w:tcPr>
          <w:p>
            <w:pPr>
              <w:spacing w:after="0"/>
              <w:rPr>
                <w:sz w:val="18"/>
                <w:szCs w:val="18"/>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Fourth</w:t>
            </w:r>
          </w:p>
        </w:tc>
      </w:tr>
      <w:tr>
        <w:trPr>
          <w:trHeight w:val="230"/>
        </w:trPr>
        <w:tc>
          <w:tcPr>
            <w:tcW w:w="6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Quarter</w:t>
            </w: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Quarter</w:t>
            </w:r>
          </w:p>
        </w:tc>
        <w:tc>
          <w:tcPr>
            <w:tcW w:w="20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Quarter</w:t>
            </w:r>
          </w:p>
        </w:tc>
        <w:tc>
          <w:tcPr>
            <w:tcW w:w="22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w w:val="98"/>
              </w:rPr>
              <w:t>Quarter</w:t>
            </w: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Fiscal year ended March 29, 2014:</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Market price of Common Stock:</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High</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43.60</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Low</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37.71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39.32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38.26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31.80</w:t>
            </w: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Fiscal year ended March 30, 2013:</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Market price of Common Stock:</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High</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44.44</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Low</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33.44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34.32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38.92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40.78</w:t>
            </w:r>
          </w:p>
        </w:tc>
      </w:tr>
    </w:tbl>
    <w:p>
      <w:pPr>
        <w:spacing w:after="0" w:line="13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There were approximately 254 holders of record of the Company’s common stock as of March 29, 2014. The Company has never paid cash dividends on shares of its common stock and does not expect to pay cash dividends in the foreseeable future.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30"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right="440"/>
        <w:spacing w:after="0" w:line="312" w:lineRule="auto"/>
        <w:rPr>
          <w:sz w:val="20"/>
          <w:szCs w:val="20"/>
          <w:color w:val="auto"/>
        </w:rPr>
      </w:pPr>
      <w:r>
        <w:rPr>
          <w:rFonts w:ascii="Arial" w:cs="Arial" w:eastAsia="Arial" w:hAnsi="Arial"/>
          <w:sz w:val="16"/>
          <w:szCs w:val="16"/>
          <w:color w:val="auto"/>
        </w:rPr>
        <w:t>The following graph compares the cumulative 5-year total return provided to shareholders on Haemonetics Corporation’s common stock relative to the cumulative total returns of the S&amp;P 500 index and the S&amp;P Health Care Equipment index. An investment of $100 (with reinvestment of all dividends) is assumed to have been made in our common stock and in each of the indexes on 3/28/2009 and its relative performance is tracked through 3/29/2014.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179705</wp:posOffset>
            </wp:positionV>
            <wp:extent cx="5866130" cy="3738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66130" cy="373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w:t>
      </w:r>
    </w:p>
    <w:p>
      <w:pPr>
        <w:spacing w:after="0" w:line="195" w:lineRule="exact"/>
        <w:rPr>
          <w:sz w:val="20"/>
          <w:szCs w:val="20"/>
          <w:color w:val="auto"/>
        </w:rPr>
      </w:pPr>
    </w:p>
    <w:p>
      <w:pPr>
        <w:ind w:left="720" w:right="4740" w:hanging="685"/>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$100 invested on 3/28/2009 in stock or index, including reinvestment of dividends. Fiscal year ended March 30.</w:t>
      </w:r>
    </w:p>
    <w:p>
      <w:pPr>
        <w:spacing w:after="0" w:line="111"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540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1060" w:type="dxa"/>
            <w:vAlign w:val="bottom"/>
            <w:tcBorders>
              <w:top w:val="single" w:sz="8" w:color="auto"/>
              <w:bottom w:val="single" w:sz="8" w:color="auto"/>
              <w:right w:val="single" w:sz="8" w:color="auto"/>
            </w:tcBorders>
          </w:tcPr>
          <w:p>
            <w:pPr>
              <w:jc w:val="right"/>
              <w:ind w:right="417"/>
              <w:spacing w:after="0"/>
              <w:rPr>
                <w:sz w:val="20"/>
                <w:szCs w:val="20"/>
                <w:color w:val="auto"/>
              </w:rPr>
            </w:pPr>
            <w:r>
              <w:rPr>
                <w:rFonts w:ascii="Arial" w:cs="Arial" w:eastAsia="Arial" w:hAnsi="Arial"/>
                <w:sz w:val="13"/>
                <w:szCs w:val="13"/>
                <w:b w:val="1"/>
                <w:bCs w:val="1"/>
                <w:color w:val="auto"/>
              </w:rPr>
              <w:t>3/09</w:t>
            </w:r>
          </w:p>
        </w:tc>
        <w:tc>
          <w:tcPr>
            <w:tcW w:w="1040" w:type="dxa"/>
            <w:vAlign w:val="bottom"/>
            <w:tcBorders>
              <w:top w:val="single" w:sz="8" w:color="auto"/>
              <w:bottom w:val="single" w:sz="8" w:color="auto"/>
              <w:right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3/10</w:t>
            </w:r>
          </w:p>
        </w:tc>
        <w:tc>
          <w:tcPr>
            <w:tcW w:w="1000" w:type="dxa"/>
            <w:vAlign w:val="bottom"/>
            <w:tcBorders>
              <w:top w:val="single" w:sz="8" w:color="auto"/>
              <w:bottom w:val="single" w:sz="8" w:color="auto"/>
              <w:right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3/11</w:t>
            </w:r>
          </w:p>
        </w:tc>
        <w:tc>
          <w:tcPr>
            <w:tcW w:w="1020" w:type="dxa"/>
            <w:vAlign w:val="bottom"/>
            <w:tcBorders>
              <w:top w:val="single" w:sz="8" w:color="auto"/>
              <w:bottom w:val="single" w:sz="8" w:color="auto"/>
              <w:right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3/12</w:t>
            </w:r>
          </w:p>
        </w:tc>
        <w:tc>
          <w:tcPr>
            <w:tcW w:w="1020" w:type="dxa"/>
            <w:vAlign w:val="bottom"/>
            <w:tcBorders>
              <w:top w:val="single" w:sz="8" w:color="auto"/>
              <w:bottom w:val="single" w:sz="8" w:color="auto"/>
              <w:right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3/13</w:t>
            </w:r>
          </w:p>
        </w:tc>
        <w:tc>
          <w:tcPr>
            <w:tcW w:w="900" w:type="dxa"/>
            <w:vAlign w:val="bottom"/>
            <w:tcBorders>
              <w:top w:val="single" w:sz="8" w:color="auto"/>
              <w:bottom w:val="single" w:sz="8" w:color="auto"/>
              <w:right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3/14</w:t>
            </w:r>
          </w:p>
        </w:tc>
      </w:tr>
      <w:tr>
        <w:trPr>
          <w:trHeight w:val="275"/>
        </w:trPr>
        <w:tc>
          <w:tcPr>
            <w:tcW w:w="54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Haemonetics Corporation</w:t>
            </w:r>
          </w:p>
        </w:tc>
        <w:tc>
          <w:tcPr>
            <w:tcW w:w="1060" w:type="dxa"/>
            <w:vAlign w:val="bottom"/>
            <w:tcBorders>
              <w:bottom w:val="single" w:sz="8" w:color="CCEEFF"/>
              <w:right w:val="single" w:sz="8" w:color="auto"/>
            </w:tcBorders>
            <w:shd w:val="clear" w:color="auto" w:fill="CCEEFF"/>
          </w:tcPr>
          <w:p>
            <w:pPr>
              <w:jc w:val="right"/>
              <w:ind w:right="177"/>
              <w:spacing w:after="0"/>
              <w:rPr>
                <w:sz w:val="20"/>
                <w:szCs w:val="20"/>
                <w:color w:val="auto"/>
              </w:rPr>
            </w:pPr>
            <w:r>
              <w:rPr>
                <w:rFonts w:ascii="Arial" w:cs="Arial" w:eastAsia="Arial" w:hAnsi="Arial"/>
                <w:sz w:val="18"/>
                <w:szCs w:val="18"/>
                <w:b w:val="1"/>
                <w:bCs w:val="1"/>
                <w:color w:val="auto"/>
              </w:rPr>
              <w:t>100.00</w:t>
            </w:r>
          </w:p>
        </w:tc>
        <w:tc>
          <w:tcPr>
            <w:tcW w:w="1040" w:type="dxa"/>
            <w:vAlign w:val="bottom"/>
            <w:tcBorders>
              <w:bottom w:val="single" w:sz="8" w:color="CCEEFF"/>
              <w:right w:val="single" w:sz="8" w:color="auto"/>
            </w:tcBorders>
            <w:shd w:val="clear" w:color="auto" w:fill="CCEEFF"/>
          </w:tcPr>
          <w:p>
            <w:pPr>
              <w:jc w:val="right"/>
              <w:ind w:right="177"/>
              <w:spacing w:after="0"/>
              <w:rPr>
                <w:sz w:val="20"/>
                <w:szCs w:val="20"/>
                <w:color w:val="auto"/>
              </w:rPr>
            </w:pPr>
            <w:r>
              <w:rPr>
                <w:rFonts w:ascii="Arial" w:cs="Arial" w:eastAsia="Arial" w:hAnsi="Arial"/>
                <w:sz w:val="18"/>
                <w:szCs w:val="18"/>
                <w:b w:val="1"/>
                <w:bCs w:val="1"/>
                <w:color w:val="auto"/>
              </w:rPr>
              <w:t>103.78</w:t>
            </w:r>
          </w:p>
        </w:tc>
        <w:tc>
          <w:tcPr>
            <w:tcW w:w="1000" w:type="dxa"/>
            <w:vAlign w:val="bottom"/>
            <w:tcBorders>
              <w:bottom w:val="single" w:sz="8" w:color="CCEEFF"/>
              <w:right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b w:val="1"/>
                <w:bCs w:val="1"/>
                <w:color w:val="auto"/>
              </w:rPr>
              <w:t>118.99</w:t>
            </w:r>
          </w:p>
        </w:tc>
        <w:tc>
          <w:tcPr>
            <w:tcW w:w="1020" w:type="dxa"/>
            <w:vAlign w:val="bottom"/>
            <w:tcBorders>
              <w:bottom w:val="single" w:sz="8" w:color="CCEEFF"/>
              <w:right w:val="single" w:sz="8" w:color="auto"/>
            </w:tcBorders>
            <w:shd w:val="clear" w:color="auto" w:fill="CCEEFF"/>
          </w:tcPr>
          <w:p>
            <w:pPr>
              <w:jc w:val="right"/>
              <w:ind w:right="157"/>
              <w:spacing w:after="0"/>
              <w:rPr>
                <w:sz w:val="20"/>
                <w:szCs w:val="20"/>
                <w:color w:val="auto"/>
              </w:rPr>
            </w:pPr>
            <w:r>
              <w:rPr>
                <w:rFonts w:ascii="Arial" w:cs="Arial" w:eastAsia="Arial" w:hAnsi="Arial"/>
                <w:sz w:val="18"/>
                <w:szCs w:val="18"/>
                <w:b w:val="1"/>
                <w:bCs w:val="1"/>
                <w:color w:val="auto"/>
              </w:rPr>
              <w:t>126.51</w:t>
            </w:r>
          </w:p>
        </w:tc>
        <w:tc>
          <w:tcPr>
            <w:tcW w:w="1020" w:type="dxa"/>
            <w:vAlign w:val="bottom"/>
            <w:tcBorders>
              <w:bottom w:val="single" w:sz="8" w:color="CCEEFF"/>
              <w:right w:val="single" w:sz="8" w:color="auto"/>
            </w:tcBorders>
            <w:shd w:val="clear" w:color="auto" w:fill="CCEEFF"/>
          </w:tcPr>
          <w:p>
            <w:pPr>
              <w:jc w:val="right"/>
              <w:ind w:right="157"/>
              <w:spacing w:after="0"/>
              <w:rPr>
                <w:sz w:val="20"/>
                <w:szCs w:val="20"/>
                <w:color w:val="auto"/>
              </w:rPr>
            </w:pPr>
            <w:r>
              <w:rPr>
                <w:rFonts w:ascii="Arial" w:cs="Arial" w:eastAsia="Arial" w:hAnsi="Arial"/>
                <w:sz w:val="18"/>
                <w:szCs w:val="18"/>
                <w:b w:val="1"/>
                <w:bCs w:val="1"/>
                <w:color w:val="auto"/>
              </w:rPr>
              <w:t>151.27</w:t>
            </w:r>
          </w:p>
        </w:tc>
        <w:tc>
          <w:tcPr>
            <w:tcW w:w="900" w:type="dxa"/>
            <w:vAlign w:val="bottom"/>
            <w:tcBorders>
              <w:bottom w:val="single" w:sz="8" w:color="CCEEFF"/>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118.34</w:t>
            </w:r>
          </w:p>
        </w:tc>
      </w:tr>
      <w:tr>
        <w:trPr>
          <w:trHeight w:val="237"/>
        </w:trPr>
        <w:tc>
          <w:tcPr>
            <w:tcW w:w="54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S&amp;P 500</w:t>
            </w:r>
          </w:p>
        </w:tc>
        <w:tc>
          <w:tcPr>
            <w:tcW w:w="1060" w:type="dxa"/>
            <w:vAlign w:val="bottom"/>
            <w:tcBorders>
              <w:top w:val="single" w:sz="8" w:color="auto"/>
              <w:right w:val="single" w:sz="8" w:color="auto"/>
            </w:tcBorders>
          </w:tcPr>
          <w:p>
            <w:pPr>
              <w:jc w:val="right"/>
              <w:ind w:right="177"/>
              <w:spacing w:after="0"/>
              <w:rPr>
                <w:sz w:val="20"/>
                <w:szCs w:val="20"/>
                <w:color w:val="auto"/>
              </w:rPr>
            </w:pPr>
            <w:r>
              <w:rPr>
                <w:rFonts w:ascii="Arial" w:cs="Arial" w:eastAsia="Arial" w:hAnsi="Arial"/>
                <w:sz w:val="18"/>
                <w:szCs w:val="18"/>
                <w:b w:val="1"/>
                <w:bCs w:val="1"/>
                <w:color w:val="auto"/>
              </w:rPr>
              <w:t>100.00</w:t>
            </w:r>
          </w:p>
        </w:tc>
        <w:tc>
          <w:tcPr>
            <w:tcW w:w="1040" w:type="dxa"/>
            <w:vAlign w:val="bottom"/>
            <w:tcBorders>
              <w:top w:val="single" w:sz="8" w:color="auto"/>
              <w:right w:val="single" w:sz="8" w:color="auto"/>
            </w:tcBorders>
          </w:tcPr>
          <w:p>
            <w:pPr>
              <w:jc w:val="right"/>
              <w:ind w:right="177"/>
              <w:spacing w:after="0"/>
              <w:rPr>
                <w:sz w:val="20"/>
                <w:szCs w:val="20"/>
                <w:color w:val="auto"/>
              </w:rPr>
            </w:pPr>
            <w:r>
              <w:rPr>
                <w:rFonts w:ascii="Arial" w:cs="Arial" w:eastAsia="Arial" w:hAnsi="Arial"/>
                <w:sz w:val="18"/>
                <w:szCs w:val="18"/>
                <w:b w:val="1"/>
                <w:bCs w:val="1"/>
                <w:color w:val="auto"/>
              </w:rPr>
              <w:t>146.57</w:t>
            </w:r>
          </w:p>
        </w:tc>
        <w:tc>
          <w:tcPr>
            <w:tcW w:w="1000" w:type="dxa"/>
            <w:vAlign w:val="bottom"/>
            <w:tcBorders>
              <w:top w:val="single" w:sz="8" w:color="auto"/>
              <w:right w:val="single" w:sz="8" w:color="auto"/>
            </w:tcBorders>
          </w:tcPr>
          <w:p>
            <w:pPr>
              <w:jc w:val="right"/>
              <w:ind w:right="137"/>
              <w:spacing w:after="0"/>
              <w:rPr>
                <w:sz w:val="20"/>
                <w:szCs w:val="20"/>
                <w:color w:val="auto"/>
              </w:rPr>
            </w:pPr>
            <w:r>
              <w:rPr>
                <w:rFonts w:ascii="Arial" w:cs="Arial" w:eastAsia="Arial" w:hAnsi="Arial"/>
                <w:sz w:val="18"/>
                <w:szCs w:val="18"/>
                <w:b w:val="1"/>
                <w:bCs w:val="1"/>
                <w:color w:val="auto"/>
              </w:rPr>
              <w:t>166.17</w:t>
            </w:r>
          </w:p>
        </w:tc>
        <w:tc>
          <w:tcPr>
            <w:tcW w:w="1020" w:type="dxa"/>
            <w:vAlign w:val="bottom"/>
            <w:tcBorders>
              <w:top w:val="single" w:sz="8" w:color="auto"/>
              <w:right w:val="single" w:sz="8" w:color="auto"/>
            </w:tcBorders>
          </w:tcPr>
          <w:p>
            <w:pPr>
              <w:jc w:val="right"/>
              <w:ind w:right="157"/>
              <w:spacing w:after="0"/>
              <w:rPr>
                <w:sz w:val="20"/>
                <w:szCs w:val="20"/>
                <w:color w:val="auto"/>
              </w:rPr>
            </w:pPr>
            <w:r>
              <w:rPr>
                <w:rFonts w:ascii="Arial" w:cs="Arial" w:eastAsia="Arial" w:hAnsi="Arial"/>
                <w:sz w:val="18"/>
                <w:szCs w:val="18"/>
                <w:b w:val="1"/>
                <w:bCs w:val="1"/>
                <w:color w:val="auto"/>
              </w:rPr>
              <w:t>176.53</w:t>
            </w:r>
          </w:p>
        </w:tc>
        <w:tc>
          <w:tcPr>
            <w:tcW w:w="1020" w:type="dxa"/>
            <w:vAlign w:val="bottom"/>
            <w:tcBorders>
              <w:top w:val="single" w:sz="8" w:color="auto"/>
              <w:right w:val="single" w:sz="8" w:color="auto"/>
            </w:tcBorders>
          </w:tcPr>
          <w:p>
            <w:pPr>
              <w:jc w:val="right"/>
              <w:ind w:right="157"/>
              <w:spacing w:after="0"/>
              <w:rPr>
                <w:sz w:val="20"/>
                <w:szCs w:val="20"/>
                <w:color w:val="auto"/>
              </w:rPr>
            </w:pPr>
            <w:r>
              <w:rPr>
                <w:rFonts w:ascii="Arial" w:cs="Arial" w:eastAsia="Arial" w:hAnsi="Arial"/>
                <w:sz w:val="18"/>
                <w:szCs w:val="18"/>
                <w:b w:val="1"/>
                <w:bCs w:val="1"/>
                <w:color w:val="auto"/>
              </w:rPr>
              <w:t>196.67</w:t>
            </w:r>
          </w:p>
        </w:tc>
        <w:tc>
          <w:tcPr>
            <w:tcW w:w="900" w:type="dxa"/>
            <w:vAlign w:val="bottom"/>
            <w:tcBorders>
              <w:top w:val="single" w:sz="8" w:color="auto"/>
              <w:right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234.67</w:t>
            </w:r>
          </w:p>
        </w:tc>
      </w:tr>
      <w:tr>
        <w:trPr>
          <w:trHeight w:val="27"/>
        </w:trPr>
        <w:tc>
          <w:tcPr>
            <w:tcW w:w="5400" w:type="dxa"/>
            <w:vAlign w:val="bottom"/>
            <w:tcBorders>
              <w:left w:val="single" w:sz="8" w:color="auto"/>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44"/>
        </w:trPr>
        <w:tc>
          <w:tcPr>
            <w:tcW w:w="54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S&amp;P Health Care Equipment</w:t>
            </w:r>
          </w:p>
        </w:tc>
        <w:tc>
          <w:tcPr>
            <w:tcW w:w="1060" w:type="dxa"/>
            <w:vAlign w:val="bottom"/>
            <w:tcBorders>
              <w:bottom w:val="single" w:sz="8" w:color="CCEEFF"/>
              <w:right w:val="single" w:sz="8" w:color="auto"/>
            </w:tcBorders>
            <w:shd w:val="clear" w:color="auto" w:fill="CCEEFF"/>
          </w:tcPr>
          <w:p>
            <w:pPr>
              <w:jc w:val="right"/>
              <w:ind w:right="177"/>
              <w:spacing w:after="0"/>
              <w:rPr>
                <w:sz w:val="20"/>
                <w:szCs w:val="20"/>
                <w:color w:val="auto"/>
              </w:rPr>
            </w:pPr>
            <w:r>
              <w:rPr>
                <w:rFonts w:ascii="Arial" w:cs="Arial" w:eastAsia="Arial" w:hAnsi="Arial"/>
                <w:sz w:val="18"/>
                <w:szCs w:val="18"/>
                <w:b w:val="1"/>
                <w:bCs w:val="1"/>
                <w:color w:val="auto"/>
              </w:rPr>
              <w:t>100.00</w:t>
            </w:r>
          </w:p>
        </w:tc>
        <w:tc>
          <w:tcPr>
            <w:tcW w:w="1040" w:type="dxa"/>
            <w:vAlign w:val="bottom"/>
            <w:tcBorders>
              <w:bottom w:val="single" w:sz="8" w:color="CCEEFF"/>
              <w:right w:val="single" w:sz="8" w:color="auto"/>
            </w:tcBorders>
            <w:shd w:val="clear" w:color="auto" w:fill="CCEEFF"/>
          </w:tcPr>
          <w:p>
            <w:pPr>
              <w:jc w:val="right"/>
              <w:ind w:right="177"/>
              <w:spacing w:after="0"/>
              <w:rPr>
                <w:sz w:val="20"/>
                <w:szCs w:val="20"/>
                <w:color w:val="auto"/>
              </w:rPr>
            </w:pPr>
            <w:r>
              <w:rPr>
                <w:rFonts w:ascii="Arial" w:cs="Arial" w:eastAsia="Arial" w:hAnsi="Arial"/>
                <w:sz w:val="18"/>
                <w:szCs w:val="18"/>
                <w:b w:val="1"/>
                <w:bCs w:val="1"/>
                <w:color w:val="auto"/>
              </w:rPr>
              <w:t>139.58</w:t>
            </w:r>
          </w:p>
        </w:tc>
        <w:tc>
          <w:tcPr>
            <w:tcW w:w="1000" w:type="dxa"/>
            <w:vAlign w:val="bottom"/>
            <w:tcBorders>
              <w:bottom w:val="single" w:sz="8" w:color="CCEEFF"/>
              <w:right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b w:val="1"/>
                <w:bCs w:val="1"/>
                <w:color w:val="auto"/>
              </w:rPr>
              <w:t>141.61</w:t>
            </w:r>
          </w:p>
        </w:tc>
        <w:tc>
          <w:tcPr>
            <w:tcW w:w="1020" w:type="dxa"/>
            <w:vAlign w:val="bottom"/>
            <w:tcBorders>
              <w:bottom w:val="single" w:sz="8" w:color="CCEEFF"/>
              <w:right w:val="single" w:sz="8" w:color="auto"/>
            </w:tcBorders>
            <w:shd w:val="clear" w:color="auto" w:fill="CCEEFF"/>
          </w:tcPr>
          <w:p>
            <w:pPr>
              <w:jc w:val="right"/>
              <w:ind w:right="157"/>
              <w:spacing w:after="0"/>
              <w:rPr>
                <w:sz w:val="20"/>
                <w:szCs w:val="20"/>
                <w:color w:val="auto"/>
              </w:rPr>
            </w:pPr>
            <w:r>
              <w:rPr>
                <w:rFonts w:ascii="Arial" w:cs="Arial" w:eastAsia="Arial" w:hAnsi="Arial"/>
                <w:sz w:val="18"/>
                <w:szCs w:val="18"/>
                <w:b w:val="1"/>
                <w:bCs w:val="1"/>
                <w:color w:val="auto"/>
              </w:rPr>
              <w:t>147.06</w:t>
            </w:r>
          </w:p>
        </w:tc>
        <w:tc>
          <w:tcPr>
            <w:tcW w:w="1020" w:type="dxa"/>
            <w:vAlign w:val="bottom"/>
            <w:tcBorders>
              <w:bottom w:val="single" w:sz="8" w:color="CCEEFF"/>
              <w:right w:val="single" w:sz="8" w:color="auto"/>
            </w:tcBorders>
            <w:shd w:val="clear" w:color="auto" w:fill="CCEEFF"/>
          </w:tcPr>
          <w:p>
            <w:pPr>
              <w:jc w:val="right"/>
              <w:ind w:right="157"/>
              <w:spacing w:after="0"/>
              <w:rPr>
                <w:sz w:val="20"/>
                <w:szCs w:val="20"/>
                <w:color w:val="auto"/>
              </w:rPr>
            </w:pPr>
            <w:r>
              <w:rPr>
                <w:rFonts w:ascii="Arial" w:cs="Arial" w:eastAsia="Arial" w:hAnsi="Arial"/>
                <w:sz w:val="18"/>
                <w:szCs w:val="18"/>
                <w:b w:val="1"/>
                <w:bCs w:val="1"/>
                <w:color w:val="auto"/>
              </w:rPr>
              <w:t>164.75</w:t>
            </w:r>
          </w:p>
        </w:tc>
        <w:tc>
          <w:tcPr>
            <w:tcW w:w="900" w:type="dxa"/>
            <w:vAlign w:val="bottom"/>
            <w:tcBorders>
              <w:bottom w:val="single" w:sz="8" w:color="CCEEFF"/>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209.57</w:t>
            </w:r>
          </w:p>
        </w:tc>
      </w:tr>
      <w:tr>
        <w:trPr>
          <w:trHeight w:val="20"/>
        </w:trPr>
        <w:tc>
          <w:tcPr>
            <w:tcW w:w="54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r>
    </w:tbl>
    <w:p>
      <w:pPr>
        <w:spacing w:after="0" w:line="10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The stock price performance included in this graph is not necessarily indicative of future stock price performance.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Unregistered Sales of Equity Securities and Use of Proceeds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was no repurchase of shares during fiscal 2014. On April 28, 2014 the Board of Directors approved the repurchase of up to $100.0 million worth of the Company's shares.</w:t>
      </w: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40"/>
          </w:cols>
          <w:pgMar w:left="240" w:top="130" w:right="21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Five-Year Review</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 share and employee data)</w:t>
            </w:r>
          </w:p>
        </w:tc>
        <w:tc>
          <w:tcPr>
            <w:tcW w:w="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2011</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2010</w:t>
            </w: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Summary of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938,509</w:t>
            </w:r>
          </w:p>
        </w:tc>
        <w:tc>
          <w:tcPr>
            <w:tcW w:w="440" w:type="dxa"/>
            <w:vAlign w:val="bottom"/>
            <w:gridSpan w:val="3"/>
          </w:tcPr>
          <w:p>
            <w:pPr>
              <w:jc w:val="center"/>
              <w:ind w:left="5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891,990</w:t>
            </w:r>
          </w:p>
        </w:tc>
        <w:tc>
          <w:tcPr>
            <w:tcW w:w="20" w:type="dxa"/>
            <w:vAlign w:val="bottom"/>
          </w:tcPr>
          <w:p>
            <w:pPr>
              <w:spacing w:after="0"/>
              <w:rPr>
                <w:sz w:val="21"/>
                <w:szCs w:val="21"/>
                <w:color w:val="auto"/>
              </w:rPr>
            </w:pPr>
          </w:p>
        </w:tc>
        <w:tc>
          <w:tcPr>
            <w:tcW w:w="42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727,844</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676,694</w:t>
            </w:r>
          </w:p>
        </w:tc>
        <w:tc>
          <w:tcPr>
            <w:tcW w:w="40" w:type="dxa"/>
            <w:vAlign w:val="bottom"/>
          </w:tcPr>
          <w:p>
            <w:pPr>
              <w:spacing w:after="0"/>
              <w:rPr>
                <w:sz w:val="21"/>
                <w:szCs w:val="21"/>
                <w:color w:val="auto"/>
              </w:rPr>
            </w:pPr>
          </w:p>
        </w:tc>
        <w:tc>
          <w:tcPr>
            <w:tcW w:w="44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645,430</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470,144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463,859</w:t>
            </w: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358,604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321,485</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307,949</w:t>
            </w: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468,365</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428,131</w:t>
            </w: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369,240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355,209</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337,481</w:t>
            </w:r>
          </w:p>
        </w:tc>
      </w:tr>
      <w:tr>
        <w:trPr>
          <w:trHeight w:val="27"/>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54,200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44,394</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36,801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32,656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26,376</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365,127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323,053</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243,681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212,005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212,138</w:t>
            </w:r>
          </w:p>
        </w:tc>
      </w:tr>
      <w:tr>
        <w:trPr>
          <w:trHeight w:val="264"/>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Asset write-down</w:t>
            </w: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1,711</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4,247</w:t>
            </w: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15,686</w:t>
            </w: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421,038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371,694</w:t>
            </w: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280,482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244,661</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254,200</w:t>
            </w: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47,327</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56,437</w:t>
            </w: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88,758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110,548</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83,281</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income, net</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(10,926)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(6,540)</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(467)</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(2,010)</w:t>
            </w: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36,401</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49,897</w:t>
            </w: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89,498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110,081</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81,271</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11,097</w:t>
            </w: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22,612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30,101</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22,901</w:t>
            </w: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35,148</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38,800</w:t>
            </w: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66,886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79,980</w:t>
            </w:r>
          </w:p>
        </w:tc>
        <w:tc>
          <w:tcPr>
            <w:tcW w:w="40" w:type="dxa"/>
            <w:vAlign w:val="bottom"/>
            <w:tcBorders>
              <w:top w:val="single" w:sz="8" w:color="auto"/>
            </w:tcBorders>
          </w:tcPr>
          <w:p>
            <w:pPr>
              <w:spacing w:after="0"/>
              <w:rPr>
                <w:sz w:val="20"/>
                <w:szCs w:val="20"/>
                <w:color w:val="auto"/>
              </w:rPr>
            </w:pPr>
          </w:p>
        </w:tc>
        <w:tc>
          <w:tcPr>
            <w:tcW w:w="120" w:type="dxa"/>
            <w:vAlign w:val="bottom"/>
            <w:gridSpan w:val="2"/>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58,370</w:t>
            </w:r>
          </w:p>
        </w:tc>
      </w:tr>
      <w:tr>
        <w:trPr>
          <w:trHeight w:val="27"/>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per share:</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Basic</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0.68</w:t>
            </w:r>
          </w:p>
        </w:tc>
        <w:tc>
          <w:tcPr>
            <w:tcW w:w="440" w:type="dxa"/>
            <w:vAlign w:val="bottom"/>
            <w:gridSpan w:val="3"/>
          </w:tcPr>
          <w:p>
            <w:pPr>
              <w:jc w:val="center"/>
              <w:ind w:left="5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0.76</w:t>
            </w:r>
          </w:p>
        </w:tc>
        <w:tc>
          <w:tcPr>
            <w:tcW w:w="20" w:type="dxa"/>
            <w:vAlign w:val="bottom"/>
          </w:tcPr>
          <w:p>
            <w:pPr>
              <w:spacing w:after="0"/>
              <w:rPr>
                <w:sz w:val="21"/>
                <w:szCs w:val="21"/>
                <w:color w:val="auto"/>
              </w:rPr>
            </w:pPr>
          </w:p>
        </w:tc>
        <w:tc>
          <w:tcPr>
            <w:tcW w:w="42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1.32</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1.59</w:t>
            </w:r>
          </w:p>
        </w:tc>
        <w:tc>
          <w:tcPr>
            <w:tcW w:w="40" w:type="dxa"/>
            <w:vAlign w:val="bottom"/>
          </w:tcPr>
          <w:p>
            <w:pPr>
              <w:spacing w:after="0"/>
              <w:rPr>
                <w:sz w:val="21"/>
                <w:szCs w:val="21"/>
                <w:color w:val="auto"/>
              </w:rPr>
            </w:pPr>
          </w:p>
        </w:tc>
        <w:tc>
          <w:tcPr>
            <w:tcW w:w="44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1.15</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440" w:type="dxa"/>
            <w:vAlign w:val="bottom"/>
            <w:tcBorders>
              <w:bottom w:val="single" w:sz="8" w:color="CCEEFF"/>
            </w:tcBorders>
            <w:gridSpan w:val="3"/>
            <w:shd w:val="clear" w:color="auto" w:fill="CCEEFF"/>
          </w:tcPr>
          <w:p>
            <w:pPr>
              <w:jc w:val="center"/>
              <w:ind w:lef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0.74</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Weighted average number of shares</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51,611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51,349</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50,727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50,154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50,902</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910</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1,224</w:t>
            </w:r>
          </w:p>
        </w:tc>
      </w:tr>
      <w:tr>
        <w:trPr>
          <w:trHeight w:val="229"/>
        </w:trPr>
        <w:tc>
          <w:tcPr>
            <w:tcW w:w="3900" w:type="dxa"/>
            <w:vAlign w:val="bottom"/>
          </w:tcPr>
          <w:p>
            <w:pPr>
              <w:ind w:left="40"/>
              <w:spacing w:after="0"/>
              <w:rPr>
                <w:sz w:val="20"/>
                <w:szCs w:val="20"/>
                <w:color w:val="auto"/>
              </w:rPr>
            </w:pPr>
            <w:r>
              <w:rPr>
                <w:rFonts w:ascii="Arial" w:cs="Arial" w:eastAsia="Arial" w:hAnsi="Arial"/>
                <w:sz w:val="18"/>
                <w:szCs w:val="18"/>
                <w:color w:val="auto"/>
                <w:w w:val="92"/>
              </w:rPr>
              <w:t>Weighted average number of common and common</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rPr>
              <w:t>equivalent shares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52,377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52,259</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51,590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51,192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52,126</w:t>
            </w:r>
          </w:p>
        </w:tc>
      </w:tr>
      <w:tr>
        <w:trPr>
          <w:trHeight w:val="426"/>
        </w:trPr>
        <w:tc>
          <w:tcPr>
            <w:tcW w:w="39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2011</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2010</w:t>
            </w: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and Statistical Data:</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406,048</w:t>
            </w:r>
          </w:p>
        </w:tc>
        <w:tc>
          <w:tcPr>
            <w:tcW w:w="100" w:type="dxa"/>
            <w:vAlign w:val="bottom"/>
          </w:tcPr>
          <w:p>
            <w:pPr>
              <w:spacing w:after="0"/>
              <w:rPr>
                <w:sz w:val="21"/>
                <w:szCs w:val="21"/>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416,866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21"/>
                <w:szCs w:val="21"/>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396,385</w:t>
            </w:r>
          </w:p>
        </w:tc>
        <w:tc>
          <w:tcPr>
            <w:tcW w:w="120" w:type="dxa"/>
            <w:vAlign w:val="bottom"/>
          </w:tcPr>
          <w:p>
            <w:pPr>
              <w:spacing w:after="0"/>
              <w:rPr>
                <w:sz w:val="21"/>
                <w:szCs w:val="21"/>
                <w:color w:val="auto"/>
              </w:rPr>
            </w:pPr>
          </w:p>
        </w:tc>
        <w:tc>
          <w:tcPr>
            <w:tcW w:w="400" w:type="dxa"/>
            <w:vAlign w:val="bottom"/>
            <w:gridSpan w:val="2"/>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340,160</w:t>
            </w:r>
          </w:p>
        </w:tc>
        <w:tc>
          <w:tcPr>
            <w:tcW w:w="40" w:type="dxa"/>
            <w:vAlign w:val="bottom"/>
          </w:tcPr>
          <w:p>
            <w:pPr>
              <w:spacing w:after="0"/>
              <w:rPr>
                <w:sz w:val="21"/>
                <w:szCs w:val="21"/>
                <w:color w:val="auto"/>
              </w:rPr>
            </w:pPr>
          </w:p>
        </w:tc>
        <w:tc>
          <w:tcPr>
            <w:tcW w:w="44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250,888</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ratio</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271,437</w:t>
            </w:r>
          </w:p>
        </w:tc>
        <w:tc>
          <w:tcPr>
            <w:tcW w:w="100" w:type="dxa"/>
            <w:vAlign w:val="bottom"/>
          </w:tcPr>
          <w:p>
            <w:pPr>
              <w:spacing w:after="0"/>
              <w:rPr>
                <w:sz w:val="21"/>
                <w:szCs w:val="21"/>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256,953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21"/>
                <w:szCs w:val="21"/>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161,657</w:t>
            </w:r>
          </w:p>
        </w:tc>
        <w:tc>
          <w:tcPr>
            <w:tcW w:w="120" w:type="dxa"/>
            <w:vAlign w:val="bottom"/>
          </w:tcPr>
          <w:p>
            <w:pPr>
              <w:spacing w:after="0"/>
              <w:rPr>
                <w:sz w:val="21"/>
                <w:szCs w:val="21"/>
                <w:color w:val="auto"/>
              </w:rPr>
            </w:pPr>
          </w:p>
        </w:tc>
        <w:tc>
          <w:tcPr>
            <w:tcW w:w="400" w:type="dxa"/>
            <w:vAlign w:val="bottom"/>
            <w:gridSpan w:val="2"/>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155,528</w:t>
            </w:r>
          </w:p>
        </w:tc>
        <w:tc>
          <w:tcPr>
            <w:tcW w:w="40" w:type="dxa"/>
            <w:vAlign w:val="bottom"/>
          </w:tcPr>
          <w:p>
            <w:pPr>
              <w:spacing w:after="0"/>
              <w:rPr>
                <w:sz w:val="21"/>
                <w:szCs w:val="21"/>
                <w:color w:val="auto"/>
              </w:rPr>
            </w:pPr>
          </w:p>
        </w:tc>
        <w:tc>
          <w:tcPr>
            <w:tcW w:w="44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154,313</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73,648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62,188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53,198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46,669</w:t>
            </w: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56,304</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81,740</w:t>
            </w:r>
          </w:p>
        </w:tc>
        <w:tc>
          <w:tcPr>
            <w:tcW w:w="100" w:type="dxa"/>
            <w:vAlign w:val="bottom"/>
          </w:tcPr>
          <w:p>
            <w:pPr>
              <w:spacing w:after="0"/>
              <w:rPr>
                <w:sz w:val="21"/>
                <w:szCs w:val="21"/>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65,481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21"/>
                <w:szCs w:val="21"/>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49,966</w:t>
            </w:r>
          </w:p>
        </w:tc>
        <w:tc>
          <w:tcPr>
            <w:tcW w:w="120" w:type="dxa"/>
            <w:vAlign w:val="bottom"/>
          </w:tcPr>
          <w:p>
            <w:pPr>
              <w:spacing w:after="0"/>
              <w:rPr>
                <w:sz w:val="21"/>
                <w:szCs w:val="21"/>
                <w:color w:val="auto"/>
              </w:rPr>
            </w:pPr>
          </w:p>
        </w:tc>
        <w:tc>
          <w:tcPr>
            <w:tcW w:w="400" w:type="dxa"/>
            <w:vAlign w:val="bottom"/>
            <w:gridSpan w:val="2"/>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48,145</w:t>
            </w:r>
          </w:p>
        </w:tc>
        <w:tc>
          <w:tcPr>
            <w:tcW w:w="40" w:type="dxa"/>
            <w:vAlign w:val="bottom"/>
          </w:tcPr>
          <w:p>
            <w:pPr>
              <w:spacing w:after="0"/>
              <w:rPr>
                <w:sz w:val="21"/>
                <w:szCs w:val="21"/>
                <w:color w:val="auto"/>
              </w:rPr>
            </w:pPr>
          </w:p>
        </w:tc>
        <w:tc>
          <w:tcPr>
            <w:tcW w:w="44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43,236</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97"/>
              </w:rPr>
              <w:t>1,514,178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7"/>
              </w:rPr>
              <w:t>1,461,917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911,135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833,264</w:t>
            </w: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760,928</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437,687</w:t>
            </w:r>
          </w:p>
        </w:tc>
        <w:tc>
          <w:tcPr>
            <w:tcW w:w="100" w:type="dxa"/>
            <w:vAlign w:val="bottom"/>
          </w:tcPr>
          <w:p>
            <w:pPr>
              <w:spacing w:after="0"/>
              <w:rPr>
                <w:sz w:val="21"/>
                <w:szCs w:val="21"/>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480,094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21"/>
                <w:szCs w:val="21"/>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3,771</w:t>
            </w:r>
          </w:p>
        </w:tc>
        <w:tc>
          <w:tcPr>
            <w:tcW w:w="120" w:type="dxa"/>
            <w:vAlign w:val="bottom"/>
          </w:tcPr>
          <w:p>
            <w:pPr>
              <w:spacing w:after="0"/>
              <w:rPr>
                <w:sz w:val="21"/>
                <w:szCs w:val="21"/>
                <w:color w:val="auto"/>
              </w:rPr>
            </w:pPr>
          </w:p>
        </w:tc>
        <w:tc>
          <w:tcPr>
            <w:tcW w:w="400" w:type="dxa"/>
            <w:vAlign w:val="bottom"/>
            <w:gridSpan w:val="2"/>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4,879</w:t>
            </w:r>
          </w:p>
        </w:tc>
        <w:tc>
          <w:tcPr>
            <w:tcW w:w="40" w:type="dxa"/>
            <w:vAlign w:val="bottom"/>
          </w:tcPr>
          <w:p>
            <w:pPr>
              <w:spacing w:after="0"/>
              <w:rPr>
                <w:sz w:val="21"/>
                <w:szCs w:val="21"/>
                <w:color w:val="auto"/>
              </w:rPr>
            </w:pPr>
          </w:p>
        </w:tc>
        <w:tc>
          <w:tcPr>
            <w:tcW w:w="44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20,520</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837,888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769,182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732,631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686,136</w:t>
            </w: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593,124</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Debt as a % of stockholders’ equity</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Employees</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3,782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3,563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2,337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2,201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2,327</w:t>
            </w:r>
          </w:p>
        </w:tc>
      </w:tr>
      <w:tr>
        <w:trPr>
          <w:trHeight w:val="729"/>
        </w:trPr>
        <w:tc>
          <w:tcPr>
            <w:tcW w:w="3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3"/>
          </w:tcPr>
          <w:p>
            <w:pPr>
              <w:jc w:val="center"/>
              <w:ind w:left="50"/>
              <w:spacing w:after="0"/>
              <w:rPr>
                <w:sz w:val="20"/>
                <w:szCs w:val="20"/>
                <w:color w:val="auto"/>
              </w:rPr>
            </w:pPr>
            <w:r>
              <w:rPr>
                <w:rFonts w:ascii="Arial" w:cs="Arial" w:eastAsia="Arial" w:hAnsi="Arial"/>
                <w:sz w:val="18"/>
                <w:szCs w:val="18"/>
                <w:color w:val="auto"/>
                <w:w w:val="89"/>
              </w:rPr>
              <w:t>21</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Haemonetics is a global healthcare company dedicated to providing innovative blood management solutions to our customers. Our comprehensive portfolio of integrated devices, information management, and consulting services offers blood management solutions for each facet of the blood supply chain, helping improve clinical outcomes and reduce costs for blood and plasma collectors, hospitals, and patients around the world. Our products and services help prevent a transfusion to a patient who does not need one and provide the right blood product, at the right time, in the right dose to the patient who does.</w:t>
      </w:r>
    </w:p>
    <w:p>
      <w:pPr>
        <w:spacing w:after="0" w:line="15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Blood and its components (plasma, platelets, and red cells) have many vital and frequently life-saving clinical applications. Plasma is used for patients with major blood loss and is manufactured into pharmaceuticals to treat a variety of illnesses and hereditary disorders such as hemophilia. Red cells treat trauma patients or patients undergoing surgery with high blood loss, such as open heart surgery or organ transplant. Platelets treat cancer patients undergoing chemotherapy. Blood is essential to a modern healthcare system.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Value Creation and Capture Initiatives</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On April 29, 2013, we committed to a plan to pursue identified Value Creation and ("VCC") opportunities. These opportunities include investment in product line extensions and next generation products, enhancement of commercial capabilities and a transformation of our manufacturing network. The transformation of our manufacturing network will take place over the next three fiscal years and includes changes to the current manufacturing footprint and supply chain structure (the "Network Plan"). To implement the Network Plan, we are (i) discontinuing manufacturing activities at our Braintree, Massachusetts and Ascoli-Piceno, Italy facilities, (ii) creating a technology center of excellence for product development, (iii) expanding our current facility in Tijuana, Mexico, (iv) engaging Sanmina Corporation as a contract manufacturer to produce certain medical equipment, and (v) building a new manufacturing facility in Malaysia closer to our customers in Asia. We updated our plans on April 28, 2014 by announcing a consultation with employee representatives regarding ceasing operations and closure of our manufacturing facility in Bothwell, Scotland. See liquidity and capital resources discussion of this MD&amp;A for further discussion of the costs of these activities.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Entry Into Whole Blood Market</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fiscal 2013, we entered the market for manual whole blood collections with the acquisition of Pall Corporation’s blood collection, filtration and processing product lines. In fiscal 2014, we acquired the business assets of Hemerus Medical, LLC, a company that develops innovative technologies for the collection of whole blood and processing and storage of blood components, including SOLX storage solutions. We paid $24.1 million for the Hemerus assets and may pay an additional $3.0 million contingent upon receipt of an FDA approval of the SOLX solution for 24 hour storage of whole blood prior to processing. Additionally, up to $14.0 million may be paid dependent on future sales levels of SOLX-based products. We refer to these recently acquired businesses as the whole blood business. These acquisitions provide access to the manual collection and whole blood markets and provide scope for introduction of automated solutions into those markets.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Trends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Plasma Market</w:t>
      </w:r>
    </w:p>
    <w:p>
      <w:pPr>
        <w:spacing w:after="0" w:line="2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Changes in demand for plasma-derived pharmaceuticals, particularly immunoglobulin (“IG”), are the key driver of plasma collection volumes in the bio-pharmaceutical market. Various factors related to the supply of plasma and the production of plasma-derived pharmaceuticals also affect collection volume, including the following:</w:t>
      </w:r>
    </w:p>
    <w:p>
      <w:pPr>
        <w:spacing w:after="0" w:line="28" w:lineRule="exact"/>
        <w:rPr>
          <w:sz w:val="20"/>
          <w:szCs w:val="20"/>
          <w:color w:val="auto"/>
        </w:rPr>
      </w:pPr>
    </w:p>
    <w:p>
      <w:pPr>
        <w:ind w:left="660" w:right="4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Several blood collectors supply additional plasma to fractionators, and thus collection volumes can rise overall but not directly impact our bio-pharmaceutical business.</w:t>
      </w:r>
    </w:p>
    <w:p>
      <w:pPr>
        <w:spacing w:after="0" w:line="8"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Bio-pharmaceutical companies are seeking more efficient production processes, helping companies meet growing demand for pharmaceuticals without requiring an equivalent increase in plasma supply.</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Reimbursement guidelines affect the demand for end product pharmaceuticals, although off-label use of pharmaceuticals is growing, in particular for Alzheimer's treatment.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130" w:right="27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98" w:lineRule="exact"/>
        <w:rPr>
          <w:sz w:val="20"/>
          <w:szCs w:val="20"/>
          <w:color w:val="auto"/>
        </w:rPr>
      </w:pPr>
    </w:p>
    <w:p>
      <w:pPr>
        <w:ind w:left="660" w:right="2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Newly approved indications for, and the growing understanding and thus diagnosis of auto-immune diseases treated with plasma derived therapies increase the demand for plasma, as do longer lifespans and a growing aging patient population.</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Geographical expansion of biopharmaceuticals also increases demand for plasma.</w:t>
      </w:r>
    </w:p>
    <w:p>
      <w:pPr>
        <w:spacing w:after="0" w:line="225"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Demand for plasma in fiscal 2014 was particularly strong in North America where approximately two-thirds of commercial plasma is collected. Global markets for plasmapheresis have been relatively flat, with U.S. produced plasma meeting an increasing percentage of plasma volume demand worldwide.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Blood Center Market</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the blood center market, we sell products used in the collection of platelets, red cells and whole blood. Whole blood is collected from the donor and then transported to a laboratory where it is separated into its components: red cells, platelets and/or plasma.</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Despite modest increases in the demand for platelets in Europe and Japan, improved collection efficiencies that increase the yield of platelets per collection and more efficient use of collected platelets have resulted in a flat market for automated collections and related disposables in these countries. With changes in healthcare and social security systems in emerging markets, a larger number of people get access to state of the art medical treatments, which drives the demand for platelet transfusions and represent a faster growing market.</w:t>
      </w:r>
    </w:p>
    <w:p>
      <w:pPr>
        <w:spacing w:after="0" w:line="18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Blood management is an approach to optimizing the care of patients that may need a transfusion that includes a wide range of practices and protocols which influence the need for, and use of, blood products in hospitals. Adoption of blood management practices by hospitals, particularly in the United States, continues to gain momentum. Blood management efforts reduce the demand for red cells, which in turn can reduce the demand for our red cell and whole blood collection products. We believe the decline in U.S. blood center collections will be approximately 10% during our next fiscal year.</w:t>
      </w:r>
    </w:p>
    <w:p>
      <w:pPr>
        <w:spacing w:after="0" w:line="15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discussed above and further within the revenue section below, demand for red cells has declined in mature markets due to better blood management and the development of less invasive, lower blood loss medical procedures. However, highly populated emerging market countries are increasing their demand for blood as they are advancing their health care coverage, and as greater numbers of people gain access to more advanced medical treatment, demand for blood components, including red cells increases directly.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Hospital Market</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In the hospital market, we sell cardiovascular surgical blood salvage systems, orthopedic surgical blood salvage systems, and a blood diagnostics instrument.</w:t>
      </w:r>
    </w:p>
    <w:p>
      <w:pPr>
        <w:spacing w:after="0" w:line="15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Cell Saver brand surgical blood salvage system was designed as a solution for rapid, high volume blood loss procedures, such as cardiovascular surgeries. Since the 2012 introduction of the Cell Saver Elite, we have seen growth from emerging markets due to increased access to healthcare and we have also had growth in mature markets.</w:t>
      </w:r>
    </w:p>
    <w:p>
      <w:pPr>
        <w:spacing w:after="0" w:line="8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Our OrthoPAT technology is used to salvage red cells in high blood loss orthopedic procedures, including hip and knee replacement surgeries. The OrthoPAT is designed to collect, separate and wash a patient’s shed blood both during and after surgery. While cell salvage is not yet a standard of care for</w:t>
      </w:r>
    </w:p>
    <w:p>
      <w:pPr>
        <w:spacing w:after="0" w:line="269" w:lineRule="auto"/>
        <w:rPr>
          <w:sz w:val="20"/>
          <w:szCs w:val="20"/>
          <w:color w:val="auto"/>
        </w:rPr>
      </w:pPr>
      <w:r>
        <w:rPr>
          <w:rFonts w:ascii="Arial" w:cs="Arial" w:eastAsia="Arial" w:hAnsi="Arial"/>
          <w:sz w:val="17"/>
          <w:szCs w:val="17"/>
          <w:color w:val="auto"/>
        </w:rPr>
        <w:t>U.S. orthopedic procedures, we position this device as an effective alternative to stored red cells (both autologous predonated and allogeneic) and non-washed autotransfusion systems. Particularly in the United States, hip and knee replacement surgeries are frequently elective surgeries and as a result are subject to changes in economic conditions. Blood management practices have also increased the utilization of tranexamic acid. Tranexamic acid is used to treat and prevent post-operative bleeding in orthopedic surgeries, particularly hip and knee replacements. The use of this low cost, generic drug has expanded rapidly in an environment of greater blood management focus. We have been monitoring this trend and believe tranexamic acid is used in at least 30% of total hip and knee replacements in the United States and that broader adoption is likely. This expanded adoption of tranexamic acid is contributing to the aforementioned reduced demand for red cells and is reducing the demand for orthopedic cell salvage.</w:t>
      </w:r>
    </w:p>
    <w:p>
      <w:pPr>
        <w:spacing w:after="0" w:line="8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TEG Thrombelastograph Hemostasis Analyzer is a diagnostic tool which provides a comprehensive assessment of a patient’s overall hemostasis. The benefit is that this information enables caregivers to decide the best blood-related clinical treatment for the individual patient in order to minimize blood loss and reduce incidence of "reoperations". The test is expanding beyond cardiac surgery into trauma, as well as helping manage surgical timing of patients on anti-platelet medications. TEG product line sales further strengthened in fiscal 2014. This product’s growth is dependent on hospitals adopting this technology in their blood management programs.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30"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Market</w:t>
      </w:r>
    </w:p>
    <w:p>
      <w:pPr>
        <w:spacing w:after="0" w:line="13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software solutions portfolio addresses many of the critical data collection and data management needs within the plasma, blood center, and hospital markets and is also a key component of our blood management solutions today. In fiscal 2014, the pressures to improve efficiencies, reduce cost, and improve patient outcomes continued to be key drivers in all three markets.</w:t>
      </w:r>
    </w:p>
    <w:p>
      <w:pPr>
        <w:spacing w:after="0" w:line="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Demand for our plasma software solution declined in fiscal 2014 as a sub-segment of this market has or intends to migrate towards homegrown proprietary software solutions in an effort to gain unique competitive advantages.</w:t>
      </w:r>
    </w:p>
    <w:p>
      <w:pPr>
        <w:spacing w:after="0" w:line="130"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In the blood center market for software, we currently participate most actively in the United States, where expansion to new or emerging technology platforms such as our El Dorado Software Solution Suite has been slow due to industry consolidation and the relatively high cost and management focus required to migrate to new information technology platforms. This trend has limited revenue growth but the high switching costs noted and recurring maintenance revenue streams from existing products has provided relative revenue stability in this segment.</w:t>
      </w:r>
    </w:p>
    <w:p>
      <w:pPr>
        <w:spacing w:after="0" w:line="13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currently participate in the hospital markets for software primarily in the United States and Europe. In the United States we have experienced growth in our installed base for our blood banking solution, SafeTraceTX, due to demand for reliable, proven safety systems within blood banks. However, growth in the United States continues to be constrained due to hospital IT organization focus on the electronic medical records mandates. Revenues from BloodTrack, a blood inventory and transfusion management system, have increased in the United States and Europe recently as hospitals seek means to improve efficiencies and meet compliance guidelines for tracking and dispositioning blood components to patients.</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130" w:right="27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29,</w:t>
            </w:r>
          </w:p>
        </w:tc>
        <w:tc>
          <w:tcPr>
            <w:tcW w:w="240" w:type="dxa"/>
            <w:vAlign w:val="bottom"/>
          </w:tcPr>
          <w:p>
            <w:pPr>
              <w:spacing w:after="0"/>
              <w:rPr>
                <w:sz w:val="14"/>
                <w:szCs w:val="14"/>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30,</w:t>
            </w:r>
          </w:p>
        </w:tc>
        <w:tc>
          <w:tcPr>
            <w:tcW w:w="24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 Increase/(Decrease)</w:t>
            </w:r>
          </w:p>
        </w:tc>
        <w:tc>
          <w:tcPr>
            <w:tcW w:w="1600" w:type="dxa"/>
            <w:vAlign w:val="bottom"/>
          </w:tcPr>
          <w:p>
            <w:pPr>
              <w:jc w:val="right"/>
              <w:ind w:right="33"/>
              <w:spacing w:after="0"/>
              <w:rPr>
                <w:sz w:val="20"/>
                <w:szCs w:val="20"/>
                <w:color w:val="auto"/>
              </w:rPr>
            </w:pPr>
            <w:r>
              <w:rPr>
                <w:rFonts w:ascii="Arial" w:cs="Arial" w:eastAsia="Arial" w:hAnsi="Arial"/>
                <w:sz w:val="14"/>
                <w:szCs w:val="14"/>
                <w:b w:val="1"/>
                <w:bCs w:val="1"/>
                <w:color w:val="auto"/>
                <w:w w:val="98"/>
              </w:rPr>
              <w:t>% Increase/(Decrease)</w:t>
            </w:r>
          </w:p>
        </w:tc>
      </w:tr>
      <w:tr>
        <w:trPr>
          <w:trHeight w:val="192"/>
        </w:trPr>
        <w:tc>
          <w:tcPr>
            <w:tcW w:w="3580" w:type="dxa"/>
            <w:vAlign w:val="bottom"/>
          </w:tcPr>
          <w:p>
            <w:pPr>
              <w:ind w:left="40"/>
              <w:spacing w:after="0"/>
              <w:rPr>
                <w:sz w:val="20"/>
                <w:szCs w:val="20"/>
                <w:color w:val="auto"/>
              </w:rPr>
            </w:pPr>
            <w:r>
              <w:rPr>
                <w:rFonts w:ascii="Arial" w:cs="Arial" w:eastAsia="Arial" w:hAnsi="Arial"/>
                <w:sz w:val="14"/>
                <w:szCs w:val="14"/>
                <w:i w:val="1"/>
                <w:iCs w:val="1"/>
                <w:color w:val="auto"/>
              </w:rPr>
              <w:t>(In thousands, except per share data)</w:t>
            </w:r>
          </w:p>
        </w:tc>
        <w:tc>
          <w:tcPr>
            <w:tcW w:w="260" w:type="dxa"/>
            <w:vAlign w:val="bottom"/>
          </w:tcPr>
          <w:p>
            <w:pPr>
              <w:spacing w:after="0"/>
              <w:rPr>
                <w:sz w:val="16"/>
                <w:szCs w:val="16"/>
                <w:color w:val="auto"/>
              </w:rPr>
            </w:pPr>
          </w:p>
        </w:tc>
        <w:tc>
          <w:tcPr>
            <w:tcW w:w="1160" w:type="dxa"/>
            <w:vAlign w:val="bottom"/>
          </w:tcPr>
          <w:p>
            <w:pPr>
              <w:jc w:val="right"/>
              <w:ind w:right="47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472"/>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47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14 vs. 13</w:t>
            </w:r>
          </w:p>
        </w:tc>
        <w:tc>
          <w:tcPr>
            <w:tcW w:w="1600" w:type="dxa"/>
            <w:vAlign w:val="bottom"/>
          </w:tcPr>
          <w:p>
            <w:pPr>
              <w:jc w:val="right"/>
              <w:ind w:right="453"/>
              <w:spacing w:after="0"/>
              <w:rPr>
                <w:sz w:val="20"/>
                <w:szCs w:val="20"/>
                <w:color w:val="auto"/>
              </w:rPr>
            </w:pPr>
            <w:r>
              <w:rPr>
                <w:rFonts w:ascii="Arial" w:cs="Arial" w:eastAsia="Arial" w:hAnsi="Arial"/>
                <w:sz w:val="14"/>
                <w:szCs w:val="14"/>
                <w:b w:val="1"/>
                <w:bCs w:val="1"/>
                <w:color w:val="auto"/>
              </w:rPr>
              <w:t>13 vs. 12</w:t>
            </w:r>
          </w:p>
        </w:tc>
      </w:tr>
      <w:tr>
        <w:trPr>
          <w:trHeight w:val="250"/>
        </w:trPr>
        <w:tc>
          <w:tcPr>
            <w:tcW w:w="3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938,509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891,990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727,844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22.6 %</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468,365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428,131</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369,240</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9.4 %</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15.9 %</w:t>
            </w:r>
          </w:p>
        </w:tc>
      </w:tr>
      <w:tr>
        <w:trPr>
          <w:trHeight w:val="27"/>
        </w:trPr>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 of net revenues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50.7%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421,038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371,694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280,482</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13.3 %</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32.5 %</w:t>
            </w:r>
          </w:p>
        </w:tc>
      </w:tr>
      <w:tr>
        <w:trPr>
          <w:trHeight w:val="27"/>
        </w:trPr>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47,327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56,437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88,758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r>
      <w:tr>
        <w:trPr>
          <w:trHeight w:val="243"/>
        </w:trPr>
        <w:tc>
          <w:tcPr>
            <w:tcW w:w="358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6.3%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12.2%</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income,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(10,926)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67.1 %</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Income before taxes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36,401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49,897</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89,498</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(44.2)%</w:t>
            </w:r>
          </w:p>
        </w:tc>
      </w:tr>
      <w:tr>
        <w:trPr>
          <w:trHeight w:val="27"/>
        </w:trPr>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11,097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22,612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w:t>
            </w:r>
          </w:p>
        </w:tc>
      </w:tr>
      <w:tr>
        <w:trPr>
          <w:trHeight w:val="243"/>
        </w:trPr>
        <w:tc>
          <w:tcPr>
            <w:tcW w:w="3580" w:type="dxa"/>
            <w:vAlign w:val="bottom"/>
          </w:tcPr>
          <w:p>
            <w:pPr>
              <w:ind w:left="180"/>
              <w:spacing w:after="0"/>
              <w:rPr>
                <w:sz w:val="20"/>
                <w:szCs w:val="20"/>
                <w:color w:val="auto"/>
              </w:rPr>
            </w:pPr>
            <w:r>
              <w:rPr>
                <w:rFonts w:ascii="Arial" w:cs="Arial" w:eastAsia="Arial" w:hAnsi="Arial"/>
                <w:sz w:val="18"/>
                <w:szCs w:val="18"/>
                <w:i w:val="1"/>
                <w:iCs w:val="1"/>
                <w:color w:val="auto"/>
              </w:rPr>
              <w:t>% of pre-tax income</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22.2%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25.3%</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35,148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38,800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66,886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43"/>
        </w:trPr>
        <w:tc>
          <w:tcPr>
            <w:tcW w:w="358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4.3%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9.2%</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3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per share-diluted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0.67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0.74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r>
      <w:tr>
        <w:trPr>
          <w:trHeight w:val="27"/>
        </w:trPr>
        <w:tc>
          <w:tcPr>
            <w:tcW w:w="35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Our fiscal year ends on the Saturday closest to the last day of March. Fiscal 2014, 2013 and 2012 each included 52 weeks with each quarter having 13 weeks.</w:t>
      </w:r>
    </w:p>
    <w:p>
      <w:pPr>
        <w:spacing w:after="0" w:line="154"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Net revenue for fiscal 2014 increased 5.2% compared to fiscal 2013. Without the effects of foreign exchange, net revenue increased 6.9% compared to fiscal 2013. Revenue increased due to a full year of sales from the whole blood business acquired August 1, 2012 as compared to eight months of sales in the prior year, as well as growth in our plasma and diagnostics disposable products. These increases were partially offset by declines across other product lines for the fiscal year ended March 29, 2014.</w:t>
      </w:r>
    </w:p>
    <w:p>
      <w:pPr>
        <w:spacing w:after="0" w:line="9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Net revenue for fiscal 2013 increased 22.6% compared to fiscal 2012. Without the effects of foreign exchange, net revenue increased 22.2% over fiscal 2012. The increase includes revenue from the acquired whole blood business of $138.4 million for the fiscal year ended March 30, 2013. The remaining increase for the fiscal year ended March 30, 2013 is primarily due to revenue growth from our plasma, surgical and diagnostics products. Fiscal 2012 revenue benefited from purchases by the Japan Red Cross (“JRC”) in March 2012 to avoid future supply disruptions in anticipation of an internal business system conversion, negatively impacting fiscal year ended March 30, 2013.</w:t>
      </w:r>
    </w:p>
    <w:p>
      <w:pPr>
        <w:spacing w:after="0" w:line="94"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During fiscal 2014, operating income decreased 16.1% compared to fiscal 2013. Without the effects of foreign currency, operating income decreased 4.1% compared to fiscal 2013. Operating income decreased as gross profit growth was more than offset by higher restructuring and transformation expenses and other operating expense growth associated with the whole blood acquisition. Restructuring and transformation expenses were $84.8 million for the fiscal year ended March 29, 2014, as compared to $72.5 million for the comparative prior year period. Restructuring and transformation expenses in fiscal 2014 are primarily associated with VCC initiatives, and in fiscal 2013 were primarily associated with the acquisition and integration of the whole blood business.</w:t>
      </w:r>
    </w:p>
    <w:p>
      <w:pPr>
        <w:spacing w:after="0" w:line="6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During fiscal 2013, operating income decreased 36.4% compared to fiscal 2012. Without the effects of foreign currency, operating income decreased 43.7% over fiscal 2012 as increased gross profit due to revenue growth was more than offset by higher costs of goods sold due to acquisition-related step-up in the value of acquired inventory. Also contributing to the decrease in operating income was a $7.0 million inventory reserve for a quality matter involving a component of our whole blood disposable inventory which occurred in the third quarter of fiscal 2013 and higher operating expenses including significant acquisition and integration costs totaling $37.3 million.</w:t>
      </w:r>
    </w:p>
    <w:p>
      <w:pPr>
        <w:spacing w:after="0" w:line="94"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Net income decreased 9.4% during fiscal 2014. Without the effects of foreign exchange, net income decreased 3.4% for fiscal 2014. The decrease in net income was attributable to the decrease in operating income described above and additional interest expense associated with a full year of term loan borrowing following the whole blood acquisition. These were partially offset by a reduction in tax expense due to lower income before taxes and a lower income tax rate.</w:t>
      </w:r>
    </w:p>
    <w:p>
      <w:pPr>
        <w:spacing w:after="0" w:line="9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Net income decreased 42.0% during fiscal 2013. Without the effects of foreign exchange, net income decreased 49.9% for fiscal 2013. The decrease in net income was attributable to the decline in operating income described above and additional interest expense.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30"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gridSpan w:val="3"/>
          </w:tcPr>
          <w:p>
            <w:pPr>
              <w:spacing w:after="0"/>
              <w:rPr>
                <w:sz w:val="20"/>
                <w:szCs w:val="20"/>
                <w:color w:val="auto"/>
              </w:rPr>
            </w:pPr>
            <w:r>
              <w:rPr>
                <w:rFonts w:ascii="Arial" w:cs="Arial" w:eastAsia="Arial" w:hAnsi="Arial"/>
                <w:sz w:val="18"/>
                <w:szCs w:val="18"/>
                <w:b w:val="1"/>
                <w:bCs w:val="1"/>
                <w:color w:val="auto"/>
              </w:rPr>
              <w:t>RESULTS OF OPERATIONS</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97"/>
        </w:trPr>
        <w:tc>
          <w:tcPr>
            <w:tcW w:w="2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Net Revenues by Geography</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08"/>
        </w:trPr>
        <w:tc>
          <w:tcPr>
            <w:tcW w:w="220" w:type="dxa"/>
            <w:vAlign w:val="bottom"/>
          </w:tcPr>
          <w:p>
            <w:pPr>
              <w:spacing w:after="0"/>
              <w:rPr>
                <w:sz w:val="24"/>
                <w:szCs w:val="24"/>
                <w:color w:val="auto"/>
              </w:rPr>
            </w:pPr>
          </w:p>
        </w:tc>
        <w:tc>
          <w:tcPr>
            <w:tcW w:w="2100" w:type="dxa"/>
            <w:vAlign w:val="bottom"/>
            <w:tcBorders>
              <w:top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29,</w:t>
            </w:r>
          </w:p>
        </w:tc>
        <w:tc>
          <w:tcPr>
            <w:tcW w:w="220" w:type="dxa"/>
            <w:vAlign w:val="bottom"/>
          </w:tcPr>
          <w:p>
            <w:pPr>
              <w:spacing w:after="0"/>
              <w:rPr>
                <w:sz w:val="24"/>
                <w:szCs w:val="2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30,</w:t>
            </w:r>
          </w:p>
        </w:tc>
        <w:tc>
          <w:tcPr>
            <w:tcW w:w="220" w:type="dxa"/>
            <w:vAlign w:val="bottom"/>
          </w:tcPr>
          <w:p>
            <w:pPr>
              <w:spacing w:after="0"/>
              <w:rPr>
                <w:sz w:val="24"/>
                <w:szCs w:val="2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Increase/(Decrease)</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2"/>
              </w:rPr>
              <w:t>% Increase/(Decrease)</w:t>
            </w:r>
          </w:p>
        </w:tc>
      </w:tr>
      <w:tr>
        <w:trPr>
          <w:trHeight w:val="192"/>
        </w:trPr>
        <w:tc>
          <w:tcPr>
            <w:tcW w:w="4020" w:type="dxa"/>
            <w:vAlign w:val="bottom"/>
            <w:gridSpan w:val="3"/>
          </w:tcPr>
          <w:p>
            <w:pPr>
              <w:ind w:left="4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6"/>
                <w:szCs w:val="16"/>
                <w:color w:val="auto"/>
              </w:rPr>
            </w:pPr>
          </w:p>
        </w:tc>
        <w:tc>
          <w:tcPr>
            <w:tcW w:w="1120" w:type="dxa"/>
            <w:vAlign w:val="bottom"/>
          </w:tcPr>
          <w:p>
            <w:pPr>
              <w:jc w:val="right"/>
              <w:ind w:right="437"/>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437"/>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437"/>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14 vs. 13</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2"/>
              </w:rPr>
              <w:t>13 vs. 12</w:t>
            </w:r>
          </w:p>
        </w:tc>
      </w:tr>
      <w:tr>
        <w:trPr>
          <w:trHeight w:val="250"/>
        </w:trPr>
        <w:tc>
          <w:tcPr>
            <w:tcW w:w="402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500,719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454,874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352,160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29.2%</w:t>
            </w:r>
          </w:p>
        </w:tc>
      </w:tr>
      <w:tr>
        <w:trPr>
          <w:trHeight w:val="243"/>
        </w:trPr>
        <w:tc>
          <w:tcPr>
            <w:tcW w:w="4020" w:type="dxa"/>
            <w:vAlign w:val="bottom"/>
            <w:gridSpan w:val="3"/>
          </w:tcPr>
          <w:p>
            <w:pPr>
              <w:ind w:left="40"/>
              <w:spacing w:after="0"/>
              <w:rPr>
                <w:sz w:val="20"/>
                <w:szCs w:val="20"/>
                <w:color w:val="auto"/>
              </w:rPr>
            </w:pPr>
            <w:r>
              <w:rPr>
                <w:rFonts w:ascii="Arial" w:cs="Arial" w:eastAsia="Arial" w:hAnsi="Arial"/>
                <w:sz w:val="18"/>
                <w:szCs w:val="18"/>
                <w:color w:val="auto"/>
              </w:rPr>
              <w:t>International</w:t>
            </w:r>
          </w:p>
        </w:tc>
        <w:tc>
          <w:tcPr>
            <w:tcW w:w="22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437,790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437,116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375,684</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60" w:type="dxa"/>
            <w:vAlign w:val="bottom"/>
          </w:tcPr>
          <w:p>
            <w:pPr>
              <w:ind w:left="920"/>
              <w:spacing w:after="0"/>
              <w:rPr>
                <w:sz w:val="20"/>
                <w:szCs w:val="20"/>
                <w:color w:val="auto"/>
              </w:rPr>
            </w:pPr>
            <w:r>
              <w:rPr>
                <w:rFonts w:ascii="Arial" w:cs="Arial" w:eastAsia="Arial" w:hAnsi="Arial"/>
                <w:sz w:val="18"/>
                <w:szCs w:val="18"/>
                <w:color w:val="auto"/>
              </w:rPr>
              <w:t>16.4%</w:t>
            </w:r>
          </w:p>
        </w:tc>
      </w:tr>
      <w:tr>
        <w:trPr>
          <w:trHeight w:val="27"/>
        </w:trPr>
        <w:tc>
          <w:tcPr>
            <w:tcW w:w="2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4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938,509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891,990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727,844</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b w:val="1"/>
                <w:bCs w:val="1"/>
                <w:color w:val="auto"/>
              </w:rPr>
              <w:t>22.6%</w:t>
            </w:r>
          </w:p>
        </w:tc>
      </w:tr>
      <w:tr>
        <w:trPr>
          <w:trHeight w:val="20"/>
        </w:trPr>
        <w:tc>
          <w:tcPr>
            <w:tcW w:w="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Operations and the Impact of Foreign Exchange</w:t>
      </w:r>
    </w:p>
    <w:p>
      <w:pPr>
        <w:spacing w:after="0" w:line="13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principal operations are in the U.S., Europe, Japan and other parts of Asia. Our products are marketed in approximately 100 countries around the world through a combination of our direct sales force and independent distributors and agents.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percentage of revenue generated in our principle operating regions is summarized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560" w:type="dxa"/>
            <w:vAlign w:val="bottom"/>
            <w:gridSpan w:val="2"/>
          </w:tcPr>
          <w:p>
            <w:pPr>
              <w:ind w:left="400"/>
              <w:spacing w:after="0"/>
              <w:rPr>
                <w:sz w:val="20"/>
                <w:szCs w:val="20"/>
                <w:color w:val="auto"/>
              </w:rPr>
            </w:pPr>
            <w:r>
              <w:rPr>
                <w:rFonts w:ascii="Arial" w:cs="Arial" w:eastAsia="Arial" w:hAnsi="Arial"/>
                <w:sz w:val="14"/>
                <w:szCs w:val="14"/>
                <w:b w:val="1"/>
                <w:bCs w:val="1"/>
                <w:color w:val="auto"/>
              </w:rPr>
              <w:t>March 29,</w:t>
            </w:r>
          </w:p>
        </w:tc>
        <w:tc>
          <w:tcPr>
            <w:tcW w:w="1560" w:type="dxa"/>
            <w:vAlign w:val="bottom"/>
            <w:gridSpan w:val="2"/>
          </w:tcPr>
          <w:p>
            <w:pPr>
              <w:ind w:left="400"/>
              <w:spacing w:after="0"/>
              <w:rPr>
                <w:sz w:val="20"/>
                <w:szCs w:val="20"/>
                <w:color w:val="auto"/>
              </w:rPr>
            </w:pPr>
            <w:r>
              <w:rPr>
                <w:rFonts w:ascii="Arial" w:cs="Arial" w:eastAsia="Arial" w:hAnsi="Arial"/>
                <w:sz w:val="14"/>
                <w:szCs w:val="14"/>
                <w:b w:val="1"/>
                <w:bCs w:val="1"/>
                <w:color w:val="auto"/>
              </w:rPr>
              <w:t>March 30,</w:t>
            </w:r>
          </w:p>
        </w:tc>
        <w:tc>
          <w:tcPr>
            <w:tcW w:w="1440" w:type="dxa"/>
            <w:vAlign w:val="bottom"/>
          </w:tcPr>
          <w:p>
            <w:pPr>
              <w:jc w:val="right"/>
              <w:ind w:right="335"/>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686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2012</w:t>
            </w: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Japan</w:t>
            </w:r>
          </w:p>
        </w:tc>
        <w:tc>
          <w:tcPr>
            <w:tcW w:w="146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7"/>
        </w:trPr>
        <w:tc>
          <w:tcPr>
            <w:tcW w:w="68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Other</w:t>
            </w:r>
          </w:p>
        </w:tc>
        <w:tc>
          <w:tcPr>
            <w:tcW w:w="146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
        </w:trPr>
        <w:tc>
          <w:tcPr>
            <w:tcW w:w="686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r>
      <w:tr>
        <w:trPr>
          <w:trHeight w:val="20"/>
        </w:trPr>
        <w:tc>
          <w:tcPr>
            <w:tcW w:w="68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International sales are generally conducted in local currencies, primarily the Japanese Yen, the Euro, the Chinese Renminbi and the Australian Dollar. Our results of operations are impacted by changes in foreign exchange rates, particularly in the value of the Yen, the Euro and Australian Dollar relative to the U.S. Dollar.</w:t>
      </w:r>
    </w:p>
    <w:p>
      <w:pPr>
        <w:spacing w:after="0" w:line="87"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We have placed foreign currency hedges to minimize the risk of currency fluctuations. For fiscal 2014 as compared to fiscal 2013, the effects of foreign exchange resulted in a 1.7% decrease in sales. The primary reason is the relative weakness in the Japanese Yen to the US Dollar. We expect this relative weakness to continue to negatively impact operating income into fiscal 2015. For fiscal 2013 as compared to fiscal 2012, the effects of foreign exchange accounted for a 0.4% increase in sales.</w:t>
      </w:r>
    </w:p>
    <w:p>
      <w:pPr>
        <w:spacing w:after="0" w:line="9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Please see section entitled “Foreign Exchange” in this discussion for a more complete explanation of how foreign currency affects our business and our strategy for managing this exposure.</w:t>
      </w:r>
    </w:p>
    <w:p>
      <w:pPr>
        <w:spacing w:after="0" w:line="7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Net Revenues by Product Type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29,</w:t>
            </w:r>
          </w:p>
        </w:tc>
        <w:tc>
          <w:tcPr>
            <w:tcW w:w="16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30,</w:t>
            </w:r>
          </w:p>
        </w:tc>
        <w:tc>
          <w:tcPr>
            <w:tcW w:w="22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 Increase/(Decrease)</w:t>
            </w: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w w:val="94"/>
              </w:rPr>
              <w:t>% Increase/(Decrease)</w:t>
            </w:r>
          </w:p>
        </w:tc>
      </w:tr>
      <w:tr>
        <w:trPr>
          <w:trHeight w:val="192"/>
        </w:trPr>
        <w:tc>
          <w:tcPr>
            <w:tcW w:w="396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6"/>
                <w:szCs w:val="16"/>
                <w:color w:val="auto"/>
              </w:rPr>
            </w:pPr>
          </w:p>
        </w:tc>
        <w:tc>
          <w:tcPr>
            <w:tcW w:w="1100" w:type="dxa"/>
            <w:vAlign w:val="bottom"/>
          </w:tcPr>
          <w:p>
            <w:pPr>
              <w:jc w:val="right"/>
              <w:ind w:right="436"/>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435"/>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436"/>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14 vs. 13</w:t>
            </w:r>
          </w:p>
        </w:tc>
        <w:tc>
          <w:tcPr>
            <w:tcW w:w="1500" w:type="dxa"/>
            <w:vAlign w:val="bottom"/>
          </w:tcPr>
          <w:p>
            <w:pPr>
              <w:jc w:val="right"/>
              <w:ind w:right="396"/>
              <w:spacing w:after="0"/>
              <w:rPr>
                <w:sz w:val="20"/>
                <w:szCs w:val="20"/>
                <w:color w:val="auto"/>
              </w:rPr>
            </w:pPr>
            <w:r>
              <w:rPr>
                <w:rFonts w:ascii="Arial" w:cs="Arial" w:eastAsia="Arial" w:hAnsi="Arial"/>
                <w:sz w:val="14"/>
                <w:szCs w:val="14"/>
                <w:b w:val="1"/>
                <w:bCs w:val="1"/>
                <w:color w:val="auto"/>
              </w:rPr>
              <w:t>13 vs. 12</w:t>
            </w:r>
          </w:p>
        </w:tc>
      </w:tr>
      <w:tr>
        <w:trPr>
          <w:trHeight w:val="250"/>
        </w:trPr>
        <w:tc>
          <w:tcPr>
            <w:tcW w:w="3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Disposables</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806,834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757,765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594,933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27.4 %</w:t>
            </w: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Software solutions</w:t>
            </w:r>
          </w:p>
        </w:tc>
        <w:tc>
          <w:tcPr>
            <w:tcW w:w="22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70,441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69,952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70,557</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3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&amp; other</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61,234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64,273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62,354</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r>
      <w:tr>
        <w:trPr>
          <w:trHeight w:val="257"/>
        </w:trPr>
        <w:tc>
          <w:tcPr>
            <w:tcW w:w="3960" w:type="dxa"/>
            <w:vAlign w:val="bottom"/>
          </w:tcPr>
          <w:p>
            <w:pPr>
              <w:ind w:left="40"/>
              <w:spacing w:after="0"/>
              <w:rPr>
                <w:sz w:val="20"/>
                <w:szCs w:val="20"/>
                <w:color w:val="auto"/>
              </w:rPr>
            </w:pPr>
            <w:r>
              <w:rPr>
                <w:rFonts w:ascii="Arial" w:cs="Arial" w:eastAsia="Arial" w:hAnsi="Arial"/>
                <w:sz w:val="18"/>
                <w:szCs w:val="18"/>
                <w:b w:val="1"/>
                <w:bCs w:val="1"/>
                <w:color w:val="auto"/>
              </w:rPr>
              <w:t>Net revenues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938,509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891,990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727,844</w:t>
            </w:r>
          </w:p>
        </w:tc>
        <w:tc>
          <w:tcPr>
            <w:tcW w:w="120" w:type="dxa"/>
            <w:vAlign w:val="bottom"/>
          </w:tcPr>
          <w:p>
            <w:pPr>
              <w:spacing w:after="0"/>
              <w:rPr>
                <w:sz w:val="22"/>
                <w:szCs w:val="22"/>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5.2 %</w:t>
            </w:r>
          </w:p>
        </w:tc>
        <w:tc>
          <w:tcPr>
            <w:tcW w:w="100" w:type="dxa"/>
            <w:vAlign w:val="bottom"/>
          </w:tcPr>
          <w:p>
            <w:pPr>
              <w:spacing w:after="0"/>
              <w:rPr>
                <w:sz w:val="22"/>
                <w:szCs w:val="22"/>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22.6 %</w:t>
            </w:r>
          </w:p>
        </w:tc>
      </w:tr>
      <w:tr>
        <w:trPr>
          <w:trHeight w:val="20"/>
        </w:trPr>
        <w:tc>
          <w:tcPr>
            <w:tcW w:w="3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446"/>
        </w:trPr>
        <w:tc>
          <w:tcPr>
            <w:tcW w:w="3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ind w:right="855"/>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Disposables Revenues by Product Type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29,</w:t>
            </w:r>
          </w:p>
        </w:tc>
        <w:tc>
          <w:tcPr>
            <w:tcW w:w="22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30,</w:t>
            </w:r>
          </w:p>
        </w:tc>
        <w:tc>
          <w:tcPr>
            <w:tcW w:w="22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 Increase/(Decrease)</w:t>
            </w: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w w:val="94"/>
              </w:rPr>
              <w:t>% Increase/(Decrease)</w:t>
            </w:r>
          </w:p>
        </w:tc>
      </w:tr>
      <w:tr>
        <w:trPr>
          <w:trHeight w:val="192"/>
        </w:trPr>
        <w:tc>
          <w:tcPr>
            <w:tcW w:w="396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6"/>
                <w:szCs w:val="16"/>
                <w:color w:val="auto"/>
              </w:rPr>
            </w:pPr>
          </w:p>
        </w:tc>
        <w:tc>
          <w:tcPr>
            <w:tcW w:w="1100" w:type="dxa"/>
            <w:vAlign w:val="bottom"/>
          </w:tcPr>
          <w:p>
            <w:pPr>
              <w:jc w:val="right"/>
              <w:ind w:right="43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433"/>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433"/>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14 vs. 13</w:t>
            </w:r>
          </w:p>
        </w:tc>
        <w:tc>
          <w:tcPr>
            <w:tcW w:w="1500" w:type="dxa"/>
            <w:vAlign w:val="bottom"/>
          </w:tcPr>
          <w:p>
            <w:pPr>
              <w:jc w:val="right"/>
              <w:ind w:right="393"/>
              <w:spacing w:after="0"/>
              <w:rPr>
                <w:sz w:val="20"/>
                <w:szCs w:val="20"/>
                <w:color w:val="auto"/>
              </w:rPr>
            </w:pPr>
            <w:r>
              <w:rPr>
                <w:rFonts w:ascii="Arial" w:cs="Arial" w:eastAsia="Arial" w:hAnsi="Arial"/>
                <w:sz w:val="14"/>
                <w:szCs w:val="14"/>
                <w:b w:val="1"/>
                <w:bCs w:val="1"/>
                <w:color w:val="auto"/>
              </w:rPr>
              <w:t>13 vs. 12</w:t>
            </w:r>
          </w:p>
        </w:tc>
      </w:tr>
      <w:tr>
        <w:trPr>
          <w:trHeight w:val="270"/>
        </w:trPr>
        <w:tc>
          <w:tcPr>
            <w:tcW w:w="3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Plasma disposables</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291,895</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268,900</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258,061</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4.2 %</w:t>
            </w:r>
          </w:p>
        </w:tc>
      </w:tr>
      <w:tr>
        <w:trPr>
          <w:trHeight w:val="237"/>
        </w:trPr>
        <w:tc>
          <w:tcPr>
            <w:tcW w:w="3960" w:type="dxa"/>
            <w:vAlign w:val="bottom"/>
          </w:tcPr>
          <w:p>
            <w:pPr>
              <w:ind w:left="40"/>
              <w:spacing w:after="0"/>
              <w:rPr>
                <w:sz w:val="20"/>
                <w:szCs w:val="20"/>
                <w:color w:val="auto"/>
              </w:rPr>
            </w:pPr>
            <w:r>
              <w:rPr>
                <w:rFonts w:ascii="Arial" w:cs="Arial" w:eastAsia="Arial" w:hAnsi="Arial"/>
                <w:sz w:val="18"/>
                <w:szCs w:val="18"/>
                <w:color w:val="auto"/>
              </w:rPr>
              <w:t>Blood center disposables</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r>
      <w:tr>
        <w:trPr>
          <w:trHeight w:val="27"/>
        </w:trPr>
        <w:tc>
          <w:tcPr>
            <w:tcW w:w="3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Platelet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156,643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169,602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167,946</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43"/>
        </w:trPr>
        <w:tc>
          <w:tcPr>
            <w:tcW w:w="3960" w:type="dxa"/>
            <w:vAlign w:val="bottom"/>
          </w:tcPr>
          <w:p>
            <w:pPr>
              <w:ind w:left="180"/>
              <w:spacing w:after="0"/>
              <w:rPr>
                <w:sz w:val="20"/>
                <w:szCs w:val="20"/>
                <w:color w:val="auto"/>
              </w:rPr>
            </w:pPr>
            <w:r>
              <w:rPr>
                <w:rFonts w:ascii="Arial" w:cs="Arial" w:eastAsia="Arial" w:hAnsi="Arial"/>
                <w:sz w:val="18"/>
                <w:szCs w:val="18"/>
                <w:color w:val="auto"/>
              </w:rPr>
              <w:t>Red cell</w:t>
            </w:r>
          </w:p>
        </w:tc>
        <w:tc>
          <w:tcPr>
            <w:tcW w:w="2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42,378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49,733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48,034</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3.5 %</w:t>
            </w:r>
          </w:p>
        </w:tc>
      </w:tr>
      <w:tr>
        <w:trPr>
          <w:trHeight w:val="27"/>
        </w:trPr>
        <w:tc>
          <w:tcPr>
            <w:tcW w:w="3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3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Whole blood</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190,698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138,436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37.8 %</w:t>
            </w: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7"/>
        </w:trPr>
        <w:tc>
          <w:tcPr>
            <w:tcW w:w="39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389,719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357,771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215,980</w:t>
            </w:r>
          </w:p>
        </w:tc>
        <w:tc>
          <w:tcPr>
            <w:tcW w:w="120" w:type="dxa"/>
            <w:vAlign w:val="bottom"/>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8.9 %</w:t>
            </w:r>
          </w:p>
        </w:tc>
        <w:tc>
          <w:tcPr>
            <w:tcW w:w="100" w:type="dxa"/>
            <w:vAlign w:val="bottom"/>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65.7 %</w:t>
            </w:r>
          </w:p>
        </w:tc>
      </w:tr>
      <w:tr>
        <w:trPr>
          <w:trHeight w:val="27"/>
        </w:trPr>
        <w:tc>
          <w:tcPr>
            <w:tcW w:w="3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Hospital disposables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3960" w:type="dxa"/>
            <w:vAlign w:val="bottom"/>
          </w:tcPr>
          <w:p>
            <w:pPr>
              <w:ind w:left="180"/>
              <w:spacing w:after="0"/>
              <w:rPr>
                <w:sz w:val="20"/>
                <w:szCs w:val="20"/>
                <w:color w:val="auto"/>
              </w:rPr>
            </w:pPr>
            <w:r>
              <w:rPr>
                <w:rFonts w:ascii="Arial" w:cs="Arial" w:eastAsia="Arial" w:hAnsi="Arial"/>
                <w:sz w:val="18"/>
                <w:szCs w:val="18"/>
                <w:color w:val="auto"/>
              </w:rPr>
              <w:t>Surgical</w:t>
            </w:r>
          </w:p>
        </w:tc>
        <w:tc>
          <w:tcPr>
            <w:tcW w:w="2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66,876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73,508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66,619</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10.3 %</w:t>
            </w:r>
          </w:p>
        </w:tc>
      </w:tr>
      <w:tr>
        <w:trPr>
          <w:trHeight w:val="27"/>
        </w:trPr>
        <w:tc>
          <w:tcPr>
            <w:tcW w:w="3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OrthoPAT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25,042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30,230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31,186</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3960" w:type="dxa"/>
            <w:vAlign w:val="bottom"/>
          </w:tcPr>
          <w:p>
            <w:pPr>
              <w:ind w:left="180"/>
              <w:spacing w:after="0"/>
              <w:rPr>
                <w:sz w:val="20"/>
                <w:szCs w:val="20"/>
                <w:color w:val="auto"/>
              </w:rPr>
            </w:pPr>
            <w:r>
              <w:rPr>
                <w:rFonts w:ascii="Arial" w:cs="Arial" w:eastAsia="Arial" w:hAnsi="Arial"/>
                <w:sz w:val="18"/>
                <w:szCs w:val="18"/>
                <w:color w:val="auto"/>
              </w:rPr>
              <w:t>Diagnostics</w:t>
            </w:r>
          </w:p>
        </w:tc>
        <w:tc>
          <w:tcPr>
            <w:tcW w:w="2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33,302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27,356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23,087</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21.7 %</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18.5 %</w:t>
            </w:r>
          </w:p>
        </w:tc>
      </w:tr>
      <w:tr>
        <w:trPr>
          <w:trHeight w:val="27"/>
        </w:trPr>
        <w:tc>
          <w:tcPr>
            <w:tcW w:w="3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39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125,220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131,094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120,892</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8.4 %</w:t>
            </w:r>
          </w:p>
        </w:tc>
      </w:tr>
      <w:tr>
        <w:trPr>
          <w:trHeight w:val="257"/>
        </w:trPr>
        <w:tc>
          <w:tcPr>
            <w:tcW w:w="3960" w:type="dxa"/>
            <w:vAlign w:val="bottom"/>
          </w:tcPr>
          <w:p>
            <w:pPr>
              <w:ind w:left="40"/>
              <w:spacing w:after="0"/>
              <w:rPr>
                <w:sz w:val="20"/>
                <w:szCs w:val="20"/>
                <w:color w:val="auto"/>
              </w:rPr>
            </w:pPr>
            <w:r>
              <w:rPr>
                <w:rFonts w:ascii="Arial" w:cs="Arial" w:eastAsia="Arial" w:hAnsi="Arial"/>
                <w:sz w:val="18"/>
                <w:szCs w:val="18"/>
                <w:b w:val="1"/>
                <w:bCs w:val="1"/>
                <w:color w:val="auto"/>
              </w:rPr>
              <w:t>Total disposables revenue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806,834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757,765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594,933</w:t>
            </w:r>
          </w:p>
        </w:tc>
        <w:tc>
          <w:tcPr>
            <w:tcW w:w="120" w:type="dxa"/>
            <w:vAlign w:val="bottom"/>
          </w:tcPr>
          <w:p>
            <w:pPr>
              <w:spacing w:after="0"/>
              <w:rPr>
                <w:sz w:val="22"/>
                <w:szCs w:val="22"/>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6.5 %</w:t>
            </w:r>
          </w:p>
        </w:tc>
        <w:tc>
          <w:tcPr>
            <w:tcW w:w="100" w:type="dxa"/>
            <w:vAlign w:val="bottom"/>
          </w:tcPr>
          <w:p>
            <w:pPr>
              <w:spacing w:after="0"/>
              <w:rPr>
                <w:sz w:val="22"/>
                <w:szCs w:val="22"/>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27.4 %</w:t>
            </w:r>
          </w:p>
        </w:tc>
      </w:tr>
      <w:tr>
        <w:trPr>
          <w:trHeight w:val="20"/>
        </w:trPr>
        <w:tc>
          <w:tcPr>
            <w:tcW w:w="3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Disposables Revenue</w:t>
      </w:r>
    </w:p>
    <w:p>
      <w:pPr>
        <w:spacing w:after="0" w:line="13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Disposables include the Plasma, Blood Center, and Hospital product lines. Disposables revenue increased 6.5% during fiscal 2014 and 27.4% during fiscal 2013. Without the effects of foreign exchange, disposables revenue increased 8.3% and 26.8% for fiscal 2014 and 2013, respectively. This increase was primarily due to a full year of sales from the whole blood business acquired August 1, 2012 as compared to eight months of sales in the prior year, as well as growth in our plasma and diagnostics disposable products.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Plasma</w:t>
      </w:r>
    </w:p>
    <w:p>
      <w:pPr>
        <w:spacing w:after="0" w:line="13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Plasma disposables revenue increased 8.6% during fiscal 2014. Without the effects of foreign exchange, plasma disposables revenue increased 10.3% during fiscal 2014 compared to fiscal 2013. Plasma revenue increased due to higher volumes in the United States and the transition to a direct sales model in Australia and New Zealand. With the completion of multi-year extensions to our agreements with certain bio-pharmaceutical customers, approximately 80% of our current bio-pharmaceutical revenues are under agreement through the first quarter of fiscal 2019.</w:t>
      </w:r>
    </w:p>
    <w:p>
      <w:pPr>
        <w:spacing w:after="0" w:line="7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Plasma disposables revenue increased 4.2% during fiscal 2013. Without the effects of foreign exchange, plasma disposables revenue increased 4.5% during fiscal 2013. Plasma revenue primarily increased due to higher revenue from commercial fractionation customers in the United States, with increased collections more than offsetting price reductions in contract renewals completed in fiscal 2012.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Blood Center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Blood Center consists of disposables used to collect platelets, red cells and whole blood.</w:t>
      </w:r>
    </w:p>
    <w:p>
      <w:pPr>
        <w:spacing w:after="0" w:line="13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Sales to U.S. blood centers represent over 70% of our total red cell and whole blood disposable revenue. The demand for these disposable products in the U.S. has recently declined due to a rapid reduction in demand for blood products associated with actions taken by hospitals to improve blood management techniques and protocols. The decline in U.S. blood center collections was approximately 10% in fiscal 2014, and we expect a similar reduction in collections in fiscal 2015. Additionally, in response to this trend, our U.S. blood center customers are taking actions to improve efficiencies and reduce operating costs, including consolidation amongst blood centers, formation of purchasing affiliations, and focusing on direct supplier costs via vendor consolidation and other means. In fiscal 2014, large U.S. blood collector groups pursued single source vendors for whole blood collection products which required significant reductions in average selling prices in order to retain or increase our share of their business. We expect these U.S. blood collector groups to pursue similar arrangements that will likely affect our red cell revenues in the future.</w:t>
      </w:r>
    </w:p>
    <w:p>
      <w:pPr>
        <w:spacing w:after="0" w:line="8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As mentioned above, our U.S. blood center customers are taking actions to improve efficiencies and reduce operating costs, including formation of purchasing affiliations. As a result, we entered into a multi-year agreement to supply the HemeXcel Purchasing Alliance LLC with certain whole blood collection components on an exclusive basis during the calendar years 2014-2016. The agreement includes a reduction in average selling prices and we anticipate that it will negatively impact our financial results in fiscal 2015. During March 2014, the American Red Cross selected another supplier to provide certain whole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30"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blood products. While this did not impact fiscal 2014 revenues, we anticipate this will reduce annualized revenues approximately $25 million beginning in the first quarter of fiscal 2015.</w:t>
      </w:r>
    </w:p>
    <w:p>
      <w:pPr>
        <w:spacing w:after="0" w:line="7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Platelet disposables revenue decreased 7.6% during fiscal 2014. Without the effects of foreign exchange, platelet disposable revenue decreased 3.8% during fiscal 2014, due primarily to lower revenues in Canada and lower revenues in emerging markets associated with order timing and reductions of distributor inventory levels.</w:t>
      </w:r>
    </w:p>
    <w:p>
      <w:pPr>
        <w:spacing w:after="0" w:line="8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Platelet disposables revenue increased 1.0% during fiscal 2013. Without the effects of foreign exchange, platelet disposable revenue increased 1.0% during fiscal 2013 resulting from continued growth in emerging markets which more than offset declines in mature markets, notably Japan. Revenue growth in Japan was lower due to increased prior year sales resulting from quality issues experienced with a competitor's device in the prior year, and the negative impact of the JRC's purchases in March 2012 to avoid future supply disruptions in anticipation of an internal system conversion.</w:t>
      </w:r>
    </w:p>
    <w:p>
      <w:pPr>
        <w:spacing w:after="0" w:line="7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Red cell disposables revenue decreased 14.8% during fiscal 2014. Without the effects of foreign exchange, red cell disposables revenue decreased 14.3% during fiscal 2014 due to the market factors discussed above.</w:t>
      </w:r>
    </w:p>
    <w:p>
      <w:pPr>
        <w:spacing w:after="0" w:line="7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Red cell disposables revenue increased 3.5% during fiscal 2013. Without the effects of foreign exchange, red cell disposables revenue increased 3.8% during fiscal 2013, due primarily to favorable order timing in North America in the fourth quarter of fiscal 2013.</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Whole blood revenue increased 37.8% during fiscal 2014. Without the effect of foreign exchange, whole blood revenue increased 37.4% during fiscal 2104. Revenue for fiscal 2014 increased due to a full period of sales from the whole blood business acquired August 1, 2012 as compared to 8 months of sales in the prior year period. The increase was partially offset by the negative impact of the U.S. collection market, a European tender loss and a decline in contract manufacturing revenue.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Hospital</w:t>
      </w:r>
    </w:p>
    <w:p>
      <w:pPr>
        <w:spacing w:after="0" w:line="13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Hospital consists of Surgical, OrthoPAT, and Diagnostics products. The hospital product line includes the following brand platforms: the Cell Saver brand, the TEG brand and the OrthoPAT brand.</w:t>
      </w:r>
    </w:p>
    <w:p>
      <w:pPr>
        <w:spacing w:after="0" w:line="7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Surgical disposables revenue consists principally of the Cell Saver products. Revenue from our surgical disposables decreased 9.0% during fiscal 2014. Without the effect of foreign exchange, surgical disposables revenue decreased 5.4% during fiscal 2014. Surgical revenue decreased due to the return to the market of a competitor with aggressive pricing whose operations were limited by a natural disaster in the prior year, and by a reduction in demand for surgical procedures. This decrease was partially offset by growth in emerging markets, primarily China.</w:t>
      </w:r>
    </w:p>
    <w:p>
      <w:pPr>
        <w:spacing w:after="0" w:line="7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Revenue from our surgical disposables increased 10.3% during fiscal 2013. Without the effect of foreign exchange, surgical disposables revenue increased 8.4% for fiscal 2013, with revenue growth realized across all markets we serve. We achieved growth from market acceptance of Cell Saver Elite in the U.S., Europe and Japan, while emerging market growth was realized through increased commercial presence in emerging markets such as China. Surgical revenue also benefited from market share gains due to limited product availability from our primary competitor due to a now resolved supply chain disruption following a natural disaster in Europe.</w:t>
      </w:r>
    </w:p>
    <w:p>
      <w:pPr>
        <w:spacing w:after="0" w:line="9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Revenue from our OrthoPAT disposables decreased 17.2% during fiscal 2014. Without the effect of foreign exchange, OrthoPAT disposables revenue decreased 14.7% as better blood management has reduced orthopedic blood loss and demand for OrthoPAT disposables. Recent trends in blood management particularly the adoption of tranexamic acid to treat and prevent orthopedic post-operative blood loss have continued to reduce hospital use of OrthoPAT disposables.</w:t>
      </w:r>
    </w:p>
    <w:p>
      <w:pPr>
        <w:spacing w:after="0" w:line="9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Revenue from our OrthoPAT disposables decreased 3.1% during fiscal 2013. Without the effect of foreign exchange, OrthoPAT disposables revenue decreased 3.8%, primarily due to lower sales in the United States as device utilization by smaller hospitals has declined following the voluntary recall of the OrthoPAT device in fiscal 2012.</w:t>
      </w:r>
    </w:p>
    <w:p>
      <w:pPr>
        <w:spacing w:after="0" w:line="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Diagnostics product revenue consists of the TEG products. Revenues from TEG customer increased 21.7% during fiscal 2014. Without the effect of foreign exchange, diagnostic product revenue increased 20.0%. The revenue increase is due to continued adoption of our TEG analyzer, principally in the United States and China.</w:t>
      </w:r>
    </w:p>
    <w:p>
      <w:pPr>
        <w:spacing w:after="0" w:line="87"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Revenue from our diagnostics products increased 18.5% during fiscal 2013. Without the effect of foreign exchange, diagnostic product revenue increased 17.0%. The revenue increase is due to continued adoption of our TEG analyzer, principally in the United States and China.</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30"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29,</w:t>
            </w:r>
          </w:p>
        </w:tc>
        <w:tc>
          <w:tcPr>
            <w:tcW w:w="24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30,</w:t>
            </w:r>
          </w:p>
        </w:tc>
        <w:tc>
          <w:tcPr>
            <w:tcW w:w="24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6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 Increase/(Decrease)</w:t>
            </w: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w w:val="94"/>
              </w:rPr>
              <w:t>% Increase/(Decrease)</w:t>
            </w:r>
          </w:p>
        </w:tc>
      </w:tr>
      <w:tr>
        <w:trPr>
          <w:trHeight w:val="192"/>
        </w:trPr>
        <w:tc>
          <w:tcPr>
            <w:tcW w:w="394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6"/>
                <w:szCs w:val="16"/>
                <w:color w:val="auto"/>
              </w:rPr>
            </w:pPr>
          </w:p>
        </w:tc>
        <w:tc>
          <w:tcPr>
            <w:tcW w:w="1120" w:type="dxa"/>
            <w:vAlign w:val="bottom"/>
          </w:tcPr>
          <w:p>
            <w:pPr>
              <w:jc w:val="right"/>
              <w:ind w:right="437"/>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457"/>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14 vs. 13</w:t>
            </w:r>
          </w:p>
        </w:tc>
        <w:tc>
          <w:tcPr>
            <w:tcW w:w="1500" w:type="dxa"/>
            <w:vAlign w:val="bottom"/>
          </w:tcPr>
          <w:p>
            <w:pPr>
              <w:jc w:val="right"/>
              <w:ind w:right="397"/>
              <w:spacing w:after="0"/>
              <w:rPr>
                <w:sz w:val="20"/>
                <w:szCs w:val="20"/>
                <w:color w:val="auto"/>
              </w:rPr>
            </w:pPr>
            <w:r>
              <w:rPr>
                <w:rFonts w:ascii="Arial" w:cs="Arial" w:eastAsia="Arial" w:hAnsi="Arial"/>
                <w:sz w:val="14"/>
                <w:szCs w:val="14"/>
                <w:b w:val="1"/>
                <w:bCs w:val="1"/>
                <w:color w:val="auto"/>
              </w:rPr>
              <w:t>13 vs. 12</w:t>
            </w:r>
          </w:p>
        </w:tc>
      </w:tr>
      <w:tr>
        <w:trPr>
          <w:trHeight w:val="250"/>
        </w:trPr>
        <w:tc>
          <w:tcPr>
            <w:tcW w:w="39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 solutions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70,441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69,952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70,557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Equipment and other</w:t>
            </w:r>
          </w:p>
        </w:tc>
        <w:tc>
          <w:tcPr>
            <w:tcW w:w="22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61,234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64,273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62,354</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3.1 %</w:t>
            </w:r>
          </w:p>
        </w:tc>
      </w:tr>
      <w:tr>
        <w:trPr>
          <w:trHeight w:val="27"/>
        </w:trPr>
        <w:tc>
          <w:tcPr>
            <w:tcW w:w="3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other revenues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131,675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134,225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132,911</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1.0 %</w:t>
            </w:r>
          </w:p>
        </w:tc>
      </w:tr>
      <w:tr>
        <w:trPr>
          <w:trHeight w:val="20"/>
        </w:trPr>
        <w:tc>
          <w:tcPr>
            <w:tcW w:w="3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Software Solutions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Our software solutions revenue includes sales of our information technology software platforms and consulting services.</w:t>
      </w:r>
    </w:p>
    <w:p>
      <w:pPr>
        <w:spacing w:after="0" w:line="131"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Software solutions revenue increased 0.7% during fiscal 2014. Without the effects of foreign exchange, software solutions revenue increased 0.1% during fiscal 2014. During fiscal 2014, growth in hospital software revenue was offset by lower hosting fees associated with a large bio-pharmaceutical customer.</w:t>
      </w:r>
    </w:p>
    <w:p>
      <w:pPr>
        <w:spacing w:after="0" w:line="29"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Software solutions revenue decreased 0.9% during fiscal 2013. Without the effects of foreign exchange, software solutions revenue increased 0.2% during fiscal 2013. Installed base growth in hospital-based solutions, SafeTraceTX and BloodTrack, which was offset by declines in plasma software revenue.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Equipment &amp; Other</w:t>
      </w:r>
    </w:p>
    <w:p>
      <w:pPr>
        <w:spacing w:after="0" w:line="13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Our equipment and other revenues include revenue from equipment sales, repairs performed under preventive maintenance contracts or emergency service visits, spare part sales, and various service and training programs. These revenues are primarily composed of equipment sales, which tend to vary from period to period more than our disposable product line due to the timing of order patterns, particularly in our distribution markets.</w:t>
      </w:r>
    </w:p>
    <w:p>
      <w:pPr>
        <w:spacing w:after="0" w:line="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Equipment and other revenue decreased 4.7% during fiscal 2014. Without the effects of currency exchange, equipment and other revenue decreased 2.0%. The decrease in revenue during fiscal 2014 is due primarily to benefits in the prior year from a competitor whose operations were limited by a natural disaster and the successful launch of the Cell Saver Elite, partially offset by higher services revenue associated with a transition to a direct sales model in Australia and New Zealand.</w:t>
      </w:r>
    </w:p>
    <w:p>
      <w:pPr>
        <w:spacing w:after="0" w:line="92"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Equipment and other revenue increased 3.1% during fiscal 2013. Without the effect of currency exchange, equipment and other revenue increased 3.2%. The increase is due primarily to higher TEG equipment sales in China and higher surgical equipment sales across multiple markets.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March 29,</w:t>
            </w:r>
          </w:p>
        </w:tc>
        <w:tc>
          <w:tcPr>
            <w:tcW w:w="240" w:type="dxa"/>
            <w:vAlign w:val="bottom"/>
          </w:tcPr>
          <w:p>
            <w:pPr>
              <w:spacing w:after="0"/>
              <w:rPr>
                <w:sz w:val="14"/>
                <w:szCs w:val="14"/>
                <w:color w:val="auto"/>
              </w:rPr>
            </w:pPr>
          </w:p>
        </w:tc>
        <w:tc>
          <w:tcPr>
            <w:tcW w:w="12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March 30,</w:t>
            </w:r>
          </w:p>
        </w:tc>
        <w:tc>
          <w:tcPr>
            <w:tcW w:w="240" w:type="dxa"/>
            <w:vAlign w:val="bottom"/>
          </w:tcPr>
          <w:p>
            <w:pPr>
              <w:spacing w:after="0"/>
              <w:rPr>
                <w:sz w:val="14"/>
                <w:szCs w:val="14"/>
                <w:color w:val="auto"/>
              </w:rPr>
            </w:pPr>
          </w:p>
        </w:tc>
        <w:tc>
          <w:tcPr>
            <w:tcW w:w="12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March 31,</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5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Increase/(Decrease)</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92"/>
        </w:trPr>
        <w:tc>
          <w:tcPr>
            <w:tcW w:w="388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6"/>
                <w:szCs w:val="16"/>
                <w:color w:val="auto"/>
              </w:rPr>
            </w:pPr>
          </w:p>
        </w:tc>
        <w:tc>
          <w:tcPr>
            <w:tcW w:w="1160" w:type="dxa"/>
            <w:vAlign w:val="bottom"/>
          </w:tcPr>
          <w:p>
            <w:pPr>
              <w:jc w:val="right"/>
              <w:ind w:right="479"/>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499"/>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479"/>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14 vs. 13</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8"/>
              </w:rPr>
              <w:t>13 vs. 12</w:t>
            </w:r>
          </w:p>
        </w:tc>
        <w:tc>
          <w:tcPr>
            <w:tcW w:w="0" w:type="dxa"/>
            <w:vAlign w:val="bottom"/>
          </w:tcPr>
          <w:p>
            <w:pPr>
              <w:spacing w:after="0"/>
              <w:rPr>
                <w:sz w:val="1"/>
                <w:szCs w:val="1"/>
                <w:color w:val="auto"/>
              </w:rPr>
            </w:pPr>
          </w:p>
        </w:tc>
      </w:tr>
      <w:tr>
        <w:trPr>
          <w:trHeight w:val="250"/>
        </w:trPr>
        <w:tc>
          <w:tcPr>
            <w:tcW w:w="3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468,365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428,131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369,240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gross profit increased 9.4% during fiscal 2014. Without the effects of foreign exchange, gross profit increased 12.0% during fiscal 2014. Our gross profit margin percentage increased by 190 basis points for fiscal 2014 as compared to fiscal 2013. The increase in gross profit margin for the fiscal year ended March 29, 2014 is primarily driven by lower whole blood related inventory charges. During fiscal 2013, we recorded inventory reserves associated with the removal of certain whole blood collection sets from inventory based on a quality matter detected during the year. We also recorded significant inventory step-up charges related to acquired whole blood inventory. Improvements to reported gross margin excluding the inventory adjustments noted also included improvements in manufacturing efficiencies. These increases were partially offset by the impact of foreign currency.</w:t>
      </w:r>
    </w:p>
    <w:p>
      <w:pPr>
        <w:spacing w:after="0" w:line="8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gross profit amount increased 15.9% during fiscal 2013. Without the effects of foreign exchange, gross profit increased 13.8%. Our gross profit margin percentage decreased by 270 basis points for fiscal 2013 as compared to fiscal 2012. The decrease in gross profit margin during 2013 includes $11.9 million of costs of goods sold related to the increase in fair value of acquisition-related whole blood inventory acquired from Pall as well as an approximately $7.0 million inventory reserve recorded related to a quality matter. This reserve is related to the removal of affected whole blood collection sets from inventory for destruction or rework based on a quality matter detected during the third quarter of fiscal 2013. Additionally, the decrease in gross profit margin included the combined impact of whole blood disposable sales, as whole blood gross margins are lower than gross margins for our complete product line. These decreases were partially offset by reduced equipment depreciation expense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30"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a result of a change in estimated useful lives implemented during the year ended March 30, 2013. The effect of this change in estimate was a reduction of depreciation expense in fiscal 2013 by $4.5 million, an increase in income net of tax of $3.3 million and an increase in basic and diluted earnings per share of $0.09.</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March 29,</w:t>
            </w:r>
          </w:p>
        </w:tc>
        <w:tc>
          <w:tcPr>
            <w:tcW w:w="260" w:type="dxa"/>
            <w:vAlign w:val="bottom"/>
          </w:tcPr>
          <w:p>
            <w:pPr>
              <w:spacing w:after="0"/>
              <w:rPr>
                <w:sz w:val="14"/>
                <w:szCs w:val="14"/>
                <w:color w:val="auto"/>
              </w:rPr>
            </w:pPr>
          </w:p>
        </w:tc>
        <w:tc>
          <w:tcPr>
            <w:tcW w:w="12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March 30,</w:t>
            </w:r>
          </w:p>
        </w:tc>
        <w:tc>
          <w:tcPr>
            <w:tcW w:w="240" w:type="dxa"/>
            <w:vAlign w:val="bottom"/>
          </w:tcPr>
          <w:p>
            <w:pPr>
              <w:spacing w:after="0"/>
              <w:rPr>
                <w:sz w:val="14"/>
                <w:szCs w:val="14"/>
                <w:color w:val="auto"/>
              </w:rPr>
            </w:pPr>
          </w:p>
        </w:tc>
        <w:tc>
          <w:tcPr>
            <w:tcW w:w="12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March 31,</w:t>
            </w:r>
          </w:p>
        </w:tc>
        <w:tc>
          <w:tcPr>
            <w:tcW w:w="15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 Increase/(Decrease)</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92"/>
        </w:trPr>
        <w:tc>
          <w:tcPr>
            <w:tcW w:w="386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6"/>
                <w:szCs w:val="16"/>
                <w:color w:val="auto"/>
              </w:rPr>
            </w:pPr>
          </w:p>
        </w:tc>
        <w:tc>
          <w:tcPr>
            <w:tcW w:w="1160" w:type="dxa"/>
            <w:vAlign w:val="bottom"/>
          </w:tcPr>
          <w:p>
            <w:pPr>
              <w:jc w:val="right"/>
              <w:ind w:right="47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47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474"/>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14 vs. 13</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8"/>
              </w:rPr>
              <w:t>13 vs. 12</w:t>
            </w:r>
          </w:p>
        </w:tc>
        <w:tc>
          <w:tcPr>
            <w:tcW w:w="0" w:type="dxa"/>
            <w:vAlign w:val="bottom"/>
          </w:tcPr>
          <w:p>
            <w:pPr>
              <w:spacing w:after="0"/>
              <w:rPr>
                <w:sz w:val="1"/>
                <w:szCs w:val="1"/>
                <w:color w:val="auto"/>
              </w:rPr>
            </w:pPr>
          </w:p>
        </w:tc>
      </w:tr>
      <w:tr>
        <w:trPr>
          <w:trHeight w:val="250"/>
        </w:trPr>
        <w:tc>
          <w:tcPr>
            <w:tcW w:w="3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54,200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44,394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36,801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5.1%</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365,127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323,053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243,681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13.0 %</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38.9%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36.2%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33.5%</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write-downs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1,711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4,247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gridSpan w:val="2"/>
          </w:tcPr>
          <w:p>
            <w:pPr>
              <w:ind w:left="820"/>
              <w:spacing w:after="0"/>
              <w:rPr>
                <w:sz w:val="20"/>
                <w:szCs w:val="20"/>
                <w:color w:val="auto"/>
              </w:rPr>
            </w:pPr>
            <w:r>
              <w:rPr>
                <w:rFonts w:ascii="Arial" w:cs="Arial" w:eastAsia="Arial" w:hAnsi="Arial"/>
                <w:sz w:val="18"/>
                <w:szCs w:val="18"/>
                <w:i w:val="1"/>
                <w:iCs w:val="1"/>
                <w:color w:val="auto"/>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421,038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371,694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280,482</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13.3 %</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3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Research and development increased 22.1% during fiscal 2014. This increase includes a $3.6 million in-process research and development charge related to the acquisition of certain technology and manufacturing rights to be used in a next generation device, which was recorded during the second quarter of 2014. Excluding the impact of the in-process research and development charge, research and development was 5.4% of net revenues. Other increases are primarily due to additional staff and program spending related to the whole blood acquisitions, new research initiatives and development programs.</w:t>
      </w:r>
    </w:p>
    <w:p>
      <w:pPr>
        <w:spacing w:after="0" w:line="6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Research and development increased 20.6% during fiscal 2013. This increase is primarily due to additional staff and program spending related to the whole blood acquisition and related product initiatives, as well as a general increase in development programs to support long-term product plans and increase our competitiveness.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3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fiscal 2014, selling, general and administrative expenses increased 13.0%. Without the effects of foreign exchange, selling, general and administrative expenses increased 15.0% during fiscal 2014. The increase during fiscal 2014 is primarily related to a $21.1 million increase in restructuring and transformation costs due to VCC initiatives. We also incurred incremental costs of approximately $21.0 million associated with operating the whole blood business for the entire year as compared to eight months in the prior year, of which approximately $7.0 million relates to the amortization of acquired intangible assets.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During fiscal 2013, selling, general and administrative expenses increased 32.6%. Without the effects of foreign exchange, selling, general and administrative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expenses increased 30.6% during fiscal 2013. This increase includes acquisition and integration expenses associated with the whole blood acquisition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$37.3 million compared to approximately $3.0 million of whole blood transaction costs incurred in fiscal 2012. We also incurred approximately $35.2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expenses associated with operating the whole blood business following the August 1, 2012 acquisition, of which approximately $10.5 million relates to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amortization of acquired intangible assets. The remainder of the growth is related to investments in the global sales organization, particularly emerging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markets, and information technology infrastructure to support increased revenue levels. We also incurred higher incentive compensation in fiscal 2013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financial performance versus established financial targets improved as compared to fiscal 2012.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Write-Down</w:t>
      </w:r>
    </w:p>
    <w:p>
      <w:pPr>
        <w:spacing w:after="0" w:line="13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recorded an asset write-down of $1.7 million in the fourth quarter of fiscal 2014 associated with exit activities related to our VCC and integration initiatives.</w:t>
      </w:r>
    </w:p>
    <w:p>
      <w:pPr>
        <w:spacing w:after="0" w:line="7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recorded an asset write-down of $4.2 million in the fourth quarter of fiscal 2013 associated with exit activities related to technologies originally acquired from Arryx, Inc.</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30"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3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Other expense, net, increased during fiscal 2014 as compared to the same periods of fiscal 2013 primarily due to $4.4 million of incremental interest expense from the term loan established in connection with the whole blood acquisition. The effective interest rate on the term loan outstanding as of March 29, 2014 is approximately 1.89%.</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March 29,</w:t>
            </w: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March 30,</w:t>
            </w: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March 31,</w:t>
            </w: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 Increase/(Decrease)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 Increase/(Decrease)</w:t>
            </w:r>
          </w:p>
        </w:tc>
      </w:tr>
      <w:tr>
        <w:trPr>
          <w:trHeight w:val="192"/>
        </w:trPr>
        <w:tc>
          <w:tcPr>
            <w:tcW w:w="3840" w:type="dxa"/>
            <w:vAlign w:val="bottom"/>
          </w:tcPr>
          <w:p>
            <w:pPr>
              <w:spacing w:after="0"/>
              <w:rPr>
                <w:sz w:val="16"/>
                <w:szCs w:val="16"/>
                <w:color w:val="auto"/>
              </w:rPr>
            </w:pPr>
          </w:p>
        </w:tc>
        <w:tc>
          <w:tcPr>
            <w:tcW w:w="1400" w:type="dxa"/>
            <w:vAlign w:val="bottom"/>
          </w:tcPr>
          <w:p>
            <w:pPr>
              <w:jc w:val="right"/>
              <w:ind w:right="48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1400" w:type="dxa"/>
            <w:vAlign w:val="bottom"/>
          </w:tcPr>
          <w:p>
            <w:pPr>
              <w:jc w:val="right"/>
              <w:ind w:right="48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1400" w:type="dxa"/>
            <w:vAlign w:val="bottom"/>
          </w:tcPr>
          <w:p>
            <w:pPr>
              <w:jc w:val="right"/>
              <w:ind w:right="48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14 vs. 13</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8"/>
              </w:rPr>
              <w:t>13 vs. 12</w:t>
            </w:r>
          </w:p>
        </w:tc>
      </w:tr>
      <w:tr>
        <w:trPr>
          <w:trHeight w:val="243"/>
        </w:trPr>
        <w:tc>
          <w:tcPr>
            <w:tcW w:w="38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Reported income tax rate</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CEEFF"/>
            </w:tcBorders>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top w:val="single" w:sz="8" w:color="CCEEFF"/>
            </w:tcBorders>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38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Reported Tax Rate</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conduct business globally and as a result report our results of operations in a number of foreign jurisdictions and the United States. Our reported tax rate is lower than the U.S. statutory tax rate in all periods due primarily to our jurisdictional mix of earnings as the income earned in our foreign subsidiaries is taxed at a lower tax rate.</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reported tax rate for the year ended March 29, 2014 was 3.4%. Our tax rate is lower than our tax rates of 22.2% and 25.3% for the years ended March 30, 2013 and March 21, 2012, respectively. The decrease in our tax rate is primarily due to changes in our jurisdictional mix of earnings, a bad debt deduction claimed on an intercompany loan and the release of certain previously established tax reserves in connection with the closure of certain tax statutes of limitations.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30"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certain key performance indicators we believe depict our liquidity and cash flow position: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29,</w:t>
            </w:r>
          </w:p>
        </w:tc>
        <w:tc>
          <w:tcPr>
            <w:tcW w:w="260" w:type="dxa"/>
            <w:vAlign w:val="bottom"/>
          </w:tcPr>
          <w:p>
            <w:pPr>
              <w:spacing w:after="0"/>
              <w:rPr>
                <w:sz w:val="14"/>
                <w:szCs w:val="14"/>
                <w:color w:val="auto"/>
              </w:rPr>
            </w:pPr>
          </w:p>
        </w:tc>
        <w:tc>
          <w:tcPr>
            <w:tcW w:w="1220" w:type="dxa"/>
            <w:vAlign w:val="bottom"/>
          </w:tcPr>
          <w:p>
            <w:pPr>
              <w:jc w:val="right"/>
              <w:ind w:right="357"/>
              <w:spacing w:after="0"/>
              <w:rPr>
                <w:sz w:val="20"/>
                <w:szCs w:val="20"/>
                <w:color w:val="auto"/>
              </w:rPr>
            </w:pPr>
            <w:r>
              <w:rPr>
                <w:rFonts w:ascii="Arial" w:cs="Arial" w:eastAsia="Arial" w:hAnsi="Arial"/>
                <w:sz w:val="14"/>
                <w:szCs w:val="14"/>
                <w:b w:val="1"/>
                <w:bCs w:val="1"/>
                <w:color w:val="auto"/>
              </w:rPr>
              <w:t>March 30,</w:t>
            </w:r>
          </w:p>
        </w:tc>
      </w:t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2013</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&amp;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192,469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179,120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406,048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416,866</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ratio</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3.3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debt position (1)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(245,218)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(300,974)</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Days sales outstanding (DSO)</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62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Disposables finished goods inventory turnover</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4.0</w:t>
            </w:r>
          </w:p>
        </w:tc>
      </w:tr>
      <w:tr>
        <w:trPr>
          <w:trHeight w:val="191"/>
        </w:trPr>
        <w:tc>
          <w:tcPr>
            <w:tcW w:w="8340" w:type="dxa"/>
            <w:vAlign w:val="bottom"/>
          </w:tcPr>
          <w:p>
            <w:pPr>
              <w:spacing w:after="0"/>
              <w:rPr>
                <w:sz w:val="20"/>
                <w:szCs w:val="20"/>
                <w:color w:val="auto"/>
              </w:rPr>
            </w:pPr>
            <w:r>
              <w:rPr>
                <w:rFonts w:ascii="Arial" w:cs="Arial" w:eastAsia="Arial" w:hAnsi="Arial"/>
                <w:sz w:val="14"/>
                <w:szCs w:val="14"/>
                <w:color w:val="auto"/>
              </w:rPr>
              <w:t>_______________________________________</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bl>
    <w:p>
      <w:pPr>
        <w:spacing w:after="0" w:line="3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Net debt position is the sum of cash and cash equivalents less total debt.</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capital resources consist of cash and cash equivalents, our ability to generate cash flow from operations and available borrowings under our credit facility and lines of credit. As discussed earlier in Management’s Discussion and Analysis, during fiscal 2014 our business was negatively impacted by changes in blood management practices and actions taken by U.S. blood center customers in response to related reductions in demand for blood products. We expect these trends to continue to negatively impact revenue and cash flow from operations in fiscal 2015, including the loss of revenues from the American Red Cross whole blood contract.</w:t>
      </w:r>
    </w:p>
    <w:p>
      <w:pPr>
        <w:spacing w:after="0" w:line="18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During fiscal 2014 we initiated the VCC program that includes a significant transformation of our manufacturing network designed to reduce product costs and increase the efficiency of our supply chain. The program has and will require cash expenditures for plant exit and closure costs including separation benefits, new plant construction and temporary increases in inventory levels as manufacturing is transitioned to new facilities. We paid $72.9 million in cash related to restructuring, transformation costs and capital expenditures associated with the VCC initiatives during fiscal 2014. We estimate we will pay an additional $100.0 million in cash in fiscal 2015 related to our VCC initiatives, including our manufacturing network optimization and commercial excellence and productivity activities.</w:t>
      </w:r>
    </w:p>
    <w:p>
      <w:pPr>
        <w:spacing w:after="0" w:line="19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 of March 29, 2014, we had approximately $192.5 million in cash and cash equivalents. We currently have a credit facility with certain lenders which provides for a $475.0 million term loan and a $50.0 million revolving loan. The credit facility has a term of five years and matures on August 1, 2017. As of March 29, 2014, $437.9 million of the term loan was outstanding, and all $50.0 million of the revolving credit facility was undrawn. We also have lines of credit to fund our global operations and there are no outstanding borrowings as of March 29, 2014. The credit facility contains covenants requiring us to maintain certain financial ratios. Any failure to comply with the financial and or other operating covenants of the credit facility would prevent us from being able to borrow under the revolving credit facility and would constitute a default, which could result in, among other things, the amounts outstanding including all accrued interest and unpaid fees, becoming immediately due and payable. As of March 29, 2014, we were in compliance with the covenants.</w:t>
      </w:r>
    </w:p>
    <w:p>
      <w:pPr>
        <w:spacing w:after="0" w:line="16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 xml:space="preserve">Our primary sources of liquidity are cash and cash equivalents, internally generated cash flow from operations and option exercises. Although cash flow from operations will be negatively impacted by the trends noted above, we believe these sources are sufficient to fund our cash requirements over at least the next twelve months, as expected which are primarily payments associated with VCC initiatives described above, share repurchases, capital expenditures, cash payments under the loan agreement, investments and other acquisitions. These are described in more detail in </w:t>
      </w:r>
      <w:r>
        <w:rPr>
          <w:rFonts w:ascii="Arial" w:cs="Arial" w:eastAsia="Arial" w:hAnsi="Arial"/>
          <w:sz w:val="16"/>
          <w:szCs w:val="16"/>
          <w:i w:val="1"/>
          <w:iCs w:val="1"/>
          <w:color w:val="auto"/>
        </w:rPr>
        <w:t>Contractual Obligations</w:t>
      </w:r>
      <w:r>
        <w:rPr>
          <w:rFonts w:ascii="Arial" w:cs="Arial" w:eastAsia="Arial" w:hAnsi="Arial"/>
          <w:sz w:val="16"/>
          <w:szCs w:val="16"/>
          <w:color w:val="auto"/>
        </w:rPr>
        <w:t xml:space="preserve"> below.</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30"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Overview: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29,</w:t>
            </w:r>
          </w:p>
        </w:tc>
        <w:tc>
          <w:tcPr>
            <w:tcW w:w="24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30,</w:t>
            </w:r>
          </w:p>
        </w:tc>
        <w:tc>
          <w:tcPr>
            <w:tcW w:w="22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4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Increase/(Decrease)</w:t>
            </w:r>
          </w:p>
        </w:tc>
        <w:tc>
          <w:tcPr>
            <w:tcW w:w="136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w w:val="93"/>
              </w:rPr>
              <w:t>Increase/(Decrease)</w:t>
            </w:r>
          </w:p>
        </w:tc>
        <w:tc>
          <w:tcPr>
            <w:tcW w:w="0" w:type="dxa"/>
            <w:vAlign w:val="bottom"/>
          </w:tcPr>
          <w:p>
            <w:pPr>
              <w:spacing w:after="0"/>
              <w:rPr>
                <w:sz w:val="1"/>
                <w:szCs w:val="1"/>
                <w:color w:val="auto"/>
              </w:rPr>
            </w:pPr>
          </w:p>
        </w:tc>
      </w:tr>
      <w:tr>
        <w:trPr>
          <w:trHeight w:val="192"/>
        </w:trPr>
        <w:tc>
          <w:tcPr>
            <w:tcW w:w="412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6"/>
                <w:szCs w:val="16"/>
                <w:color w:val="auto"/>
              </w:rPr>
            </w:pPr>
          </w:p>
        </w:tc>
        <w:tc>
          <w:tcPr>
            <w:tcW w:w="1160" w:type="dxa"/>
            <w:vAlign w:val="bottom"/>
          </w:tcPr>
          <w:p>
            <w:pPr>
              <w:jc w:val="right"/>
              <w:ind w:right="475"/>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455"/>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455"/>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14 vs. 13</w:t>
            </w:r>
          </w:p>
        </w:tc>
        <w:tc>
          <w:tcPr>
            <w:tcW w:w="260" w:type="dxa"/>
            <w:vAlign w:val="bottom"/>
          </w:tcPr>
          <w:p>
            <w:pPr>
              <w:spacing w:after="0"/>
              <w:rPr>
                <w:sz w:val="16"/>
                <w:szCs w:val="16"/>
                <w:color w:val="auto"/>
              </w:rPr>
            </w:pPr>
          </w:p>
        </w:tc>
        <w:tc>
          <w:tcPr>
            <w:tcW w:w="1100" w:type="dxa"/>
            <w:vAlign w:val="bottom"/>
          </w:tcPr>
          <w:p>
            <w:pPr>
              <w:jc w:val="right"/>
              <w:ind w:right="333"/>
              <w:spacing w:after="0"/>
              <w:rPr>
                <w:sz w:val="20"/>
                <w:szCs w:val="20"/>
                <w:color w:val="auto"/>
              </w:rPr>
            </w:pPr>
            <w:r>
              <w:rPr>
                <w:rFonts w:ascii="Arial" w:cs="Arial" w:eastAsia="Arial" w:hAnsi="Arial"/>
                <w:sz w:val="14"/>
                <w:szCs w:val="14"/>
                <w:b w:val="1"/>
                <w:bCs w:val="1"/>
                <w:color w:val="auto"/>
              </w:rPr>
              <w:t>13 vs. 12</w:t>
            </w: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139,524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85,074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115,318</w:t>
            </w:r>
          </w:p>
        </w:tc>
        <w:tc>
          <w:tcPr>
            <w:tcW w:w="100" w:type="dxa"/>
            <w:vAlign w:val="bottom"/>
          </w:tcPr>
          <w:p>
            <w:pPr>
              <w:spacing w:after="0"/>
              <w:rPr>
                <w:sz w:val="21"/>
                <w:szCs w:val="21"/>
                <w:color w:val="auto"/>
              </w:rPr>
            </w:pPr>
          </w:p>
        </w:tc>
        <w:tc>
          <w:tcPr>
            <w:tcW w:w="280" w:type="dxa"/>
            <w:vAlign w:val="bottom"/>
          </w:tcPr>
          <w:p>
            <w:pPr>
              <w:jc w:val="right"/>
              <w:ind w:right="76"/>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54,450</w:t>
            </w:r>
          </w:p>
        </w:tc>
        <w:tc>
          <w:tcPr>
            <w:tcW w:w="120" w:type="dxa"/>
            <w:vAlign w:val="bottom"/>
          </w:tcPr>
          <w:p>
            <w:pPr>
              <w:spacing w:after="0"/>
              <w:rPr>
                <w:sz w:val="21"/>
                <w:szCs w:val="21"/>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(30,244)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(105,830)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(596,395)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490,565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(544,199)</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(20,700)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461,853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(30,470)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(482,553)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492,323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Effect of exchange rate changes on cash and cash</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equivalents(1)</w:t>
            </w: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w w:val="88"/>
              </w:rPr>
              <w:t>Net increase/(decrease) in cash and cash equivalents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13,349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(49,741)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32,154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63,090</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(81,895)</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w:t>
            </w: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1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660" w:right="18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balance sheet is affected by spot exchange rates used to translate local currency amounts into U.S. dollars. In accordance with GAAP, we have eliminated the effect of foreign currency throughout our cash flow statement, except for its effect on our cash and cash equivalents.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In fiscal 2014, the Company did not repurchase shares of its common stock.</w:t>
      </w:r>
    </w:p>
    <w:p>
      <w:pPr>
        <w:spacing w:after="0" w:line="13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 fiscal 2013, the Company repurchased approximately 1.2 million shares of its common stock for an aggregate purchase price of $50.0 million. This completed a $50.0 million share repurchase program that was announced in April 2012.</w:t>
      </w:r>
    </w:p>
    <w:p>
      <w:pPr>
        <w:spacing w:after="0" w:line="7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 fiscal 2012, the Company repurchased approximately 1.8 million shares of its common stock for an aggregate purchase price of $50.0 million. This completed a $50.0 million share repurchase program that was announced in May 2011.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Net cash provided by operating activities was $139.5 million during fiscal 2014, an increase of $54.5 million as compared to fiscal 2013 primarily due to higher cash receipts associated with strong collections which more than offset increased expenditures for inventory. Additionally, initial investments in accounts receivable were required in fiscal 2013 as existing accounts receivable were not acquired in the whole blood acquisition, negatively impacting net cash provided by operating activities in the prior year.</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Net cash provided by operating activities was $85.1 million during fiscal 2013, a decrease of $30.2 million as compared to fiscal 2012 primarily due to higher payments of acquisition and integration related costs and working capital investments related to sales from the whole blood business, as accounts receivable were not included in the acquired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Net cash used in investing activities was $105.8 million during fiscal 2014, a decrease of $490.6 million as compared to fiscal 2013 primarily due to the</w:t>
      </w:r>
    </w:p>
    <w:p>
      <w:pPr>
        <w:spacing w:after="0" w:line="3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$535.2 million paid for the whole blood acquisition, of which $475.0 million was funded by term loan borrowings discussed above. Investing activities also included $23.1 million paid for the acquisition of Hemerus Medical, LLC, and $73.6 million of capital expenditures including $18.0 million related to our manufacturing network transformation activities.</w:t>
      </w:r>
    </w:p>
    <w:p>
      <w:pPr>
        <w:spacing w:after="0" w:line="1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Net cash used in investing activities was $596.4 million during fiscal 2013, an increase of $544.2 million as compared to fiscal 2012 due to the use of $535.2 million to acquire the whole blood business, of which $475.0 million was funded by term loan borrowings discussed above. The increase in net cash used in investing activities also included higher capital expenditures primarily related to the expansion of our installed equipment base with customers, particularly for plasma and hospital equipment.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Net cash used in financing activities was $20.7 million during fiscal 2014, a decrease of $482.6 million as compared to fiscal 2013 primarily due to the $475.0 million term loan borrowed in fiscal 2013 to finance the whole blood acquisition. Financing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30"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activities included $22.8 million of proceeds from the exercise of share-based compensation, offset by $37.1 million of debt repayments related to term loan repayments and an additional $5.5 million of short term debt repayments in foreign jurisdictions.</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Net cash provided by financing activities was $461.9 million during the fiscal 2013, an increase of $492.3 million as compared to the fiscal 2012, due primarily to a $475.0 million term loan used to finance the whole blood acquisition, $15.1 million of incremental proceeds from the exercise of share-based compensation and $5.6 million of short term borrowings from the fluctuation of working capital in Japan. These were offset by $5.5 million of debt issuance costs paid related to the term loan closing. Net cash used to fund share repurchases under common stock repurchase programs was $50.0 million during fiscal 2013 and 2012.</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contractual and commercial commitments as of March 29, 2014,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Payments Due by Period</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2"/>
              </w:rPr>
              <w:t>Less than 1 year</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1-3 years</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4-5 years</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After 5 years</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437,687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45,630</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249,947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142,110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22,928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6,991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8,498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7,439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commitments*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110,678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95,678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Expected retirement plan benefit payments</w:t>
            </w: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17,345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3,804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3,223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8,295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related commitments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22,069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16,710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5,359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Total contractual obligations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610,707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167,032</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282,608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152,772</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8,295</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1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500" w:right="300" w:hanging="465"/>
        <w:spacing w:after="0" w:line="286" w:lineRule="auto"/>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Includes amounts we are committed to spend on purchase orders entered in the normal course of business for capital equipment and for the purpose of manufacturing our products including contract manufacturers, specifically JMS Co. Ltd., and Kawasumi Laboratories, for the manufacture of certain disposable products. The majority of our operating expense spending does not require any advance commitment.</w:t>
      </w:r>
    </w:p>
    <w:p>
      <w:pPr>
        <w:spacing w:after="0" w:line="9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above table does not reflect our long-term liabilities associated with unrecognized tax benefits of $5.6 million recorded in accordance with ASC Topic 740, Income Taxes. We cannot reasonably make a reliable estimate of the period in which we expect to settle these long-term liabilities due to factors outside of our control, such as tax examinations.</w:t>
      </w:r>
    </w:p>
    <w:p>
      <w:pPr>
        <w:spacing w:after="0" w:line="20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At the closing of the whole blood acquisition, we paid a total of $535.2 million in cash consideration following resolution of post-closing adjustments for working capital and historical earnings levels. We anticipate paying an additional $15.0 million upon replication and delivery of certain manufacturing assets of Pall's filter media business to Haemonetics by 2016.</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3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Concentrations of credit risk with respect to trade accounts receivable are generally limited due to our large number of customers and their diversity across many geographic areas. A portion of our trade accounts receivable outside the United States, however, include sales to government-owned or supported healthcare systems in several countries, which are subject to payment delays. Payment is dependent upon the financial stability and creditworthiness of those countries' national economies.</w:t>
      </w:r>
    </w:p>
    <w:p>
      <w:pPr>
        <w:spacing w:after="0" w:line="18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Although we have not incurred significant losses on government receivables to date, we continually evaluate all government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Commitments</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2014, we acquired the business assets of Hemerus Medical, LLC, a company that develops innovative technologies for the collection of whole blood and processing and storage of blood components, including SOLX storage solutions. We paid $24.1 million for the Hemerus assets and may pay an additional $3.0 million contingent upon receipt of an FDA approval of the SOLX solution for 24 hour storage of whole blood prior to processing. Additionally, up to $14.0 million may be paid dependent on future sales levels of SOLX-based products.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30"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Precedings</w:t>
      </w:r>
    </w:p>
    <w:p>
      <w:pPr>
        <w:spacing w:after="0" w:line="18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are presently engaged in various legal actions, and although our ultimate liability cannot be determined at the present time, we believe that any such liability will not materially affect our consolidated financial position or our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Fenwal (Fresenius) Patent Infringement</w:t>
      </w:r>
    </w:p>
    <w:p>
      <w:pPr>
        <w:spacing w:after="0" w:line="18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For the past seven years, we have pursued patent infringement lawsuits against Fenwal Inc. seeking an injunction and damages from their infringement of a Haemonetics patent, through the sale of the ALYX brand automated red cell collection system, a competitor of our automated red cell collection systems.</w:t>
      </w:r>
    </w:p>
    <w:p>
      <w:pPr>
        <w:spacing w:after="0" w:line="8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Most recently, we have pursued a patent infringement action in Germany against Fenwal, and its European and German subsidiary. On September 20, 2010, we filed a patent infringement action in Germany. In response, Fenwal filed an action to invalidate the Haemonetics patent which is the subject of this infringement action on December 1, 2010. In January 2014, we received a final ruling which narrowed the scope of our patent. This ruling will prevent us from further claims of infringement and effectively ends our claims against Fenwal.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Italian Employment Litigation</w:t>
      </w:r>
    </w:p>
    <w:p>
      <w:pPr>
        <w:spacing w:after="0" w:line="18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have recently received notices from employees of the facility in Ascoli-Piceno, Italy where we are discontinuing operations of claimed violations of employment related contracts. Seventy-two employees served actions in February 2014 claiming their working conditions should have been established by the national collective bargaining agreement for the chemical and pharmaceutical industries rather than the one actually used. They claim applying the alternative bargaining agreement would have resulted in slightly higher minimum salaries according to their job functions. Also in February, sixty-eight employees served actions claiming that certain solidarity agreements are void. Solidarity agreements are arrangements between the company, employees and the government to continue full pay and benefits for employees who would otherwise be terminated in times of low demand. As of March 29, 2014, the total amount of damages claimed by the plaintiffs in these matters is approximately $3.5 million, however it is not possible at this point in the proceedings to accurately evaluate the likelihood or amount of any potential losses. As such, no amounts have been accrued. We may receive other, similar claims, in the future.</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225"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We do not believe that inflation had a significant impact on our results of operations for the periods presented. Historically, we believe we have been able to mitigate the effects of inflation by improving our manufacturing and purchasing efficiencies, by increasing employee productivity, and by adjusting the selling prices of products. We continue to monitor inflation pressures generally and raw materials indices that may affect our procurement and production costs. Increases in the price of petroleum derivatives could result in corresponding increases in our costs to procure plastic raw materials.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w:t>
      </w:r>
    </w:p>
    <w:p>
      <w:pPr>
        <w:spacing w:after="0" w:line="13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During fiscal 2014, approximately 46.6% of our sales were generated outside the U.S., generally in foreign currencies, yet our reporting currency is the U.S. Dollar. Our primary foreign currency exposures relate to sales denominated in the Euro, the Japanese Yen and the Australian Dollar. We also have foreign currency exposure related to manufacturing and other operational costs denominated in the Swiss Franc, the British Pound, the Canadian Dollar, and the Mexican Peso. The Euro, Yen and Australian Dollar sales exposure is partially mitigated by costs and expenses for foreign operations and sourcing products denominated in these foreign currencies. Since our foreign currency denominated Euro, Yen and Australian Dollar sales exceed the foreign currency denominated costs, whenever the U.S. Dollar strengthens relative to these currencies, there is an adverse effect on our results of operations and, conversely, whenever the U.S. Dollar weakens relative to these currencies, there is a positive effect on our results of operations. For the Swiss Franc, the British Pound, the Canadian Dollar and the Mexican Peso, our primary cash flows relate to product costs or costs and expenses of local operations. Whenever the U.S. Dollar strengthens relative to these currencies, there is a positive effect on our results of operations. Conversely, whenever the U.S. Dollar weakens relative to these currencies, there is an adverse effect on our results of operations.</w:t>
      </w:r>
    </w:p>
    <w:p>
      <w:pPr>
        <w:spacing w:after="0" w:line="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the Japanese Yen and the Euro, and to a lesser extent the Swiss Franc, the British Pound, the Canadian Dollar, the Mexican Peso and the Australian Dollar. This does not eliminate the volatility of foreign exchange rates, but because we generally enter into forward contracts one year out, to the extent hedged, rates are fixed for a one-year period, thereby facilitating financial planning and resource allocation.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30"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contracts are designated as cash flow hedges and are intended to lock in the expected cash flows of forecasted foreign currency denominated sales and costs at the available spot rate. Actual spot rate gains and losses on these contracts are recorded in sales and costs, at the same time the underlying transactions being hedged are recorded. The final impact of currency fluctuations on the results of operations is dependent on the local currency amounts hedged and the actual local currency results.</w:t>
      </w:r>
    </w:p>
    <w:p>
      <w:pPr>
        <w:spacing w:after="0" w:line="7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Presented below are the spot rates for our Euro, Japanese Yen, Australian Dollar, Canadian Dollar, British Pound, Swiss Franc and Mexican Peso cash flow hedges that settled during fiscal 2014 and 2013 or are presently outstanding. These hedges cover our long foreign currency positions that result from our sales designated in the Euro, the Japanese Yen and the Australian Dollar. These hedges also include our short positions associated with costs incurred in Canadian Dollars, British Pounds, Swiss Francs and Mexican Pesos. The table also shows how the strengthening or weakening of the spot rates associated with those hedge contracts versus the spot rates in the contracts that settled in the prior comparable period affects our results favorably or unfavorably. The table assumes a consistent notional amount for hedge contracts in each period presented.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First</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Favorable /</w:t>
            </w:r>
          </w:p>
        </w:tc>
        <w:tc>
          <w:tcPr>
            <w:tcW w:w="1180" w:type="dxa"/>
            <w:vAlign w:val="bottom"/>
            <w:gridSpan w:val="2"/>
          </w:tcPr>
          <w:p>
            <w:pPr>
              <w:ind w:left="320"/>
              <w:spacing w:after="0"/>
              <w:rPr>
                <w:sz w:val="20"/>
                <w:szCs w:val="20"/>
                <w:color w:val="auto"/>
              </w:rPr>
            </w:pPr>
            <w:r>
              <w:rPr>
                <w:rFonts w:ascii="Arial" w:cs="Arial" w:eastAsia="Arial" w:hAnsi="Arial"/>
                <w:sz w:val="14"/>
                <w:szCs w:val="14"/>
                <w:color w:val="auto"/>
              </w:rPr>
              <w:t>Second</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Favorable /</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Third</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Favorable /</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Fourth</w:t>
            </w:r>
          </w:p>
        </w:tc>
        <w:tc>
          <w:tcPr>
            <w:tcW w:w="1260" w:type="dxa"/>
            <w:vAlign w:val="bottom"/>
          </w:tcPr>
          <w:p>
            <w:pPr>
              <w:jc w:val="right"/>
              <w:ind w:right="216"/>
              <w:spacing w:after="0"/>
              <w:rPr>
                <w:sz w:val="20"/>
                <w:szCs w:val="20"/>
                <w:color w:val="auto"/>
              </w:rPr>
            </w:pPr>
            <w:r>
              <w:rPr>
                <w:rFonts w:ascii="Arial" w:cs="Arial" w:eastAsia="Arial" w:hAnsi="Arial"/>
                <w:sz w:val="14"/>
                <w:szCs w:val="14"/>
                <w:color w:val="auto"/>
              </w:rPr>
              <w:t>Favorable /</w:t>
            </w:r>
          </w:p>
        </w:tc>
      </w:tr>
      <w:tr>
        <w:trPr>
          <w:trHeight w:val="188"/>
        </w:trPr>
        <w:tc>
          <w:tcPr>
            <w:tcW w:w="1360" w:type="dxa"/>
            <w:vAlign w:val="bottom"/>
          </w:tcPr>
          <w:p>
            <w:pPr>
              <w:spacing w:after="0"/>
              <w:rPr>
                <w:sz w:val="16"/>
                <w:szCs w:val="16"/>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Quarter</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(Unfavorable)</w:t>
            </w:r>
          </w:p>
        </w:tc>
        <w:tc>
          <w:tcPr>
            <w:tcW w:w="1180" w:type="dxa"/>
            <w:vAlign w:val="bottom"/>
            <w:gridSpan w:val="2"/>
          </w:tcPr>
          <w:p>
            <w:pPr>
              <w:ind w:left="320"/>
              <w:spacing w:after="0"/>
              <w:rPr>
                <w:sz w:val="20"/>
                <w:szCs w:val="20"/>
                <w:color w:val="auto"/>
              </w:rPr>
            </w:pPr>
            <w:r>
              <w:rPr>
                <w:rFonts w:ascii="Arial" w:cs="Arial" w:eastAsia="Arial" w:hAnsi="Arial"/>
                <w:sz w:val="14"/>
                <w:szCs w:val="14"/>
                <w:color w:val="auto"/>
              </w:rPr>
              <w:t>Quarter</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(Unfavorable)</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8"/>
              </w:rPr>
              <w:t>Quarter</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(Unfavorable)</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Quarter</w:t>
            </w:r>
          </w:p>
        </w:tc>
        <w:tc>
          <w:tcPr>
            <w:tcW w:w="1260" w:type="dxa"/>
            <w:vAlign w:val="bottom"/>
          </w:tcPr>
          <w:p>
            <w:pPr>
              <w:jc w:val="right"/>
              <w:ind w:right="136"/>
              <w:spacing w:after="0"/>
              <w:rPr>
                <w:sz w:val="20"/>
                <w:szCs w:val="20"/>
                <w:color w:val="auto"/>
              </w:rPr>
            </w:pPr>
            <w:r>
              <w:rPr>
                <w:rFonts w:ascii="Arial" w:cs="Arial" w:eastAsia="Arial" w:hAnsi="Arial"/>
                <w:sz w:val="14"/>
                <w:szCs w:val="14"/>
                <w:color w:val="auto"/>
              </w:rPr>
              <w:t>(Unfavorable)</w:t>
            </w:r>
          </w:p>
        </w:tc>
      </w:tr>
      <w:tr>
        <w:trPr>
          <w:trHeight w:val="236"/>
        </w:trPr>
        <w:tc>
          <w:tcPr>
            <w:tcW w:w="1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Sales Hedges</w:t>
            </w: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3880" w:type="dxa"/>
            <w:vAlign w:val="bottom"/>
            <w:gridSpan w:val="5"/>
          </w:tcPr>
          <w:p>
            <w:pPr>
              <w:ind w:left="140"/>
              <w:spacing w:after="0"/>
              <w:rPr>
                <w:sz w:val="20"/>
                <w:szCs w:val="20"/>
                <w:color w:val="auto"/>
              </w:rPr>
            </w:pPr>
            <w:r>
              <w:rPr>
                <w:rFonts w:ascii="Arial" w:cs="Arial" w:eastAsia="Arial" w:hAnsi="Arial"/>
                <w:sz w:val="18"/>
                <w:szCs w:val="18"/>
                <w:b w:val="1"/>
                <w:bCs w:val="1"/>
                <w:color w:val="auto"/>
              </w:rPr>
              <w:t>Euro - Hedge Spot Rate (US$ per Euro)</w:t>
            </w: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1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FY12</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1360" w:type="dxa"/>
            <w:vAlign w:val="bottom"/>
          </w:tcPr>
          <w:p>
            <w:pPr>
              <w:ind w:left="140"/>
              <w:spacing w:after="0"/>
              <w:rPr>
                <w:sz w:val="20"/>
                <w:szCs w:val="20"/>
                <w:color w:val="auto"/>
              </w:rPr>
            </w:pPr>
            <w:r>
              <w:rPr>
                <w:rFonts w:ascii="Arial" w:cs="Arial" w:eastAsia="Arial" w:hAnsi="Arial"/>
                <w:sz w:val="18"/>
                <w:szCs w:val="18"/>
                <w:color w:val="auto"/>
              </w:rPr>
              <w:t>FY13</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1360" w:type="dxa"/>
            <w:vAlign w:val="bottom"/>
            <w:gridSpan w:val="2"/>
          </w:tcPr>
          <w:p>
            <w:pPr>
              <w:ind w:left="840"/>
              <w:spacing w:after="0"/>
              <w:rPr>
                <w:sz w:val="20"/>
                <w:szCs w:val="20"/>
                <w:color w:val="auto"/>
              </w:rPr>
            </w:pPr>
            <w:r>
              <w:rPr>
                <w:rFonts w:ascii="Arial" w:cs="Arial" w:eastAsia="Arial" w:hAnsi="Arial"/>
                <w:sz w:val="18"/>
                <w:szCs w:val="18"/>
                <w:color w:val="auto"/>
              </w:rPr>
              <w:t>— %</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1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FY14</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1360" w:type="dxa"/>
            <w:vAlign w:val="bottom"/>
          </w:tcPr>
          <w:p>
            <w:pPr>
              <w:ind w:left="140"/>
              <w:spacing w:after="0"/>
              <w:rPr>
                <w:sz w:val="20"/>
                <w:szCs w:val="20"/>
                <w:color w:val="auto"/>
              </w:rPr>
            </w:pPr>
            <w:r>
              <w:rPr>
                <w:rFonts w:ascii="Arial" w:cs="Arial" w:eastAsia="Arial" w:hAnsi="Arial"/>
                <w:sz w:val="18"/>
                <w:szCs w:val="18"/>
                <w:color w:val="auto"/>
              </w:rPr>
              <w:t>FY15</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Japanese Yen - Hedge Spot Rate (JPY per US$)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40" w:type="dxa"/>
            <w:vAlign w:val="bottom"/>
          </w:tcPr>
          <w:p>
            <w:pPr>
              <w:ind w:left="140"/>
              <w:spacing w:after="0"/>
              <w:rPr>
                <w:sz w:val="20"/>
                <w:szCs w:val="20"/>
                <w:color w:val="auto"/>
              </w:rPr>
            </w:pPr>
            <w:r>
              <w:rPr>
                <w:rFonts w:ascii="Arial" w:cs="Arial" w:eastAsia="Arial" w:hAnsi="Arial"/>
                <w:sz w:val="18"/>
                <w:szCs w:val="18"/>
                <w:color w:val="auto"/>
              </w:rPr>
              <w:t>FY12</w:t>
            </w: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88.99</w:t>
            </w:r>
          </w:p>
        </w:tc>
        <w:tc>
          <w:tcPr>
            <w:tcW w:w="1500" w:type="dxa"/>
            <w:vAlign w:val="bottom"/>
          </w:tcPr>
          <w:p>
            <w:pPr>
              <w:jc w:val="right"/>
              <w:ind w:right="490"/>
              <w:spacing w:after="0"/>
              <w:rPr>
                <w:sz w:val="20"/>
                <w:szCs w:val="20"/>
                <w:color w:val="auto"/>
              </w:rPr>
            </w:pPr>
            <w:r>
              <w:rPr>
                <w:rFonts w:ascii="Arial" w:cs="Arial" w:eastAsia="Arial" w:hAnsi="Arial"/>
                <w:sz w:val="18"/>
                <w:szCs w:val="18"/>
                <w:color w:val="auto"/>
              </w:rPr>
              <w:t>9 %</w:t>
            </w: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85.65</w:t>
            </w:r>
          </w:p>
        </w:tc>
        <w:tc>
          <w:tcPr>
            <w:tcW w:w="1240" w:type="dxa"/>
            <w:vAlign w:val="bottom"/>
          </w:tcPr>
          <w:p>
            <w:pPr>
              <w:jc w:val="right"/>
              <w:ind w:right="230"/>
              <w:spacing w:after="0"/>
              <w:rPr>
                <w:sz w:val="20"/>
                <w:szCs w:val="20"/>
                <w:color w:val="auto"/>
              </w:rPr>
            </w:pPr>
            <w:r>
              <w:rPr>
                <w:rFonts w:ascii="Arial" w:cs="Arial" w:eastAsia="Arial" w:hAnsi="Arial"/>
                <w:sz w:val="18"/>
                <w:szCs w:val="18"/>
                <w:color w:val="auto"/>
              </w:rPr>
              <w:t>10 %</w:t>
            </w:r>
          </w:p>
        </w:tc>
        <w:tc>
          <w:tcPr>
            <w:tcW w:w="1300" w:type="dxa"/>
            <w:vAlign w:val="bottom"/>
          </w:tcPr>
          <w:p>
            <w:pPr>
              <w:jc w:val="right"/>
              <w:ind w:right="410"/>
              <w:spacing w:after="0"/>
              <w:rPr>
                <w:sz w:val="20"/>
                <w:szCs w:val="20"/>
                <w:color w:val="auto"/>
              </w:rPr>
            </w:pPr>
            <w:r>
              <w:rPr>
                <w:rFonts w:ascii="Arial" w:cs="Arial" w:eastAsia="Arial" w:hAnsi="Arial"/>
                <w:sz w:val="18"/>
                <w:szCs w:val="18"/>
                <w:color w:val="auto"/>
              </w:rPr>
              <w:t>81.73</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8 %</w:t>
            </w:r>
          </w:p>
        </w:tc>
        <w:tc>
          <w:tcPr>
            <w:tcW w:w="1300" w:type="dxa"/>
            <w:vAlign w:val="bottom"/>
          </w:tcPr>
          <w:p>
            <w:pPr>
              <w:jc w:val="right"/>
              <w:ind w:right="410"/>
              <w:spacing w:after="0"/>
              <w:rPr>
                <w:sz w:val="20"/>
                <w:szCs w:val="20"/>
                <w:color w:val="auto"/>
              </w:rPr>
            </w:pPr>
            <w:r>
              <w:rPr>
                <w:rFonts w:ascii="Arial" w:cs="Arial" w:eastAsia="Arial" w:hAnsi="Arial"/>
                <w:sz w:val="18"/>
                <w:szCs w:val="18"/>
                <w:color w:val="auto"/>
              </w:rPr>
              <w:t>82.45</w:t>
            </w:r>
          </w:p>
        </w:tc>
        <w:tc>
          <w:tcPr>
            <w:tcW w:w="980" w:type="dxa"/>
            <w:vAlign w:val="bottom"/>
          </w:tcPr>
          <w:p>
            <w:pPr>
              <w:jc w:val="right"/>
              <w:spacing w:after="0"/>
              <w:rPr>
                <w:sz w:val="20"/>
                <w:szCs w:val="20"/>
                <w:color w:val="auto"/>
              </w:rPr>
            </w:pPr>
            <w:r>
              <w:rPr>
                <w:rFonts w:ascii="Arial" w:cs="Arial" w:eastAsia="Arial" w:hAnsi="Arial"/>
                <w:sz w:val="18"/>
                <w:szCs w:val="18"/>
                <w:color w:val="auto"/>
              </w:rPr>
              <w:t>8 %</w:t>
            </w:r>
          </w:p>
        </w:tc>
      </w:tr>
      <w:tr>
        <w:trPr>
          <w:trHeight w:val="27"/>
        </w:trPr>
        <w:tc>
          <w:tcPr>
            <w:tcW w:w="1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FY13</w:t>
            </w:r>
          </w:p>
        </w:tc>
        <w:tc>
          <w:tcPr>
            <w:tcW w:w="11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79.40</w:t>
            </w:r>
          </w:p>
        </w:tc>
        <w:tc>
          <w:tcPr>
            <w:tcW w:w="15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11 %</w:t>
            </w:r>
          </w:p>
        </w:tc>
        <w:tc>
          <w:tcPr>
            <w:tcW w:w="10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76.65</w:t>
            </w:r>
          </w:p>
        </w:tc>
        <w:tc>
          <w:tcPr>
            <w:tcW w:w="12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11 %</w:t>
            </w:r>
          </w:p>
        </w:tc>
        <w:tc>
          <w:tcPr>
            <w:tcW w:w="13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77.58</w:t>
            </w:r>
          </w:p>
        </w:tc>
        <w:tc>
          <w:tcPr>
            <w:tcW w:w="12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5 %</w:t>
            </w:r>
          </w:p>
        </w:tc>
        <w:tc>
          <w:tcPr>
            <w:tcW w:w="13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78.69</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43"/>
        </w:trPr>
        <w:tc>
          <w:tcPr>
            <w:tcW w:w="1640" w:type="dxa"/>
            <w:vAlign w:val="bottom"/>
          </w:tcPr>
          <w:p>
            <w:pPr>
              <w:ind w:left="140"/>
              <w:spacing w:after="0"/>
              <w:rPr>
                <w:sz w:val="20"/>
                <w:szCs w:val="20"/>
                <w:color w:val="auto"/>
              </w:rPr>
            </w:pPr>
            <w:r>
              <w:rPr>
                <w:rFonts w:ascii="Arial" w:cs="Arial" w:eastAsia="Arial" w:hAnsi="Arial"/>
                <w:sz w:val="18"/>
                <w:szCs w:val="18"/>
                <w:color w:val="auto"/>
              </w:rPr>
              <w:t>FY14</w:t>
            </w: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79.85</w:t>
            </w:r>
          </w:p>
        </w:tc>
        <w:tc>
          <w:tcPr>
            <w:tcW w:w="1500" w:type="dxa"/>
            <w:vAlign w:val="bottom"/>
          </w:tcPr>
          <w:p>
            <w:pPr>
              <w:jc w:val="right"/>
              <w:ind w:right="470"/>
              <w:spacing w:after="0"/>
              <w:rPr>
                <w:sz w:val="20"/>
                <w:szCs w:val="20"/>
                <w:color w:val="auto"/>
              </w:rPr>
            </w:pPr>
            <w:r>
              <w:rPr>
                <w:rFonts w:ascii="Arial" w:cs="Arial" w:eastAsia="Arial" w:hAnsi="Arial"/>
                <w:sz w:val="18"/>
                <w:szCs w:val="18"/>
                <w:color w:val="auto"/>
              </w:rPr>
              <w:t>(1)%</w:t>
            </w: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79.68</w:t>
            </w:r>
          </w:p>
        </w:tc>
        <w:tc>
          <w:tcPr>
            <w:tcW w:w="1240" w:type="dxa"/>
            <w:vAlign w:val="bottom"/>
          </w:tcPr>
          <w:p>
            <w:pPr>
              <w:jc w:val="right"/>
              <w:ind w:right="230"/>
              <w:spacing w:after="0"/>
              <w:rPr>
                <w:sz w:val="20"/>
                <w:szCs w:val="20"/>
                <w:color w:val="auto"/>
              </w:rPr>
            </w:pPr>
            <w:r>
              <w:rPr>
                <w:rFonts w:ascii="Arial" w:cs="Arial" w:eastAsia="Arial" w:hAnsi="Arial"/>
                <w:sz w:val="18"/>
                <w:szCs w:val="18"/>
                <w:color w:val="auto"/>
              </w:rPr>
              <w:t>(4)%</w:t>
            </w:r>
          </w:p>
        </w:tc>
        <w:tc>
          <w:tcPr>
            <w:tcW w:w="1300" w:type="dxa"/>
            <w:vAlign w:val="bottom"/>
          </w:tcPr>
          <w:p>
            <w:pPr>
              <w:jc w:val="right"/>
              <w:ind w:right="410"/>
              <w:spacing w:after="0"/>
              <w:rPr>
                <w:sz w:val="20"/>
                <w:szCs w:val="20"/>
                <w:color w:val="auto"/>
              </w:rPr>
            </w:pPr>
            <w:r>
              <w:rPr>
                <w:rFonts w:ascii="Arial" w:cs="Arial" w:eastAsia="Arial" w:hAnsi="Arial"/>
                <w:sz w:val="18"/>
                <w:szCs w:val="18"/>
                <w:color w:val="auto"/>
              </w:rPr>
              <w:t>84.32</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(9)%</w:t>
            </w:r>
          </w:p>
        </w:tc>
        <w:tc>
          <w:tcPr>
            <w:tcW w:w="1300" w:type="dxa"/>
            <w:vAlign w:val="bottom"/>
          </w:tcPr>
          <w:p>
            <w:pPr>
              <w:jc w:val="right"/>
              <w:ind w:right="410"/>
              <w:spacing w:after="0"/>
              <w:rPr>
                <w:sz w:val="20"/>
                <w:szCs w:val="20"/>
                <w:color w:val="auto"/>
              </w:rPr>
            </w:pPr>
            <w:r>
              <w:rPr>
                <w:rFonts w:ascii="Arial" w:cs="Arial" w:eastAsia="Arial" w:hAnsi="Arial"/>
                <w:sz w:val="18"/>
                <w:szCs w:val="18"/>
                <w:color w:val="auto"/>
              </w:rPr>
              <w:t>93.92</w:t>
            </w: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1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FY15</w:t>
            </w:r>
          </w:p>
        </w:tc>
        <w:tc>
          <w:tcPr>
            <w:tcW w:w="11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97.16</w:t>
            </w:r>
          </w:p>
        </w:tc>
        <w:tc>
          <w:tcPr>
            <w:tcW w:w="15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(22)%</w:t>
            </w:r>
          </w:p>
        </w:tc>
        <w:tc>
          <w:tcPr>
            <w:tcW w:w="10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98.18</w:t>
            </w:r>
          </w:p>
        </w:tc>
        <w:tc>
          <w:tcPr>
            <w:tcW w:w="12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(23)%</w:t>
            </w:r>
          </w:p>
        </w:tc>
        <w:tc>
          <w:tcPr>
            <w:tcW w:w="13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101.09</w:t>
            </w:r>
          </w:p>
        </w:tc>
        <w:tc>
          <w:tcPr>
            <w:tcW w:w="12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(20)%</w:t>
            </w:r>
          </w:p>
        </w:tc>
        <w:tc>
          <w:tcPr>
            <w:tcW w:w="13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102.44</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4300" w:type="dxa"/>
            <w:vAlign w:val="bottom"/>
            <w:gridSpan w:val="3"/>
          </w:tcPr>
          <w:p>
            <w:pPr>
              <w:ind w:left="140"/>
              <w:spacing w:after="0"/>
              <w:rPr>
                <w:sz w:val="20"/>
                <w:szCs w:val="20"/>
                <w:color w:val="auto"/>
              </w:rPr>
            </w:pPr>
            <w:r>
              <w:rPr>
                <w:rFonts w:ascii="Arial" w:cs="Arial" w:eastAsia="Arial" w:hAnsi="Arial"/>
                <w:sz w:val="18"/>
                <w:szCs w:val="18"/>
                <w:b w:val="1"/>
                <w:bCs w:val="1"/>
                <w:color w:val="auto"/>
                <w:w w:val="95"/>
              </w:rPr>
              <w:t>Australian Dollar - Hedge Spot Rate (AUD per US$)</w:t>
            </w:r>
          </w:p>
        </w:tc>
        <w:tc>
          <w:tcPr>
            <w:tcW w:w="10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1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FY 14</w:t>
            </w:r>
          </w:p>
        </w:tc>
        <w:tc>
          <w:tcPr>
            <w:tcW w:w="11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0.92</w:t>
            </w:r>
          </w:p>
        </w:tc>
        <w:tc>
          <w:tcPr>
            <w:tcW w:w="12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0.91</w:t>
            </w:r>
          </w:p>
        </w:tc>
        <w:tc>
          <w:tcPr>
            <w:tcW w:w="126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0.92</w:t>
            </w: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1640" w:type="dxa"/>
            <w:vAlign w:val="bottom"/>
          </w:tcPr>
          <w:p>
            <w:pPr>
              <w:ind w:left="140"/>
              <w:spacing w:after="0"/>
              <w:rPr>
                <w:sz w:val="20"/>
                <w:szCs w:val="20"/>
                <w:color w:val="auto"/>
              </w:rPr>
            </w:pPr>
            <w:r>
              <w:rPr>
                <w:rFonts w:ascii="Arial" w:cs="Arial" w:eastAsia="Arial" w:hAnsi="Arial"/>
                <w:sz w:val="18"/>
                <w:szCs w:val="18"/>
                <w:color w:val="auto"/>
              </w:rPr>
              <w:t>FY 15</w:t>
            </w: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0.90</w:t>
            </w:r>
          </w:p>
        </w:tc>
        <w:tc>
          <w:tcPr>
            <w:tcW w:w="150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0.94</w:t>
            </w:r>
          </w:p>
        </w:tc>
        <w:tc>
          <w:tcPr>
            <w:tcW w:w="1240" w:type="dxa"/>
            <w:vAlign w:val="bottom"/>
          </w:tcPr>
          <w:p>
            <w:pPr>
              <w:jc w:val="right"/>
              <w:ind w:right="230"/>
              <w:spacing w:after="0"/>
              <w:rPr>
                <w:sz w:val="20"/>
                <w:szCs w:val="20"/>
                <w:color w:val="auto"/>
              </w:rPr>
            </w:pPr>
            <w:r>
              <w:rPr>
                <w:rFonts w:ascii="Arial" w:cs="Arial" w:eastAsia="Arial" w:hAnsi="Arial"/>
                <w:sz w:val="18"/>
                <w:szCs w:val="18"/>
                <w:color w:val="auto"/>
              </w:rPr>
              <w:t>(3)%</w:t>
            </w:r>
          </w:p>
        </w:tc>
        <w:tc>
          <w:tcPr>
            <w:tcW w:w="1300" w:type="dxa"/>
            <w:vAlign w:val="bottom"/>
          </w:tcPr>
          <w:p>
            <w:pPr>
              <w:jc w:val="right"/>
              <w:ind w:right="410"/>
              <w:spacing w:after="0"/>
              <w:rPr>
                <w:sz w:val="20"/>
                <w:szCs w:val="20"/>
                <w:color w:val="auto"/>
              </w:rPr>
            </w:pPr>
            <w:r>
              <w:rPr>
                <w:rFonts w:ascii="Arial" w:cs="Arial" w:eastAsia="Arial" w:hAnsi="Arial"/>
                <w:sz w:val="18"/>
                <w:szCs w:val="18"/>
                <w:color w:val="auto"/>
              </w:rPr>
              <w:t>0.94</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(3)%</w:t>
            </w:r>
          </w:p>
        </w:tc>
        <w:tc>
          <w:tcPr>
            <w:tcW w:w="1300" w:type="dxa"/>
            <w:vAlign w:val="bottom"/>
          </w:tcPr>
          <w:p>
            <w:pPr>
              <w:jc w:val="right"/>
              <w:ind w:right="410"/>
              <w:spacing w:after="0"/>
              <w:rPr>
                <w:sz w:val="20"/>
                <w:szCs w:val="20"/>
                <w:color w:val="auto"/>
              </w:rPr>
            </w:pPr>
            <w:r>
              <w:rPr>
                <w:rFonts w:ascii="Arial" w:cs="Arial" w:eastAsia="Arial" w:hAnsi="Arial"/>
                <w:sz w:val="18"/>
                <w:szCs w:val="18"/>
                <w:color w:val="auto"/>
              </w:rPr>
              <w:t>0.90</w:t>
            </w:r>
          </w:p>
        </w:tc>
        <w:tc>
          <w:tcPr>
            <w:tcW w:w="98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567"/>
        </w:trPr>
        <w:tc>
          <w:tcPr>
            <w:tcW w:w="16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Operating Hedges</w:t>
            </w:r>
          </w:p>
        </w:tc>
        <w:tc>
          <w:tcPr>
            <w:tcW w:w="1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
        </w:trPr>
        <w:tc>
          <w:tcPr>
            <w:tcW w:w="4300" w:type="dxa"/>
            <w:vAlign w:val="bottom"/>
            <w:gridSpan w:val="3"/>
          </w:tcPr>
          <w:p>
            <w:pPr>
              <w:spacing w:after="0"/>
              <w:rPr>
                <w:sz w:val="2"/>
                <w:szCs w:val="2"/>
                <w:color w:val="auto"/>
              </w:rPr>
            </w:pPr>
          </w:p>
        </w:tc>
        <w:tc>
          <w:tcPr>
            <w:tcW w:w="1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3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b w:val="1"/>
                <w:bCs w:val="1"/>
                <w:color w:val="auto"/>
                <w:w w:val="97"/>
              </w:rPr>
              <w:t>Canadian Dollar - Hedge Spot Rate (CAD per US$)</w:t>
            </w:r>
          </w:p>
        </w:tc>
        <w:tc>
          <w:tcPr>
            <w:tcW w:w="10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1640" w:type="dxa"/>
            <w:vAlign w:val="bottom"/>
          </w:tcPr>
          <w:p>
            <w:pPr>
              <w:ind w:left="140"/>
              <w:spacing w:after="0"/>
              <w:rPr>
                <w:sz w:val="20"/>
                <w:szCs w:val="20"/>
                <w:color w:val="auto"/>
              </w:rPr>
            </w:pPr>
            <w:r>
              <w:rPr>
                <w:rFonts w:ascii="Arial" w:cs="Arial" w:eastAsia="Arial" w:hAnsi="Arial"/>
                <w:sz w:val="18"/>
                <w:szCs w:val="18"/>
                <w:color w:val="auto"/>
              </w:rPr>
              <w:t>FY12</w:t>
            </w: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1.05</w:t>
            </w:r>
          </w:p>
        </w:tc>
        <w:tc>
          <w:tcPr>
            <w:tcW w:w="1500" w:type="dxa"/>
            <w:vAlign w:val="bottom"/>
          </w:tcPr>
          <w:p>
            <w:pPr>
              <w:jc w:val="right"/>
              <w:ind w:right="470"/>
              <w:spacing w:after="0"/>
              <w:rPr>
                <w:sz w:val="20"/>
                <w:szCs w:val="20"/>
                <w:color w:val="auto"/>
              </w:rPr>
            </w:pPr>
            <w:r>
              <w:rPr>
                <w:rFonts w:ascii="Arial" w:cs="Arial" w:eastAsia="Arial" w:hAnsi="Arial"/>
                <w:sz w:val="18"/>
                <w:szCs w:val="18"/>
                <w:color w:val="auto"/>
              </w:rPr>
              <w:t>(5)%</w:t>
            </w: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1.03</w:t>
            </w:r>
          </w:p>
        </w:tc>
        <w:tc>
          <w:tcPr>
            <w:tcW w:w="1240" w:type="dxa"/>
            <w:vAlign w:val="bottom"/>
          </w:tcPr>
          <w:p>
            <w:pPr>
              <w:jc w:val="right"/>
              <w:ind w:right="230"/>
              <w:spacing w:after="0"/>
              <w:rPr>
                <w:sz w:val="20"/>
                <w:szCs w:val="20"/>
                <w:color w:val="auto"/>
              </w:rPr>
            </w:pPr>
            <w:r>
              <w:rPr>
                <w:rFonts w:ascii="Arial" w:cs="Arial" w:eastAsia="Arial" w:hAnsi="Arial"/>
                <w:sz w:val="18"/>
                <w:szCs w:val="18"/>
                <w:color w:val="auto"/>
              </w:rPr>
              <w:t>(6)%</w:t>
            </w:r>
          </w:p>
        </w:tc>
        <w:tc>
          <w:tcPr>
            <w:tcW w:w="1300" w:type="dxa"/>
            <w:vAlign w:val="bottom"/>
          </w:tcPr>
          <w:p>
            <w:pPr>
              <w:jc w:val="right"/>
              <w:ind w:right="410"/>
              <w:spacing w:after="0"/>
              <w:rPr>
                <w:sz w:val="20"/>
                <w:szCs w:val="20"/>
                <w:color w:val="auto"/>
              </w:rPr>
            </w:pPr>
            <w:r>
              <w:rPr>
                <w:rFonts w:ascii="Arial" w:cs="Arial" w:eastAsia="Arial" w:hAnsi="Arial"/>
                <w:sz w:val="18"/>
                <w:szCs w:val="18"/>
                <w:color w:val="auto"/>
              </w:rPr>
              <w:t>1.00</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(7)%</w:t>
            </w:r>
          </w:p>
        </w:tc>
        <w:tc>
          <w:tcPr>
            <w:tcW w:w="1300" w:type="dxa"/>
            <w:vAlign w:val="bottom"/>
          </w:tcPr>
          <w:p>
            <w:pPr>
              <w:jc w:val="right"/>
              <w:ind w:right="410"/>
              <w:spacing w:after="0"/>
              <w:rPr>
                <w:sz w:val="20"/>
                <w:szCs w:val="20"/>
                <w:color w:val="auto"/>
              </w:rPr>
            </w:pPr>
            <w:r>
              <w:rPr>
                <w:rFonts w:ascii="Arial" w:cs="Arial" w:eastAsia="Arial" w:hAnsi="Arial"/>
                <w:sz w:val="18"/>
                <w:szCs w:val="18"/>
                <w:color w:val="auto"/>
              </w:rPr>
              <w:t>0.99</w:t>
            </w: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1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FY13</w:t>
            </w:r>
          </w:p>
        </w:tc>
        <w:tc>
          <w:tcPr>
            <w:tcW w:w="11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0.98</w:t>
            </w:r>
          </w:p>
        </w:tc>
        <w:tc>
          <w:tcPr>
            <w:tcW w:w="15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(7)%</w:t>
            </w:r>
          </w:p>
        </w:tc>
        <w:tc>
          <w:tcPr>
            <w:tcW w:w="10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0.99</w:t>
            </w:r>
          </w:p>
        </w:tc>
        <w:tc>
          <w:tcPr>
            <w:tcW w:w="12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w:t>
            </w:r>
          </w:p>
        </w:tc>
        <w:tc>
          <w:tcPr>
            <w:tcW w:w="13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1.01</w:t>
            </w:r>
          </w:p>
        </w:tc>
        <w:tc>
          <w:tcPr>
            <w:tcW w:w="12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1 %</w:t>
            </w:r>
          </w:p>
        </w:tc>
        <w:tc>
          <w:tcPr>
            <w:tcW w:w="13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1.00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1640" w:type="dxa"/>
            <w:vAlign w:val="bottom"/>
          </w:tcPr>
          <w:p>
            <w:pPr>
              <w:ind w:left="140"/>
              <w:spacing w:after="0"/>
              <w:rPr>
                <w:sz w:val="20"/>
                <w:szCs w:val="20"/>
                <w:color w:val="auto"/>
              </w:rPr>
            </w:pPr>
            <w:r>
              <w:rPr>
                <w:rFonts w:ascii="Arial" w:cs="Arial" w:eastAsia="Arial" w:hAnsi="Arial"/>
                <w:sz w:val="18"/>
                <w:szCs w:val="18"/>
                <w:color w:val="auto"/>
              </w:rPr>
              <w:t>FY14</w:t>
            </w: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1.01</w:t>
            </w:r>
          </w:p>
        </w:tc>
        <w:tc>
          <w:tcPr>
            <w:tcW w:w="1500" w:type="dxa"/>
            <w:vAlign w:val="bottom"/>
          </w:tcPr>
          <w:p>
            <w:pPr>
              <w:jc w:val="right"/>
              <w:ind w:right="490"/>
              <w:spacing w:after="0"/>
              <w:rPr>
                <w:sz w:val="20"/>
                <w:szCs w:val="20"/>
                <w:color w:val="auto"/>
              </w:rPr>
            </w:pPr>
            <w:r>
              <w:rPr>
                <w:rFonts w:ascii="Arial" w:cs="Arial" w:eastAsia="Arial" w:hAnsi="Arial"/>
                <w:sz w:val="18"/>
                <w:szCs w:val="18"/>
                <w:color w:val="auto"/>
              </w:rPr>
              <w:t>3 %</w:t>
            </w: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1.00</w:t>
            </w:r>
          </w:p>
        </w:tc>
        <w:tc>
          <w:tcPr>
            <w:tcW w:w="1240" w:type="dxa"/>
            <w:vAlign w:val="bottom"/>
          </w:tcPr>
          <w:p>
            <w:pPr>
              <w:jc w:val="right"/>
              <w:ind w:right="230"/>
              <w:spacing w:after="0"/>
              <w:rPr>
                <w:sz w:val="20"/>
                <w:szCs w:val="20"/>
                <w:color w:val="auto"/>
              </w:rPr>
            </w:pPr>
            <w:r>
              <w:rPr>
                <w:rFonts w:ascii="Arial" w:cs="Arial" w:eastAsia="Arial" w:hAnsi="Arial"/>
                <w:sz w:val="18"/>
                <w:szCs w:val="18"/>
                <w:color w:val="auto"/>
              </w:rPr>
              <w:t>1 %</w:t>
            </w:r>
          </w:p>
        </w:tc>
        <w:tc>
          <w:tcPr>
            <w:tcW w:w="1300" w:type="dxa"/>
            <w:vAlign w:val="bottom"/>
          </w:tcPr>
          <w:p>
            <w:pPr>
              <w:jc w:val="right"/>
              <w:ind w:right="410"/>
              <w:spacing w:after="0"/>
              <w:rPr>
                <w:sz w:val="20"/>
                <w:szCs w:val="20"/>
                <w:color w:val="auto"/>
              </w:rPr>
            </w:pPr>
            <w:r>
              <w:rPr>
                <w:rFonts w:ascii="Arial" w:cs="Arial" w:eastAsia="Arial" w:hAnsi="Arial"/>
                <w:sz w:val="18"/>
                <w:szCs w:val="18"/>
                <w:color w:val="auto"/>
              </w:rPr>
              <w:t>1.00</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(1)%</w:t>
            </w:r>
          </w:p>
        </w:tc>
        <w:tc>
          <w:tcPr>
            <w:tcW w:w="1300" w:type="dxa"/>
            <w:vAlign w:val="bottom"/>
          </w:tcPr>
          <w:p>
            <w:pPr>
              <w:jc w:val="right"/>
              <w:ind w:right="410"/>
              <w:spacing w:after="0"/>
              <w:rPr>
                <w:sz w:val="20"/>
                <w:szCs w:val="20"/>
                <w:color w:val="auto"/>
              </w:rPr>
            </w:pPr>
            <w:r>
              <w:rPr>
                <w:rFonts w:ascii="Arial" w:cs="Arial" w:eastAsia="Arial" w:hAnsi="Arial"/>
                <w:sz w:val="18"/>
                <w:szCs w:val="18"/>
                <w:color w:val="auto"/>
              </w:rPr>
              <w:t>1.01</w:t>
            </w:r>
          </w:p>
        </w:tc>
        <w:tc>
          <w:tcPr>
            <w:tcW w:w="98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1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1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FY15</w:t>
            </w:r>
          </w:p>
        </w:tc>
        <w:tc>
          <w:tcPr>
            <w:tcW w:w="11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16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British Pound - Hedge Spot Rate (US$ per GBP)</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FY12</w:t>
            </w:r>
          </w:p>
        </w:tc>
        <w:tc>
          <w:tcPr>
            <w:tcW w:w="15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1.50</w:t>
            </w:r>
          </w:p>
        </w:tc>
        <w:tc>
          <w:tcPr>
            <w:tcW w:w="12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w:t>
            </w:r>
          </w:p>
        </w:tc>
        <w:tc>
          <w:tcPr>
            <w:tcW w:w="12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1.54</w:t>
            </w:r>
          </w:p>
        </w:tc>
        <w:tc>
          <w:tcPr>
            <w:tcW w:w="12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7 %</w:t>
            </w:r>
          </w:p>
        </w:tc>
        <w:tc>
          <w:tcPr>
            <w:tcW w:w="12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1.57</w:t>
            </w:r>
          </w:p>
        </w:tc>
        <w:tc>
          <w:tcPr>
            <w:tcW w:w="13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4 %</w:t>
            </w:r>
          </w:p>
        </w:tc>
        <w:tc>
          <w:tcPr>
            <w:tcW w:w="12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1280" w:type="dxa"/>
            <w:vAlign w:val="bottom"/>
          </w:tcPr>
          <w:p>
            <w:pPr>
              <w:ind w:left="140"/>
              <w:spacing w:after="0"/>
              <w:rPr>
                <w:sz w:val="20"/>
                <w:szCs w:val="20"/>
                <w:color w:val="auto"/>
              </w:rPr>
            </w:pPr>
            <w:r>
              <w:rPr>
                <w:rFonts w:ascii="Arial" w:cs="Arial" w:eastAsia="Arial" w:hAnsi="Arial"/>
                <w:sz w:val="18"/>
                <w:szCs w:val="18"/>
                <w:color w:val="auto"/>
              </w:rPr>
              <w:t>FY13</w:t>
            </w:r>
          </w:p>
        </w:tc>
        <w:tc>
          <w:tcPr>
            <w:tcW w:w="1580" w:type="dxa"/>
            <w:vAlign w:val="bottom"/>
          </w:tcPr>
          <w:p>
            <w:pPr>
              <w:jc w:val="right"/>
              <w:ind w:right="450"/>
              <w:spacing w:after="0"/>
              <w:rPr>
                <w:sz w:val="20"/>
                <w:szCs w:val="20"/>
                <w:color w:val="auto"/>
              </w:rPr>
            </w:pPr>
            <w:r>
              <w:rPr>
                <w:rFonts w:ascii="Arial" w:cs="Arial" w:eastAsia="Arial" w:hAnsi="Arial"/>
                <w:sz w:val="18"/>
                <w:szCs w:val="18"/>
                <w:color w:val="auto"/>
              </w:rPr>
              <w:t>1.62</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(8)%</w:t>
            </w:r>
          </w:p>
        </w:tc>
        <w:tc>
          <w:tcPr>
            <w:tcW w:w="1240" w:type="dxa"/>
            <w:vAlign w:val="bottom"/>
          </w:tcPr>
          <w:p>
            <w:pPr>
              <w:jc w:val="right"/>
              <w:ind w:right="450"/>
              <w:spacing w:after="0"/>
              <w:rPr>
                <w:sz w:val="20"/>
                <w:szCs w:val="20"/>
                <w:color w:val="auto"/>
              </w:rPr>
            </w:pPr>
            <w:r>
              <w:rPr>
                <w:rFonts w:ascii="Arial" w:cs="Arial" w:eastAsia="Arial" w:hAnsi="Arial"/>
                <w:sz w:val="18"/>
                <w:szCs w:val="18"/>
                <w:color w:val="auto"/>
              </w:rPr>
              <w:t>1.63</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(6)%</w:t>
            </w:r>
          </w:p>
        </w:tc>
        <w:tc>
          <w:tcPr>
            <w:tcW w:w="1260" w:type="dxa"/>
            <w:vAlign w:val="bottom"/>
          </w:tcPr>
          <w:p>
            <w:pPr>
              <w:jc w:val="right"/>
              <w:ind w:right="450"/>
              <w:spacing w:after="0"/>
              <w:rPr>
                <w:sz w:val="20"/>
                <w:szCs w:val="20"/>
                <w:color w:val="auto"/>
              </w:rPr>
            </w:pPr>
            <w:r>
              <w:rPr>
                <w:rFonts w:ascii="Arial" w:cs="Arial" w:eastAsia="Arial" w:hAnsi="Arial"/>
                <w:sz w:val="18"/>
                <w:szCs w:val="18"/>
                <w:color w:val="auto"/>
              </w:rPr>
              <w:t>1.60</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(2)%</w:t>
            </w:r>
          </w:p>
        </w:tc>
        <w:tc>
          <w:tcPr>
            <w:tcW w:w="1260" w:type="dxa"/>
            <w:vAlign w:val="bottom"/>
          </w:tcPr>
          <w:p>
            <w:pPr>
              <w:jc w:val="right"/>
              <w:ind w:right="450"/>
              <w:spacing w:after="0"/>
              <w:rPr>
                <w:sz w:val="20"/>
                <w:szCs w:val="20"/>
                <w:color w:val="auto"/>
              </w:rPr>
            </w:pPr>
            <w:r>
              <w:rPr>
                <w:rFonts w:ascii="Arial" w:cs="Arial" w:eastAsia="Arial" w:hAnsi="Arial"/>
                <w:sz w:val="18"/>
                <w:szCs w:val="18"/>
                <w:color w:val="auto"/>
              </w:rPr>
              <w:t>1.57</w:t>
            </w:r>
          </w:p>
        </w:tc>
        <w:tc>
          <w:tcPr>
            <w:tcW w:w="94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1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FY14</w:t>
            </w:r>
          </w:p>
        </w:tc>
        <w:tc>
          <w:tcPr>
            <w:tcW w:w="15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1.59</w:t>
            </w:r>
          </w:p>
        </w:tc>
        <w:tc>
          <w:tcPr>
            <w:tcW w:w="12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2 %</w:t>
            </w:r>
          </w:p>
        </w:tc>
        <w:tc>
          <w:tcPr>
            <w:tcW w:w="12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1.55</w:t>
            </w:r>
          </w:p>
        </w:tc>
        <w:tc>
          <w:tcPr>
            <w:tcW w:w="12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5 %</w:t>
            </w:r>
          </w:p>
        </w:tc>
        <w:tc>
          <w:tcPr>
            <w:tcW w:w="12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1.52</w:t>
            </w:r>
          </w:p>
        </w:tc>
        <w:tc>
          <w:tcPr>
            <w:tcW w:w="13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5 %</w:t>
            </w:r>
          </w:p>
        </w:tc>
        <w:tc>
          <w:tcPr>
            <w:tcW w:w="12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1.54</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43"/>
        </w:trPr>
        <w:tc>
          <w:tcPr>
            <w:tcW w:w="1280" w:type="dxa"/>
            <w:vAlign w:val="bottom"/>
          </w:tcPr>
          <w:p>
            <w:pPr>
              <w:ind w:left="140"/>
              <w:spacing w:after="0"/>
              <w:rPr>
                <w:sz w:val="20"/>
                <w:szCs w:val="20"/>
                <w:color w:val="auto"/>
              </w:rPr>
            </w:pPr>
            <w:r>
              <w:rPr>
                <w:rFonts w:ascii="Arial" w:cs="Arial" w:eastAsia="Arial" w:hAnsi="Arial"/>
                <w:sz w:val="18"/>
                <w:szCs w:val="18"/>
                <w:color w:val="auto"/>
              </w:rPr>
              <w:t>FY15</w:t>
            </w:r>
          </w:p>
        </w:tc>
        <w:tc>
          <w:tcPr>
            <w:tcW w:w="1580" w:type="dxa"/>
            <w:vAlign w:val="bottom"/>
          </w:tcPr>
          <w:p>
            <w:pPr>
              <w:jc w:val="right"/>
              <w:ind w:right="450"/>
              <w:spacing w:after="0"/>
              <w:rPr>
                <w:sz w:val="20"/>
                <w:szCs w:val="20"/>
                <w:color w:val="auto"/>
              </w:rPr>
            </w:pPr>
            <w:r>
              <w:rPr>
                <w:rFonts w:ascii="Arial" w:cs="Arial" w:eastAsia="Arial" w:hAnsi="Arial"/>
                <w:sz w:val="18"/>
                <w:szCs w:val="18"/>
                <w:color w:val="auto"/>
              </w:rPr>
              <w:t>1.56</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2 %</w:t>
            </w:r>
          </w:p>
        </w:tc>
        <w:tc>
          <w:tcPr>
            <w:tcW w:w="1240" w:type="dxa"/>
            <w:vAlign w:val="bottom"/>
          </w:tcPr>
          <w:p>
            <w:pPr>
              <w:jc w:val="right"/>
              <w:ind w:right="450"/>
              <w:spacing w:after="0"/>
              <w:rPr>
                <w:sz w:val="20"/>
                <w:szCs w:val="20"/>
                <w:color w:val="auto"/>
              </w:rPr>
            </w:pPr>
            <w:r>
              <w:rPr>
                <w:rFonts w:ascii="Arial" w:cs="Arial" w:eastAsia="Arial" w:hAnsi="Arial"/>
                <w:sz w:val="18"/>
                <w:szCs w:val="18"/>
                <w:color w:val="auto"/>
              </w:rPr>
              <w:t>1.57</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(1)%</w:t>
            </w:r>
          </w:p>
        </w:tc>
        <w:tc>
          <w:tcPr>
            <w:tcW w:w="1260" w:type="dxa"/>
            <w:vAlign w:val="bottom"/>
          </w:tcPr>
          <w:p>
            <w:pPr>
              <w:jc w:val="right"/>
              <w:ind w:right="450"/>
              <w:spacing w:after="0"/>
              <w:rPr>
                <w:sz w:val="20"/>
                <w:szCs w:val="20"/>
                <w:color w:val="auto"/>
              </w:rPr>
            </w:pPr>
            <w:r>
              <w:rPr>
                <w:rFonts w:ascii="Arial" w:cs="Arial" w:eastAsia="Arial" w:hAnsi="Arial"/>
                <w:sz w:val="18"/>
                <w:szCs w:val="18"/>
                <w:color w:val="auto"/>
              </w:rPr>
              <w:t>1.62</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(7)%</w:t>
            </w:r>
          </w:p>
        </w:tc>
        <w:tc>
          <w:tcPr>
            <w:tcW w:w="1260" w:type="dxa"/>
            <w:vAlign w:val="bottom"/>
          </w:tcPr>
          <w:p>
            <w:pPr>
              <w:jc w:val="right"/>
              <w:ind w:right="450"/>
              <w:spacing w:after="0"/>
              <w:rPr>
                <w:sz w:val="20"/>
                <w:szCs w:val="20"/>
                <w:color w:val="auto"/>
              </w:rPr>
            </w:pPr>
            <w:r>
              <w:rPr>
                <w:rFonts w:ascii="Arial" w:cs="Arial" w:eastAsia="Arial" w:hAnsi="Arial"/>
                <w:sz w:val="18"/>
                <w:szCs w:val="18"/>
                <w:color w:val="auto"/>
              </w:rPr>
              <w:t>1.65</w:t>
            </w: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Swiss Franc - Hedge Spot Rate (CHF per US$)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ind w:left="140"/>
              <w:spacing w:after="0"/>
              <w:rPr>
                <w:sz w:val="20"/>
                <w:szCs w:val="20"/>
                <w:color w:val="auto"/>
              </w:rPr>
            </w:pPr>
            <w:r>
              <w:rPr>
                <w:rFonts w:ascii="Arial" w:cs="Arial" w:eastAsia="Arial" w:hAnsi="Arial"/>
                <w:sz w:val="18"/>
                <w:szCs w:val="18"/>
                <w:color w:val="auto"/>
              </w:rPr>
              <w:t>FY12</w:t>
            </w:r>
          </w:p>
        </w:tc>
        <w:tc>
          <w:tcPr>
            <w:tcW w:w="1520" w:type="dxa"/>
            <w:vAlign w:val="bottom"/>
          </w:tcPr>
          <w:p>
            <w:pPr>
              <w:jc w:val="right"/>
              <w:ind w:right="390"/>
              <w:spacing w:after="0"/>
              <w:rPr>
                <w:sz w:val="20"/>
                <w:szCs w:val="20"/>
                <w:color w:val="auto"/>
              </w:rPr>
            </w:pPr>
            <w:r>
              <w:rPr>
                <w:rFonts w:ascii="Arial" w:cs="Arial" w:eastAsia="Arial" w:hAnsi="Arial"/>
                <w:sz w:val="18"/>
                <w:szCs w:val="18"/>
                <w:color w:val="auto"/>
              </w:rPr>
              <w:t>1.05</w:t>
            </w:r>
          </w:p>
        </w:tc>
        <w:tc>
          <w:tcPr>
            <w:tcW w:w="134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410"/>
              <w:spacing w:after="0"/>
              <w:rPr>
                <w:sz w:val="20"/>
                <w:szCs w:val="20"/>
                <w:color w:val="auto"/>
              </w:rPr>
            </w:pPr>
            <w:r>
              <w:rPr>
                <w:rFonts w:ascii="Arial" w:cs="Arial" w:eastAsia="Arial" w:hAnsi="Arial"/>
                <w:sz w:val="18"/>
                <w:szCs w:val="18"/>
                <w:color w:val="auto"/>
              </w:rPr>
              <w:t>1.01</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(4)%</w:t>
            </w: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0.96</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(8)%</w:t>
            </w: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0.92</w:t>
            </w: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1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FY13</w:t>
            </w:r>
          </w:p>
        </w:tc>
        <w:tc>
          <w:tcPr>
            <w:tcW w:w="15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0.82</w:t>
            </w:r>
          </w:p>
        </w:tc>
        <w:tc>
          <w:tcPr>
            <w:tcW w:w="13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(22)%</w:t>
            </w:r>
          </w:p>
        </w:tc>
        <w:tc>
          <w:tcPr>
            <w:tcW w:w="12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0.85</w:t>
            </w:r>
          </w:p>
        </w:tc>
        <w:tc>
          <w:tcPr>
            <w:tcW w:w="13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(16)%</w:t>
            </w:r>
          </w:p>
        </w:tc>
        <w:tc>
          <w:tcPr>
            <w:tcW w:w="12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0.92</w:t>
            </w:r>
          </w:p>
        </w:tc>
        <w:tc>
          <w:tcPr>
            <w:tcW w:w="13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w:t>
            </w:r>
          </w:p>
        </w:tc>
        <w:tc>
          <w:tcPr>
            <w:tcW w:w="12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0.92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1280" w:type="dxa"/>
            <w:vAlign w:val="bottom"/>
          </w:tcPr>
          <w:p>
            <w:pPr>
              <w:ind w:left="140"/>
              <w:spacing w:after="0"/>
              <w:rPr>
                <w:sz w:val="20"/>
                <w:szCs w:val="20"/>
                <w:color w:val="auto"/>
              </w:rPr>
            </w:pPr>
            <w:r>
              <w:rPr>
                <w:rFonts w:ascii="Arial" w:cs="Arial" w:eastAsia="Arial" w:hAnsi="Arial"/>
                <w:sz w:val="18"/>
                <w:szCs w:val="18"/>
                <w:color w:val="auto"/>
              </w:rPr>
              <w:t>FY14</w:t>
            </w:r>
          </w:p>
        </w:tc>
        <w:tc>
          <w:tcPr>
            <w:tcW w:w="1520" w:type="dxa"/>
            <w:vAlign w:val="bottom"/>
          </w:tcPr>
          <w:p>
            <w:pPr>
              <w:jc w:val="right"/>
              <w:ind w:right="390"/>
              <w:spacing w:after="0"/>
              <w:rPr>
                <w:sz w:val="20"/>
                <w:szCs w:val="20"/>
                <w:color w:val="auto"/>
              </w:rPr>
            </w:pPr>
            <w:r>
              <w:rPr>
                <w:rFonts w:ascii="Arial" w:cs="Arial" w:eastAsia="Arial" w:hAnsi="Arial"/>
                <w:sz w:val="18"/>
                <w:szCs w:val="18"/>
                <w:color w:val="auto"/>
              </w:rPr>
              <w:t>0.96</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17 %</w:t>
            </w:r>
          </w:p>
        </w:tc>
        <w:tc>
          <w:tcPr>
            <w:tcW w:w="1200" w:type="dxa"/>
            <w:vAlign w:val="bottom"/>
          </w:tcPr>
          <w:p>
            <w:pPr>
              <w:jc w:val="right"/>
              <w:ind w:right="410"/>
              <w:spacing w:after="0"/>
              <w:rPr>
                <w:sz w:val="20"/>
                <w:szCs w:val="20"/>
                <w:color w:val="auto"/>
              </w:rPr>
            </w:pPr>
            <w:r>
              <w:rPr>
                <w:rFonts w:ascii="Arial" w:cs="Arial" w:eastAsia="Arial" w:hAnsi="Arial"/>
                <w:sz w:val="18"/>
                <w:szCs w:val="18"/>
                <w:color w:val="auto"/>
              </w:rPr>
              <w:t>0.95</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12 %</w:t>
            </w: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0.92</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 %</w:t>
            </w: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0.93</w:t>
            </w:r>
          </w:p>
        </w:tc>
        <w:tc>
          <w:tcPr>
            <w:tcW w:w="98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1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1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FY15</w:t>
            </w:r>
          </w:p>
        </w:tc>
        <w:tc>
          <w:tcPr>
            <w:tcW w:w="15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0.94</w:t>
            </w:r>
          </w:p>
        </w:tc>
        <w:tc>
          <w:tcPr>
            <w:tcW w:w="13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w:t>
            </w:r>
          </w:p>
        </w:tc>
        <w:tc>
          <w:tcPr>
            <w:tcW w:w="12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0.92</w:t>
            </w:r>
          </w:p>
        </w:tc>
        <w:tc>
          <w:tcPr>
            <w:tcW w:w="13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w:t>
            </w:r>
          </w:p>
        </w:tc>
        <w:tc>
          <w:tcPr>
            <w:tcW w:w="12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0.91</w:t>
            </w:r>
          </w:p>
        </w:tc>
        <w:tc>
          <w:tcPr>
            <w:tcW w:w="13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w:t>
            </w:r>
          </w:p>
        </w:tc>
        <w:tc>
          <w:tcPr>
            <w:tcW w:w="12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0.89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12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Mexican Peso - Hedge Spot Rate (MXN per US$)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FY14</w:t>
            </w:r>
          </w:p>
        </w:tc>
        <w:tc>
          <w:tcPr>
            <w:tcW w:w="16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12.34</w:t>
            </w:r>
          </w:p>
        </w:tc>
        <w:tc>
          <w:tcPr>
            <w:tcW w:w="12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12.35</w:t>
            </w:r>
          </w:p>
        </w:tc>
        <w:tc>
          <w:tcPr>
            <w:tcW w:w="12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12.22</w:t>
            </w:r>
          </w:p>
        </w:tc>
        <w:tc>
          <w:tcPr>
            <w:tcW w:w="12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12.20</w:t>
            </w: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1240" w:type="dxa"/>
            <w:vAlign w:val="bottom"/>
          </w:tcPr>
          <w:p>
            <w:pPr>
              <w:ind w:left="140"/>
              <w:spacing w:after="0"/>
              <w:rPr>
                <w:sz w:val="20"/>
                <w:szCs w:val="20"/>
                <w:color w:val="auto"/>
              </w:rPr>
            </w:pPr>
            <w:r>
              <w:rPr>
                <w:rFonts w:ascii="Arial" w:cs="Arial" w:eastAsia="Arial" w:hAnsi="Arial"/>
                <w:sz w:val="18"/>
                <w:szCs w:val="18"/>
                <w:color w:val="auto"/>
              </w:rPr>
              <w:t>FY15</w:t>
            </w:r>
          </w:p>
        </w:tc>
        <w:tc>
          <w:tcPr>
            <w:tcW w:w="1600" w:type="dxa"/>
            <w:vAlign w:val="bottom"/>
          </w:tcPr>
          <w:p>
            <w:pPr>
              <w:jc w:val="right"/>
              <w:ind w:right="430"/>
              <w:spacing w:after="0"/>
              <w:rPr>
                <w:sz w:val="20"/>
                <w:szCs w:val="20"/>
                <w:color w:val="auto"/>
              </w:rPr>
            </w:pPr>
            <w:r>
              <w:rPr>
                <w:rFonts w:ascii="Arial" w:cs="Arial" w:eastAsia="Arial" w:hAnsi="Arial"/>
                <w:sz w:val="18"/>
                <w:szCs w:val="18"/>
                <w:color w:val="auto"/>
              </w:rPr>
              <w:t>12.40</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1 %</w:t>
            </w:r>
          </w:p>
        </w:tc>
        <w:tc>
          <w:tcPr>
            <w:tcW w:w="1280" w:type="dxa"/>
            <w:vAlign w:val="bottom"/>
          </w:tcPr>
          <w:p>
            <w:pPr>
              <w:jc w:val="right"/>
              <w:ind w:right="430"/>
              <w:spacing w:after="0"/>
              <w:rPr>
                <w:sz w:val="20"/>
                <w:szCs w:val="20"/>
                <w:color w:val="auto"/>
              </w:rPr>
            </w:pPr>
            <w:r>
              <w:rPr>
                <w:rFonts w:ascii="Arial" w:cs="Arial" w:eastAsia="Arial" w:hAnsi="Arial"/>
                <w:sz w:val="18"/>
                <w:szCs w:val="18"/>
                <w:color w:val="auto"/>
              </w:rPr>
              <w:t>13.06</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6 %</w:t>
            </w:r>
          </w:p>
        </w:tc>
        <w:tc>
          <w:tcPr>
            <w:tcW w:w="1280" w:type="dxa"/>
            <w:vAlign w:val="bottom"/>
          </w:tcPr>
          <w:p>
            <w:pPr>
              <w:jc w:val="right"/>
              <w:ind w:right="430"/>
              <w:spacing w:after="0"/>
              <w:rPr>
                <w:sz w:val="20"/>
                <w:szCs w:val="20"/>
                <w:color w:val="auto"/>
              </w:rPr>
            </w:pPr>
            <w:r>
              <w:rPr>
                <w:rFonts w:ascii="Arial" w:cs="Arial" w:eastAsia="Arial" w:hAnsi="Arial"/>
                <w:sz w:val="18"/>
                <w:szCs w:val="18"/>
                <w:color w:val="auto"/>
              </w:rPr>
              <w:t>13.09</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7 %</w:t>
            </w:r>
          </w:p>
        </w:tc>
        <w:tc>
          <w:tcPr>
            <w:tcW w:w="1300" w:type="dxa"/>
            <w:vAlign w:val="bottom"/>
          </w:tcPr>
          <w:p>
            <w:pPr>
              <w:jc w:val="right"/>
              <w:ind w:right="450"/>
              <w:spacing w:after="0"/>
              <w:rPr>
                <w:sz w:val="20"/>
                <w:szCs w:val="20"/>
                <w:color w:val="auto"/>
              </w:rPr>
            </w:pPr>
            <w:r>
              <w:rPr>
                <w:rFonts w:ascii="Arial" w:cs="Arial" w:eastAsia="Arial" w:hAnsi="Arial"/>
                <w:sz w:val="18"/>
                <w:szCs w:val="18"/>
                <w:color w:val="auto"/>
              </w:rPr>
              <w:t>13.08</w:t>
            </w:r>
          </w:p>
        </w:tc>
        <w:tc>
          <w:tcPr>
            <w:tcW w:w="940" w:type="dxa"/>
            <w:vAlign w:val="bottom"/>
          </w:tcPr>
          <w:p>
            <w:pPr>
              <w:jc w:val="right"/>
              <w:spacing w:after="0"/>
              <w:rPr>
                <w:sz w:val="20"/>
                <w:szCs w:val="20"/>
                <w:color w:val="auto"/>
              </w:rPr>
            </w:pPr>
            <w:r>
              <w:rPr>
                <w:rFonts w:ascii="Arial" w:cs="Arial" w:eastAsia="Arial" w:hAnsi="Arial"/>
                <w:sz w:val="18"/>
                <w:szCs w:val="18"/>
                <w:color w:val="auto"/>
              </w:rPr>
              <w:t>7 %</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16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generally place our cash flow hedge contracts on a rolling twelve month basis.</w:t>
      </w:r>
    </w:p>
    <w:p>
      <w:pPr>
        <w:sectPr>
          <w:pgSz w:w="11900" w:h="16838" w:orient="portrait"/>
          <w:cols w:equalWidth="0" w:num="1">
            <w:col w:w="11420"/>
          </w:cols>
          <w:pgMar w:left="240" w:top="130"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30" w:right="239" w:bottom="1440" w:gutter="0" w:footer="0" w:header="0"/>
          <w:type w:val="continuous"/>
        </w:sectPr>
      </w:pPr>
    </w:p>
    <w:bookmarkStart w:id="38" w:name="page39"/>
    <w:bookmarkEnd w:id="3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New pronouncements issued but not effective until after March 29, 2014 are not expected to have a material impact on financial position, results of operation or liquidity.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Guidance to be Implemented</w:t>
      </w:r>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April 2014, the Financial Accounting Standards Board (“FASB”) issued Accounting Standards Update (“ASU”) No. 2014-08, “Presentation of Financial Statements (Topic 205) and Property, Plant, and Equipment (Topic 360): Reporting Discontinued Operations and Disclosures of Disposals of Components of an Entity” (“ASU 2014-08”). ASU 2014-08 limits the requirement to report discontinued operations to disposals of components of an entity that represent strategic shifts that have (or will have) a major effect on an entity’s operations and financial results. The amendments also require expanded disclosures concerning discontinued operations and disclosures of certain financial results attributable to a disposal of a significant component of an entity that does not qualify for discontinued operations reporting. The amendments in this ASU are effective prospectively for reporting periods beginning on or after December 15, 2014, with early adoption permitted. The impact on our Financial Statements of adopting ASU 2014-08 is being assessed by management.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Standards Implemented</w:t>
      </w:r>
    </w:p>
    <w:p>
      <w:pPr>
        <w:spacing w:after="0" w:line="26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February 2013, the Financial Accounting Standards Board ("FASB") issued Accounting Standards Update ("ASU") No. 2013-02,Comprehensive Income: Reporting of Amounts Reclassified Out of Accumulated Other Comprehensive Income("ASU 2013-02"). ASU 2013-02 requires an entity to provide information about amounts reclassified out of accumulated other comprehensive income by component. In addition, an entity is required to present, either on the face of the financial statements or in a single note; any significant amount reclassified out of accumulated other comprehensive income in its entirety in the period, and the income statement line item affected by the reclassification. For other amounts that are not required under U.S. GAAP to be reclassified in their entirety to net income, an entity is required to cross-reference to other disclosures required under U.S. GAAP that provide additional detail about those amounts. We adopted this guidance during the three months ended June 29, 2013</w:t>
      </w:r>
    </w:p>
    <w:p>
      <w:pPr>
        <w:spacing w:after="0" w:line="17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July 2013 FASB issued ASU 2013-10 Derivatives and Hedging (Topic 815): Inclusion of the Fed Funds Effective Swap Rate (or Overnight Index Swap Rate) as a Benchmark Interest Rate for Hedge Accounting Purposes. ASU 2013-10 amends ASC 815 to include the Fed Funds Effective Swap Rate (or Overnight Index Swap Rate) as a benchmark interest rate for hedge accounting purposes in addition to UST and LIBOR. The amendments also remove the restriction on using different benchmark rates for similar hedges. The amendments are effective prospectively for qualifying new or redesignated hedging relationships entered into on or after July 17, 2013. We have evaluated the amendments and concluded that these do not impact our financial statements as we have not entered into transactions with Fed Funds Effective Swap Rate.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significant accounting policies are summarized in Note 2 of our consolidated financial statements. While all of these significant accounting policies impact our financial condition and results of operations, we view certain of these policies as critical. Policies determined to be critical are those policies that have the most significant impact on our financial statements and require management to use a greater degree of judgment and/or estimates. Actual results may differ from those estimates.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The accounting policies identified as critical are as follows: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13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We recognize revenue from product sales, software and services in accordance with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and ASC Topic 985-605, </w:t>
      </w:r>
      <w:r>
        <w:rPr>
          <w:rFonts w:ascii="Arial" w:cs="Arial" w:eastAsia="Arial" w:hAnsi="Arial"/>
          <w:sz w:val="16"/>
          <w:szCs w:val="16"/>
          <w:i w:val="1"/>
          <w:iCs w:val="1"/>
          <w:color w:val="auto"/>
        </w:rPr>
        <w:t>Software</w:t>
      </w:r>
      <w:r>
        <w:rPr>
          <w:rFonts w:ascii="Arial" w:cs="Arial" w:eastAsia="Arial" w:hAnsi="Arial"/>
          <w:sz w:val="16"/>
          <w:szCs w:val="16"/>
          <w:color w:val="auto"/>
        </w:rPr>
        <w:t xml:space="preserve">. These standards require that revenue is recognized when persuasive evidence of an arrangement exists, product delivery, including customer acceptance, has occurred or services have been rendered, the price is fixed or determinable and collectability is reasonably assured. When more than one element such as equipment, disposables and services are contained in a single arrangement, we allocate revenue between the elements based on each element’s relative selling price, provided that each element meets the criteria for treatment as a separate unit of accounting. An item is considered a separate unit of accounting if it has value to the customer on a stand-alone basis. The selling price of the undelivered elements is determined by the price charged when the element is sold separately, which constitutes vendor specific objective evidence as defined under ASC Topic 985-605, or in cases when the item is not sold separately, by third-party evidence of selling price or by management's best estimate of selling price. For our software arrangements accounted for under the provisions of ASC 985-605, </w:t>
      </w:r>
      <w:r>
        <w:rPr>
          <w:rFonts w:ascii="Arial" w:cs="Arial" w:eastAsia="Arial" w:hAnsi="Arial"/>
          <w:sz w:val="16"/>
          <w:szCs w:val="16"/>
          <w:i w:val="1"/>
          <w:iCs w:val="1"/>
          <w:color w:val="auto"/>
        </w:rPr>
        <w:t>Software</w:t>
      </w:r>
      <w:r>
        <w:rPr>
          <w:rFonts w:ascii="Arial" w:cs="Arial" w:eastAsia="Arial" w:hAnsi="Arial"/>
          <w:sz w:val="16"/>
          <w:szCs w:val="16"/>
          <w:color w:val="auto"/>
        </w:rPr>
        <w:t>, we establish fair value of undelivered elements based upon vendor specific objective evidence.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30" w:right="25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generally do not allow our customers to return products. We offer sales rebates and discounts to certain customers. We treat sales rebates and discounts as a reduction of revenue and classify the corresponding liability as current. We estimate rebates for products where there is sufficient historical information available to predict the volume of expected future rebates. If we are unable to estimate the expected rebates reasonably, we record a liability for the maximum potential rebate or discount that could be earned.</w:t>
      </w:r>
    </w:p>
    <w:p>
      <w:pPr>
        <w:spacing w:after="0" w:line="9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generally recognize revenue from the sale of perpetual licenses on a percentage-of-completion basis which requires us to make reasonable estimates of the extent of progress toward completion of the contract. These arrangements most often include providing customized implementation services to our customer. We also provide other services, including in some instances hosting, technical support, and maintenance, for the payment of periodic, monthly, or quarterly fees. We recognize these fees and charges as earned, typically as these services are provided during the contract period.</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 and Other Intangible Assets</w:t>
      </w:r>
    </w:p>
    <w:p>
      <w:pPr>
        <w:spacing w:after="0" w:line="3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Intangible assets acquired in a business combination are recorded under the purchase method of accounting at their estimated fair values at the date of acquisition. Goodwill represents the excess purchase price over the fair value of the net tangible and other identifiable intangible assets acquired. We amortize our other intangible assets over their estimated useful lives.</w:t>
      </w:r>
    </w:p>
    <w:p>
      <w:pPr>
        <w:spacing w:after="0" w:line="14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Goodwill is not amortized. Instead goodwill is reviewed for impairment at least annually in accordance with ASC Topic 350, Intangibles - Goodwill and Other, or on an interim basis between annual tests when events or circumstances indicate that it is more likely than not that the fair value of a reporting unit is less than its carrying value. We perform our annual impairment test on the first day of the fiscal fourth quarter for each of our reporting units. We first perform a qualitative test and if necessary, perform a quantitative test.</w:t>
      </w:r>
    </w:p>
    <w:p>
      <w:pPr>
        <w:spacing w:after="0" w:line="14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Prior to fiscal 2014 we determined we operated a single operating segment, blood management solutions, based on our chief operating decision maker ("CODM") primarily using consolidated results to make operating and strategic decisions. Our reporting units for purposes of assessing goodwill impairment prior to fiscal 2014 were medical devices and software. During fiscal 2014 our CODM utilized financial results by operating units organized primarily on geography due to changes in the composition in the executive staff reporting to the CODM. Based on these changes we determined the five operating units noted above represent operating segments as defined under ASC 280 - Segment Reporting. Following this change we determined our reporting units for purposes of assessing goodwill impairment by identifying our operating segments and assessing whether segment management regularly reviews the operating results of any components. Through this process, we concluded that our reporting units were the same as our operating segments, which are the following operating units organized based primarily on geography: North America Plasma, North America Blood Center and Hospital, Europe, Asia-Pacific and Japan. Goodwill was reallocated from the medical device and software reporting units to the new reporting units based on a relative fair value basis.</w:t>
      </w:r>
    </w:p>
    <w:p>
      <w:pPr>
        <w:spacing w:after="0" w:line="126"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The quantitative test is based on a discounted cash flow analysis or other valuation techniques, such as the market approach, for each reporting unit. In fiscal 2014, we determined the fair value of our reporting units based on the market approach. Under the market approach, we estimate the fair value of our reporting units based on a combination of, a) market multiples of current year earnings before interest, taxes, depreciation and amortization (“EBITDA”) and</w:t>
      </w:r>
    </w:p>
    <w:p>
      <w:pPr>
        <w:ind w:right="120" w:firstLine="8"/>
        <w:spacing w:after="0" w:line="292" w:lineRule="auto"/>
        <w:tabs>
          <w:tab w:leader="none" w:pos="195" w:val="left"/>
        </w:tabs>
        <w:numPr>
          <w:ilvl w:val="0"/>
          <w:numId w:val="12"/>
        </w:numPr>
        <w:rPr>
          <w:rFonts w:ascii="Arial" w:cs="Arial" w:eastAsia="Arial" w:hAnsi="Arial"/>
          <w:sz w:val="16"/>
          <w:szCs w:val="16"/>
          <w:color w:val="auto"/>
        </w:rPr>
      </w:pPr>
      <w:r>
        <w:rPr>
          <w:rFonts w:ascii="Arial" w:cs="Arial" w:eastAsia="Arial" w:hAnsi="Arial"/>
          <w:sz w:val="16"/>
          <w:szCs w:val="16"/>
          <w:color w:val="auto"/>
        </w:rPr>
        <w:t>net revenues for each individual reporting unit. For the market approach, we use judgment in identifying the relevant comparable-company market multiples, such as recent divestitures/acquisitions, facts and circumstances surrounding the market and growth rates. Management assesses the relevance and reliability of the multiples by considering factors unique to its reporting units, including recent operating results, business plans, economic projections, anticipated future cash flows, and other data. EBITDA and revenue multiples can also be significantly impacted by future growth opportunities for the reporting unit as well as for the company itself, general market and geographic sentiment, and pending or recently completed merger transactions.</w:t>
      </w:r>
    </w:p>
    <w:p>
      <w:pPr>
        <w:spacing w:after="0" w:line="12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fair values of our reporting units in fiscal 2012 and 2013 were determined using an income approach. Under the income approach, the fair value of a reporting unit is based on the present value of future cash flows using appropriate discount rates, growth rates, operating margins and future market conditions amongst others. We changed our valuation approach to assessing goodwill impairment in fiscal 2014 in connection with the change in reporting units. ASC 350, Intangibles - Goodwill and Other defines the fair value of a reporting unit as the price that would be received to sell the unit as a whole in an orderly transaction between market participants at the measurement date. We utilized the market approach as we determined relevant comparable information was available, and accordingly such method was an appropriate alternative to the income method based on cost-benefit considerations.</w:t>
      </w:r>
    </w:p>
    <w:p>
      <w:pPr>
        <w:spacing w:after="0" w:line="12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These tests showed no evidence of impairment to our goodwill for fiscal 2014, 2013 or 2012 and demonstrated that the fair value of each reporting unit exceeded the reporting unit’s carrying value in each period. During March 2014, circumstances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30"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arose that indicated a potential impairment. We performed an interim impairment test with the new information and noted that the fair value of our reporting units still exceeded their carrying values.</w:t>
      </w:r>
    </w:p>
    <w:p>
      <w:pPr>
        <w:spacing w:after="0" w:line="13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review intangible assets subject to amortization at least annually or more frequently if certain conditions arise to determine if any adverse conditions exist that would indicate that the carrying value of an asset or asset group may not be recoverable, or that a change in the remaining useful life is required. Conditions indicating that an impairment exists include but are not limited to a change in the competitive landscape, internal decisions to pursue new or different technology strategies, a loss of a significant customer or a significant change in the marketplace including prices paid for our products or the size of the market for our products. During March 2014, circumstances arose that indicated a potential impairment of certain intangible assets subject to amortization. We performed the recoverability test described below for the relevant asset group and determined expected undiscounted cash flows exceeded the carrying value of the asset group.</w:t>
      </w:r>
    </w:p>
    <w:p>
      <w:pPr>
        <w:spacing w:after="0" w:line="149"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If an impairment indicator exists, we test the intangible asset for recoverability. For purposes of the recoverability test, we group our amortizable intangible assets with other assets and liabilities at the lowest level of identifiable cash flows if the intangible asset does not generate cash flows independent of other assets and liabilities. If the carrying value of the intangible asset (asset group) exceeds the undiscounted cash flows expected to result from the use and eventual disposition of the intangible asset (asset group), we will write the carrying value down to the fair value in the period identified.</w:t>
      </w:r>
    </w:p>
    <w:p>
      <w:pPr>
        <w:spacing w:after="0" w:line="11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generally calculate fair value of our intangible assets as the present value of estimated future cash flows we expect to generate from the asset using a risk-adjusted discount rate. In determining our estimated future cash flows associated with our intangible assets, we use estimates and assumptions about future revenue contributions, cost structures and remaining useful lives of the asset (asset group).</w:t>
      </w:r>
    </w:p>
    <w:p>
      <w:pPr>
        <w:spacing w:after="0" w:line="14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If we determine the estimate of an intangible asset's remaining useful life should be reduced based on our expected use of the asset, the remaining carrying amount of the asset is amortized prospectively over the revised estimated useful life.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Inventory Provisions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base our provisions for excess, expired and obsolete inventory primarily on our estimates of forecasted net sales. A significant change in the timing or level of demand for our products as compared to forecasted amounts may result in recording additional provisions for excess, expired and obsolete inventory in the future. Additionally, uncertain timing of next-generation product approvals, variability in product launch strategies, product recalls and variation in product utilization all affect our estimates related to excess, expired and obsolete inventory.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income tax provision is calculated for all jurisdictions in which we operate. The income tax provision process involves calculating current taxes due and assessing temporary differences arising from items which are taxable or deductible in different periods for tax and accounting purposes and are recorded as deferred tax assets and liabilities. Deferred tax assets are evaluated for realizability and a valuation allowance is maintained for the portion of our deferred tax assets that are not more-likely-than-not realizable</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file income tax returns in all jurisdictions in which we operate. We record a liability for uncertain tax positions taken or expected to be taken in income tax returns. Our financial statements reflect expected future tax consequences of such positions presuming the taxing authorities' full knowledge of the position and all relevant facts. We record a liability for the portion of unrecognized tax benefits claimed which we have determined are not more-likely-than-not realizable. These tax reserves have been established based on management's assessment as to the potential exposure attributable to our uncertain tax positions as well as interest and penalties attributable to these uncertain tax positions. All tax reserves are analyzed quarterly and adjustments are made as events occur that result in changes in judgment.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Valuation of Acquisitions</w:t>
      </w:r>
    </w:p>
    <w:p>
      <w:pPr>
        <w:spacing w:after="0" w:line="131"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We allocate the amounts we pay for each acquisition to the assets we acquire and liabilities we assume based on their estimated fair values at the dates of acquisition, including acquired identifiable intangible assets, and purchased research and development. We base the estimated fair value of identifiable intangible assets on detailed valuations that use historical and forecasted information and market assumptions based upon the assumptions of a market participant. We allocate any excess purchase price over the fair value of the net tangible and intangible assets acquired to goodwill.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30" w:right="2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certain acquisitions, we have earn-out arrangements or contingent consideration to provide potential future payments to the seller for achieving certain agreed-upon financial targets. We record the contingent consideration at its fair value at the acquisition date. Generally, we have entered into arrangements with contingent consideration that require payments in cash. As such, we periodically revalue the contingent consideration obligations associated with certain acquisitions to their current fair value and record the change in the fair value as contingent consideration income or expense within selling, general and administrative. Increases or decreases in the fair value of the contingent consideration obligations can result from changes in assumed discount periods and rates, changes in the assumed timing and amount of revenue and expense estimates, and changes in assumed probability adjustments with respect to regulatory approval. Significant judgment is employed in determining the appropriateness of these assumptions as of the acquisition date and for each subsequent period. Accordingly, future business and economic conditions, as well as changes in any of the assumptions described above, can materially impact the amount of contingent consideration income or expense we record in any given period.</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Contingencies</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may become involved in various legal proceedings that arise in the ordinary course of business, including, without limitation, patent infringement, product liability and environmental matters. Accruals recorded for various contingencies including legal proceedings, self-insurance and other claims are based on judgment, the probability of losses and, where applicable, the consideration of opinions of internal and/or external legal counsel and actuarially determined estimates. When a range is established but a best estimate cannot be made, we record the minimum loss contingency amount. These estimates are often initially developed substantially earlier than the ultimate loss is known, and the estimates are reevaluated each accounting period, as additional information is available. When we are initially unable to develop a best estimate of loss, we record the minimum amount of loss, which could be zero. As information becomes known, additional loss provision is recorded when either a best estimate can be made or the minimum loss amount is increased. When events result in an expectation of a more favorable outcome than previously expected, our best estimate is changed to a lower amount. We record receivables from third party insurers when we have determined that existing insurance policies will provide reimbursement. In making this determination, we consider applicable deductibles, policy limits and the historical payment experience of the insurance carriers.</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7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Statements contained in this report, as well as oral statements we make which are prefaced with the words “may,” “will,” “expect,” “anticipate,” “continue,” “estimate,” “project,” “intend,” “designed,” and similar expressions, are intended to identify forward looking statements regarding events, conditions, and financial trends that may affect our future plans of operations, business strategy, results of operations, and financial position. These statements are based on our current expectations and estimates as to prospective events and circumstances about which we can give no firm assurance. Further, any forward-looking statement speaks only as of the date on which such statement is made, and we undertake no obligation to update any forward-looking statement to reflect events or circumstances after the date on which such statement is made. As it is not possible to predict every new factor that may emerge, forward-looking statements should not be relied upon as a prediction of our actual future financial condition or results. These forward-looking statements, like any forward-looking statements, involve risks and uncertainties that could cause actual results to differ materially from those projected or anticipated, including: the effects of disruption from the manufacturing transformation making it more difficult to maintain relationships with employees and timely deliver high quality products, unexpected expenses incurred during our VCC initiatives, technological advances in the medical field and standards for transfusion medicine, our ability to successfully implement products that incorporate such advances and standards, demand for whole blood and blood components, product quality, market acceptance, regulatory uncertainties, the ability of our contract manufacturing vendors to timely supply high quality goods, the effect of economic and political conditions, the impact of competitive products and pricing, blood product reimbursement policies and practices, foreign currency exchange rates, changes in customers’ ordering patterns including single-source tenders, the effect of industry consolidation as seen in the plasma and blood center markets, the effect of communicable diseases and the effect of uncertainties in markets outside the U.S. (including Europe and Asia) in which we operate and such other risks described under Item 1A. Risk Factors included in this report. The foregoing list should not be construed as exhaustive.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30"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0" w:lineRule="exact"/>
        <w:rPr>
          <w:sz w:val="20"/>
          <w:szCs w:val="20"/>
          <w:color w:val="auto"/>
        </w:rPr>
      </w:pPr>
    </w:p>
    <w:p>
      <w:pPr>
        <w:ind w:right="3960"/>
        <w:spacing w:after="0" w:line="462" w:lineRule="auto"/>
        <w:rPr>
          <w:sz w:val="20"/>
          <w:szCs w:val="20"/>
          <w:color w:val="auto"/>
        </w:rPr>
      </w:pPr>
      <w:r>
        <w:rPr>
          <w:rFonts w:ascii="Arial" w:cs="Arial" w:eastAsia="Arial" w:hAnsi="Arial"/>
          <w:sz w:val="17"/>
          <w:szCs w:val="17"/>
          <w:b w:val="1"/>
          <w:bCs w:val="1"/>
          <w:color w:val="auto"/>
        </w:rPr>
        <w:t xml:space="preserve">ITEM 7A. QUANTITATIVE AND QUALITATIVE DISCLOSURES ABOUT MARKET RISK </w:t>
      </w:r>
      <w:r>
        <w:rPr>
          <w:rFonts w:ascii="Arial" w:cs="Arial" w:eastAsia="Arial" w:hAnsi="Arial"/>
          <w:sz w:val="17"/>
          <w:szCs w:val="17"/>
          <w:color w:val="auto"/>
        </w:rPr>
        <w:t>The Company’s exposures relative to market risk are due to foreign exchange risk and interest rate risk.</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135"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See the section above entitled Foreign Exchange for a discussion of how foreign currency affects our business. It is our policy to minimize, for a period of time, the unforeseen impact on our financial results of fluctuations in foreign exchange rates by using derivative financial instruments known as forward contracts to hedge anticipated cash flows from forecasted foreign currency denominated sales and costs. We do not use the financial instruments for speculative or trading activities. At March 29, 2014, we had the following significant foreign exchange contracts to hedge the anticipated foreign currency cash flows outstanding. The contracts have been organized into maturity groups and the related quarter that we expect the hedge contract to affect our earnings.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Weighted</w:t>
            </w: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(BUY)/SELL</w:t>
            </w:r>
          </w:p>
        </w:tc>
        <w:tc>
          <w:tcPr>
            <w:tcW w:w="1720" w:type="dxa"/>
            <w:vAlign w:val="bottom"/>
            <w:gridSpan w:val="2"/>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Expected</w:t>
            </w:r>
          </w:p>
        </w:tc>
        <w:tc>
          <w:tcPr>
            <w:tcW w:w="0" w:type="dxa"/>
            <w:vAlign w:val="bottom"/>
          </w:tcPr>
          <w:p>
            <w:pPr>
              <w:spacing w:after="0"/>
              <w:rPr>
                <w:sz w:val="1"/>
                <w:szCs w:val="1"/>
                <w:color w:val="auto"/>
              </w:rPr>
            </w:pPr>
          </w:p>
        </w:tc>
      </w:tr>
      <w:tr>
        <w:trPr>
          <w:trHeight w:val="149"/>
        </w:trPr>
        <w:tc>
          <w:tcPr>
            <w:tcW w:w="1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Hedged Currency</w:t>
            </w:r>
          </w:p>
        </w:tc>
        <w:tc>
          <w:tcPr>
            <w:tcW w:w="120" w:type="dxa"/>
            <w:vAlign w:val="bottom"/>
            <w:vMerge w:val="restart"/>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Spot</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Forward</w:t>
            </w:r>
          </w:p>
        </w:tc>
        <w:tc>
          <w:tcPr>
            <w:tcW w:w="2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to Affect</w:t>
            </w:r>
          </w:p>
        </w:tc>
        <w:tc>
          <w:tcPr>
            <w:tcW w:w="0" w:type="dxa"/>
            <w:vAlign w:val="bottom"/>
          </w:tcPr>
          <w:p>
            <w:pPr>
              <w:spacing w:after="0"/>
              <w:rPr>
                <w:sz w:val="1"/>
                <w:szCs w:val="1"/>
                <w:color w:val="auto"/>
              </w:rPr>
            </w:pPr>
          </w:p>
        </w:tc>
      </w:tr>
      <w:tr>
        <w:trPr>
          <w:trHeight w:val="192"/>
        </w:trPr>
        <w:tc>
          <w:tcPr>
            <w:tcW w:w="1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Local Currency</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Contract Rate</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Contract Rate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Gain/(Loss)</w:t>
            </w:r>
          </w:p>
        </w:tc>
        <w:tc>
          <w:tcPr>
            <w:tcW w:w="12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Earnings</w:t>
            </w:r>
          </w:p>
        </w:tc>
        <w:tc>
          <w:tcPr>
            <w:tcW w:w="0" w:type="dxa"/>
            <w:vAlign w:val="bottom"/>
          </w:tcPr>
          <w:p>
            <w:pPr>
              <w:spacing w:after="0"/>
              <w:rPr>
                <w:sz w:val="1"/>
                <w:szCs w:val="1"/>
                <w:color w:val="auto"/>
              </w:rPr>
            </w:pPr>
          </w:p>
        </w:tc>
      </w:tr>
      <w:tr>
        <w:trPr>
          <w:trHeight w:val="236"/>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EUR</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7,679,000</w:t>
            </w: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1.339</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1.340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(296,508)</w:t>
            </w:r>
          </w:p>
        </w:tc>
        <w:tc>
          <w:tcPr>
            <w:tcW w:w="12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4"/>
              </w:rPr>
              <w:t>Mar 2014 - May 2014</w:t>
            </w:r>
          </w:p>
        </w:tc>
        <w:tc>
          <w:tcPr>
            <w:tcW w:w="1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w w:val="96"/>
              </w:rPr>
              <w:t>Q1 FY15</w:t>
            </w:r>
          </w:p>
        </w:tc>
        <w:tc>
          <w:tcPr>
            <w:tcW w:w="0" w:type="dxa"/>
            <w:vAlign w:val="bottom"/>
          </w:tcPr>
          <w:p>
            <w:pPr>
              <w:spacing w:after="0"/>
              <w:rPr>
                <w:sz w:val="1"/>
                <w:szCs w:val="1"/>
                <w:color w:val="auto"/>
              </w:rPr>
            </w:pPr>
          </w:p>
        </w:tc>
      </w:tr>
      <w:tr>
        <w:trPr>
          <w:trHeight w:val="237"/>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EUR</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9,224,000</w:t>
            </w:r>
          </w:p>
        </w:tc>
        <w:tc>
          <w:tcPr>
            <w:tcW w:w="120" w:type="dxa"/>
            <w:vAlign w:val="bottom"/>
          </w:tcPr>
          <w:p>
            <w:pPr>
              <w:spacing w:after="0"/>
              <w:rPr>
                <w:sz w:val="20"/>
                <w:szCs w:val="20"/>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1.350</w:t>
            </w:r>
          </w:p>
        </w:tc>
        <w:tc>
          <w:tcPr>
            <w:tcW w:w="12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1.351</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(254,173)</w:t>
            </w:r>
          </w:p>
        </w:tc>
        <w:tc>
          <w:tcPr>
            <w:tcW w:w="120" w:type="dxa"/>
            <w:vAlign w:val="bottom"/>
          </w:tcPr>
          <w:p>
            <w:pPr>
              <w:spacing w:after="0"/>
              <w:rPr>
                <w:sz w:val="20"/>
                <w:szCs w:val="20"/>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Jun 2014 - Aug 2014</w:t>
            </w:r>
          </w:p>
        </w:tc>
        <w:tc>
          <w:tcPr>
            <w:tcW w:w="1360" w:type="dxa"/>
            <w:vAlign w:val="bottom"/>
          </w:tcPr>
          <w:p>
            <w:pPr>
              <w:ind w:left="720"/>
              <w:spacing w:after="0"/>
              <w:rPr>
                <w:sz w:val="20"/>
                <w:szCs w:val="20"/>
                <w:color w:val="auto"/>
              </w:rPr>
            </w:pPr>
            <w:r>
              <w:rPr>
                <w:rFonts w:ascii="Arial" w:cs="Arial" w:eastAsia="Arial" w:hAnsi="Arial"/>
                <w:sz w:val="16"/>
                <w:szCs w:val="16"/>
                <w:color w:val="auto"/>
                <w:w w:val="96"/>
              </w:rPr>
              <w:t>Q2 FY15</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EUR</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9,710,000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1.350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(264,557)</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Sep 2014 - Nov 2014</w:t>
            </w:r>
          </w:p>
        </w:tc>
        <w:tc>
          <w:tcPr>
            <w:tcW w:w="1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w w:val="96"/>
              </w:rPr>
              <w:t>Q3 FY15</w:t>
            </w:r>
          </w:p>
        </w:tc>
        <w:tc>
          <w:tcPr>
            <w:tcW w:w="0" w:type="dxa"/>
            <w:vAlign w:val="bottom"/>
          </w:tcPr>
          <w:p>
            <w:pPr>
              <w:spacing w:after="0"/>
              <w:rPr>
                <w:sz w:val="1"/>
                <w:szCs w:val="1"/>
                <w:color w:val="auto"/>
              </w:rPr>
            </w:pPr>
          </w:p>
        </w:tc>
      </w:tr>
      <w:tr>
        <w:trPr>
          <w:trHeight w:val="237"/>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EUR</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11,801,000</w:t>
            </w:r>
          </w:p>
        </w:tc>
        <w:tc>
          <w:tcPr>
            <w:tcW w:w="120" w:type="dxa"/>
            <w:vAlign w:val="bottom"/>
          </w:tcPr>
          <w:p>
            <w:pPr>
              <w:spacing w:after="0"/>
              <w:rPr>
                <w:sz w:val="20"/>
                <w:szCs w:val="20"/>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1.372</w:t>
            </w:r>
          </w:p>
        </w:tc>
        <w:tc>
          <w:tcPr>
            <w:tcW w:w="12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1.372</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(76,434)</w:t>
            </w:r>
          </w:p>
        </w:tc>
        <w:tc>
          <w:tcPr>
            <w:tcW w:w="120" w:type="dxa"/>
            <w:vAlign w:val="bottom"/>
          </w:tcPr>
          <w:p>
            <w:pPr>
              <w:spacing w:after="0"/>
              <w:rPr>
                <w:sz w:val="20"/>
                <w:szCs w:val="20"/>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Dec 2014 - Feb 2015</w:t>
            </w:r>
          </w:p>
        </w:tc>
        <w:tc>
          <w:tcPr>
            <w:tcW w:w="1360" w:type="dxa"/>
            <w:vAlign w:val="bottom"/>
          </w:tcPr>
          <w:p>
            <w:pPr>
              <w:ind w:left="720"/>
              <w:spacing w:after="0"/>
              <w:rPr>
                <w:sz w:val="20"/>
                <w:szCs w:val="20"/>
                <w:color w:val="auto"/>
              </w:rPr>
            </w:pPr>
            <w:r>
              <w:rPr>
                <w:rFonts w:ascii="Arial" w:cs="Arial" w:eastAsia="Arial" w:hAnsi="Arial"/>
                <w:sz w:val="16"/>
                <w:szCs w:val="16"/>
                <w:color w:val="auto"/>
                <w:w w:val="96"/>
              </w:rPr>
              <w:t>Q4 FY15</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YEN</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1,051,671,000</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97.31 per US$</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97.10 per US$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553,300</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4"/>
              </w:rPr>
              <w:t>Mar 2014 - May 2014</w:t>
            </w:r>
          </w:p>
        </w:tc>
        <w:tc>
          <w:tcPr>
            <w:tcW w:w="1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w w:val="96"/>
              </w:rPr>
              <w:t>Q1 FY15</w:t>
            </w:r>
          </w:p>
        </w:tc>
        <w:tc>
          <w:tcPr>
            <w:tcW w:w="0" w:type="dxa"/>
            <w:vAlign w:val="bottom"/>
          </w:tcPr>
          <w:p>
            <w:pPr>
              <w:spacing w:after="0"/>
              <w:rPr>
                <w:sz w:val="1"/>
                <w:szCs w:val="1"/>
                <w:color w:val="auto"/>
              </w:rPr>
            </w:pPr>
          </w:p>
        </w:tc>
      </w:tr>
      <w:tr>
        <w:trPr>
          <w:trHeight w:val="237"/>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YEN</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1,395,050,000</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98.18 per US$</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97.95 per US$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594,600</w:t>
            </w:r>
          </w:p>
        </w:tc>
        <w:tc>
          <w:tcPr>
            <w:tcW w:w="120" w:type="dxa"/>
            <w:vAlign w:val="bottom"/>
          </w:tcPr>
          <w:p>
            <w:pPr>
              <w:spacing w:after="0"/>
              <w:rPr>
                <w:sz w:val="20"/>
                <w:szCs w:val="20"/>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Jun 2014 - Aug 2014</w:t>
            </w:r>
          </w:p>
        </w:tc>
        <w:tc>
          <w:tcPr>
            <w:tcW w:w="1360" w:type="dxa"/>
            <w:vAlign w:val="bottom"/>
          </w:tcPr>
          <w:p>
            <w:pPr>
              <w:ind w:left="720"/>
              <w:spacing w:after="0"/>
              <w:rPr>
                <w:sz w:val="20"/>
                <w:szCs w:val="20"/>
                <w:color w:val="auto"/>
              </w:rPr>
            </w:pPr>
            <w:r>
              <w:rPr>
                <w:rFonts w:ascii="Arial" w:cs="Arial" w:eastAsia="Arial" w:hAnsi="Arial"/>
                <w:sz w:val="16"/>
                <w:szCs w:val="16"/>
                <w:color w:val="auto"/>
                <w:w w:val="96"/>
              </w:rPr>
              <w:t>Q2 FY15</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YEN</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1,417,157,000</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101.09 per US$</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100.84 per US$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187,286</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Sep 2014 - Nov 2014</w:t>
            </w:r>
          </w:p>
        </w:tc>
        <w:tc>
          <w:tcPr>
            <w:tcW w:w="1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w w:val="96"/>
              </w:rPr>
              <w:t>Q3 FY15</w:t>
            </w:r>
          </w:p>
        </w:tc>
        <w:tc>
          <w:tcPr>
            <w:tcW w:w="0" w:type="dxa"/>
            <w:vAlign w:val="bottom"/>
          </w:tcPr>
          <w:p>
            <w:pPr>
              <w:spacing w:after="0"/>
              <w:rPr>
                <w:sz w:val="1"/>
                <w:szCs w:val="1"/>
                <w:color w:val="auto"/>
              </w:rPr>
            </w:pPr>
          </w:p>
        </w:tc>
      </w:tr>
      <w:tr>
        <w:trPr>
          <w:trHeight w:val="237"/>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YEN</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1,335,478,000</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102.44 per US$</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102.19 per US$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(1,868)</w:t>
            </w:r>
          </w:p>
        </w:tc>
        <w:tc>
          <w:tcPr>
            <w:tcW w:w="120" w:type="dxa"/>
            <w:vAlign w:val="bottom"/>
          </w:tcPr>
          <w:p>
            <w:pPr>
              <w:spacing w:after="0"/>
              <w:rPr>
                <w:sz w:val="20"/>
                <w:szCs w:val="20"/>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Dec 2014 - Feb 2015</w:t>
            </w:r>
          </w:p>
        </w:tc>
        <w:tc>
          <w:tcPr>
            <w:tcW w:w="1360" w:type="dxa"/>
            <w:vAlign w:val="bottom"/>
          </w:tcPr>
          <w:p>
            <w:pPr>
              <w:ind w:left="720"/>
              <w:spacing w:after="0"/>
              <w:rPr>
                <w:sz w:val="20"/>
                <w:szCs w:val="20"/>
                <w:color w:val="auto"/>
              </w:rPr>
            </w:pPr>
            <w:r>
              <w:rPr>
                <w:rFonts w:ascii="Arial" w:cs="Arial" w:eastAsia="Arial" w:hAnsi="Arial"/>
                <w:sz w:val="16"/>
                <w:szCs w:val="16"/>
                <w:color w:val="auto"/>
                <w:w w:val="96"/>
              </w:rPr>
              <w:t>Q4 FY15</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GBP</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(652,000)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1.548</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70,760</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Feb 2014 - Apr 2014</w:t>
            </w:r>
          </w:p>
        </w:tc>
        <w:tc>
          <w:tcPr>
            <w:tcW w:w="1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w w:val="96"/>
              </w:rPr>
              <w:t>Q1 FY15</w:t>
            </w:r>
          </w:p>
        </w:tc>
        <w:tc>
          <w:tcPr>
            <w:tcW w:w="0" w:type="dxa"/>
            <w:vAlign w:val="bottom"/>
          </w:tcPr>
          <w:p>
            <w:pPr>
              <w:spacing w:after="0"/>
              <w:rPr>
                <w:sz w:val="1"/>
                <w:szCs w:val="1"/>
                <w:color w:val="auto"/>
              </w:rPr>
            </w:pPr>
          </w:p>
        </w:tc>
      </w:tr>
      <w:tr>
        <w:trPr>
          <w:trHeight w:val="237"/>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GBP</w:t>
            </w:r>
          </w:p>
        </w:tc>
        <w:tc>
          <w:tcPr>
            <w:tcW w:w="1500" w:type="dxa"/>
            <w:vAlign w:val="bottom"/>
          </w:tcPr>
          <w:p>
            <w:pPr>
              <w:jc w:val="right"/>
              <w:spacing w:after="0"/>
              <w:rPr>
                <w:sz w:val="20"/>
                <w:szCs w:val="20"/>
                <w:color w:val="auto"/>
              </w:rPr>
            </w:pPr>
            <w:r>
              <w:rPr>
                <w:rFonts w:ascii="Arial" w:cs="Arial" w:eastAsia="Arial" w:hAnsi="Arial"/>
                <w:sz w:val="16"/>
                <w:szCs w:val="16"/>
                <w:color w:val="auto"/>
              </w:rPr>
              <w:t>(2,015,000)</w:t>
            </w:r>
          </w:p>
        </w:tc>
        <w:tc>
          <w:tcPr>
            <w:tcW w:w="120" w:type="dxa"/>
            <w:vAlign w:val="bottom"/>
          </w:tcPr>
          <w:p>
            <w:pPr>
              <w:spacing w:after="0"/>
              <w:rPr>
                <w:sz w:val="20"/>
                <w:szCs w:val="20"/>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1.567</w:t>
            </w:r>
          </w:p>
        </w:tc>
        <w:tc>
          <w:tcPr>
            <w:tcW w:w="12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1.564</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178,010</w:t>
            </w:r>
          </w:p>
        </w:tc>
        <w:tc>
          <w:tcPr>
            <w:tcW w:w="120" w:type="dxa"/>
            <w:vAlign w:val="bottom"/>
          </w:tcPr>
          <w:p>
            <w:pPr>
              <w:spacing w:after="0"/>
              <w:rPr>
                <w:sz w:val="20"/>
                <w:szCs w:val="20"/>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May 2014 - Jul 2014</w:t>
            </w:r>
          </w:p>
        </w:tc>
        <w:tc>
          <w:tcPr>
            <w:tcW w:w="1360" w:type="dxa"/>
            <w:vAlign w:val="bottom"/>
          </w:tcPr>
          <w:p>
            <w:pPr>
              <w:ind w:left="720"/>
              <w:spacing w:after="0"/>
              <w:rPr>
                <w:sz w:val="20"/>
                <w:szCs w:val="20"/>
                <w:color w:val="auto"/>
              </w:rPr>
            </w:pPr>
            <w:r>
              <w:rPr>
                <w:rFonts w:ascii="Arial" w:cs="Arial" w:eastAsia="Arial" w:hAnsi="Arial"/>
                <w:sz w:val="16"/>
                <w:szCs w:val="16"/>
                <w:color w:val="auto"/>
                <w:w w:val="96"/>
              </w:rPr>
              <w:t>Q2 FY15</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GBP</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(1,822,000)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1.622</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61,643</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Aug 2014 - Oct 2014</w:t>
            </w:r>
          </w:p>
        </w:tc>
        <w:tc>
          <w:tcPr>
            <w:tcW w:w="1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w w:val="96"/>
              </w:rPr>
              <w:t>Q3 FY15</w:t>
            </w:r>
          </w:p>
        </w:tc>
        <w:tc>
          <w:tcPr>
            <w:tcW w:w="0" w:type="dxa"/>
            <w:vAlign w:val="bottom"/>
          </w:tcPr>
          <w:p>
            <w:pPr>
              <w:spacing w:after="0"/>
              <w:rPr>
                <w:sz w:val="1"/>
                <w:szCs w:val="1"/>
                <w:color w:val="auto"/>
              </w:rPr>
            </w:pPr>
          </w:p>
        </w:tc>
      </w:tr>
      <w:tr>
        <w:trPr>
          <w:trHeight w:val="237"/>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GBP</w:t>
            </w:r>
          </w:p>
        </w:tc>
        <w:tc>
          <w:tcPr>
            <w:tcW w:w="1500" w:type="dxa"/>
            <w:vAlign w:val="bottom"/>
          </w:tcPr>
          <w:p>
            <w:pPr>
              <w:jc w:val="right"/>
              <w:spacing w:after="0"/>
              <w:rPr>
                <w:sz w:val="20"/>
                <w:szCs w:val="20"/>
                <w:color w:val="auto"/>
              </w:rPr>
            </w:pPr>
            <w:r>
              <w:rPr>
                <w:rFonts w:ascii="Arial" w:cs="Arial" w:eastAsia="Arial" w:hAnsi="Arial"/>
                <w:sz w:val="16"/>
                <w:szCs w:val="16"/>
                <w:color w:val="auto"/>
              </w:rPr>
              <w:t>(989,000)</w:t>
            </w:r>
          </w:p>
        </w:tc>
        <w:tc>
          <w:tcPr>
            <w:tcW w:w="120" w:type="dxa"/>
            <w:vAlign w:val="bottom"/>
          </w:tcPr>
          <w:p>
            <w:pPr>
              <w:spacing w:after="0"/>
              <w:rPr>
                <w:sz w:val="20"/>
                <w:szCs w:val="20"/>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1.651</w:t>
            </w:r>
          </w:p>
        </w:tc>
        <w:tc>
          <w:tcPr>
            <w:tcW w:w="12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1.646</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4,712</w:t>
            </w:r>
          </w:p>
        </w:tc>
        <w:tc>
          <w:tcPr>
            <w:tcW w:w="120" w:type="dxa"/>
            <w:vAlign w:val="bottom"/>
          </w:tcPr>
          <w:p>
            <w:pPr>
              <w:spacing w:after="0"/>
              <w:rPr>
                <w:sz w:val="20"/>
                <w:szCs w:val="20"/>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Nov 2014 - Jan 2015</w:t>
            </w:r>
          </w:p>
        </w:tc>
        <w:tc>
          <w:tcPr>
            <w:tcW w:w="1360" w:type="dxa"/>
            <w:vAlign w:val="bottom"/>
          </w:tcPr>
          <w:p>
            <w:pPr>
              <w:ind w:left="720"/>
              <w:spacing w:after="0"/>
              <w:rPr>
                <w:sz w:val="20"/>
                <w:szCs w:val="20"/>
                <w:color w:val="auto"/>
              </w:rPr>
            </w:pPr>
            <w:r>
              <w:rPr>
                <w:rFonts w:ascii="Arial" w:cs="Arial" w:eastAsia="Arial" w:hAnsi="Arial"/>
                <w:sz w:val="16"/>
                <w:szCs w:val="16"/>
                <w:color w:val="auto"/>
                <w:w w:val="96"/>
              </w:rPr>
              <w:t>Q4 FY15</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GBP</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(331,000)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1.668</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(3,915)</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Feb 2015 - Apr 2015</w:t>
            </w:r>
          </w:p>
        </w:tc>
        <w:tc>
          <w:tcPr>
            <w:tcW w:w="1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w w:val="96"/>
              </w:rPr>
              <w:t>Q1 FY16</w:t>
            </w:r>
          </w:p>
        </w:tc>
        <w:tc>
          <w:tcPr>
            <w:tcW w:w="0" w:type="dxa"/>
            <w:vAlign w:val="bottom"/>
          </w:tcPr>
          <w:p>
            <w:pPr>
              <w:spacing w:after="0"/>
              <w:rPr>
                <w:sz w:val="1"/>
                <w:szCs w:val="1"/>
                <w:color w:val="auto"/>
              </w:rPr>
            </w:pPr>
          </w:p>
        </w:tc>
      </w:tr>
      <w:tr>
        <w:trPr>
          <w:trHeight w:val="237"/>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CHF</w:t>
            </w:r>
          </w:p>
        </w:tc>
        <w:tc>
          <w:tcPr>
            <w:tcW w:w="1500" w:type="dxa"/>
            <w:vAlign w:val="bottom"/>
          </w:tcPr>
          <w:p>
            <w:pPr>
              <w:jc w:val="right"/>
              <w:spacing w:after="0"/>
              <w:rPr>
                <w:sz w:val="20"/>
                <w:szCs w:val="20"/>
                <w:color w:val="auto"/>
              </w:rPr>
            </w:pPr>
            <w:r>
              <w:rPr>
                <w:rFonts w:ascii="Arial" w:cs="Arial" w:eastAsia="Arial" w:hAnsi="Arial"/>
                <w:sz w:val="16"/>
                <w:szCs w:val="16"/>
                <w:color w:val="auto"/>
              </w:rPr>
              <w:t>(5,587,000)</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0.94 per US$</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0.94 per US$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347,153</w:t>
            </w:r>
          </w:p>
        </w:tc>
        <w:tc>
          <w:tcPr>
            <w:tcW w:w="120" w:type="dxa"/>
            <w:vAlign w:val="bottom"/>
          </w:tcPr>
          <w:p>
            <w:pPr>
              <w:spacing w:after="0"/>
              <w:rPr>
                <w:sz w:val="20"/>
                <w:szCs w:val="20"/>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Apr 2014 - Jun 2014</w:t>
            </w:r>
          </w:p>
        </w:tc>
        <w:tc>
          <w:tcPr>
            <w:tcW w:w="1360" w:type="dxa"/>
            <w:vAlign w:val="bottom"/>
          </w:tcPr>
          <w:p>
            <w:pPr>
              <w:ind w:left="720"/>
              <w:spacing w:after="0"/>
              <w:rPr>
                <w:sz w:val="20"/>
                <w:szCs w:val="20"/>
                <w:color w:val="auto"/>
              </w:rPr>
            </w:pPr>
            <w:r>
              <w:rPr>
                <w:rFonts w:ascii="Arial" w:cs="Arial" w:eastAsia="Arial" w:hAnsi="Arial"/>
                <w:sz w:val="16"/>
                <w:szCs w:val="16"/>
                <w:color w:val="auto"/>
                <w:w w:val="96"/>
              </w:rPr>
              <w:t>Q1 FY15</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CHF</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(5,583,000)</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0.92 per US$</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0.92 per US$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211,200</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Jul 2014 - Sep 2014</w:t>
            </w:r>
          </w:p>
        </w:tc>
        <w:tc>
          <w:tcPr>
            <w:tcW w:w="1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w w:val="96"/>
              </w:rPr>
              <w:t>Q2 FY15</w:t>
            </w:r>
          </w:p>
        </w:tc>
        <w:tc>
          <w:tcPr>
            <w:tcW w:w="0" w:type="dxa"/>
            <w:vAlign w:val="bottom"/>
          </w:tcPr>
          <w:p>
            <w:pPr>
              <w:spacing w:after="0"/>
              <w:rPr>
                <w:sz w:val="1"/>
                <w:szCs w:val="1"/>
                <w:color w:val="auto"/>
              </w:rPr>
            </w:pPr>
          </w:p>
        </w:tc>
      </w:tr>
      <w:tr>
        <w:trPr>
          <w:trHeight w:val="237"/>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CHF</w:t>
            </w:r>
          </w:p>
        </w:tc>
        <w:tc>
          <w:tcPr>
            <w:tcW w:w="1500" w:type="dxa"/>
            <w:vAlign w:val="bottom"/>
          </w:tcPr>
          <w:p>
            <w:pPr>
              <w:jc w:val="right"/>
              <w:spacing w:after="0"/>
              <w:rPr>
                <w:sz w:val="20"/>
                <w:szCs w:val="20"/>
                <w:color w:val="auto"/>
              </w:rPr>
            </w:pPr>
            <w:r>
              <w:rPr>
                <w:rFonts w:ascii="Arial" w:cs="Arial" w:eastAsia="Arial" w:hAnsi="Arial"/>
                <w:sz w:val="16"/>
                <w:szCs w:val="16"/>
                <w:color w:val="auto"/>
              </w:rPr>
              <w:t>(5,274,000)</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0.90 per US$</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0.90 per US$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107,029</w:t>
            </w:r>
          </w:p>
        </w:tc>
        <w:tc>
          <w:tcPr>
            <w:tcW w:w="120" w:type="dxa"/>
            <w:vAlign w:val="bottom"/>
          </w:tcPr>
          <w:p>
            <w:pPr>
              <w:spacing w:after="0"/>
              <w:rPr>
                <w:sz w:val="20"/>
                <w:szCs w:val="20"/>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Oct 2014 - Dec 2014</w:t>
            </w:r>
          </w:p>
        </w:tc>
        <w:tc>
          <w:tcPr>
            <w:tcW w:w="1360" w:type="dxa"/>
            <w:vAlign w:val="bottom"/>
          </w:tcPr>
          <w:p>
            <w:pPr>
              <w:ind w:left="720"/>
              <w:spacing w:after="0"/>
              <w:rPr>
                <w:sz w:val="20"/>
                <w:szCs w:val="20"/>
                <w:color w:val="auto"/>
              </w:rPr>
            </w:pPr>
            <w:r>
              <w:rPr>
                <w:rFonts w:ascii="Arial" w:cs="Arial" w:eastAsia="Arial" w:hAnsi="Arial"/>
                <w:sz w:val="16"/>
                <w:szCs w:val="16"/>
                <w:color w:val="auto"/>
                <w:w w:val="96"/>
              </w:rPr>
              <w:t>Q3 FY15</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CHF</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(3,186,000)</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0.89 per US$</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0.89 per US$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8,575</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Jan 2015 - Mar 2015</w:t>
            </w:r>
          </w:p>
        </w:tc>
        <w:tc>
          <w:tcPr>
            <w:tcW w:w="1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w w:val="96"/>
              </w:rPr>
              <w:t>Q4 FY15</w:t>
            </w:r>
          </w:p>
        </w:tc>
        <w:tc>
          <w:tcPr>
            <w:tcW w:w="0" w:type="dxa"/>
            <w:vAlign w:val="bottom"/>
          </w:tcPr>
          <w:p>
            <w:pPr>
              <w:spacing w:after="0"/>
              <w:rPr>
                <w:sz w:val="1"/>
                <w:szCs w:val="1"/>
                <w:color w:val="auto"/>
              </w:rPr>
            </w:pPr>
          </w:p>
        </w:tc>
      </w:tr>
      <w:tr>
        <w:trPr>
          <w:trHeight w:val="237"/>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MXN</w:t>
            </w:r>
          </w:p>
        </w:tc>
        <w:tc>
          <w:tcPr>
            <w:tcW w:w="1500" w:type="dxa"/>
            <w:vAlign w:val="bottom"/>
          </w:tcPr>
          <w:p>
            <w:pPr>
              <w:jc w:val="right"/>
              <w:spacing w:after="0"/>
              <w:rPr>
                <w:sz w:val="20"/>
                <w:szCs w:val="20"/>
                <w:color w:val="auto"/>
              </w:rPr>
            </w:pPr>
            <w:r>
              <w:rPr>
                <w:rFonts w:ascii="Arial" w:cs="Arial" w:eastAsia="Arial" w:hAnsi="Arial"/>
                <w:sz w:val="16"/>
                <w:szCs w:val="16"/>
                <w:color w:val="auto"/>
              </w:rPr>
              <w:t>(11,789,000)</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12.89 per US$</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13.05 per US$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(7,039)</w:t>
            </w:r>
          </w:p>
        </w:tc>
        <w:tc>
          <w:tcPr>
            <w:tcW w:w="120" w:type="dxa"/>
            <w:vAlign w:val="bottom"/>
          </w:tcPr>
          <w:p>
            <w:pPr>
              <w:spacing w:after="0"/>
              <w:rPr>
                <w:sz w:val="20"/>
                <w:szCs w:val="20"/>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Feb 2014 - Apr 2014</w:t>
            </w:r>
          </w:p>
        </w:tc>
        <w:tc>
          <w:tcPr>
            <w:tcW w:w="1360" w:type="dxa"/>
            <w:vAlign w:val="bottom"/>
          </w:tcPr>
          <w:p>
            <w:pPr>
              <w:ind w:left="720"/>
              <w:spacing w:after="0"/>
              <w:rPr>
                <w:sz w:val="20"/>
                <w:szCs w:val="20"/>
                <w:color w:val="auto"/>
              </w:rPr>
            </w:pPr>
            <w:r>
              <w:rPr>
                <w:rFonts w:ascii="Arial" w:cs="Arial" w:eastAsia="Arial" w:hAnsi="Arial"/>
                <w:sz w:val="16"/>
                <w:szCs w:val="16"/>
                <w:color w:val="auto"/>
                <w:w w:val="96"/>
              </w:rPr>
              <w:t>Q1 FY15</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MXN</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(39,893,000)</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13.06 per US$</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13.28 per US$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14,675</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May 2014 - Jul 2014</w:t>
            </w:r>
          </w:p>
        </w:tc>
        <w:tc>
          <w:tcPr>
            <w:tcW w:w="1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w w:val="96"/>
              </w:rPr>
              <w:t>Q2 FY15</w:t>
            </w:r>
          </w:p>
        </w:tc>
        <w:tc>
          <w:tcPr>
            <w:tcW w:w="0" w:type="dxa"/>
            <w:vAlign w:val="bottom"/>
          </w:tcPr>
          <w:p>
            <w:pPr>
              <w:spacing w:after="0"/>
              <w:rPr>
                <w:sz w:val="1"/>
                <w:szCs w:val="1"/>
                <w:color w:val="auto"/>
              </w:rPr>
            </w:pPr>
          </w:p>
        </w:tc>
      </w:tr>
      <w:tr>
        <w:trPr>
          <w:trHeight w:val="237"/>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MXN</w:t>
            </w:r>
          </w:p>
        </w:tc>
        <w:tc>
          <w:tcPr>
            <w:tcW w:w="1500" w:type="dxa"/>
            <w:vAlign w:val="bottom"/>
          </w:tcPr>
          <w:p>
            <w:pPr>
              <w:jc w:val="right"/>
              <w:spacing w:after="0"/>
              <w:rPr>
                <w:sz w:val="20"/>
                <w:szCs w:val="20"/>
                <w:color w:val="auto"/>
              </w:rPr>
            </w:pPr>
            <w:r>
              <w:rPr>
                <w:rFonts w:ascii="Arial" w:cs="Arial" w:eastAsia="Arial" w:hAnsi="Arial"/>
                <w:sz w:val="16"/>
                <w:szCs w:val="16"/>
                <w:color w:val="auto"/>
              </w:rPr>
              <w:t>(48,046,000)</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13.09 per US$</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13.39 per US$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19,558</w:t>
            </w:r>
          </w:p>
        </w:tc>
        <w:tc>
          <w:tcPr>
            <w:tcW w:w="120" w:type="dxa"/>
            <w:vAlign w:val="bottom"/>
          </w:tcPr>
          <w:p>
            <w:pPr>
              <w:spacing w:after="0"/>
              <w:rPr>
                <w:sz w:val="20"/>
                <w:szCs w:val="20"/>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Aug 2014 - Oct 2014</w:t>
            </w:r>
          </w:p>
        </w:tc>
        <w:tc>
          <w:tcPr>
            <w:tcW w:w="1360" w:type="dxa"/>
            <w:vAlign w:val="bottom"/>
          </w:tcPr>
          <w:p>
            <w:pPr>
              <w:ind w:left="720"/>
              <w:spacing w:after="0"/>
              <w:rPr>
                <w:sz w:val="20"/>
                <w:szCs w:val="20"/>
                <w:color w:val="auto"/>
              </w:rPr>
            </w:pPr>
            <w:r>
              <w:rPr>
                <w:rFonts w:ascii="Arial" w:cs="Arial" w:eastAsia="Arial" w:hAnsi="Arial"/>
                <w:sz w:val="16"/>
                <w:szCs w:val="16"/>
                <w:color w:val="auto"/>
                <w:w w:val="96"/>
              </w:rPr>
              <w:t>Q3 FY15</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MXN</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(42,013,000)</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13.08 per US$</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13.42 per US$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4,660</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Nov 2014 - Jan 2015</w:t>
            </w:r>
          </w:p>
        </w:tc>
        <w:tc>
          <w:tcPr>
            <w:tcW w:w="1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w w:val="96"/>
              </w:rPr>
              <w:t>Q4 FY15</w:t>
            </w:r>
          </w:p>
        </w:tc>
        <w:tc>
          <w:tcPr>
            <w:tcW w:w="0" w:type="dxa"/>
            <w:vAlign w:val="bottom"/>
          </w:tcPr>
          <w:p>
            <w:pPr>
              <w:spacing w:after="0"/>
              <w:rPr>
                <w:sz w:val="1"/>
                <w:szCs w:val="1"/>
                <w:color w:val="auto"/>
              </w:rPr>
            </w:pPr>
          </w:p>
        </w:tc>
      </w:tr>
      <w:tr>
        <w:trPr>
          <w:trHeight w:val="237"/>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MXN</w:t>
            </w:r>
          </w:p>
        </w:tc>
        <w:tc>
          <w:tcPr>
            <w:tcW w:w="1500" w:type="dxa"/>
            <w:vAlign w:val="bottom"/>
          </w:tcPr>
          <w:p>
            <w:pPr>
              <w:jc w:val="right"/>
              <w:spacing w:after="0"/>
              <w:rPr>
                <w:sz w:val="20"/>
                <w:szCs w:val="20"/>
                <w:color w:val="auto"/>
              </w:rPr>
            </w:pPr>
            <w:r>
              <w:rPr>
                <w:rFonts w:ascii="Arial" w:cs="Arial" w:eastAsia="Arial" w:hAnsi="Arial"/>
                <w:sz w:val="16"/>
                <w:szCs w:val="16"/>
                <w:color w:val="auto"/>
              </w:rPr>
              <w:t>(13,569,000)</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13.29 per US$</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13.67 per US$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14,039</w:t>
            </w:r>
          </w:p>
        </w:tc>
        <w:tc>
          <w:tcPr>
            <w:tcW w:w="120" w:type="dxa"/>
            <w:vAlign w:val="bottom"/>
          </w:tcPr>
          <w:p>
            <w:pPr>
              <w:spacing w:after="0"/>
              <w:rPr>
                <w:sz w:val="20"/>
                <w:szCs w:val="20"/>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Feb 2015 - Apr 2015</w:t>
            </w:r>
          </w:p>
        </w:tc>
        <w:tc>
          <w:tcPr>
            <w:tcW w:w="1360" w:type="dxa"/>
            <w:vAlign w:val="bottom"/>
          </w:tcPr>
          <w:p>
            <w:pPr>
              <w:ind w:left="720"/>
              <w:spacing w:after="0"/>
              <w:rPr>
                <w:sz w:val="20"/>
                <w:szCs w:val="20"/>
                <w:color w:val="auto"/>
              </w:rPr>
            </w:pPr>
            <w:r>
              <w:rPr>
                <w:rFonts w:ascii="Arial" w:cs="Arial" w:eastAsia="Arial" w:hAnsi="Arial"/>
                <w:sz w:val="16"/>
                <w:szCs w:val="16"/>
                <w:color w:val="auto"/>
                <w:w w:val="96"/>
              </w:rPr>
              <w:t>Q1 FY16</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AUD</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2,286,000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0.892</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0.877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(99,908)</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4"/>
              </w:rPr>
              <w:t>Mar 2014 - May 2014</w:t>
            </w:r>
          </w:p>
        </w:tc>
        <w:tc>
          <w:tcPr>
            <w:tcW w:w="1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w w:val="96"/>
              </w:rPr>
              <w:t>Q1 FY15</w:t>
            </w:r>
          </w:p>
        </w:tc>
        <w:tc>
          <w:tcPr>
            <w:tcW w:w="0" w:type="dxa"/>
            <w:vAlign w:val="bottom"/>
          </w:tcPr>
          <w:p>
            <w:pPr>
              <w:spacing w:after="0"/>
              <w:rPr>
                <w:sz w:val="1"/>
                <w:szCs w:val="1"/>
                <w:color w:val="auto"/>
              </w:rPr>
            </w:pPr>
          </w:p>
        </w:tc>
      </w:tr>
      <w:tr>
        <w:trPr>
          <w:trHeight w:val="237"/>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AUD</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3,269,000</w:t>
            </w:r>
          </w:p>
        </w:tc>
        <w:tc>
          <w:tcPr>
            <w:tcW w:w="120" w:type="dxa"/>
            <w:vAlign w:val="bottom"/>
          </w:tcPr>
          <w:p>
            <w:pPr>
              <w:spacing w:after="0"/>
              <w:rPr>
                <w:sz w:val="20"/>
                <w:szCs w:val="20"/>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0.944</w:t>
            </w:r>
          </w:p>
        </w:tc>
        <w:tc>
          <w:tcPr>
            <w:tcW w:w="12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0.926</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29,304</w:t>
            </w:r>
          </w:p>
        </w:tc>
        <w:tc>
          <w:tcPr>
            <w:tcW w:w="120" w:type="dxa"/>
            <w:vAlign w:val="bottom"/>
          </w:tcPr>
          <w:p>
            <w:pPr>
              <w:spacing w:after="0"/>
              <w:rPr>
                <w:sz w:val="20"/>
                <w:szCs w:val="20"/>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Jun 2014 - Aug 2014</w:t>
            </w:r>
          </w:p>
        </w:tc>
        <w:tc>
          <w:tcPr>
            <w:tcW w:w="1360" w:type="dxa"/>
            <w:vAlign w:val="bottom"/>
          </w:tcPr>
          <w:p>
            <w:pPr>
              <w:ind w:left="720"/>
              <w:spacing w:after="0"/>
              <w:rPr>
                <w:sz w:val="20"/>
                <w:szCs w:val="20"/>
                <w:color w:val="auto"/>
              </w:rPr>
            </w:pPr>
            <w:r>
              <w:rPr>
                <w:rFonts w:ascii="Arial" w:cs="Arial" w:eastAsia="Arial" w:hAnsi="Arial"/>
                <w:sz w:val="16"/>
                <w:szCs w:val="16"/>
                <w:color w:val="auto"/>
                <w:w w:val="96"/>
              </w:rPr>
              <w:t>Q2 FY15</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AUD</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3,663,000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0.938</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0.917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22,028</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Sep 2014 - Nov 2014</w:t>
            </w:r>
          </w:p>
        </w:tc>
        <w:tc>
          <w:tcPr>
            <w:tcW w:w="1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w w:val="96"/>
              </w:rPr>
              <w:t>Q3 FY15</w:t>
            </w:r>
          </w:p>
        </w:tc>
        <w:tc>
          <w:tcPr>
            <w:tcW w:w="0" w:type="dxa"/>
            <w:vAlign w:val="bottom"/>
          </w:tcPr>
          <w:p>
            <w:pPr>
              <w:spacing w:after="0"/>
              <w:rPr>
                <w:sz w:val="1"/>
                <w:szCs w:val="1"/>
                <w:color w:val="auto"/>
              </w:rPr>
            </w:pPr>
          </w:p>
        </w:tc>
      </w:tr>
      <w:tr>
        <w:trPr>
          <w:trHeight w:val="237"/>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AUD</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3,296,000</w:t>
            </w:r>
          </w:p>
        </w:tc>
        <w:tc>
          <w:tcPr>
            <w:tcW w:w="120" w:type="dxa"/>
            <w:vAlign w:val="bottom"/>
          </w:tcPr>
          <w:p>
            <w:pPr>
              <w:spacing w:after="0"/>
              <w:rPr>
                <w:sz w:val="20"/>
                <w:szCs w:val="20"/>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0.899</w:t>
            </w:r>
          </w:p>
        </w:tc>
        <w:tc>
          <w:tcPr>
            <w:tcW w:w="12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0.879</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(81,504)</w:t>
            </w:r>
          </w:p>
        </w:tc>
        <w:tc>
          <w:tcPr>
            <w:tcW w:w="120" w:type="dxa"/>
            <w:vAlign w:val="bottom"/>
          </w:tcPr>
          <w:p>
            <w:pPr>
              <w:spacing w:after="0"/>
              <w:rPr>
                <w:sz w:val="20"/>
                <w:szCs w:val="20"/>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Dec 2014 - Feb 2015</w:t>
            </w:r>
          </w:p>
        </w:tc>
        <w:tc>
          <w:tcPr>
            <w:tcW w:w="1360" w:type="dxa"/>
            <w:vAlign w:val="bottom"/>
          </w:tcPr>
          <w:p>
            <w:pPr>
              <w:ind w:left="720"/>
              <w:spacing w:after="0"/>
              <w:rPr>
                <w:sz w:val="20"/>
                <w:szCs w:val="20"/>
                <w:color w:val="auto"/>
              </w:rPr>
            </w:pPr>
            <w:r>
              <w:rPr>
                <w:rFonts w:ascii="Arial" w:cs="Arial" w:eastAsia="Arial" w:hAnsi="Arial"/>
                <w:sz w:val="16"/>
                <w:szCs w:val="16"/>
                <w:color w:val="auto"/>
                <w:w w:val="96"/>
              </w:rPr>
              <w:t>Q4 FY15</w:t>
            </w:r>
          </w:p>
        </w:tc>
        <w:tc>
          <w:tcPr>
            <w:tcW w:w="0" w:type="dxa"/>
            <w:vAlign w:val="bottom"/>
          </w:tcPr>
          <w:p>
            <w:pPr>
              <w:spacing w:after="0"/>
              <w:rPr>
                <w:sz w:val="1"/>
                <w:szCs w:val="1"/>
                <w:color w:val="auto"/>
              </w:rPr>
            </w:pPr>
          </w:p>
        </w:tc>
      </w:tr>
      <w:tr>
        <w:trPr>
          <w:trHeight w:val="33"/>
        </w:trPr>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1,342,626</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estimate the change in the fair value of all forward contracts assuming both a 10% strengthening and weakening of the U.S. dollar relative to all other major currencies. In the event of a 10% strengthening of the U.S. dollar, the change in fair value of all forward contracts would result in a $11.9 million increase in the fair value of the forward contracts; whereas a 10% weakening of the US dollar would result in a $12.6 million decrease in the fair value of the forward contracts.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exposure to changes in interest rates is associated with borrowings on our Credit Agreement, all of which is variable rate debt. All other long-term debt is at fixed rates. Total outstanding debt under our Credit Facilities for the fiscal year ended March 29, 2014 was $437.9 million with an interest rate of 1.563% based on prevailing Adjusted LIBOR rates. An increase of 100</w:t>
      </w:r>
    </w:p>
    <w:p>
      <w:pPr>
        <w:sectPr>
          <w:pgSz w:w="11900" w:h="16838" w:orient="portrait"/>
          <w:cols w:equalWidth="0" w:num="1">
            <w:col w:w="11420"/>
          </w:cols>
          <w:pgMar w:left="240" w:top="130"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30" w:right="239" w:bottom="1440" w:gutter="0" w:footer="0" w:header="0"/>
          <w:type w:val="continuous"/>
        </w:sectPr>
      </w:pPr>
    </w:p>
    <w:bookmarkStart w:id="43" w:name="page44"/>
    <w:bookmarkEnd w:id="4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basis points in Adjusted LIBOR rates would result in additional annual interest expense of $4.4 million. On December 21, 2012, we entered into interest rate swap agreements to effectively convert $250.0 million of borrowings from a variable rate to a fixed rate. The interest rate swaps qualify for hedge accounting treatment as cash flow hedges.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130" w:right="29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Haemonetics Corporation</w:t>
      </w:r>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have audited the accompanying consolidated balance sheets of Haemonetics Corporation and subsidiaries as of March 29, 2014 and March 30, 2013, and the related consolidated statements of income, comprehensive income, shareholders' equity and cash flows for each of the three years in the period ended March 29, 2014. Our audits also included the financial statement schedule listed in the Index at Item 15(a). These financial statements and schedule are the responsibility of the Company's management. Our responsibility is to express an opinion on these financial statements and schedule based on our audits.</w:t>
      </w:r>
    </w:p>
    <w:p>
      <w:pPr>
        <w:spacing w:after="0" w:line="15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Haemonetics Corporation and subsidiaries at March 29, 2014 and March 30, 2013, and the consolidated results of their operations and their cash flows for each of the three years in the period ended March 29, 2014,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Haemonetics Corporation and subsidiaries' internal control over financial reporting as of March 29, 2014, based on criteria established in Internal Control-Integrated Framework issued by the Committee of Sponsoring Organizations of the Treadway Commission (1992 framework) and our report dated May 22, 2014 expressed an unqualified opinion thereon.</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22, 2014</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130" w:right="29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3"/>
              </w:rPr>
              <w:t>Year Ended</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52"/>
        </w:trPr>
        <w:tc>
          <w:tcPr>
            <w:tcW w:w="6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March 29,</w:t>
            </w:r>
          </w:p>
        </w:tc>
        <w:tc>
          <w:tcPr>
            <w:tcW w:w="260" w:type="dxa"/>
            <w:vAlign w:val="bottom"/>
          </w:tcPr>
          <w:p>
            <w:pPr>
              <w:spacing w:after="0"/>
              <w:rPr>
                <w:sz w:val="13"/>
                <w:szCs w:val="13"/>
                <w:color w:val="auto"/>
              </w:rPr>
            </w:pPr>
          </w:p>
        </w:tc>
        <w:tc>
          <w:tcPr>
            <w:tcW w:w="13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5"/>
              </w:rPr>
              <w:t>March 30,</w:t>
            </w:r>
          </w:p>
        </w:tc>
        <w:tc>
          <w:tcPr>
            <w:tcW w:w="260" w:type="dxa"/>
            <w:vAlign w:val="bottom"/>
          </w:tcPr>
          <w:p>
            <w:pPr>
              <w:spacing w:after="0"/>
              <w:rPr>
                <w:sz w:val="13"/>
                <w:szCs w:val="13"/>
                <w:color w:val="auto"/>
              </w:rPr>
            </w:pPr>
          </w:p>
        </w:tc>
        <w:tc>
          <w:tcPr>
            <w:tcW w:w="1220" w:type="dxa"/>
            <w:vAlign w:val="bottom"/>
          </w:tcPr>
          <w:p>
            <w:pPr>
              <w:jc w:val="right"/>
              <w:ind w:right="353"/>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6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r>
      <w:tr>
        <w:trPr>
          <w:trHeight w:val="270"/>
        </w:trPr>
        <w:tc>
          <w:tcPr>
            <w:tcW w:w="6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938,509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891,990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727,844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470,144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463,859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358,604</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468,365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428,131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369,240</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54,200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44,394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36,801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365,127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323,053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243,681</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4"/>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 write-down</w:t>
            </w:r>
          </w:p>
        </w:tc>
        <w:tc>
          <w:tcPr>
            <w:tcW w:w="2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1,711</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4,247</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421,038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371,694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280,482</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47,327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56,437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88,758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(expense) income, net</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(10,926)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740</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36,401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49,897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89,498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1,253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11,097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22,612</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35,148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38,800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66,886</w:t>
            </w: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7"/>
        </w:trPr>
        <w:tc>
          <w:tcPr>
            <w:tcW w:w="6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per share - 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Net income per share - 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0.74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1.30</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324"/>
        </w:trPr>
        <w:tc>
          <w:tcPr>
            <w:tcW w:w="67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51,611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51,349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50,727</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52,377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52,259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51,590</w:t>
            </w: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30"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Year Ended</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29, 2014</w:t>
            </w:r>
          </w:p>
        </w:tc>
        <w:tc>
          <w:tcPr>
            <w:tcW w:w="260" w:type="dxa"/>
            <w:vAlign w:val="bottom"/>
          </w:tcPr>
          <w:p>
            <w:pPr>
              <w:spacing w:after="0"/>
              <w:rPr>
                <w:sz w:val="22"/>
                <w:szCs w:val="22"/>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30, 2013</w:t>
            </w:r>
          </w:p>
        </w:tc>
        <w:tc>
          <w:tcPr>
            <w:tcW w:w="28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4"/>
                <w:szCs w:val="14"/>
                <w:b w:val="1"/>
                <w:bCs w:val="1"/>
                <w:color w:val="auto"/>
              </w:rPr>
              <w:t>March 31, 2012</w:t>
            </w:r>
          </w:p>
        </w:tc>
      </w:tr>
      <w:tr>
        <w:trPr>
          <w:trHeight w:val="324"/>
        </w:trPr>
        <w:tc>
          <w:tcPr>
            <w:tcW w:w="67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35,148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38,800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66,886</w:t>
            </w:r>
          </w:p>
        </w:tc>
      </w:tr>
      <w:tr>
        <w:trPr>
          <w:trHeight w:val="324"/>
        </w:trPr>
        <w:tc>
          <w:tcPr>
            <w:tcW w:w="6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Impact of defined benefit plans, net of tax</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(3,988)</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Unrealized gain on cash flow hedges, net of tax</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5,001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4,594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3,140</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Reclassifications into earnings of cash flow hedge (gains)/losses, net of tax</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3,230</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31,125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35,123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66,455</w:t>
            </w: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30"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29,</w:t>
            </w:r>
          </w:p>
        </w:tc>
        <w:tc>
          <w:tcPr>
            <w:tcW w:w="260" w:type="dxa"/>
            <w:vAlign w:val="bottom"/>
          </w:tcPr>
          <w:p>
            <w:pPr>
              <w:spacing w:after="0"/>
              <w:rPr>
                <w:sz w:val="14"/>
                <w:szCs w:val="14"/>
                <w:color w:val="auto"/>
              </w:rPr>
            </w:pPr>
          </w:p>
        </w:tc>
        <w:tc>
          <w:tcPr>
            <w:tcW w:w="1200" w:type="dxa"/>
            <w:vAlign w:val="bottom"/>
          </w:tcPr>
          <w:p>
            <w:pPr>
              <w:jc w:val="right"/>
              <w:ind w:right="360"/>
              <w:spacing w:after="0"/>
              <w:rPr>
                <w:sz w:val="20"/>
                <w:szCs w:val="20"/>
                <w:color w:val="auto"/>
              </w:rPr>
            </w:pPr>
            <w:r>
              <w:rPr>
                <w:rFonts w:ascii="Arial" w:cs="Arial" w:eastAsia="Arial" w:hAnsi="Arial"/>
                <w:sz w:val="14"/>
                <w:szCs w:val="14"/>
                <w:b w:val="1"/>
                <w:bCs w:val="1"/>
                <w:color w:val="auto"/>
              </w:rPr>
              <w:t>March 30,</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0"/>
        </w:trPr>
        <w:tc>
          <w:tcPr>
            <w:tcW w:w="8340" w:type="dxa"/>
            <w:vAlign w:val="bottom"/>
          </w:tcPr>
          <w:p>
            <w:pPr>
              <w:ind w:left="5420"/>
              <w:spacing w:after="0"/>
              <w:rPr>
                <w:sz w:val="20"/>
                <w:szCs w:val="20"/>
                <w:color w:val="auto"/>
              </w:rPr>
            </w:pPr>
            <w:r>
              <w:rPr>
                <w:rFonts w:ascii="Arial" w:cs="Arial" w:eastAsia="Arial" w:hAnsi="Arial"/>
                <w:sz w:val="16"/>
                <w:szCs w:val="16"/>
                <w:b w:val="1"/>
                <w:bCs w:val="1"/>
                <w:color w:val="auto"/>
              </w:rPr>
              <w:t>ASSETS</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8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192,469</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179,120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receivable, less allowance of $1,676 at March 29, 2014 and $1,727 at March 30, 2013</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164,603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170,111</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Inventories, net</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197,661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183,784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tax asset,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14,144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13,782</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54,099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50,213</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current assets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622,976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597,010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Net property, plant and equipment</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271,437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256,953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Intangible assets</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271,159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264,388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336,768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330,474</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Deferred tax asset</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1,184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1,751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long-term assets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10,654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11,341</w:t>
            </w:r>
          </w:p>
        </w:tc>
        <w:tc>
          <w:tcPr>
            <w:tcW w:w="0" w:type="dxa"/>
            <w:vAlign w:val="bottom"/>
          </w:tcPr>
          <w:p>
            <w:pPr>
              <w:spacing w:after="0"/>
              <w:rPr>
                <w:sz w:val="1"/>
                <w:szCs w:val="1"/>
                <w:color w:val="auto"/>
              </w:rPr>
            </w:pP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color w:val="auto"/>
              </w:rPr>
              <w:t>Total other assets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619,765</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607,954</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1,514,178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1,461,917</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396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83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340" w:type="dxa"/>
            <w:vAlign w:val="bottom"/>
          </w:tcPr>
          <w:p>
            <w:pPr>
              <w:ind w:left="180"/>
              <w:spacing w:after="0"/>
              <w:rPr>
                <w:sz w:val="20"/>
                <w:szCs w:val="20"/>
                <w:color w:val="auto"/>
              </w:rPr>
            </w:pPr>
            <w:r>
              <w:rPr>
                <w:rFonts w:ascii="Arial" w:cs="Arial" w:eastAsia="Arial" w:hAnsi="Arial"/>
                <w:sz w:val="16"/>
                <w:szCs w:val="16"/>
                <w:color w:val="auto"/>
              </w:rPr>
              <w:t>Notes payable and current maturities of long-term debt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45,630</w:t>
            </w:r>
          </w:p>
        </w:tc>
        <w:tc>
          <w:tcPr>
            <w:tcW w:w="120" w:type="dxa"/>
            <w:vAlign w:val="bottom"/>
          </w:tcPr>
          <w:p>
            <w:pPr>
              <w:spacing w:after="0"/>
              <w:rPr>
                <w:sz w:val="23"/>
                <w:szCs w:val="23"/>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23,150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53,562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49,893</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Accrued payroll and related costs</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54,913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45,697</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4,053</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Other liabilities</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59,710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57,351</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216,928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180,144</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Long-term debt, net of current maturities</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392,057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456,944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deferred tax liability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29,664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29,552</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Other long-term liabilities</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37,641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26,095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8340" w:type="dxa"/>
            <w:vAlign w:val="bottom"/>
          </w:tcPr>
          <w:p>
            <w:pPr>
              <w:ind w:left="180"/>
              <w:spacing w:after="0"/>
              <w:rPr>
                <w:sz w:val="20"/>
                <w:szCs w:val="20"/>
                <w:color w:val="auto"/>
              </w:rPr>
            </w:pPr>
            <w:r>
              <w:rPr>
                <w:rFonts w:ascii="Arial" w:cs="Arial" w:eastAsia="Arial" w:hAnsi="Arial"/>
                <w:sz w:val="16"/>
                <w:szCs w:val="16"/>
                <w:color w:val="auto"/>
                <w:w w:val="92"/>
              </w:rPr>
              <w:t>Common stock, $0.01 par value; Authorized — 150,000,000 shares; Issued and outstanding — 52,041,189 shares at March</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340" w:type="dxa"/>
            <w:vAlign w:val="bottom"/>
          </w:tcPr>
          <w:p>
            <w:pPr>
              <w:ind w:left="180"/>
              <w:spacing w:after="0"/>
              <w:rPr>
                <w:sz w:val="20"/>
                <w:szCs w:val="20"/>
                <w:color w:val="auto"/>
              </w:rPr>
            </w:pPr>
            <w:r>
              <w:rPr>
                <w:rFonts w:ascii="Arial" w:cs="Arial" w:eastAsia="Arial" w:hAnsi="Arial"/>
                <w:sz w:val="16"/>
                <w:szCs w:val="16"/>
                <w:color w:val="auto"/>
              </w:rPr>
              <w:t>29, 2014 and 51,031,563 shares at March 30, 2013</w:t>
            </w:r>
          </w:p>
        </w:tc>
        <w:tc>
          <w:tcPr>
            <w:tcW w:w="260" w:type="dxa"/>
            <w:vAlign w:val="bottom"/>
          </w:tcPr>
          <w:p>
            <w:pPr>
              <w:spacing w:after="0"/>
              <w:rPr>
                <w:sz w:val="17"/>
                <w:szCs w:val="17"/>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520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510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402,611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365,040</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Retained earnings</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433,347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398,199</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income</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1,410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5,433</w:t>
            </w:r>
          </w:p>
        </w:tc>
        <w:tc>
          <w:tcPr>
            <w:tcW w:w="0" w:type="dxa"/>
            <w:vAlign w:val="bottom"/>
          </w:tcPr>
          <w:p>
            <w:pPr>
              <w:spacing w:after="0"/>
              <w:rPr>
                <w:sz w:val="1"/>
                <w:szCs w:val="1"/>
                <w:color w:val="auto"/>
              </w:rPr>
            </w:pP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837,888</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769,182</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Total liabilities and stockholders’ equity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1,514,178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1,461,917</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30"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Accumulated</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35"/>
        </w:trPr>
        <w:tc>
          <w:tcPr>
            <w:tcW w:w="4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8"/>
              </w:rPr>
              <w:t>Additional</w:t>
            </w: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2"/>
              </w:rPr>
              <w:t>Other</w:t>
            </w:r>
          </w:p>
        </w:tc>
        <w:tc>
          <w:tcPr>
            <w:tcW w:w="180" w:type="dxa"/>
            <w:vAlign w:val="bottom"/>
          </w:tcPr>
          <w:p>
            <w:pPr>
              <w:spacing w:after="0"/>
              <w:rPr>
                <w:sz w:val="11"/>
                <w:szCs w:val="11"/>
                <w:color w:val="auto"/>
              </w:rPr>
            </w:pPr>
          </w:p>
        </w:tc>
        <w:tc>
          <w:tcPr>
            <w:tcW w:w="1060" w:type="dxa"/>
            <w:vAlign w:val="bottom"/>
          </w:tcPr>
          <w:p>
            <w:pPr>
              <w:jc w:val="center"/>
              <w:ind w:right="109"/>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74"/>
        </w:trPr>
        <w:tc>
          <w:tcPr>
            <w:tcW w:w="4240" w:type="dxa"/>
            <w:vAlign w:val="bottom"/>
          </w:tcPr>
          <w:p>
            <w:pPr>
              <w:spacing w:after="0"/>
              <w:rPr>
                <w:sz w:val="15"/>
                <w:szCs w:val="15"/>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5"/>
              </w:rPr>
              <w:t>Common Stock</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2"/>
              </w:rPr>
              <w:t>Paid-in</w:t>
            </w:r>
          </w:p>
        </w:tc>
        <w:tc>
          <w:tcPr>
            <w:tcW w:w="240" w:type="dxa"/>
            <w:vAlign w:val="bottom"/>
          </w:tcPr>
          <w:p>
            <w:pPr>
              <w:spacing w:after="0"/>
              <w:rPr>
                <w:sz w:val="15"/>
                <w:szCs w:val="15"/>
                <w:color w:val="auto"/>
              </w:rPr>
            </w:pPr>
          </w:p>
        </w:tc>
        <w:tc>
          <w:tcPr>
            <w:tcW w:w="1100" w:type="dxa"/>
            <w:vAlign w:val="bottom"/>
            <w:gridSpan w:val="2"/>
          </w:tcPr>
          <w:p>
            <w:pPr>
              <w:ind w:left="140"/>
              <w:spacing w:after="0"/>
              <w:rPr>
                <w:sz w:val="20"/>
                <w:szCs w:val="20"/>
                <w:color w:val="auto"/>
              </w:rPr>
            </w:pPr>
            <w:r>
              <w:rPr>
                <w:rFonts w:ascii="Arial" w:cs="Arial" w:eastAsia="Arial" w:hAnsi="Arial"/>
                <w:sz w:val="13"/>
                <w:szCs w:val="13"/>
                <w:b w:val="1"/>
                <w:bCs w:val="1"/>
                <w:color w:val="auto"/>
              </w:rPr>
              <w:t>Retained</w:t>
            </w:r>
          </w:p>
        </w:tc>
        <w:tc>
          <w:tcPr>
            <w:tcW w:w="16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Comprehensive</w:t>
            </w:r>
          </w:p>
        </w:tc>
        <w:tc>
          <w:tcPr>
            <w:tcW w:w="180" w:type="dxa"/>
            <w:vAlign w:val="bottom"/>
          </w:tcPr>
          <w:p>
            <w:pPr>
              <w:spacing w:after="0"/>
              <w:rPr>
                <w:sz w:val="15"/>
                <w:szCs w:val="15"/>
                <w:color w:val="auto"/>
              </w:rPr>
            </w:pPr>
          </w:p>
        </w:tc>
        <w:tc>
          <w:tcPr>
            <w:tcW w:w="1060" w:type="dxa"/>
            <w:vAlign w:val="bottom"/>
          </w:tcPr>
          <w:p>
            <w:pPr>
              <w:jc w:val="center"/>
              <w:ind w:right="129"/>
              <w:spacing w:after="0"/>
              <w:rPr>
                <w:sz w:val="20"/>
                <w:szCs w:val="20"/>
                <w:color w:val="auto"/>
              </w:rPr>
            </w:pPr>
            <w:r>
              <w:rPr>
                <w:rFonts w:ascii="Arial" w:cs="Arial" w:eastAsia="Arial" w:hAnsi="Arial"/>
                <w:sz w:val="13"/>
                <w:szCs w:val="13"/>
                <w:b w:val="1"/>
                <w:bCs w:val="1"/>
                <w:color w:val="auto"/>
                <w:w w:val="86"/>
              </w:rPr>
              <w:t>Stockholders’</w:t>
            </w:r>
          </w:p>
        </w:tc>
      </w:tr>
      <w:tr>
        <w:trPr>
          <w:trHeight w:val="264"/>
        </w:trPr>
        <w:tc>
          <w:tcPr>
            <w:tcW w:w="4240" w:type="dxa"/>
            <w:vAlign w:val="bottom"/>
          </w:tcPr>
          <w:p>
            <w:pPr>
              <w:spacing w:after="0"/>
              <w:rPr>
                <w:sz w:val="22"/>
                <w:szCs w:val="22"/>
                <w:color w:val="auto"/>
              </w:rPr>
            </w:pPr>
          </w:p>
        </w:tc>
        <w:tc>
          <w:tcPr>
            <w:tcW w:w="820" w:type="dxa"/>
            <w:vAlign w:val="bottom"/>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22"/>
                <w:szCs w:val="22"/>
                <w:color w:val="auto"/>
              </w:rPr>
            </w:pPr>
          </w:p>
        </w:tc>
        <w:tc>
          <w:tcPr>
            <w:tcW w:w="920" w:type="dxa"/>
            <w:vAlign w:val="bottom"/>
            <w:gridSpan w:val="2"/>
          </w:tcPr>
          <w:p>
            <w:pPr>
              <w:ind w:left="60"/>
              <w:spacing w:after="0"/>
              <w:rPr>
                <w:sz w:val="20"/>
                <w:szCs w:val="20"/>
                <w:color w:val="auto"/>
              </w:rPr>
            </w:pPr>
            <w:r>
              <w:rPr>
                <w:rFonts w:ascii="Arial" w:cs="Arial" w:eastAsia="Arial" w:hAnsi="Arial"/>
                <w:sz w:val="13"/>
                <w:szCs w:val="13"/>
                <w:b w:val="1"/>
                <w:bCs w:val="1"/>
                <w:color w:val="auto"/>
              </w:rPr>
              <w:t>Par Value</w:t>
            </w:r>
          </w:p>
        </w:tc>
        <w:tc>
          <w:tcPr>
            <w:tcW w:w="220" w:type="dxa"/>
            <w:vAlign w:val="bottom"/>
          </w:tcPr>
          <w:p>
            <w:pPr>
              <w:spacing w:after="0"/>
              <w:rPr>
                <w:sz w:val="22"/>
                <w:szCs w:val="22"/>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2"/>
              </w:rPr>
              <w:t>Capital</w:t>
            </w:r>
          </w:p>
        </w:tc>
        <w:tc>
          <w:tcPr>
            <w:tcW w:w="240" w:type="dxa"/>
            <w:vAlign w:val="bottom"/>
          </w:tcPr>
          <w:p>
            <w:pPr>
              <w:spacing w:after="0"/>
              <w:rPr>
                <w:sz w:val="22"/>
                <w:szCs w:val="22"/>
                <w:color w:val="auto"/>
              </w:rPr>
            </w:pPr>
          </w:p>
        </w:tc>
        <w:tc>
          <w:tcPr>
            <w:tcW w:w="1100" w:type="dxa"/>
            <w:vAlign w:val="bottom"/>
            <w:gridSpan w:val="2"/>
          </w:tcPr>
          <w:p>
            <w:pPr>
              <w:ind w:left="140"/>
              <w:spacing w:after="0"/>
              <w:rPr>
                <w:sz w:val="20"/>
                <w:szCs w:val="20"/>
                <w:color w:val="auto"/>
              </w:rPr>
            </w:pPr>
            <w:r>
              <w:rPr>
                <w:rFonts w:ascii="Arial" w:cs="Arial" w:eastAsia="Arial" w:hAnsi="Arial"/>
                <w:sz w:val="13"/>
                <w:szCs w:val="13"/>
                <w:b w:val="1"/>
                <w:bCs w:val="1"/>
                <w:color w:val="auto"/>
              </w:rPr>
              <w:t>Earnings</w:t>
            </w:r>
          </w:p>
        </w:tc>
        <w:tc>
          <w:tcPr>
            <w:tcW w:w="160" w:type="dxa"/>
            <w:vAlign w:val="bottom"/>
          </w:tcPr>
          <w:p>
            <w:pPr>
              <w:spacing w:after="0"/>
              <w:rPr>
                <w:sz w:val="22"/>
                <w:szCs w:val="22"/>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Income/(Loss)</w:t>
            </w:r>
          </w:p>
        </w:tc>
        <w:tc>
          <w:tcPr>
            <w:tcW w:w="180" w:type="dxa"/>
            <w:vAlign w:val="bottom"/>
          </w:tcPr>
          <w:p>
            <w:pPr>
              <w:spacing w:after="0"/>
              <w:rPr>
                <w:sz w:val="22"/>
                <w:szCs w:val="22"/>
                <w:color w:val="auto"/>
              </w:rPr>
            </w:pPr>
          </w:p>
        </w:tc>
        <w:tc>
          <w:tcPr>
            <w:tcW w:w="1060" w:type="dxa"/>
            <w:vAlign w:val="bottom"/>
          </w:tcPr>
          <w:p>
            <w:pPr>
              <w:jc w:val="center"/>
              <w:ind w:right="109"/>
              <w:spacing w:after="0"/>
              <w:rPr>
                <w:sz w:val="20"/>
                <w:szCs w:val="20"/>
                <w:color w:val="auto"/>
              </w:rPr>
            </w:pPr>
            <w:r>
              <w:rPr>
                <w:rFonts w:ascii="Arial" w:cs="Arial" w:eastAsia="Arial" w:hAnsi="Arial"/>
                <w:sz w:val="13"/>
                <w:szCs w:val="13"/>
                <w:b w:val="1"/>
                <w:bCs w:val="1"/>
                <w:color w:val="auto"/>
                <w:w w:val="90"/>
              </w:rPr>
              <w:t>Equity</w:t>
            </w:r>
          </w:p>
        </w:tc>
      </w:tr>
      <w:tr>
        <w:trPr>
          <w:trHeight w:val="257"/>
        </w:trPr>
        <w:tc>
          <w:tcPr>
            <w:tcW w:w="4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April 2, 2011</w:t>
            </w:r>
          </w:p>
        </w:tc>
        <w:tc>
          <w:tcPr>
            <w:tcW w:w="7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51,320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513</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302,452</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373,630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9,541</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686,136</w:t>
            </w: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Employee stock purchase plan</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154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3,721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3,723</w:t>
            </w: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 of stock options and related tax benefit</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738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17,021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17,028</w:t>
            </w: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Shares repurchased</w:t>
            </w: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(1,704)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(10,248)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(39,733)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(49,998)</w:t>
            </w: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restricted stock, net of cancellations</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w:t>
            </w: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Stock compensation expense</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9,286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9,286</w:t>
            </w: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66,886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66,886</w:t>
            </w: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Other comprehensive loss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(431)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(431)</w:t>
            </w:r>
          </w:p>
        </w:tc>
      </w:tr>
      <w:tr>
        <w:trPr>
          <w:trHeight w:val="243"/>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March 31, 2012</w:t>
            </w:r>
          </w:p>
        </w:tc>
        <w:tc>
          <w:tcPr>
            <w:tcW w:w="7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50,604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322,232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400,783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9,110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732,631</w:t>
            </w:r>
          </w:p>
        </w:tc>
      </w:tr>
      <w:tr>
        <w:trPr>
          <w:trHeight w:val="20"/>
        </w:trPr>
        <w:tc>
          <w:tcPr>
            <w:tcW w:w="4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8"/>
        </w:trPr>
        <w:tc>
          <w:tcPr>
            <w:tcW w:w="4240" w:type="dxa"/>
            <w:vAlign w:val="bottom"/>
          </w:tcPr>
          <w:p>
            <w:pPr>
              <w:ind w:left="180"/>
              <w:spacing w:after="0"/>
              <w:rPr>
                <w:sz w:val="20"/>
                <w:szCs w:val="20"/>
                <w:color w:val="auto"/>
              </w:rPr>
            </w:pPr>
            <w:r>
              <w:rPr>
                <w:rFonts w:ascii="Arial" w:cs="Arial" w:eastAsia="Arial" w:hAnsi="Arial"/>
                <w:sz w:val="14"/>
                <w:szCs w:val="14"/>
                <w:color w:val="auto"/>
              </w:rPr>
              <w:t>Employee stock purchase plan</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4,141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4,142</w:t>
            </w: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 of stock options and related tax benefit</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1,398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35,801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35,815</w:t>
            </w: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Stock-based compensation adjustment related to acquisition</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504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504</w:t>
            </w: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 repurchased</w:t>
            </w: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(1,236)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(41,384)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(50,003)</w:t>
            </w: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Issuance of restricted stock, net of cancellations</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1</w:t>
            </w: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compensation expense</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10,969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10,969</w:t>
            </w: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38,800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38,800</w:t>
            </w:r>
          </w:p>
        </w:tc>
      </w:tr>
      <w:tr>
        <w:trPr>
          <w:trHeight w:val="270"/>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loss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(3,677)</w:t>
            </w:r>
          </w:p>
        </w:tc>
      </w:tr>
      <w:tr>
        <w:trPr>
          <w:trHeight w:val="283"/>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Balance, March 30, 2013</w:t>
            </w:r>
          </w:p>
        </w:tc>
        <w:tc>
          <w:tcPr>
            <w:tcW w:w="7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51,032</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510</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365,040</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398,199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5,433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769,182</w:t>
            </w:r>
          </w:p>
        </w:tc>
      </w:tr>
      <w:tr>
        <w:trPr>
          <w:trHeight w:val="224"/>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Employee stock purchase plan</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5,227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5,229</w:t>
            </w: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Exercise of stock options and related tax benefit</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740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19,263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19,270</w:t>
            </w: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restricted stock, net of cancellations</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w:t>
            </w: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Stock compensation expense</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13,081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13,081</w:t>
            </w: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35,148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35,148</w:t>
            </w: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Other comprehensive loss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(4,023)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(4,023)</w:t>
            </w:r>
          </w:p>
        </w:tc>
      </w:tr>
      <w:tr>
        <w:trPr>
          <w:trHeight w:val="243"/>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March 29, 2014</w:t>
            </w:r>
          </w:p>
        </w:tc>
        <w:tc>
          <w:tcPr>
            <w:tcW w:w="7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52,041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402,611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433,347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1,410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837,888</w:t>
            </w:r>
          </w:p>
        </w:tc>
      </w:tr>
      <w:tr>
        <w:trPr>
          <w:trHeight w:val="20"/>
        </w:trPr>
        <w:tc>
          <w:tcPr>
            <w:tcW w:w="4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30" w:right="2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3"/>
              </w:rPr>
              <w:t>Year Ended</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March 29,</w:t>
            </w:r>
          </w:p>
        </w:tc>
        <w:tc>
          <w:tcPr>
            <w:tcW w:w="240" w:type="dxa"/>
            <w:vAlign w:val="bottom"/>
          </w:tcPr>
          <w:p>
            <w:pPr>
              <w:spacing w:after="0"/>
              <w:rPr>
                <w:sz w:val="13"/>
                <w:szCs w:val="13"/>
                <w:color w:val="auto"/>
              </w:rPr>
            </w:pPr>
          </w:p>
        </w:tc>
        <w:tc>
          <w:tcPr>
            <w:tcW w:w="136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5"/>
              </w:rPr>
              <w:t>March 30,</w:t>
            </w:r>
          </w:p>
        </w:tc>
        <w:tc>
          <w:tcPr>
            <w:tcW w:w="260" w:type="dxa"/>
            <w:vAlign w:val="bottom"/>
          </w:tcPr>
          <w:p>
            <w:pPr>
              <w:spacing w:after="0"/>
              <w:rPr>
                <w:sz w:val="13"/>
                <w:szCs w:val="13"/>
                <w:color w:val="auto"/>
              </w:rPr>
            </w:pPr>
          </w:p>
        </w:tc>
        <w:tc>
          <w:tcPr>
            <w:tcW w:w="1200" w:type="dxa"/>
            <w:vAlign w:val="bottom"/>
          </w:tcPr>
          <w:p>
            <w:pPr>
              <w:jc w:val="right"/>
              <w:ind w:right="359"/>
              <w:spacing w:after="0" w:line="153"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3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35,148</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38,800</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66,886</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Adjustments to reconcile net income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Non-cash items: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81,740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65,481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49,966</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Amortization of financing costs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1,505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1,139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Stock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9,286</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Deferred tax expense</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589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5,878</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Purchased in process 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Loss on sale of property, plant and equipment</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293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351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772</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Unrealized (gain)/loss from hedging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Changes in fair value of contingent consideration</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(2,154)</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Asset write-down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Change in operating assets and liabilities: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Decrease/(increase) in 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(38,080)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(10,539)</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Increase in inventories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(12,684)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(18,685)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(32,528)</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(Increase)/decrease in prepaid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3,058</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Decrease/(increase) in other assets and other long-term liabilities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3,176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(6,187)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3,156</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Tax benefit of exercise of stock options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1,958</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Increase in accounts payable and accrued expenses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2,416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25,581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19,413</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139,524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85,074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115,318</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expenditures on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(73,648)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(62,188)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(53,198)</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Proceeds from sale of property, plant and equipment</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488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1,968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1,002</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Acquisition of Whole Blood Business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(535,175)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Acquisition of Hemerus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(23,124)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acquisitions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(9,546)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740" w:type="dxa"/>
            <w:vAlign w:val="bottom"/>
          </w:tcPr>
          <w:p>
            <w:pPr>
              <w:ind w:left="38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(105,830)</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(596,395)</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(52,196)</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Payments on long-term real estate mortgage</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(964)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(886)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(815)</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(decrease)/increase in short-term loans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Term loan borrowings</w:t>
            </w:r>
          </w:p>
        </w:tc>
        <w:tc>
          <w:tcPr>
            <w:tcW w:w="2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475,000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 of term loan borrowings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Debt issuance costs</w:t>
            </w:r>
          </w:p>
        </w:tc>
        <w:tc>
          <w:tcPr>
            <w:tcW w:w="2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(5,467)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employee stock purchase plan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3,723</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15,224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27,517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15,475</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Excess tax benefit on exercise of stock options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1,433</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Share repurchase</w:t>
            </w:r>
          </w:p>
        </w:tc>
        <w:tc>
          <w:tcPr>
            <w:tcW w:w="2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(49,998)</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(used in)/provided by financing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(20,700)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461,853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(30,470)</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Effect of exchange rates on cash and cash equivalents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355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(498)</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Increase/(Decrease) in Cash and Cash Equivalents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13,349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(49,741)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32,154</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179,120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228,861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196,707</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End of Year</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192,469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179,120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228,861</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Non-cash Investing and Financing Activities:</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Transfers from inventory to fixed assets for placement of Haemonetics equipment</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10,584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21,677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18,333</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paid</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8,942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5,910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414</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Income taxes paid</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1,493</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13,178</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10,764</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30" w:right="239" w:bottom="312"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30" w:right="239" w:bottom="312" w:gutter="0" w:footer="0" w:header="0"/>
          <w:type w:val="continuous"/>
        </w:sectPr>
      </w:pPr>
    </w:p>
    <w:bookmarkStart w:id="50" w:name="page51"/>
    <w:bookmarkEnd w:id="5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6" w:lineRule="exact"/>
        <w:rPr>
          <w:sz w:val="20"/>
          <w:szCs w:val="20"/>
          <w:color w:val="auto"/>
        </w:rPr>
      </w:pPr>
    </w:p>
    <w:p>
      <w:pPr>
        <w:ind w:left="800" w:hanging="792"/>
        <w:spacing w:after="0"/>
        <w:tabs>
          <w:tab w:leader="none" w:pos="8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 AND BASIS OF PRESENTATION</w:t>
      </w:r>
    </w:p>
    <w:p>
      <w:pPr>
        <w:spacing w:after="0" w:line="14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Haemonetics is a global healthcare company dedicated to providing innovative blood management solutions for our customers — plasma collectors, blood collectors, and hospitals. Anchored by our strong brand name in medical device systems for the transfusion industry, we also provide information technology platforms and value added services to provide customers with business solutions which support improved clinical outcomes for patients and efficiency in the blood supply chain.</w:t>
      </w:r>
    </w:p>
    <w:p>
      <w:pPr>
        <w:spacing w:after="0" w:line="9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systems automate the collection and processing of donated blood; perform blood diagnostics; salvage and process surgical patient blood; and dispense blood within the hospital. These systems include devices and single-use, proprietary disposable sets that operate only on our specialized equipment. Our manual blood collection and filtration systems enable the manual collection of all blood components while detecting bacteria, thus reducing the risks of infection through transfusion. Our blood processing systems allow users to collect and process only the blood component(s) they target — plasma, platelets, or red blood cells — increasing donor and patient safety as well as collection efficiencies. Our blood diagnostics system assesses the likelihood of a patient’s blood loss allowing clinicians to make informed decisions about a patient’s treatment as it relates to blood loss in surgery. Our surgical blood salvage systems collect blood lost by a patient in surgery, clean the blood, and make it available for reinfusion to the patient, in this way giving the patient the safest blood possible — his or her own. Our blood distribution systems are “smart” refrigerators located throughout hospitals which automate the storage, inventory tracking, and dispositioning of blood in key blood use areas.</w:t>
      </w:r>
    </w:p>
    <w:p>
      <w:pPr>
        <w:spacing w:after="0" w:line="87"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Our information technology platforms are used by blood and plasma collectors to improve the safety and efficiency of blood collection logistics by eliminating previously manual functions at not-for-profit blood centers and commercial plasma centers which are operated by our bio-pharmaceutical customers. Our platforms are also used by hospitals to enable hospital administrators to monitor and measure blood management practices and to manage processes within transfusion services. Our information technology platforms allow all customers to better manage processes across the blood supply chain, comply with regulatory requirements, and identify increased opportunities to reduce costs.</w:t>
      </w:r>
    </w:p>
    <w:p>
      <w:pPr>
        <w:spacing w:after="0" w:line="1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November 30, 2012 we completed a two-for-one split of our common stock in the form of a stock dividend. Unless otherwise indicated, all common stock shares and per share information referenced within the Consolidated Financial Statements have been retroactively adjusted to reflect the stock split. The exercise price of each outstanding option has also been proportionately and retroactively adjusted for all periods presented. Par value per share and authorized shares were however not affected by the stock split.</w:t>
      </w:r>
    </w:p>
    <w:p>
      <w:pPr>
        <w:spacing w:after="0" w:line="18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accompanying consolidated financial statements have been prepared in accordance with U.S. generally accepted accounting principles (“U.S. GAAP”). The accompanying consolidated financial statements present separately our financial position, results of operations, cash flows, and changes in shareholders’ equity. All amounts presented, except per share amounts, are stated in thousands of U.S. dollars, unless otherwise indicated.</w:t>
      </w:r>
    </w:p>
    <w:p>
      <w:pPr>
        <w:spacing w:after="0" w:line="16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We considers events or transactions that occur after the balance sheet date but prior to the issuance of the financial statements to provide additional evidence relative to certain estimates or to identify matters that require additional disclosure. Subsequent events have been evaluated, and these financial statements reflect those material items that arose after the balance sheet date but prior to the issuance of the financial statements that would be considered recognized subsequent events. Refer to </w:t>
      </w:r>
      <w:r>
        <w:rPr>
          <w:rFonts w:ascii="Arial" w:cs="Arial" w:eastAsia="Arial" w:hAnsi="Arial"/>
          <w:sz w:val="18"/>
          <w:szCs w:val="18"/>
          <w:i w:val="1"/>
          <w:iCs w:val="1"/>
          <w:color w:val="auto"/>
        </w:rPr>
        <w:t>Note 20 - Subsequent Events</w:t>
      </w:r>
      <w:r>
        <w:rPr>
          <w:rFonts w:ascii="Arial" w:cs="Arial" w:eastAsia="Arial" w:hAnsi="Arial"/>
          <w:sz w:val="18"/>
          <w:szCs w:val="18"/>
          <w:color w:val="auto"/>
        </w:rPr>
        <w:t xml:space="preserve"> for further information.</w:t>
      </w:r>
    </w:p>
    <w:p>
      <w:pPr>
        <w:spacing w:after="0" w:line="264" w:lineRule="exact"/>
        <w:rPr>
          <w:sz w:val="20"/>
          <w:szCs w:val="20"/>
          <w:color w:val="auto"/>
        </w:rPr>
      </w:pPr>
    </w:p>
    <w:p>
      <w:pPr>
        <w:ind w:left="800" w:hanging="792"/>
        <w:spacing w:after="0"/>
        <w:tabs>
          <w:tab w:leader="none" w:pos="8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w:t>
      </w:r>
    </w:p>
    <w:p>
      <w:pPr>
        <w:spacing w:after="0" w:line="13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Our fiscal year ends on the Saturday closest to the last day of March. Fiscal years 2014, 2013 and 2012 each includes 52 weeks with each quarter having 13 weeks.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3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accompanying consolidated financial statements include all accounts including those of our subsidiaries. All significant intercompany accounts and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130" w:right="279" w:bottom="1440" w:gutter="0" w:footer="0" w:header="0"/>
        </w:sectPr>
      </w:pPr>
    </w:p>
    <w:bookmarkStart w:id="51" w:name="page52"/>
    <w:bookmarkEnd w:id="51"/>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1"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The preparation of financial statements in conformity with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vary from the amounts derived from our estimates and assumptions.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to prior years' amounts to conform to the current year's presentation.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may become involved in various legal proceedings that arise in the ordinary course of business, including, without limitation, patent infringement, product liability and environmental matters. Accruals recorded for various contingencies including legal proceedings, self-insurance and other claims are based on judgment, the probability of losses and, where applicable, the consideration of opinions of internal and/or external legal counsel and actuarially determined estimates. When a range is established but a best estimate cannot be made, we record the minimum loss contingency amount. These estimates are often initially developed substantially earlier than the ultimate loss is known, and the estimates are reevaluated each accounting period, as additional information is available. When we are initially unable to develop a best estimate of loss, we record the minimum amount of loss, which could be zero. As information becomes known, additional loss provision is recorded when either a best estimate can be made or the minimum loss amount is increased. When events result in an expectation of a more favorable outcome than previously expected, our best estimate is changed to a lower amount. We record receivables from third party insurers when we have determined that existing insurance policies will provide reimbursement. In making this determination, we consider applicable deductibles, policy limits and the historical payment experience of the insurance carriers.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3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Our revenue recognition policy is to recognize revenues from product sales, software and services in accordance with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and ASC Topic 985-605, </w:t>
      </w:r>
      <w:r>
        <w:rPr>
          <w:rFonts w:ascii="Arial" w:cs="Arial" w:eastAsia="Arial" w:hAnsi="Arial"/>
          <w:sz w:val="17"/>
          <w:szCs w:val="17"/>
          <w:i w:val="1"/>
          <w:iCs w:val="1"/>
          <w:color w:val="auto"/>
        </w:rPr>
        <w:t>Software</w:t>
      </w:r>
      <w:r>
        <w:rPr>
          <w:rFonts w:ascii="Arial" w:cs="Arial" w:eastAsia="Arial" w:hAnsi="Arial"/>
          <w:sz w:val="17"/>
          <w:szCs w:val="17"/>
          <w:color w:val="auto"/>
        </w:rPr>
        <w:t xml:space="preserve">. These standards require that revenues are recognized when persuasive evidence of an arrangement exists, product delivery, including customer acceptance, has occurred or services have been rendered, the price is fixed or determinable and collectability is reasonably assured. We may have multiple contracts with the same customer and each contract is typically treated as a separate arrangement. When more than one element such as equipment, disposables, and services are contained in a single arrangement, we allocate revenue between the elements based on each element’s relative selling price, provided that each element meets the criteria for treatment as a separate unit of accounting. An item is considered a separate unit of accounting if it has value to the customer on a stand-alone basis. The selling price of the undelivered elements is determined by the price charged when the element is sold separately, or in cases when the item is not sold separately, by third-party evidence of selling price or by management's best estimate of selling price. For our software arrangements accounted for under the provisions of ASC 985-605, </w:t>
      </w:r>
      <w:r>
        <w:rPr>
          <w:rFonts w:ascii="Arial" w:cs="Arial" w:eastAsia="Arial" w:hAnsi="Arial"/>
          <w:sz w:val="17"/>
          <w:szCs w:val="17"/>
          <w:i w:val="1"/>
          <w:iCs w:val="1"/>
          <w:color w:val="auto"/>
        </w:rPr>
        <w:t>Software</w:t>
      </w:r>
      <w:r>
        <w:rPr>
          <w:rFonts w:ascii="Arial" w:cs="Arial" w:eastAsia="Arial" w:hAnsi="Arial"/>
          <w:sz w:val="17"/>
          <w:szCs w:val="17"/>
          <w:color w:val="auto"/>
        </w:rPr>
        <w:t>, we establish fair value of undelivered elements based upon vendor specific objective evidence.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Product sales consist of the sale of our disposable whole blood and blood component collection sets, equipment devices and the related disposables used with these devices. On product sales to end customers, revenue is recognized when both the title and risk of loss have transferred to the customer as determined by the shipping terms and all obligations have been completed. For product sales to distributors, we recognize revenue for both equipment and disposables upon shipment of these products to our distributors. Our standard contracts with our distributors state that title to the equipment passes to the distributors at point of shipment to a distributor’s location. The distributors are responsible for shipment to the end customer along with installation, training and acceptance of the equipment by the end customer. Payments from distributors are not contingent upon resale of the product.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Revenues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software solutions business provides support to our plasma and blood collection customers and hospitals. We provide information technology platforms and technical support for donor recruitment, blood and plasma testing laboratories, and for efficient and compliant operations of blood and plasma collection centers. For plasma customers, we also provide information technology platforms for managing distribution of plasma from collection centers to plasma fractionation facilities.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6" w:right="239" w:bottom="1440" w:gutter="0" w:footer="0" w:header="0"/>
        </w:sectPr>
      </w:pPr>
    </w:p>
    <w:bookmarkStart w:id="52" w:name="page53"/>
    <w:bookmarkEnd w:id="52"/>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Our software solutions revenues also include revenue from software sales which includes per collection or monthly subscription fees for the license and support of the software as well as hosting services. A significant portion of our software sales are perpetual licenses typically accompanied with significant implementation service fees related to software customization as well as other professional and technical service fees.</w:t>
      </w:r>
    </w:p>
    <w:p>
      <w:pPr>
        <w:spacing w:after="0" w:line="28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generally recognize revenue from the sale of perpetual licenses on a percentage-of-completion basis which requires us to make reasonable estimates of the extent of progress toward completion of the contract. These arrangements most often include providing customized implementation services to our customer. We also provide other services, including in some instances hosting, technical support, and maintenance, for the payment of periodic, monthly, or quarterly fees. We recognize these fees and charges as earned, typically as these services are provided during the contract period.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Non-Income Taxes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are required to collect sales or valued added taxes in connection with the sale of certain of our products. We report revenues net of these amounts as they are promptly remitted to the relevant taxing authority.</w:t>
      </w:r>
    </w:p>
    <w:p>
      <w:pPr>
        <w:spacing w:after="0" w:line="170"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We are also required to pay a medical device excise tax relating to U.S. sales of Class I, II and III medical devices. This new excise tax went into effect January 1, 2013, established as part of the March 2010 U.S. healthcare reform legislation, and has been included in selling, general and administrative expenses.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Translation of Foreign Currencies</w:t>
      </w:r>
    </w:p>
    <w:p>
      <w:pPr>
        <w:spacing w:after="0" w:line="13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All assets and liabilities of foreign subsidiaries are translated at the rate of exchange at year-end while sales and expenses are translated at an average rate in effect during the year. The net effect of these translation adjustments is shown in the accompanying financial statements as a component of stockholders' equity. Foreign currency transaction gains and losses, including those resulting from inter-company transactions, are charged directly to earnings and included in other income, net on the consolidated statements of income. The impact of foreign exchange on long-term intercompany loans, for which repayment has not been scheduled or planned, are recorded in accumulated other comprehensive income on the consolidated balance sheet.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3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Cash equivalents include various instruments such as money market funds, U.S. government obligations and commercial paper with maturities of three months or less at date of acquisition. Cash and cash equivalents are recorded at cost, which approximates fair market value. As of March 29, 2014, our cash and cash equivalents consisted of investments in United States Government Agency and institutional money market funds.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3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establish a specific allowance for customers when it is probable that they will not be able to meet their financial obligation. Customer accounts are reviewed individually on a regular basis and appropriate reserves are established as deemed appropriate. We also maintain a general reserve using a percentage that is established based upon the age of our receivables and our collection history. We establish allowances for balances not yet due and past due accounts based on past experience.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5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Property, plant and equipment is recorded at historical cost. We provide for depreciation and amortization by charges to operations using the straight-line method in amounts estimated to recover the cost of the building and improvements, equipment, and furniture and fixtures over their estimated useful lives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Asset Classification</w:t>
            </w:r>
          </w:p>
        </w:tc>
        <w:tc>
          <w:tcPr>
            <w:tcW w:w="6940" w:type="dxa"/>
            <w:vAlign w:val="bottom"/>
          </w:tcPr>
          <w:p>
            <w:pPr>
              <w:jc w:val="center"/>
              <w:ind w:left="5714"/>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2"/>
        </w:trPr>
        <w:tc>
          <w:tcPr>
            <w:tcW w:w="4480" w:type="dxa"/>
            <w:vAlign w:val="bottom"/>
            <w:tcBorders>
              <w:bottom w:val="single" w:sz="8" w:color="auto"/>
            </w:tcBorders>
            <w:vMerge w:val="continue"/>
          </w:tcPr>
          <w:p>
            <w:pPr>
              <w:spacing w:after="0"/>
              <w:rPr>
                <w:sz w:val="16"/>
                <w:szCs w:val="16"/>
                <w:color w:val="auto"/>
              </w:rPr>
            </w:pPr>
          </w:p>
        </w:tc>
        <w:tc>
          <w:tcPr>
            <w:tcW w:w="6940" w:type="dxa"/>
            <w:vAlign w:val="bottom"/>
            <w:tcBorders>
              <w:bottom w:val="single" w:sz="8" w:color="auto"/>
            </w:tcBorders>
          </w:tcPr>
          <w:p>
            <w:pPr>
              <w:jc w:val="center"/>
              <w:ind w:left="5734"/>
              <w:spacing w:after="0"/>
              <w:rPr>
                <w:sz w:val="20"/>
                <w:szCs w:val="20"/>
                <w:color w:val="auto"/>
              </w:rPr>
            </w:pPr>
            <w:r>
              <w:rPr>
                <w:rFonts w:ascii="Arial" w:cs="Arial" w:eastAsia="Arial" w:hAnsi="Arial"/>
                <w:sz w:val="14"/>
                <w:szCs w:val="14"/>
                <w:b w:val="1"/>
                <w:bCs w:val="1"/>
                <w:color w:val="auto"/>
                <w:w w:val="92"/>
              </w:rPr>
              <w:t>Useful Lives</w:t>
            </w: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w:t>
            </w:r>
          </w:p>
        </w:tc>
        <w:tc>
          <w:tcPr>
            <w:tcW w:w="6940" w:type="dxa"/>
            <w:vAlign w:val="bottom"/>
            <w:tcBorders>
              <w:bottom w:val="single" w:sz="8" w:color="CCEEFF"/>
            </w:tcBorders>
            <w:shd w:val="clear" w:color="auto" w:fill="CCEEFF"/>
          </w:tcPr>
          <w:p>
            <w:pPr>
              <w:jc w:val="center"/>
              <w:ind w:left="5714"/>
              <w:spacing w:after="0"/>
              <w:rPr>
                <w:sz w:val="20"/>
                <w:szCs w:val="20"/>
                <w:color w:val="auto"/>
              </w:rPr>
            </w:pPr>
            <w:r>
              <w:rPr>
                <w:rFonts w:ascii="Arial" w:cs="Arial" w:eastAsia="Arial" w:hAnsi="Arial"/>
                <w:sz w:val="18"/>
                <w:szCs w:val="18"/>
                <w:color w:val="auto"/>
                <w:w w:val="85"/>
              </w:rPr>
              <w:t>30 Years</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Building improvements</w:t>
            </w:r>
          </w:p>
        </w:tc>
        <w:tc>
          <w:tcPr>
            <w:tcW w:w="6940" w:type="dxa"/>
            <w:vAlign w:val="bottom"/>
          </w:tcPr>
          <w:p>
            <w:pPr>
              <w:jc w:val="center"/>
              <w:ind w:left="5714"/>
              <w:spacing w:after="0"/>
              <w:rPr>
                <w:sz w:val="20"/>
                <w:szCs w:val="20"/>
                <w:color w:val="auto"/>
              </w:rPr>
            </w:pPr>
            <w:r>
              <w:rPr>
                <w:rFonts w:ascii="Arial" w:cs="Arial" w:eastAsia="Arial" w:hAnsi="Arial"/>
                <w:sz w:val="18"/>
                <w:szCs w:val="18"/>
                <w:color w:val="auto"/>
                <w:w w:val="88"/>
              </w:rPr>
              <w:t>5-20 Years</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6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Plant equipment and machinery</w:t>
            </w:r>
          </w:p>
        </w:tc>
        <w:tc>
          <w:tcPr>
            <w:tcW w:w="6940" w:type="dxa"/>
            <w:vAlign w:val="bottom"/>
            <w:tcBorders>
              <w:bottom w:val="single" w:sz="8" w:color="CCEEFF"/>
            </w:tcBorders>
            <w:shd w:val="clear" w:color="auto" w:fill="CCEEFF"/>
          </w:tcPr>
          <w:p>
            <w:pPr>
              <w:jc w:val="center"/>
              <w:ind w:left="5714"/>
              <w:spacing w:after="0"/>
              <w:rPr>
                <w:sz w:val="20"/>
                <w:szCs w:val="20"/>
                <w:color w:val="auto"/>
              </w:rPr>
            </w:pPr>
            <w:r>
              <w:rPr>
                <w:rFonts w:ascii="Arial" w:cs="Arial" w:eastAsia="Arial" w:hAnsi="Arial"/>
                <w:sz w:val="18"/>
                <w:szCs w:val="18"/>
                <w:color w:val="auto"/>
                <w:w w:val="88"/>
              </w:rPr>
              <w:t>3-15 Years</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Office equipment and information technology</w:t>
            </w:r>
          </w:p>
        </w:tc>
        <w:tc>
          <w:tcPr>
            <w:tcW w:w="6940" w:type="dxa"/>
            <w:vAlign w:val="bottom"/>
          </w:tcPr>
          <w:p>
            <w:pPr>
              <w:jc w:val="center"/>
              <w:ind w:left="5714"/>
              <w:spacing w:after="0"/>
              <w:rPr>
                <w:sz w:val="20"/>
                <w:szCs w:val="20"/>
                <w:color w:val="auto"/>
              </w:rPr>
            </w:pPr>
            <w:r>
              <w:rPr>
                <w:rFonts w:ascii="Arial" w:cs="Arial" w:eastAsia="Arial" w:hAnsi="Arial"/>
                <w:sz w:val="18"/>
                <w:szCs w:val="18"/>
                <w:color w:val="auto"/>
                <w:w w:val="88"/>
              </w:rPr>
              <w:t>3-10 Years</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6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Haemonetics equipment</w:t>
            </w:r>
          </w:p>
        </w:tc>
        <w:tc>
          <w:tcPr>
            <w:tcW w:w="6940" w:type="dxa"/>
            <w:vAlign w:val="bottom"/>
            <w:tcBorders>
              <w:bottom w:val="single" w:sz="8" w:color="CCEEFF"/>
            </w:tcBorders>
            <w:shd w:val="clear" w:color="auto" w:fill="CCEEFF"/>
          </w:tcPr>
          <w:p>
            <w:pPr>
              <w:jc w:val="center"/>
              <w:ind w:left="5714"/>
              <w:spacing w:after="0"/>
              <w:rPr>
                <w:sz w:val="20"/>
                <w:szCs w:val="20"/>
                <w:color w:val="auto"/>
              </w:rPr>
            </w:pPr>
            <w:r>
              <w:rPr>
                <w:rFonts w:ascii="Arial" w:cs="Arial" w:eastAsia="Arial" w:hAnsi="Arial"/>
                <w:sz w:val="18"/>
                <w:szCs w:val="18"/>
                <w:color w:val="auto"/>
                <w:w w:val="89"/>
              </w:rPr>
              <w:t>3-7 Years</w:t>
            </w:r>
          </w:p>
        </w:tc>
        <w:tc>
          <w:tcPr>
            <w:tcW w:w="0" w:type="dxa"/>
            <w:vAlign w:val="bottom"/>
          </w:tcPr>
          <w:p>
            <w:pPr>
              <w:spacing w:after="0"/>
              <w:rPr>
                <w:sz w:val="1"/>
                <w:szCs w:val="1"/>
                <w:color w:val="auto"/>
              </w:rPr>
            </w:pPr>
          </w:p>
        </w:tc>
      </w:tr>
      <w:tr>
        <w:trPr>
          <w:trHeight w:val="459"/>
        </w:trPr>
        <w:tc>
          <w:tcPr>
            <w:tcW w:w="4480" w:type="dxa"/>
            <w:vAlign w:val="bottom"/>
          </w:tcPr>
          <w:p>
            <w:pPr>
              <w:spacing w:after="0"/>
              <w:rPr>
                <w:sz w:val="24"/>
                <w:szCs w:val="24"/>
                <w:color w:val="auto"/>
              </w:rPr>
            </w:pPr>
          </w:p>
        </w:tc>
        <w:tc>
          <w:tcPr>
            <w:tcW w:w="6940" w:type="dxa"/>
            <w:vAlign w:val="bottom"/>
          </w:tcPr>
          <w:p>
            <w:pPr>
              <w:jc w:val="right"/>
              <w:ind w:right="5534"/>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53" w:name="page54"/>
    <w:bookmarkEnd w:id="53"/>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evaluate the depreciation periods of property, plant and equipment to determine whether events or circumstances warrant revised estimates of useful lives. All property, plant and equipment are also tested for impairment whenever events or changes in circumstances indicate that their carrying amount may not be recoverable.</w:t>
      </w:r>
    </w:p>
    <w:p>
      <w:pPr>
        <w:spacing w:after="0" w:line="18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Our installed base of devices includes devices owned by us and devices sold to the customer. The asset on our balance sheet entitled Haemonetics equipment consists of medical devices installed at customer sites but owned by Haemonetics. Generally the customer has the right to use it for a period of time as long as they meet the conditions we have established, which among other things, generally include one or more of the following:</w:t>
      </w:r>
    </w:p>
    <w:p>
      <w:pPr>
        <w:spacing w:after="0" w:line="166"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Purchase and consumption of a certain level of disposable product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Payment of monthly rental fees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asset utilization performance metric, such as performing a minimum level of procedures per month per device</w:t>
      </w:r>
    </w:p>
    <w:p>
      <w:pPr>
        <w:spacing w:after="0" w:line="211"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Consistent with the impairment tests noted below for other intangible assets subject to amortization, we review Haemonetics equipment and their related useful lives at least once a year, or more frequently if certain conditions arise, to determine if any adverse conditions exist that would indicate the carrying value of these assets may not be recoverable. To conduct these reviews we estimate the future amount and timing of demand for these devices. Changes in expected demand can result in additional depreciation expense, which is classified as cost of goods sold. Any significant unanticipated changes in demand could impact the value of our devices and our reported operating results.</w:t>
      </w:r>
    </w:p>
    <w:p>
      <w:pPr>
        <w:spacing w:after="0" w:line="9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Leasehold improvements are depreciated over the lesser of their useful lives or the term of the lease. Maintenance and repairs are expensed to operations as incurred. When equipment and improvements are sold or otherwise disposed of, the asset cost and accumulated depreciation are removed from the accounts, and the resulting gain or loss, if any, is included in the statements of income.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3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Intangible assets acquired in a business combination are recorded under the purchase method of accounting at their estimated fair values at the date of acquisition. Goodwill represents the excess purchase price over the fair value of the net tangible and other identifiable intangible assets acquired. We amortize our other intangible assets over their estimated useful lives.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Goodwill is not amortized. Instead goodwill is reviewed for impairment at least annually in accordance with ASC Topic 350, Intangibles — Goodwill and Other, or on an interim basis between annual tests when events or circumstances indicate that it is more likely than not that the fair value of a reporting unit is less than its carrying value. We perform our annual impairment test on the first day of the fiscal fourth quarter for each of our reporting units. We first perform a qualitative test and if necessary, perform a quantitative test.</w:t>
      </w:r>
    </w:p>
    <w:p>
      <w:pPr>
        <w:spacing w:after="0" w:line="18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Prior to fiscal 2014 we determined we operated a single operating segment, blood management solutions, based on our chief operating decision maker (“CODM”) primarily using consolidated results to make operating and strategic decisions. Our reporting units for purposes of assessing goodwill impairment prior to fiscal 2014 were medical devices and software. During fiscal 2014 our CODM utilized financial results by operating units organized primarily on geography due to changes in the composition in the executive staff reporting to the CODM. Based on these changes we determined the five operating units noted above represent operating segments as defined under ASC 280 - Segment Reporting. Following this change we determined our reporting units for purposes of assessing goodwill impairment by identifying our operating segments and assessing whether segment management regularly reviews the operating results of any components. Through this process, we concluded that our reporting units were the same as our operating segments, which are the following operating units organized based primarily on geography: North America Plasma, North America Blood Center and Hospital, Europe, Asia-Pacific and Japan. Goodwill was reallocated from the medical device and software reporting units to the new reporting units based on a relative fair value basis.</w:t>
      </w:r>
    </w:p>
    <w:p>
      <w:pPr>
        <w:spacing w:after="0" w:line="126"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The quantitative test is based on a discounted cash flow analysis or other valuation techniques, such as the market approach, for each reporting unit. In fiscal 2014, we determined the fair value of our reporting units based on the market approach. Under the market approach, we estimate the fair value of our reporting units based on a combination of, a) market multiples of current year earnings before interest, taxes, depreciation and amortization (“EBITDA”) and</w:t>
      </w:r>
    </w:p>
    <w:p>
      <w:pPr>
        <w:ind w:right="120" w:firstLine="8"/>
        <w:spacing w:after="0" w:line="255" w:lineRule="auto"/>
        <w:tabs>
          <w:tab w:leader="none" w:pos="1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revenues for each individual reporting unit. For the market approach, we use judgment in identifying the relevant comparable-company market multiples, such as recent divestitures/acquisitions, facts and circumstances surrounding the market and growth rates. Management assesses the relevance and reliability of the multiples by considering factors unique to its reporting units, including recent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6" w:right="239" w:bottom="1440" w:gutter="0" w:footer="0" w:header="0"/>
        </w:sectPr>
      </w:pPr>
    </w:p>
    <w:bookmarkStart w:id="54" w:name="page55"/>
    <w:bookmarkEnd w:id="54"/>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operating results, business plans, economic projections, anticipated future cash flows, and other data. EBITDA and revenue multiples can also be significantly impacted by future growth opportunities for the reporting unit as well as for the company itself, general market and geographic sentiment, and pending or recently completed merger transactions.</w:t>
      </w:r>
    </w:p>
    <w:p>
      <w:pPr>
        <w:spacing w:after="0" w:line="14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fair values of our reporting units in fiscal 2012 and 2013 were determined using an income approach. Under the income approach, the fair value of a reporting unit is based on the present value of future cash flows using appropriate discount rates, growth rates, operating margins and future market conditions amongst others. We changed our valuation approach to assessing goodwill impairment in fiscal 2014 in connection with the change in reporting units. ASC 350, Intangibles - Goodwill and Other defines the fair value of a reporting unit as the price that would be received to sell the unit as a whole in an orderly transaction between market participants at the measurement date. We utilized the market approach as we determined relevant comparable information was available, and accordingly such method was an appropriate alternative to the income method based on cost-benefit considerations.</w:t>
      </w:r>
    </w:p>
    <w:p>
      <w:pPr>
        <w:spacing w:after="0" w:line="12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These tests showed no evidence of impairment to our goodwill for fiscal 2014, 2013 or 2012 and demonstrated that the fair value of each reporting unit exceeded the reporting unit’s carrying value in each period. During March 2014, circumstances arose that indicated a potential impairment. We performed an interim impairment test with the new information and noted that the fair value of our reporting units still exceeded their carrying values.</w:t>
      </w:r>
    </w:p>
    <w:p>
      <w:pPr>
        <w:spacing w:after="0" w:line="1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review intangible assets subject to amortization at least annually or more frequently if certain conditions arise to determine if any adverse conditions exist that would indicate that the carrying value of an asset or asset group may not be recoverable, or that a change in the remaining useful life is required. Conditions indicating that an impairment exists include but are not limited to a change in the competitive landscape, internal decisions to pursue new or different technology strategies, a loss of a significant customer or a significant change in the marketplace including prices paid for our products or the size of the market for our products. During March 2014, circumstances arose that indicated a potential impairment of certain intangible assets subject to amortization. We performed the recoverability test described below for the relevant asset group and determined expected undiscounted cash flows exceeded the carrying value of the asset group.</w:t>
      </w:r>
    </w:p>
    <w:p>
      <w:pPr>
        <w:spacing w:after="0" w:line="149"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If an impairment indicator exists, we test the intangible asset for recoverability. For purposes of the recoverability test, we group our amortizable intangible assets with other assets and liabilities at the lowest level of identifiable cash flows if the intangible asset does not generate cash flows independent of other assets and liabilities. If the carrying value of the intangible asset (asset group) exceeds the undiscounted cash flows expected to result from the use and eventual disposition of the intangible asset (asset group), we will write the carrying value down to the fair value in the period identified.</w:t>
      </w:r>
    </w:p>
    <w:p>
      <w:pPr>
        <w:spacing w:after="0" w:line="11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generally calculate fair value of our intangible assets as the present value of estimated future cash flows we expect to generate from the asset using a risk-adjusted discount rate. In determining our estimated future cash flows associated with our intangible assets, we use estimates and assumptions about future revenue contributions, cost structures and remaining useful lives of the asset (asset group).</w:t>
      </w:r>
    </w:p>
    <w:p>
      <w:pPr>
        <w:spacing w:after="0" w:line="1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we determine the estimate of an intangible asset's remaining useful life should be reduced based on our expected use of the asset, the remaining carrying amount of the asset is amortized prospectively over the revised estimated useful life.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the Costs of Computer Software to be Sold, Leased, or Otherwise Marketed</w:t>
      </w:r>
    </w:p>
    <w:p>
      <w:pPr>
        <w:spacing w:after="0" w:line="13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ASC Topic 985-20, </w:t>
      </w:r>
      <w:r>
        <w:rPr>
          <w:rFonts w:ascii="Arial" w:cs="Arial" w:eastAsia="Arial" w:hAnsi="Arial"/>
          <w:sz w:val="18"/>
          <w:szCs w:val="18"/>
          <w:i w:val="1"/>
          <w:iCs w:val="1"/>
          <w:color w:val="auto"/>
        </w:rPr>
        <w:t>Software</w:t>
      </w:r>
      <w:r>
        <w:rPr>
          <w:rFonts w:ascii="Arial" w:cs="Arial" w:eastAsia="Arial" w:hAnsi="Arial"/>
          <w:sz w:val="18"/>
          <w:szCs w:val="18"/>
          <w:color w:val="auto"/>
        </w:rPr>
        <w:t>, specifies that costs incurred internally in researching and developing a computer software product should be charged to expense until technological feasibility has been established for the product. Once technological feasibility is established, all software costs should be capitalized until the product is available for general release to customers, at which point capitalized costs are amortized over their estimated useful life of seven years. Technological feasibility is established when we have a detailed design of the software and when research and development activities on the underlying device, if applicable, are completed.</w:t>
      </w:r>
    </w:p>
    <w:p>
      <w:pPr>
        <w:spacing w:after="0" w:line="9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review the net realizable value of capitalized assets periodically to assess the recoverability of amounts capitalized. In the future, the net realizable value may be adversely affected by the loss of a significant customer or a significant change in the market place, which could result in an impairment being recorded.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Liabilities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Other liabilities represent items payable within the next twelve months.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items included in the fiscal year end balances were: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6" w:right="239" w:bottom="1440" w:gutter="0" w:footer="0" w:header="0"/>
        </w:sectPr>
      </w:pPr>
    </w:p>
    <w:bookmarkStart w:id="55" w:name="page56"/>
    <w:bookmarkEnd w:id="55"/>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29,</w:t>
            </w:r>
          </w:p>
        </w:tc>
        <w:tc>
          <w:tcPr>
            <w:tcW w:w="260" w:type="dxa"/>
            <w:vAlign w:val="bottom"/>
          </w:tcPr>
          <w:p>
            <w:pPr>
              <w:spacing w:after="0"/>
              <w:rPr>
                <w:sz w:val="14"/>
                <w:szCs w:val="14"/>
                <w:color w:val="auto"/>
              </w:rPr>
            </w:pPr>
          </w:p>
        </w:tc>
        <w:tc>
          <w:tcPr>
            <w:tcW w:w="1220" w:type="dxa"/>
            <w:vAlign w:val="bottom"/>
          </w:tcPr>
          <w:p>
            <w:pPr>
              <w:jc w:val="right"/>
              <w:ind w:right="355"/>
              <w:spacing w:after="0"/>
              <w:rPr>
                <w:sz w:val="20"/>
                <w:szCs w:val="20"/>
                <w:color w:val="auto"/>
              </w:rPr>
            </w:pPr>
            <w:r>
              <w:rPr>
                <w:rFonts w:ascii="Arial" w:cs="Arial" w:eastAsia="Arial" w:hAnsi="Arial"/>
                <w:sz w:val="14"/>
                <w:szCs w:val="14"/>
                <w:b w:val="1"/>
                <w:bCs w:val="1"/>
                <w:color w:val="auto"/>
              </w:rPr>
              <w:t>March 30,</w:t>
            </w:r>
          </w:p>
        </w:tc>
      </w:t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2013</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VAT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5,121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Forward contracts</w:t>
            </w:r>
          </w:p>
        </w:tc>
        <w:tc>
          <w:tcPr>
            <w:tcW w:w="26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1,255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1,786</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24,777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23,737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All other</w:t>
            </w:r>
          </w:p>
        </w:tc>
        <w:tc>
          <w:tcPr>
            <w:tcW w:w="26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26,564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26,707</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59,710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57,351</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All research and development costs are expensed as incurred.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All advertising costs are expensed as incurred and are included in selling, general and administrative expenses in the consolidated statements of income.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Advertising expenses were $3.6 million, $4.6 million, and $4.5 million for 2014, 2013 and 2012,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Shipping and Handling Costs</w:t>
      </w:r>
    </w:p>
    <w:p>
      <w:pPr>
        <w:spacing w:after="0" w:line="13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Shipping and handling costs are included in selling, general and administrative expenses. Freight is classified in cost of goods sold when the customer is charged for freight and in selling, general and administration when the customer is not explicitly charged for freight.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3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income tax provision is calculated for all jurisdictions in which we operate. The income tax provision process involves calculating current taxes due and assessing temporary differences arising from items which are taxable or deductible in different periods for tax and accounting purposes and are recorded as deferred tax assets and liabilities. Deferred tax assets are evaluated for realizability and a valuation allowance is maintained for the portion of our deferred tax assets that are not more-likely-than-not realizable.</w:t>
      </w:r>
    </w:p>
    <w:p>
      <w:pPr>
        <w:spacing w:after="0" w:line="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file income tax returns in all jurisdictions in which we operate. We record a liability for uncertain tax positions taken or expected to be taken in income tax returns. Our financial statements reflect expected future tax consequences of such positions presuming the taxing authorities' full knowledge of the position and all relevant facts. We record a liability for the portion of unrecognized tax benefits claimed which we have determined are not more-likely-than-not realizable. These tax reserves have been established based on management's assessment as to the potential exposure attributable to our uncertain tax positions as well as interest and penalties attributable to these uncertain tax positions. All tax reserves are analyzed quarterly and adjustments are made as events occur that result in changes in judgment.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account for our derivative financial instruments in accordance with ASC Topic 815, Derivatives and Hedging (“ASC 815”) and ASC Topic 820, Fair Value Measurements and Disclosures (“ASC 820”). In accordance with ASC 815, we record all derivatives on the balance sheet at fair value. The accounting for the change in the fair value of derivatives depends on the intended use of the derivative, whether we have elected to designate a derivative as a hedging instrument for accounting purposes, and whether the hedging relationship has satisfied the criteria necessary to apply hedge accounting. In addition, ASC 815 provides that, for derivative instruments that qualify for hedge accounting, changes in the fair value are either (a) offset against the change in fair value of the hedged assets, liabilities, or firm commitments through earnings or (b) recognized in equity until the hedged item is recognized in earnings, depending on whether the derivative is being used to hedge changes in fair value or cash flows. The ineffective portion of a derivative’s change in fair value is immediately recognized in earnings. We do not use derivative financial instruments for trading or speculation purposes.</w:t>
      </w:r>
    </w:p>
    <w:p>
      <w:pPr>
        <w:spacing w:after="0" w:line="72"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The gains or losses on the forward foreign exchange rate contracts designated as hedges are recorded in net revenues, cost of goods sold, operating expenses and other income in our consolidated statements of income when the underlying hedged transaction affects earnings. The cash flows related to the gains and losses are classified in the consolidated statements of cash flows as part of cash flows from operating activities. For those derivative instruments that are not designated as part of a</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6" w:right="239" w:bottom="1440" w:gutter="0" w:footer="0" w:header="0"/>
        </w:sectPr>
      </w:pPr>
    </w:p>
    <w:bookmarkStart w:id="56" w:name="page57"/>
    <w:bookmarkEnd w:id="56"/>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hedging relationship we record the gains or losses in earnings currently. These gains and losses are intended to offset the gains and losses recorded on net monetary assets or liabilities that are denominated in foreign currencies. We recorded foreign currency losses on designated and non-designated hedges of $0.5 million, $0.8 million, and $0.4 million in fiscal 2014, 2013 and 2012, respectively.</w:t>
      </w:r>
    </w:p>
    <w:p>
      <w:pPr>
        <w:spacing w:after="0" w:line="181" w:lineRule="exact"/>
        <w:rPr>
          <w:sz w:val="20"/>
          <w:szCs w:val="20"/>
          <w:color w:val="auto"/>
        </w:rPr>
      </w:pPr>
    </w:p>
    <w:p>
      <w:pPr>
        <w:jc w:val="both"/>
        <w:ind w:right="180"/>
        <w:spacing w:after="0" w:line="342" w:lineRule="auto"/>
        <w:rPr>
          <w:sz w:val="20"/>
          <w:szCs w:val="20"/>
          <w:color w:val="auto"/>
        </w:rPr>
      </w:pPr>
      <w:r>
        <w:rPr>
          <w:rFonts w:ascii="Arial" w:cs="Arial" w:eastAsia="Arial" w:hAnsi="Arial"/>
          <w:sz w:val="16"/>
          <w:szCs w:val="16"/>
          <w:color w:val="auto"/>
        </w:rPr>
        <w:t>On a quarterly basis, we assess whether the cash flow hedges are highly effective in offsetting changes in the cash flow of the hedged item. We manage the credit risk of the counterparties by dealing only with institutions that we consider financially sound and consider the risk of non-performance to be remote.</w:t>
      </w:r>
    </w:p>
    <w:p>
      <w:pPr>
        <w:spacing w:after="0" w:line="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derivative instruments do not subject our earnings or cash flows to material risk, as gains and losses on these derivatives are intended to offset losses and gains on the item being hedged. We do not enter into derivative transactions for speculative purposes and we do not have any non-derivative instruments that are designated as hedging instruments pursuant to ASC Topic 815.</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3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use the Black-Scholes option-pricing model to calculate the grant-date fair value of our stock options. The following assumptions, which involve the use of judgment by management, are used in the computation of the grant-date fair value of our stock options:</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 We have principally used our historical volatility as a basis to estimate expected volatility in our valuation of stock options.</w:t>
      </w:r>
    </w:p>
    <w:p>
      <w:pPr>
        <w:spacing w:after="0" w:line="154" w:lineRule="exact"/>
        <w:rPr>
          <w:sz w:val="20"/>
          <w:szCs w:val="20"/>
          <w:color w:val="auto"/>
        </w:rPr>
      </w:pPr>
    </w:p>
    <w:p>
      <w:pPr>
        <w:jc w:val="both"/>
        <w:ind w:left="660" w:right="60"/>
        <w:spacing w:after="0" w:line="342" w:lineRule="auto"/>
        <w:rPr>
          <w:sz w:val="20"/>
          <w:szCs w:val="20"/>
          <w:color w:val="auto"/>
        </w:rPr>
      </w:pPr>
      <w:r>
        <w:rPr>
          <w:rFonts w:ascii="Arial" w:cs="Arial" w:eastAsia="Arial" w:hAnsi="Arial"/>
          <w:sz w:val="16"/>
          <w:szCs w:val="16"/>
          <w:i w:val="1"/>
          <w:iCs w:val="1"/>
          <w:color w:val="auto"/>
        </w:rPr>
        <w:t xml:space="preserve">Expected Term </w:t>
      </w:r>
      <w:r>
        <w:rPr>
          <w:rFonts w:ascii="Arial" w:cs="Arial" w:eastAsia="Arial" w:hAnsi="Arial"/>
          <w:sz w:val="16"/>
          <w:szCs w:val="16"/>
          <w:color w:val="auto"/>
        </w:rPr>
        <w:t>— We estimate the expected term of our options using historical exercise and forfeiture data to determine the amount of stock 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to record each period. We believe that this historical data is currently the best estimate of the expected term of our new option grants.</w:t>
      </w:r>
    </w:p>
    <w:p>
      <w:pPr>
        <w:spacing w:after="0" w:line="29" w:lineRule="exact"/>
        <w:rPr>
          <w:sz w:val="20"/>
          <w:szCs w:val="20"/>
          <w:color w:val="auto"/>
        </w:rPr>
      </w:pPr>
    </w:p>
    <w:p>
      <w:pPr>
        <w:ind w:left="660" w:right="220"/>
        <w:spacing w:after="0" w:line="264" w:lineRule="auto"/>
        <w:rPr>
          <w:sz w:val="20"/>
          <w:szCs w:val="20"/>
          <w:color w:val="auto"/>
        </w:rPr>
      </w:pPr>
      <w:r>
        <w:rPr>
          <w:rFonts w:ascii="Arial" w:cs="Arial" w:eastAsia="Arial" w:hAnsi="Arial"/>
          <w:sz w:val="18"/>
          <w:szCs w:val="18"/>
          <w:i w:val="1"/>
          <w:iCs w:val="1"/>
          <w:color w:val="auto"/>
        </w:rPr>
        <w:t xml:space="preserve">Estimated Forfeiture Rate </w:t>
      </w:r>
      <w:r>
        <w:rPr>
          <w:rFonts w:ascii="Arial" w:cs="Arial" w:eastAsia="Arial" w:hAnsi="Arial"/>
          <w:sz w:val="18"/>
          <w:szCs w:val="18"/>
          <w:color w:val="auto"/>
        </w:rPr>
        <w:t>— Based on an analysis of our historical forfeitures, we have applied an annual forfeiture rate which represents the</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that we expect will be forfeited each year over the vesting period. We reevaluate this analysis periodically and adjust the forfeiture rate as necessary. Ultimately, we will only recognize expense for those shares that vest.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Acquisitions</w:t>
      </w:r>
    </w:p>
    <w:p>
      <w:pPr>
        <w:spacing w:after="0" w:line="13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allocate the amounts we pay for each acquisition to the assets acquired and liabilities assumed based on their estimated fair values at the dates of acquisition, including acquired identifiable intangible assets. We base the estimated fair value of identifiable intangible assets on detailed valuations that use historical information and market assumptions based upon the assumptions of a market participant. We allocate any excess purchase price over the fair value of the net tangible and intangible assets acquired to goodwill.</w:t>
      </w:r>
    </w:p>
    <w:p>
      <w:pPr>
        <w:spacing w:after="0" w:line="9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certain acquisitions, we have earn-out arrangements or contingent consideration to provide potential future payments to the seller for achieving certain agreed-upon financial targets. We record the contingent consideration at its fair value at the acquisition date. Generally, we have entered into arrangements with contingent consideration that require payments in cash. As such, each quarter, we revalue the contingent consideration obligations associated with certain acquisitions to their then fair value and record the change in the fair value as contingent consideration income or expense. These changes are recorded in selling, general and administrative expense. Increases or decreases in the fair value of the contingent consideration obligations can result from changes in assumed discount periods and rates, changes in the assumed timing and amount of revenue and expense estimates, and changes in assumed probability adjustments with respect to regulatory approval. Significant judgment is employed in determining the appropriateness of these assumptions as of the acquisition date and for each subsequent period. Accordingly, future business and economic conditions, as well as changes in any of the assumptions described above, can materially impact the amount of contingent consideration income or expense we record in any given period.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Significant Customers</w:t>
      </w:r>
    </w:p>
    <w:p>
      <w:pPr>
        <w:spacing w:after="0" w:line="25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equivalents and accounts receivable. In fiscal 2014, no one customer accounted for more than 10% of our revenues. Sales to one unaffiliated Japanese customer, the Japanese Red Cross Society ("JRC"), amounted to $90.1 million, and $99.5 million for 2013, and 2012, respectively. JRC accounted for 10.7%, 9.0%, and 15.3% of our consolidated accounts receivable at fiscal year ended 2014, 2013, and 2012, respectively.</w:t>
      </w: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40"/>
          </w:cols>
          <w:pgMar w:left="240" w:top="126" w:right="319" w:bottom="1440" w:gutter="0" w:footer="0" w:header="0"/>
        </w:sectPr>
      </w:pPr>
    </w:p>
    <w:bookmarkStart w:id="57" w:name="page58"/>
    <w:bookmarkEnd w:id="57"/>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Certain other markets and industries can expose us to concentrations of credit risk. For example, in our bio-pharmaceutical business, our sales are concentrated with several large customers. As a result, our accounts receivable extended to any one of these bio-pharmaceutical customers can be significant at any point in time. Also, a portion of our trade accounts receivable outside the United States include sales to government-owned or supported healthcare systems in several countries, which are subject to payment delays. Payment is dependent upon the financial stability and creditworthiness of those countries’ national economies. We have not incurred significant losses on government receivables. We continually evaluate all government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Guidance to be Implemented</w:t>
      </w:r>
    </w:p>
    <w:p>
      <w:pPr>
        <w:spacing w:after="0" w:line="36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April 2014, the Financial Accounting Standards Board (“FASB”) issued Accounting Standards Update (“ASU”) No. 2014-08, “Presentation of Financial Statements (Topic 205) and Property, Plant, and Equipment (Topic 360): Reporting Discontinued Operations and Disclosures of Disposals of Components of an Entity” (“ASU 2014-08”). ASU 2014-08 limits the requirement to report discontinued operations to disposals of components of an entity that represent strategic shifts that have (or will have) a major effect on an entity’s operations and financial results. The amendments also require expanded disclosures concerning discontinued operations and disclosures of certain financial results attributable to a disposal of a significant component of an entity that does not qualify for discontinued operations reporting. The amendments in this ASU are effective prospectively for reporting periods beginning on or after December 15, 2014, with early adoption permitted. The impact on our Financial Statements of adopting ASU 2014-08 is being assessed by management.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Standards Implemented</w:t>
      </w:r>
    </w:p>
    <w:p>
      <w:pPr>
        <w:spacing w:after="0" w:line="2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February 2013, the Financial Accounting Standards Board ("FASB") issued Accounting Standards Update ("ASU") No. 2013-02,Comprehensive Income: Reporting of Amounts Reclassified Out of Accumulated Other Comprehensive Income("ASU 2013-02"). ASU 2013-02 requires an entity to provide information about amounts reclassified out of accumulated other comprehensive income by component. In addition, an entity is required to present, either on the face of the financial statements or in a single note; any significant amount reclassified out of accumulated other comprehensive income in its entirety in the period, and the income statement line item affected by the reclassification. For other amounts that are not required under U.S. GAAP to be reclassified in their entirety to net income, an entity is required to cross-reference to other disclosures required under U.S. GAAP that provide additional detail about those amounts. We adopted this guidance during the three months ended June 29, 2013</w:t>
      </w:r>
    </w:p>
    <w:p>
      <w:pPr>
        <w:spacing w:after="0" w:line="17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July 2013 FASB issued ASU 2013-10 Derivatives and Hedging (Topic 815): Inclusion of the Fed Funds Effective Swap Rate (or Overnight Index Swap Rate) as a Benchmark Interest Rate for Hedge Accounting Purposes. ASU 2013-10 amends ASC 815 to include the Fed Funds Effective Swap Rate (or Overnight Index Swap Rate) as a benchmark interest rate for hedge accounting purposes in addition to UST and LIBOR. The amendments also remove the restriction on using different benchmark rates for similar hedges. The amendments are effective prospectively for qualifying new or redesignated hedging relationships entered into on or after July 17, 2013. We have evaluated the amendments and conclude that these do not impact our financial statements as we have not entered into transactions with Fed Funds Effective Swap Rate.</w:t>
      </w:r>
    </w:p>
    <w:p>
      <w:pPr>
        <w:spacing w:after="0" w:line="200" w:lineRule="exact"/>
        <w:rPr>
          <w:sz w:val="20"/>
          <w:szCs w:val="20"/>
          <w:color w:val="auto"/>
        </w:rPr>
      </w:pPr>
    </w:p>
    <w:p>
      <w:pPr>
        <w:spacing w:after="0" w:line="272" w:lineRule="exact"/>
        <w:rPr>
          <w:sz w:val="20"/>
          <w:szCs w:val="20"/>
          <w:color w:val="auto"/>
        </w:rPr>
      </w:pPr>
    </w:p>
    <w:p>
      <w:pPr>
        <w:ind w:left="800" w:hanging="792"/>
        <w:spacing w:after="0"/>
        <w:tabs>
          <w:tab w:leader="none" w:pos="8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Acquisitions were completed in fiscal 2014 and fiscal 2013 as part of our growth initiatives.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2014 Acquisition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Hemerus Acquisition</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April 30, 2013, we completed the acquisition of certain assets of Hemerus Medical, LLC ("Hemerus"), a Minnesota based company that develops innovative technologies for the collection of whole blood and processing and storage of blood components. Hemerus has received U.S Food and Drug Administration (FDA) approval for SOLX® whole blood collection system for eight hour storage of whole blood prior to processing. Hemerus previously received Conformité Européenne or CE</w:t>
      </w: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20"/>
          </w:cols>
          <w:pgMar w:left="240" w:top="126" w:right="339" w:bottom="1440" w:gutter="0" w:footer="0" w:header="0"/>
        </w:sectPr>
      </w:pPr>
    </w:p>
    <w:bookmarkStart w:id="58" w:name="page59"/>
    <w:bookmarkEnd w:id="58"/>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Mark in the European Union to market SOLX as the world's first 56-day red blood cell storage solution. We paid $24.1 million and will pay an additional</w:t>
      </w:r>
    </w:p>
    <w:p>
      <w:pPr>
        <w:spacing w:after="0" w:line="3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$3.0 million upon a further FDA approval of the SOLX solution for 24 hour storage of whole blood prior to processing. We will also pay up to $14.0 million based on future sales of SOLX-based products through fiscal 2025.</w:t>
      </w:r>
    </w:p>
    <w:p>
      <w:pPr>
        <w:spacing w:after="0" w:line="18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acquired Hemerus to complement the portfolio of whole blood collection, filtration and processing product lines we recently acquired and to bring greater efficiency and productivity to whole blood collection and processing. Hemerus manufactures and sells manual blood collection systems and filters and has operations in North America. Revenue from the sale of SOLX will be reported within the blood center disposables product line.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assets acquired from Hemerus were recorded at fair value at the date of acquisition.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final purchase price allocation is as follows:</w:t>
      </w:r>
    </w:p>
    <w:p>
      <w:pPr>
        <w:spacing w:after="0" w:line="150"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9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Asset class</w:t>
            </w:r>
          </w:p>
        </w:tc>
        <w:tc>
          <w:tcPr>
            <w:tcW w:w="100" w:type="dxa"/>
            <w:vAlign w:val="bottom"/>
            <w:vMerge w:val="restart"/>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Amounts recognized as</w:t>
            </w:r>
          </w:p>
        </w:tc>
        <w:tc>
          <w:tcPr>
            <w:tcW w:w="0" w:type="dxa"/>
            <w:vAlign w:val="bottom"/>
          </w:tcPr>
          <w:p>
            <w:pPr>
              <w:spacing w:after="0"/>
              <w:rPr>
                <w:sz w:val="1"/>
                <w:szCs w:val="1"/>
                <w:color w:val="auto"/>
              </w:rPr>
            </w:pPr>
          </w:p>
        </w:tc>
      </w:tr>
      <w:tr>
        <w:trPr>
          <w:trHeight w:val="192"/>
        </w:trPr>
        <w:tc>
          <w:tcPr>
            <w:tcW w:w="9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7"/>
              </w:rPr>
              <w:t>of March 29, 2014</w:t>
            </w:r>
          </w:p>
        </w:tc>
        <w:tc>
          <w:tcPr>
            <w:tcW w:w="0" w:type="dxa"/>
            <w:vAlign w:val="bottom"/>
          </w:tcPr>
          <w:p>
            <w:pPr>
              <w:spacing w:after="0"/>
              <w:rPr>
                <w:sz w:val="1"/>
                <w:szCs w:val="1"/>
                <w:color w:val="auto"/>
              </w:rPr>
            </w:pPr>
          </w:p>
        </w:tc>
      </w:tr>
      <w:tr>
        <w:trPr>
          <w:trHeight w:val="250"/>
        </w:trPr>
        <w:tc>
          <w:tcPr>
            <w:tcW w:w="9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Acquired technology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22,800</w:t>
            </w:r>
          </w:p>
        </w:tc>
        <w:tc>
          <w:tcPr>
            <w:tcW w:w="0" w:type="dxa"/>
            <w:vAlign w:val="bottom"/>
          </w:tcPr>
          <w:p>
            <w:pPr>
              <w:spacing w:after="0"/>
              <w:rPr>
                <w:sz w:val="1"/>
                <w:szCs w:val="1"/>
                <w:color w:val="auto"/>
              </w:rPr>
            </w:pPr>
          </w:p>
        </w:tc>
      </w:tr>
      <w:tr>
        <w:trPr>
          <w:trHeight w:val="243"/>
        </w:trPr>
        <w:tc>
          <w:tcPr>
            <w:tcW w:w="9660" w:type="dxa"/>
            <w:vAlign w:val="bottom"/>
            <w:gridSpan w:val="2"/>
          </w:tcPr>
          <w:p>
            <w:pPr>
              <w:ind w:left="20"/>
              <w:spacing w:after="0"/>
              <w:rPr>
                <w:sz w:val="20"/>
                <w:szCs w:val="20"/>
                <w:color w:val="auto"/>
              </w:rPr>
            </w:pPr>
            <w:r>
              <w:rPr>
                <w:rFonts w:ascii="Arial" w:cs="Arial" w:eastAsia="Arial" w:hAnsi="Arial"/>
                <w:sz w:val="18"/>
                <w:szCs w:val="18"/>
                <w:color w:val="auto"/>
              </w:rPr>
              <w:t>Trade name</w:t>
            </w:r>
          </w:p>
        </w:tc>
        <w:tc>
          <w:tcPr>
            <w:tcW w:w="18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7"/>
        </w:trPr>
        <w:tc>
          <w:tcPr>
            <w:tcW w:w="9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Customer relationship</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43"/>
        </w:trPr>
        <w:tc>
          <w:tcPr>
            <w:tcW w:w="9660" w:type="dxa"/>
            <w:vAlign w:val="bottom"/>
            <w:gridSpan w:val="2"/>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6,425</w:t>
            </w:r>
          </w:p>
        </w:tc>
        <w:tc>
          <w:tcPr>
            <w:tcW w:w="0" w:type="dxa"/>
            <w:vAlign w:val="bottom"/>
          </w:tcPr>
          <w:p>
            <w:pPr>
              <w:spacing w:after="0"/>
              <w:rPr>
                <w:sz w:val="1"/>
                <w:szCs w:val="1"/>
                <w:color w:val="auto"/>
              </w:rPr>
            </w:pPr>
          </w:p>
        </w:tc>
      </w:tr>
      <w:tr>
        <w:trPr>
          <w:trHeight w:val="27"/>
        </w:trPr>
        <w:tc>
          <w:tcPr>
            <w:tcW w:w="9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31,725</w:t>
            </w:r>
          </w:p>
        </w:tc>
        <w:tc>
          <w:tcPr>
            <w:tcW w:w="0" w:type="dxa"/>
            <w:vAlign w:val="bottom"/>
          </w:tcPr>
          <w:p>
            <w:pPr>
              <w:spacing w:after="0"/>
              <w:rPr>
                <w:sz w:val="1"/>
                <w:szCs w:val="1"/>
                <w:color w:val="auto"/>
              </w:rPr>
            </w:pPr>
          </w:p>
        </w:tc>
      </w:tr>
      <w:tr>
        <w:trPr>
          <w:trHeight w:val="20"/>
        </w:trPr>
        <w:tc>
          <w:tcPr>
            <w:tcW w:w="9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fair value of the acquired assets and liabilities are reflected in the Consolidated Balance Sheets. The acquired assets are amortized over the estimate of their useful lives on a straight-line basis. We recorded $2.3 million in amortization expense relating to the acquired intangible assets for the fiscal year ended March 29, 2014.</w:t>
      </w:r>
    </w:p>
    <w:p>
      <w:pPr>
        <w:spacing w:after="0" w:line="18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Goodwill represents the excess of the purchase price over the fair value of the net assets. Goodwill of $6.4 million primarily represents future economic benefits expected to arise from the work force and synergies expected to be gained from the integration of SOLX into our whole blood products. Prior to the acquisition, we had not conducted any business with Hemerus. All of the domestic goodwill is deductible for tax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225"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As described above, we will pay the sellers of Hemerus assets up to $14.0 million based on future sales of SOLX. We recognized a liability equal to the fair value of the contingent payments we expect to make as of the acquisition date. We will revalue this liability each reporting period and record necessary changes in the fair value in our consolidated statements of income. As of March 29, 2014, the maximum amount of future contingent consideration (undiscounted) that we could be required to pay related to future SOLX sales is $14.0 million. Additionally, we will pay $3.0 million upon FDA approval of the SOLX solution for 24 hour storage of whole blood prior to processing. The carrying value of this liability is $7.6 million as of March 29, 2014.</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Contingent consideration liabilities are measured at fair value using projected revenues, discount rates, probabilities of payment and projected payment dates.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Level 3 fair value measurement was performed using a probability-weighted discounted cash flow over a ten year period.</w:t>
      </w:r>
    </w:p>
    <w:p>
      <w:pPr>
        <w:spacing w:after="0" w:line="21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Increases or decreases in the fair value of our contingent consideration liability can result from changes in discount periods and rates, as well as changes in the timing and amount of revenue estimates or likelihood of earning revenue. Projected revenues are based on our most recent internal operational budgets.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6" w:right="239" w:bottom="1440" w:gutter="0" w:footer="0" w:header="0"/>
        </w:sectPr>
      </w:pPr>
    </w:p>
    <w:bookmarkStart w:id="59" w:name="page60"/>
    <w:bookmarkEnd w:id="59"/>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2013 Acquisition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Whole Blood Acquisition</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August 1, 2012, we completed the acquisition from Pall Corporation (“Pall”) of substantially all of the assets relating to its blood collection, filtration, processing, storage, and re-infusion product lines, and all of the outstanding equity interest in Pall Mexico Manufacturing, S. de R.L. de C.V., a subsidiary of Pall based in Mexico pursuant to an Asset Purchase Agreement (the “Purchase Agreement”) with Pall. We refer to the acquired business as the “whole blood business.”</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 the closing of the transaction, we paid a total consideration of $535.2 million in cash and $0.5 million in shares following resolution of post-closing adjustments for working capital and historical earnings levels. We anticipate paying an additional $15.0 million upon replication and delivery of certain manufacturing assets of Pall's filter media business to Haemonetics by 2016. Until that time, Pall will manufacture and sell filter media to Haemonetics under a supply agreement.</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entered into a credit agreement on August 1, 2012 in connection with the transaction which includes a $475.0 million term loan to fund the majority of the cash paid to Pall. See Note 8 for a detailed description of the key terms and provisions of the credit agreement.</w:t>
      </w:r>
    </w:p>
    <w:p>
      <w:pPr>
        <w:spacing w:after="0" w:line="3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acquired the whole blood business to provide access to the manual collection and whole blood markets and provide scope for introduction of automated solutions in those markets. The whole blood business manufactures and sells manual blood collection systems and filters and has operations in North America, Europe and Asia Pacific countries. Revenue from the sale of whole blood disposables has been reported within the blood center disposables product line since the date of acquisition.</w:t>
      </w:r>
    </w:p>
    <w:p>
      <w:pPr>
        <w:spacing w:after="0" w:line="5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assets and liabilities acquired from Pall were recorded at fair value at the date of acquisition. We completed the allocation of the purchase price to the estimated fair value of the acquired assets and liabilities in June 2013 and is summarized below:</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Amounts Recognized as</w:t>
            </w:r>
          </w:p>
        </w:tc>
        <w:tc>
          <w:tcPr>
            <w:tcW w:w="0" w:type="dxa"/>
            <w:vAlign w:val="bottom"/>
          </w:tcPr>
          <w:p>
            <w:pPr>
              <w:spacing w:after="0"/>
              <w:rPr>
                <w:sz w:val="1"/>
                <w:szCs w:val="1"/>
                <w:color w:val="auto"/>
              </w:rPr>
            </w:pPr>
          </w:p>
        </w:tc>
      </w:tr>
      <w:tr>
        <w:trPr>
          <w:trHeight w:val="186"/>
        </w:trPr>
        <w:tc>
          <w:tcPr>
            <w:tcW w:w="9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Asset class</w:t>
            </w:r>
          </w:p>
        </w:tc>
        <w:tc>
          <w:tcPr>
            <w:tcW w:w="10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ind w:right="153"/>
              <w:spacing w:after="0"/>
              <w:rPr>
                <w:sz w:val="20"/>
                <w:szCs w:val="20"/>
                <w:color w:val="auto"/>
              </w:rPr>
            </w:pPr>
            <w:r>
              <w:rPr>
                <w:rFonts w:ascii="Arial" w:cs="Arial" w:eastAsia="Arial" w:hAnsi="Arial"/>
                <w:sz w:val="14"/>
                <w:szCs w:val="14"/>
                <w:b w:val="1"/>
                <w:bCs w:val="1"/>
                <w:color w:val="auto"/>
                <w:w w:val="99"/>
              </w:rPr>
              <w:t>of March 30, 2013</w:t>
            </w:r>
          </w:p>
        </w:tc>
        <w:tc>
          <w:tcPr>
            <w:tcW w:w="0" w:type="dxa"/>
            <w:vAlign w:val="bottom"/>
          </w:tcPr>
          <w:p>
            <w:pPr>
              <w:spacing w:after="0"/>
              <w:rPr>
                <w:sz w:val="1"/>
                <w:szCs w:val="1"/>
                <w:color w:val="auto"/>
              </w:rPr>
            </w:pPr>
          </w:p>
        </w:tc>
      </w:tr>
      <w:tr>
        <w:trPr>
          <w:trHeight w:val="182"/>
        </w:trPr>
        <w:tc>
          <w:tcPr>
            <w:tcW w:w="97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9820" w:type="dxa"/>
            <w:vAlign w:val="bottom"/>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49,917</w:t>
            </w:r>
          </w:p>
        </w:tc>
        <w:tc>
          <w:tcPr>
            <w:tcW w:w="0" w:type="dxa"/>
            <w:vAlign w:val="bottom"/>
          </w:tcPr>
          <w:p>
            <w:pPr>
              <w:spacing w:after="0"/>
              <w:rPr>
                <w:sz w:val="1"/>
                <w:szCs w:val="1"/>
                <w:color w:val="auto"/>
              </w:rPr>
            </w:pP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w:t>
            </w: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85,984</w:t>
            </w:r>
          </w:p>
        </w:tc>
        <w:tc>
          <w:tcPr>
            <w:tcW w:w="0" w:type="dxa"/>
            <w:vAlign w:val="bottom"/>
          </w:tcPr>
          <w:p>
            <w:pPr>
              <w:spacing w:after="0"/>
              <w:rPr>
                <w:sz w:val="1"/>
                <w:szCs w:val="1"/>
                <w:color w:val="auto"/>
              </w:rPr>
            </w:pP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188,500</w:t>
            </w:r>
          </w:p>
        </w:tc>
        <w:tc>
          <w:tcPr>
            <w:tcW w:w="0" w:type="dxa"/>
            <w:vAlign w:val="bottom"/>
          </w:tcPr>
          <w:p>
            <w:pPr>
              <w:spacing w:after="0"/>
              <w:rPr>
                <w:sz w:val="1"/>
                <w:szCs w:val="1"/>
                <w:color w:val="auto"/>
              </w:rPr>
            </w:pP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Other assets/liabilities, net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(6,166)</w:t>
            </w:r>
          </w:p>
        </w:tc>
        <w:tc>
          <w:tcPr>
            <w:tcW w:w="0" w:type="dxa"/>
            <w:vAlign w:val="bottom"/>
          </w:tcPr>
          <w:p>
            <w:pPr>
              <w:spacing w:after="0"/>
              <w:rPr>
                <w:sz w:val="1"/>
                <w:szCs w:val="1"/>
                <w:color w:val="auto"/>
              </w:rPr>
            </w:pP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216,940</w:t>
            </w:r>
          </w:p>
        </w:tc>
        <w:tc>
          <w:tcPr>
            <w:tcW w:w="0" w:type="dxa"/>
            <w:vAlign w:val="bottom"/>
          </w:tcPr>
          <w:p>
            <w:pPr>
              <w:spacing w:after="0"/>
              <w:rPr>
                <w:sz w:val="1"/>
                <w:szCs w:val="1"/>
                <w:color w:val="auto"/>
              </w:rPr>
            </w:pPr>
          </w:p>
        </w:tc>
      </w:tr>
      <w:tr>
        <w:trPr>
          <w:trHeight w:val="257"/>
        </w:trPr>
        <w:tc>
          <w:tcPr>
            <w:tcW w:w="982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 of net assets acquired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535,175</w:t>
            </w:r>
          </w:p>
        </w:tc>
        <w:tc>
          <w:tcPr>
            <w:tcW w:w="0" w:type="dxa"/>
            <w:vAlign w:val="bottom"/>
          </w:tcPr>
          <w:p>
            <w:pPr>
              <w:spacing w:after="0"/>
              <w:rPr>
                <w:sz w:val="1"/>
                <w:szCs w:val="1"/>
                <w:color w:val="auto"/>
              </w:rPr>
            </w:pPr>
          </w:p>
        </w:tc>
      </w:tr>
      <w:tr>
        <w:trPr>
          <w:trHeight w:val="20"/>
        </w:trPr>
        <w:tc>
          <w:tcPr>
            <w:tcW w:w="9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fair value of the acquired assets and liabilities are reflected in the Consolidated Balance Sheets. The $188.5 million of acquired intangible assets was allocated to acquired technology and customer relationships at fair values of $61.0 million and $127.5 million, respectively. The acquired assets are amortized over the estimate of their useful lives of 12 years on a straight-line basis. We adopted the straight-line amortization of 12 years as it best reflects the pattern of benefits. We recorded $15.7 million and $10.5 million in amortization expense relating to the acquired intangible assets for the fiscal years ended March 29, 2014 and March 30, 2013, respectively.</w:t>
      </w:r>
    </w:p>
    <w:p>
      <w:pPr>
        <w:spacing w:after="0" w:line="148"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Goodwill represents the excess of the purchase price over the fair value of the net assets. Goodwill of $216.9 million represents future economic benefits expected to arise from work force at the various plants and locations and significant technological know-how in filter manufacturing. All of the domestic goodwill is deductible for tax purposes.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Revenue for the acquired whole blood business included in our operating results was $190.7 million in fiscal 2014 and $138.4 million in fiscal 2013.</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6" w:right="239" w:bottom="1440" w:gutter="0" w:footer="0" w:header="0"/>
        </w:sectPr>
      </w:pPr>
    </w:p>
    <w:bookmarkStart w:id="60" w:name="page61"/>
    <w:bookmarkEnd w:id="60"/>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represents the pro forma consolidated statements of income as if the acquisition had been included in our consolidated results as beginning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1, 2012:</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right"/>
              <w:ind w:right="416"/>
              <w:spacing w:after="0"/>
              <w:rPr>
                <w:sz w:val="20"/>
                <w:szCs w:val="20"/>
                <w:color w:val="auto"/>
              </w:rPr>
            </w:pPr>
            <w:r>
              <w:rPr>
                <w:rFonts w:ascii="Arial" w:cs="Arial" w:eastAsia="Arial" w:hAnsi="Arial"/>
                <w:sz w:val="14"/>
                <w:szCs w:val="14"/>
                <w:b w:val="1"/>
                <w:bCs w:val="1"/>
                <w:color w:val="auto"/>
              </w:rPr>
              <w:t>March 30,</w:t>
            </w:r>
          </w:p>
        </w:tc>
      </w:tr>
      <w:tr>
        <w:trPr>
          <w:trHeight w:val="192"/>
        </w:trPr>
        <w:tc>
          <w:tcPr>
            <w:tcW w:w="98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 except per share amounts)</w:t>
            </w: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2013</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963,923</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56,540</w:t>
            </w:r>
          </w:p>
        </w:tc>
      </w:tr>
      <w:tr>
        <w:trPr>
          <w:trHeight w:val="27"/>
        </w:trPr>
        <w:tc>
          <w:tcPr>
            <w:tcW w:w="9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EPS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Diluted EPS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1.08</w:t>
            </w: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800" w:hanging="792"/>
        <w:spacing w:after="0"/>
        <w:tabs>
          <w:tab w:leader="none" w:pos="8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PRODUCT WARRANTIES</w:t>
      </w:r>
    </w:p>
    <w:p>
      <w:pPr>
        <w:spacing w:after="0" w:line="148"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We generally provide a warranty on parts and labor for one year after the sale and installation of each device. We also warrant our disposables products through their use or expiration. We estimate our potential warranty expense based on our historical warranty experience, and we periodically assess the adequacy of our warranty accrual and make adjustments as necessary.</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29,</w:t>
            </w:r>
          </w:p>
        </w:tc>
        <w:tc>
          <w:tcPr>
            <w:tcW w:w="260" w:type="dxa"/>
            <w:vAlign w:val="bottom"/>
          </w:tcPr>
          <w:p>
            <w:pPr>
              <w:spacing w:after="0"/>
              <w:rPr>
                <w:sz w:val="14"/>
                <w:szCs w:val="14"/>
                <w:color w:val="auto"/>
              </w:rPr>
            </w:pPr>
          </w:p>
        </w:tc>
        <w:tc>
          <w:tcPr>
            <w:tcW w:w="1220" w:type="dxa"/>
            <w:vAlign w:val="bottom"/>
          </w:tcPr>
          <w:p>
            <w:pPr>
              <w:jc w:val="right"/>
              <w:ind w:right="356"/>
              <w:spacing w:after="0"/>
              <w:rPr>
                <w:sz w:val="20"/>
                <w:szCs w:val="20"/>
                <w:color w:val="auto"/>
              </w:rPr>
            </w:pPr>
            <w:r>
              <w:rPr>
                <w:rFonts w:ascii="Arial" w:cs="Arial" w:eastAsia="Arial" w:hAnsi="Arial"/>
                <w:sz w:val="14"/>
                <w:szCs w:val="14"/>
                <w:b w:val="1"/>
                <w:bCs w:val="1"/>
                <w:color w:val="auto"/>
              </w:rPr>
              <w:t>March 30,</w:t>
            </w:r>
          </w:p>
        </w:tc>
      </w:t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2013</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accrual as of the beginning of the year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796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Warranty provision</w:t>
            </w:r>
          </w:p>
        </w:tc>
        <w:tc>
          <w:tcPr>
            <w:tcW w:w="26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1,340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1,180</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spending</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Warranty accrual as of the end of the year</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590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673</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800" w:hanging="792"/>
        <w:spacing w:after="0"/>
        <w:tabs>
          <w:tab w:leader="none" w:pos="8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Inventories are stated at the lower of cost or market and include the cost of material, labor and manufacturing overhead. Cost is determined with the first-in, first-out method.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29,</w:t>
            </w:r>
          </w:p>
        </w:tc>
        <w:tc>
          <w:tcPr>
            <w:tcW w:w="260" w:type="dxa"/>
            <w:vAlign w:val="bottom"/>
          </w:tcPr>
          <w:p>
            <w:pPr>
              <w:spacing w:after="0"/>
              <w:rPr>
                <w:sz w:val="14"/>
                <w:szCs w:val="14"/>
                <w:color w:val="auto"/>
              </w:rPr>
            </w:pPr>
          </w:p>
        </w:tc>
        <w:tc>
          <w:tcPr>
            <w:tcW w:w="1220" w:type="dxa"/>
            <w:vAlign w:val="bottom"/>
          </w:tcPr>
          <w:p>
            <w:pPr>
              <w:jc w:val="right"/>
              <w:ind w:right="353"/>
              <w:spacing w:after="0"/>
              <w:rPr>
                <w:sz w:val="20"/>
                <w:szCs w:val="20"/>
                <w:color w:val="auto"/>
              </w:rPr>
            </w:pPr>
            <w:r>
              <w:rPr>
                <w:rFonts w:ascii="Arial" w:cs="Arial" w:eastAsia="Arial" w:hAnsi="Arial"/>
                <w:sz w:val="14"/>
                <w:szCs w:val="14"/>
                <w:b w:val="1"/>
                <w:bCs w:val="1"/>
                <w:color w:val="auto"/>
              </w:rPr>
              <w:t>March 30,</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72,508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70,716</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Work-in-process</w:t>
            </w:r>
          </w:p>
        </w:tc>
        <w:tc>
          <w:tcPr>
            <w:tcW w:w="26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7,383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7,829</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117,770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105,239</w:t>
            </w:r>
          </w:p>
        </w:tc>
        <w:tc>
          <w:tcPr>
            <w:tcW w:w="0" w:type="dxa"/>
            <w:vAlign w:val="bottom"/>
          </w:tcPr>
          <w:p>
            <w:pPr>
              <w:spacing w:after="0"/>
              <w:rPr>
                <w:sz w:val="1"/>
                <w:szCs w:val="1"/>
                <w:color w:val="auto"/>
              </w:rPr>
            </w:pPr>
          </w:p>
        </w:tc>
      </w:tr>
      <w:tr>
        <w:trPr>
          <w:trHeight w:val="257"/>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Inventory</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197,661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183,784</w:t>
            </w:r>
          </w:p>
        </w:tc>
        <w:tc>
          <w:tcPr>
            <w:tcW w:w="0" w:type="dxa"/>
            <w:vAlign w:val="bottom"/>
          </w:tcPr>
          <w:p>
            <w:pPr>
              <w:spacing w:after="0"/>
              <w:rPr>
                <w:sz w:val="1"/>
                <w:szCs w:val="1"/>
                <w:color w:val="auto"/>
              </w:rPr>
            </w:pPr>
          </w:p>
        </w:tc>
      </w:tr>
      <w:tr>
        <w:trPr>
          <w:trHeight w:val="20"/>
        </w:trPr>
        <w:tc>
          <w:tcPr>
            <w:tcW w:w="740" w:type="dxa"/>
            <w:vAlign w:val="bottom"/>
            <w:vMerge w:val="restart"/>
          </w:tcPr>
          <w:p>
            <w:pPr>
              <w:spacing w:after="0"/>
              <w:rPr>
                <w:sz w:val="20"/>
                <w:szCs w:val="20"/>
                <w:color w:val="auto"/>
              </w:rPr>
            </w:pPr>
            <w:r>
              <w:rPr>
                <w:rFonts w:ascii="Arial" w:cs="Arial" w:eastAsia="Arial" w:hAnsi="Arial"/>
                <w:sz w:val="18"/>
                <w:szCs w:val="18"/>
                <w:b w:val="1"/>
                <w:bCs w:val="1"/>
                <w:color w:val="auto"/>
              </w:rPr>
              <w:t>6.</w:t>
            </w:r>
          </w:p>
        </w:tc>
        <w:tc>
          <w:tcPr>
            <w:tcW w:w="76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GOODWILL AND INTANGIBLE ASSETS</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740" w:type="dxa"/>
            <w:vAlign w:val="bottom"/>
            <w:vMerge w:val="continue"/>
          </w:tcPr>
          <w:p>
            <w:pPr>
              <w:spacing w:after="0"/>
              <w:rPr>
                <w:sz w:val="24"/>
                <w:szCs w:val="24"/>
                <w:color w:val="auto"/>
              </w:rPr>
            </w:pPr>
          </w:p>
        </w:tc>
        <w:tc>
          <w:tcPr>
            <w:tcW w:w="76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740" w:type="dxa"/>
            <w:vAlign w:val="bottom"/>
          </w:tcPr>
          <w:p>
            <w:pPr>
              <w:spacing w:after="0"/>
              <w:rPr>
                <w:sz w:val="20"/>
                <w:szCs w:val="20"/>
                <w:color w:val="auto"/>
              </w:rPr>
            </w:pPr>
            <w:r>
              <w:rPr>
                <w:rFonts w:ascii="Arial" w:cs="Arial" w:eastAsia="Arial" w:hAnsi="Arial"/>
                <w:sz w:val="18"/>
                <w:szCs w:val="18"/>
                <w:b w:val="1"/>
                <w:bCs w:val="1"/>
                <w:i w:val="1"/>
                <w:iCs w:val="1"/>
                <w:color w:val="auto"/>
                <w:w w:val="94"/>
              </w:rPr>
              <w:t>Goodwill</w:t>
            </w:r>
          </w:p>
        </w:tc>
        <w:tc>
          <w:tcPr>
            <w:tcW w:w="7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340" w:type="dxa"/>
            <w:vAlign w:val="bottom"/>
            <w:gridSpan w:val="2"/>
          </w:tcPr>
          <w:p>
            <w:pPr>
              <w:spacing w:after="0"/>
              <w:rPr>
                <w:sz w:val="20"/>
                <w:szCs w:val="20"/>
                <w:color w:val="auto"/>
              </w:rPr>
            </w:pPr>
            <w:r>
              <w:rPr>
                <w:rFonts w:ascii="Arial" w:cs="Arial" w:eastAsia="Arial" w:hAnsi="Arial"/>
                <w:sz w:val="18"/>
                <w:szCs w:val="18"/>
                <w:color w:val="auto"/>
              </w:rPr>
              <w:t>The changes in the carrying amount of goodwill for fiscal 2014 and 2013 are as follows: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340" w:type="dxa"/>
            <w:vAlign w:val="bottom"/>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Carrying amount as of March 31, 2012</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115,058</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Whole blood business acquisition</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216,940</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Effects of change in foreign currency exchange rates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Carrying amount as of March 30, 2013</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330,474</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Hemerus acquisition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6,425</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Effects of change in foreign currency exchange rates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Carrying amount as of March 29, 2014</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336,768</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126" w:right="239" w:bottom="1440" w:gutter="0" w:footer="0" w:header="0"/>
          <w:type w:val="continuous"/>
        </w:sectPr>
      </w:pPr>
    </w:p>
    <w:bookmarkStart w:id="61" w:name="page62"/>
    <w:bookmarkEnd w:id="61"/>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3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Intangible assets include the value assigned to license rights and other developed technology, patents, customer contracts and relationships and a trade name. The estimated useful lives for all of these intangible assets are 2 to 19 years. The gross carrying amount of intangible assets and the related accumulated amortization as of March 29, 2014 and March 30, 2013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14"/>
                <w:szCs w:val="14"/>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Gross Carrying</w:t>
            </w:r>
          </w:p>
        </w:tc>
        <w:tc>
          <w:tcPr>
            <w:tcW w:w="22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4"/>
                <w:szCs w:val="14"/>
                <w:color w:val="auto"/>
              </w:rPr>
            </w:pPr>
          </w:p>
        </w:tc>
        <w:tc>
          <w:tcPr>
            <w:tcW w:w="110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4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3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2"/>
              </w:rPr>
              <w:t>Useful Life</w:t>
            </w:r>
          </w:p>
        </w:tc>
        <w:tc>
          <w:tcPr>
            <w:tcW w:w="0" w:type="dxa"/>
            <w:vAlign w:val="bottom"/>
          </w:tcPr>
          <w:p>
            <w:pPr>
              <w:spacing w:after="0"/>
              <w:rPr>
                <w:sz w:val="1"/>
                <w:szCs w:val="1"/>
                <w:color w:val="auto"/>
              </w:rPr>
            </w:pPr>
          </w:p>
        </w:tc>
      </w:tr>
      <w:tr>
        <w:trPr>
          <w:trHeight w:val="258"/>
        </w:trPr>
        <w:tc>
          <w:tcPr>
            <w:tcW w:w="49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4"/>
                <w:szCs w:val="14"/>
                <w:i w:val="1"/>
                <w:iCs w:val="1"/>
                <w:color w:val="auto"/>
                <w:w w:val="98"/>
              </w:rPr>
              <w:t>(In years)</w:t>
            </w:r>
          </w:p>
        </w:tc>
        <w:tc>
          <w:tcPr>
            <w:tcW w:w="0" w:type="dxa"/>
            <w:vAlign w:val="bottom"/>
          </w:tcPr>
          <w:p>
            <w:pPr>
              <w:spacing w:after="0"/>
              <w:rPr>
                <w:sz w:val="1"/>
                <w:szCs w:val="1"/>
                <w:color w:val="auto"/>
              </w:rPr>
            </w:pPr>
          </w:p>
        </w:tc>
      </w:tr>
      <w:tr>
        <w:trPr>
          <w:trHeight w:val="255"/>
        </w:trPr>
        <w:tc>
          <w:tcPr>
            <w:tcW w:w="4920" w:type="dxa"/>
            <w:vAlign w:val="bottom"/>
          </w:tcPr>
          <w:p>
            <w:pPr>
              <w:ind w:left="40"/>
              <w:spacing w:after="0"/>
              <w:rPr>
                <w:sz w:val="20"/>
                <w:szCs w:val="20"/>
                <w:color w:val="auto"/>
              </w:rPr>
            </w:pPr>
            <w:r>
              <w:rPr>
                <w:rFonts w:ascii="Arial" w:cs="Arial" w:eastAsia="Arial" w:hAnsi="Arial"/>
                <w:sz w:val="18"/>
                <w:szCs w:val="18"/>
                <w:color w:val="auto"/>
              </w:rPr>
              <w:t>As of March 29, 2014</w:t>
            </w: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2,504</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Capitalized software</w:t>
            </w:r>
          </w:p>
        </w:tc>
        <w:tc>
          <w:tcPr>
            <w:tcW w:w="20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31,750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2,414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29,336</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developed technology</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123,525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36,632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86,893</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Customer contracts and related relationships</w:t>
            </w:r>
          </w:p>
        </w:tc>
        <w:tc>
          <w:tcPr>
            <w:tcW w:w="20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200,694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52,741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147,953</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7,341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2,868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4,473</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Total intangibles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372,853</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101,694</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271,159</w:t>
            </w:r>
          </w:p>
        </w:tc>
        <w:tc>
          <w:tcPr>
            <w:tcW w:w="1800" w:type="dxa"/>
            <w:vAlign w:val="bottom"/>
            <w:gridSpan w:val="2"/>
          </w:tcPr>
          <w:p>
            <w:pPr>
              <w:jc w:val="right"/>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92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3"/>
                <w:szCs w:val="23"/>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Gross Carrying</w:t>
            </w:r>
          </w:p>
        </w:tc>
        <w:tc>
          <w:tcPr>
            <w:tcW w:w="220" w:type="dxa"/>
            <w:vAlign w:val="bottom"/>
          </w:tcPr>
          <w:p>
            <w:pPr>
              <w:spacing w:after="0"/>
              <w:rPr>
                <w:sz w:val="23"/>
                <w:szCs w:val="23"/>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23"/>
                <w:szCs w:val="23"/>
                <w:color w:val="auto"/>
              </w:rPr>
            </w:pPr>
          </w:p>
        </w:tc>
        <w:tc>
          <w:tcPr>
            <w:tcW w:w="110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4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3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2"/>
              </w:rPr>
              <w:t>Useful Life</w:t>
            </w:r>
          </w:p>
        </w:tc>
        <w:tc>
          <w:tcPr>
            <w:tcW w:w="0" w:type="dxa"/>
            <w:vAlign w:val="bottom"/>
          </w:tcPr>
          <w:p>
            <w:pPr>
              <w:spacing w:after="0"/>
              <w:rPr>
                <w:sz w:val="1"/>
                <w:szCs w:val="1"/>
                <w:color w:val="auto"/>
              </w:rPr>
            </w:pPr>
          </w:p>
        </w:tc>
      </w:tr>
      <w:tr>
        <w:trPr>
          <w:trHeight w:val="258"/>
        </w:trPr>
        <w:tc>
          <w:tcPr>
            <w:tcW w:w="49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4"/>
                <w:szCs w:val="14"/>
                <w:i w:val="1"/>
                <w:iCs w:val="1"/>
                <w:color w:val="auto"/>
                <w:w w:val="98"/>
              </w:rPr>
              <w:t>(In years)</w:t>
            </w:r>
          </w:p>
        </w:tc>
        <w:tc>
          <w:tcPr>
            <w:tcW w:w="0" w:type="dxa"/>
            <w:vAlign w:val="bottom"/>
          </w:tcPr>
          <w:p>
            <w:pPr>
              <w:spacing w:after="0"/>
              <w:rPr>
                <w:sz w:val="1"/>
                <w:szCs w:val="1"/>
                <w:color w:val="auto"/>
              </w:rPr>
            </w:pPr>
          </w:p>
        </w:tc>
      </w:tr>
      <w:tr>
        <w:trPr>
          <w:trHeight w:val="255"/>
        </w:trPr>
        <w:tc>
          <w:tcPr>
            <w:tcW w:w="4920" w:type="dxa"/>
            <w:vAlign w:val="bottom"/>
          </w:tcPr>
          <w:p>
            <w:pPr>
              <w:ind w:left="40"/>
              <w:spacing w:after="0"/>
              <w:rPr>
                <w:sz w:val="20"/>
                <w:szCs w:val="20"/>
                <w:color w:val="auto"/>
              </w:rPr>
            </w:pPr>
            <w:r>
              <w:rPr>
                <w:rFonts w:ascii="Arial" w:cs="Arial" w:eastAsia="Arial" w:hAnsi="Arial"/>
                <w:sz w:val="18"/>
                <w:szCs w:val="18"/>
                <w:color w:val="auto"/>
              </w:rPr>
              <w:t>As of March 30, 2013</w:t>
            </w: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8,706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2,309</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Capitalized software</w:t>
            </w:r>
          </w:p>
        </w:tc>
        <w:tc>
          <w:tcPr>
            <w:tcW w:w="20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25,741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1,364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24,377</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developed technology</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100,586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25,812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74,774</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Customer contracts and related relationships</w:t>
            </w:r>
          </w:p>
        </w:tc>
        <w:tc>
          <w:tcPr>
            <w:tcW w:w="20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196,365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36,552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159,813</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5,383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2,268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3,115</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Total intangibles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336,781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72,393</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264,388</w:t>
            </w:r>
          </w:p>
        </w:tc>
        <w:tc>
          <w:tcPr>
            <w:tcW w:w="1800" w:type="dxa"/>
            <w:vAlign w:val="bottom"/>
            <w:gridSpan w:val="2"/>
          </w:tcPr>
          <w:p>
            <w:pPr>
              <w:jc w:val="right"/>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changes to the net carrying value of our intangible assets from March 30, 2013 to March 29, 2014 reflect the acquisition of Hemerus and other less significant intangible assets, amortization expense and the effect of exchange rate changes in the translation of our intangible assets held by our international subsidiaries.</w:t>
      </w:r>
    </w:p>
    <w:p>
      <w:pPr>
        <w:spacing w:after="0" w:line="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Aggregate amortization expense for amortized intangible assets for fiscal year 2014, 2013, and 2012 was $29.2 million, $22.1 million, and $11.4 million, respectively. Future annual amortization expense on intangible assets is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7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Fiscal Year</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660" w:type="dxa"/>
            <w:vAlign w:val="bottom"/>
          </w:tcPr>
          <w:p>
            <w:pPr>
              <w:jc w:val="right"/>
              <w:ind w:right="270"/>
              <w:spacing w:after="0"/>
              <w:rPr>
                <w:sz w:val="20"/>
                <w:szCs w:val="20"/>
                <w:color w:val="auto"/>
              </w:rPr>
            </w:pPr>
            <w:r>
              <w:rPr>
                <w:rFonts w:ascii="Arial" w:cs="Arial" w:eastAsia="Arial" w:hAnsi="Arial"/>
                <w:sz w:val="18"/>
                <w:szCs w:val="18"/>
                <w:i w:val="1"/>
                <w:iCs w:val="1"/>
                <w:color w:val="auto"/>
              </w:rPr>
              <w:t>(in</w:t>
            </w:r>
          </w:p>
        </w:tc>
        <w:tc>
          <w:tcPr>
            <w:tcW w:w="0" w:type="dxa"/>
            <w:vAlign w:val="bottom"/>
          </w:tcPr>
          <w:p>
            <w:pPr>
              <w:spacing w:after="0"/>
              <w:rPr>
                <w:sz w:val="1"/>
                <w:szCs w:val="1"/>
                <w:color w:val="auto"/>
              </w:rPr>
            </w:pPr>
          </w:p>
        </w:tc>
      </w:tr>
      <w:tr>
        <w:trPr>
          <w:trHeight w:val="230"/>
        </w:trPr>
        <w:tc>
          <w:tcPr>
            <w:tcW w:w="9720" w:type="dxa"/>
            <w:vAlign w:val="bottom"/>
            <w:gridSpan w:val="2"/>
            <w:vMerge w:val="continue"/>
          </w:tcPr>
          <w:p>
            <w:pPr>
              <w:spacing w:after="0"/>
              <w:rPr>
                <w:sz w:val="20"/>
                <w:szCs w:val="20"/>
                <w:color w:val="auto"/>
              </w:rPr>
            </w:pPr>
          </w:p>
        </w:tc>
        <w:tc>
          <w:tcPr>
            <w:tcW w:w="1700" w:type="dxa"/>
            <w:vAlign w:val="bottom"/>
            <w:gridSpan w:val="2"/>
          </w:tcPr>
          <w:p>
            <w:pPr>
              <w:jc w:val="right"/>
              <w:ind w:right="370"/>
              <w:spacing w:after="0"/>
              <w:rPr>
                <w:sz w:val="20"/>
                <w:szCs w:val="20"/>
                <w:color w:val="auto"/>
              </w:rPr>
            </w:pPr>
            <w:r>
              <w:rPr>
                <w:rFonts w:ascii="Arial" w:cs="Arial" w:eastAsia="Arial" w:hAnsi="Arial"/>
                <w:sz w:val="18"/>
                <w:szCs w:val="18"/>
                <w:i w:val="1"/>
                <w:iCs w:val="1"/>
                <w:color w:val="auto"/>
              </w:rPr>
              <w:t>thousands)</w:t>
            </w:r>
          </w:p>
        </w:tc>
        <w:tc>
          <w:tcPr>
            <w:tcW w:w="0" w:type="dxa"/>
            <w:vAlign w:val="bottom"/>
          </w:tcPr>
          <w:p>
            <w:pPr>
              <w:spacing w:after="0"/>
              <w:rPr>
                <w:sz w:val="1"/>
                <w:szCs w:val="1"/>
                <w:color w:val="auto"/>
              </w:rPr>
            </w:pPr>
          </w:p>
        </w:tc>
      </w:tr>
      <w:tr>
        <w:trPr>
          <w:trHeight w:val="27"/>
        </w:trPr>
        <w:tc>
          <w:tcPr>
            <w:tcW w:w="9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29,162</w:t>
            </w:r>
          </w:p>
        </w:tc>
        <w:tc>
          <w:tcPr>
            <w:tcW w:w="0" w:type="dxa"/>
            <w:vAlign w:val="bottom"/>
          </w:tcPr>
          <w:p>
            <w:pPr>
              <w:spacing w:after="0"/>
              <w:rPr>
                <w:sz w:val="1"/>
                <w:szCs w:val="1"/>
                <w:color w:val="auto"/>
              </w:rPr>
            </w:pP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28,695</w:t>
            </w: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28,611</w:t>
            </w:r>
          </w:p>
        </w:tc>
        <w:tc>
          <w:tcPr>
            <w:tcW w:w="0" w:type="dxa"/>
            <w:vAlign w:val="bottom"/>
          </w:tcPr>
          <w:p>
            <w:pPr>
              <w:spacing w:after="0"/>
              <w:rPr>
                <w:sz w:val="1"/>
                <w:szCs w:val="1"/>
                <w:color w:val="auto"/>
              </w:rPr>
            </w:pP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27,766</w:t>
            </w: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9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8"/>
              </w:rPr>
              <w:t>25,957</w:t>
            </w:r>
          </w:p>
        </w:tc>
        <w:tc>
          <w:tcPr>
            <w:tcW w:w="0" w:type="dxa"/>
            <w:vAlign w:val="bottom"/>
          </w:tcPr>
          <w:p>
            <w:pPr>
              <w:spacing w:after="0"/>
              <w:rPr>
                <w:sz w:val="1"/>
                <w:szCs w:val="1"/>
                <w:color w:val="auto"/>
              </w:rPr>
            </w:pPr>
          </w:p>
        </w:tc>
      </w:tr>
      <w:tr>
        <w:trPr>
          <w:trHeight w:val="27"/>
        </w:trPr>
        <w:tc>
          <w:tcPr>
            <w:tcW w:w="9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800" w:hanging="792"/>
        <w:spacing w:after="0"/>
        <w:tabs>
          <w:tab w:leader="none" w:pos="8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 AND FAIR VALUE MEASUREMENTS</w:t>
      </w:r>
    </w:p>
    <w:p>
      <w:pPr>
        <w:spacing w:after="0" w:line="148"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We manufacture, market and sell our products globally. For the fiscal year ended March 29, 2014, approximately 46.6% of our sales were generated outside the U.S. in local currencies. We also incur certain manufacturing, marketing and selling costs in international markets in local currency.</w:t>
      </w:r>
    </w:p>
    <w:p>
      <w:pPr>
        <w:spacing w:after="0" w:line="5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Accordingly, our earnings and cash flows are exposed to market risk from changes in foreign currency exchange rates relative to the U.S. Dollar, our reporting currency. 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foreign currency</w:t>
      </w:r>
    </w:p>
    <w:p>
      <w:pPr>
        <w:sectPr>
          <w:pgSz w:w="11900" w:h="16838" w:orient="portrait"/>
          <w:cols w:equalWidth="0" w:num="1">
            <w:col w:w="11420"/>
          </w:cols>
          <w:pgMar w:left="240" w:top="126"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126" w:right="239" w:bottom="1440" w:gutter="0" w:footer="0" w:header="0"/>
          <w:type w:val="continuous"/>
        </w:sectPr>
      </w:pPr>
    </w:p>
    <w:bookmarkStart w:id="62" w:name="page63"/>
    <w:bookmarkEnd w:id="62"/>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forward contracts to hedge the anticipated cash flows from transactions denominated in foreign currencies, primarily the Japanese Yen and the Euro, and to a lesser extent the Swiss Franc, British Pound Sterling, Canadian Dollar and the Mexican Peso. This does not eliminate the volatility of foreign exchange rates, but because we generally enter into forward contracts one year out, rates are fixed for a one-year period, thereby facilitating financial planning and resource allocation.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Designated Foreign Currency Hedge Contracts</w:t>
      </w:r>
    </w:p>
    <w:p>
      <w:pPr>
        <w:spacing w:after="0" w:line="13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All of our designated foreign currency hedge contracts as of March 29, 2014 and March 30, 2013 were cash flow hedges under ASC Topic 815, </w:t>
      </w:r>
      <w:r>
        <w:rPr>
          <w:rFonts w:ascii="Arial" w:cs="Arial" w:eastAsia="Arial" w:hAnsi="Arial"/>
          <w:sz w:val="18"/>
          <w:szCs w:val="18"/>
          <w:i w:val="1"/>
          <w:iCs w:val="1"/>
          <w:color w:val="auto"/>
        </w:rPr>
        <w:t>Derivatives</w:t>
      </w:r>
      <w:r>
        <w:rPr>
          <w:rFonts w:ascii="Arial" w:cs="Arial" w:eastAsia="Arial" w:hAnsi="Arial"/>
          <w:sz w:val="18"/>
          <w:szCs w:val="18"/>
          <w:color w:val="auto"/>
        </w:rPr>
        <w:t xml:space="preserve"> </w:t>
      </w:r>
      <w:r>
        <w:rPr>
          <w:rFonts w:ascii="Arial" w:cs="Arial" w:eastAsia="Arial" w:hAnsi="Arial"/>
          <w:sz w:val="18"/>
          <w:szCs w:val="18"/>
          <w:i w:val="1"/>
          <w:iCs w:val="1"/>
          <w:color w:val="auto"/>
        </w:rPr>
        <w:t>and Hedging</w:t>
      </w:r>
      <w:r>
        <w:rPr>
          <w:rFonts w:ascii="Arial" w:cs="Arial" w:eastAsia="Arial" w:hAnsi="Arial"/>
          <w:sz w:val="18"/>
          <w:szCs w:val="18"/>
          <w:color w:val="auto"/>
        </w:rPr>
        <w:t>. We record the effective portion of any change in the fair value of designated foreign currency hedge contracts in Other Comprehensive Income</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Statement of Stockholders’ Equity until the related third-party transaction occurs. Once the related third-party transaction occurs, we reclassify the effective portion of any related gain or loss on the designated foreign currency hedge contracts to earnings. In the event the hedged forecasted transaction does not occur, or it becomes probable that it will not occur, we would reclassify the amount of any gain or loss on the related cash flow hedge to earnings at that time. We had designated foreign currency hedge contracts outstanding in the contract amount of $157.9 million as of March 29, 2014 and $133.3 million as of March 30, 2013.</w:t>
      </w:r>
    </w:p>
    <w:p>
      <w:pPr>
        <w:spacing w:after="0" w:line="9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During fiscal 2014, we recognized net gains of $8.6 million in earnings on our cash flow hedges, compared to recognized net gains of $2.7 million and losses of $3.2 million during fiscal 2013 and 2012, respectively. For the fiscal year ended March 29, 2014, $3.7 million of gains, net of tax, were recorded in Accumulated Other Comprehensive Income to recognize the effective portion of the fair value of any designated foreign currency hedge contracts that are, or previously were, designated as foreign currency cash flow hedges, as compared to net gains of $5.1 million, net of tax, for the fiscal year ended March 30, 2013 and net gains of $3.1 million, net of tax, for the fiscal year ended March 31, 2012. At March 29, 2014, gains of $3.7 million, net of tax, may be reclassified to earnings within the next twelve months. All currency cash flow hedges outstanding as of March 29, 2014 mature within twelve months.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Non-designated Foreign Currency Contracts</w:t>
      </w:r>
    </w:p>
    <w:p>
      <w:pPr>
        <w:spacing w:after="0" w:line="1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manage our exposure to changes in foreign currency on a consolidated basis to take advantage of offsetting transactions and balances. We use foreign currency forward contracts as a part of our strategy to manage exposure related to foreign currency denominated monetary assets and liabilities. These foreign currency forward contracts are entered into for periods consistent with currency transaction exposures, generally one month. They are not designated as cash flow or fair value hedges under ASC Topic 815. These forward contracts are marked-to-market with changes in fair value recorded to earnings. We had non-designated foreign currency hedge contracts under ASC Topic 815 outstanding in the contract amount of $72.9 million as of March 29, 2014 and $65.6 million as of March 30,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239"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On August 1, 2012, we entered into a Credit Agreement which provided for a $475.0 million term loan (“Term Loan”). Under the terms of this Credit Agreement, the Company may borrow at a spread to an index, including the LIBOR index of 1-month, 3-months, 6-months, etc. From the date of the Credit Agreement, the Company has chosen to borrow against the 1-month USD-LIBOR-BBA rounded up, if necessary, to the nearest 1/16</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of 1% (“Adjusted LIBOR”). The terms of the Credit Agreement also allow us to borrow in multiple tranches. As of March 29th 2014, we have four tranches outstanding.</w:t>
      </w:r>
    </w:p>
    <w:p>
      <w:pPr>
        <w:spacing w:after="0" w:line="15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Accordingly, our earnings and cash flows are exposed to interest rate risk from changes in Adjusted LIBOR. Part of our interest rate risk management strategy includes the use of interest rate swaps to mitigate our exposure to changes in variable interest rates. Our objective in using interest rate swaps is to add stability to interest expense and to manage and reduce the risk inherent in interest rate fluctuations.</w:t>
      </w:r>
    </w:p>
    <w:p>
      <w:pPr>
        <w:spacing w:after="0" w:line="18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On December 21, 2012, we entered into two interest rate swap agreements ("the swaps"), whereby we receive Adjusted LIBOR and pay an average fixed rate of 0.68% on a total notional value of $250.0 million of debt. The interest rate swaps mature on August 1, 2017. The Company designated the interest rate swaps as a cash flow hedge of variable interest rate risk associated with $250.0 million of indebtedness. For the fiscal years ended March 29, 2014 and March 30, 2013, $1.3 million of gains and $0.8 million of losses, net of tax, were recorded in Accumulated Other Comprehensive Income to recognize the effective portion of the fair value of interest rate swaps that qualify as cash flow hedges, respectively.</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6" w:right="239" w:bottom="1440" w:gutter="0" w:footer="0" w:header="0"/>
        </w:sectPr>
      </w:pPr>
    </w:p>
    <w:bookmarkStart w:id="63" w:name="page64"/>
    <w:bookmarkEnd w:id="63"/>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Derivative Instruments</w:t>
      </w:r>
    </w:p>
    <w:p>
      <w:pPr>
        <w:spacing w:after="0" w:line="13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presents the effect of our derivative instruments designated as cash flow hedges and those not designated as hedging instruments under ASC Topic 815 in our consolidated statements of income for the fiscal year ended March 29, 2014.</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Amount of</w:t>
            </w: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 of</w:t>
            </w: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Amount of</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Gain/(Loss)</w:t>
            </w: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Gain/(Loss)</w:t>
            </w: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Reclassified</w:t>
            </w: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Gain/(Loss)</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Location in</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from OCI into</w:t>
            </w:r>
          </w:p>
        </w:tc>
        <w:tc>
          <w:tcPr>
            <w:tcW w:w="180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Location in</w:t>
            </w: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Excluded from</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Instruments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in OCI</w:t>
            </w: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Earnings</w:t>
            </w:r>
          </w:p>
        </w:tc>
        <w:tc>
          <w:tcPr>
            <w:tcW w:w="18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Effectiveness</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Statement of</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4"/>
              </w:rPr>
              <w:t>(Effective Portion)</w:t>
            </w:r>
          </w:p>
        </w:tc>
        <w:tc>
          <w:tcPr>
            <w:tcW w:w="100" w:type="dxa"/>
            <w:vAlign w:val="bottom"/>
          </w:tcPr>
          <w:p>
            <w:pPr>
              <w:spacing w:after="0"/>
              <w:rPr>
                <w:sz w:val="16"/>
                <w:szCs w:val="16"/>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(Effective Portion)</w:t>
            </w:r>
          </w:p>
        </w:tc>
        <w:tc>
          <w:tcPr>
            <w:tcW w:w="120" w:type="dxa"/>
            <w:vAlign w:val="bottom"/>
          </w:tcPr>
          <w:p>
            <w:pPr>
              <w:spacing w:after="0"/>
              <w:rPr>
                <w:sz w:val="16"/>
                <w:szCs w:val="16"/>
                <w:color w:val="auto"/>
              </w:rPr>
            </w:pPr>
          </w:p>
        </w:tc>
        <w:tc>
          <w:tcPr>
            <w:tcW w:w="17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97"/>
              </w:rPr>
              <w:t>Statement of Operations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3"/>
              </w:rPr>
              <w:t>Testing (*)</w:t>
            </w: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Operations</w:t>
            </w:r>
          </w:p>
        </w:tc>
        <w:tc>
          <w:tcPr>
            <w:tcW w:w="0" w:type="dxa"/>
            <w:vAlign w:val="bottom"/>
          </w:tcPr>
          <w:p>
            <w:pPr>
              <w:spacing w:after="0"/>
              <w:rPr>
                <w:sz w:val="1"/>
                <w:szCs w:val="1"/>
                <w:color w:val="auto"/>
              </w:rPr>
            </w:pPr>
          </w:p>
        </w:tc>
      </w:tr>
      <w:tr>
        <w:trPr>
          <w:trHeight w:val="264"/>
        </w:trPr>
        <w:tc>
          <w:tcPr>
            <w:tcW w:w="3780" w:type="dxa"/>
            <w:vAlign w:val="bottom"/>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Designated foreign currency hedge contracts, net</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revenues, COGS,</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of tax</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3,712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8,570</w:t>
            </w:r>
          </w:p>
        </w:tc>
        <w:tc>
          <w:tcPr>
            <w:tcW w:w="1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and SG&amp;A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229"/>
        </w:trPr>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0" w:type="dxa"/>
            <w:vAlign w:val="bottom"/>
          </w:tcPr>
          <w:p>
            <w:pPr>
              <w:spacing w:after="0"/>
              <w:rPr>
                <w:sz w:val="1"/>
                <w:szCs w:val="1"/>
                <w:color w:val="auto"/>
              </w:rPr>
            </w:pPr>
          </w:p>
        </w:tc>
      </w:tr>
      <w:tr>
        <w:trPr>
          <w:trHeight w:val="230"/>
        </w:trPr>
        <w:tc>
          <w:tcPr>
            <w:tcW w:w="3780" w:type="dxa"/>
            <w:vAlign w:val="bottom"/>
            <w:gridSpan w:val="2"/>
          </w:tcPr>
          <w:p>
            <w:pPr>
              <w:ind w:left="40"/>
              <w:spacing w:after="0"/>
              <w:rPr>
                <w:sz w:val="20"/>
                <w:szCs w:val="20"/>
                <w:color w:val="auto"/>
              </w:rPr>
            </w:pPr>
            <w:r>
              <w:rPr>
                <w:rFonts w:ascii="Arial" w:cs="Arial" w:eastAsia="Arial" w:hAnsi="Arial"/>
                <w:sz w:val="18"/>
                <w:szCs w:val="18"/>
                <w:color w:val="auto"/>
                <w:w w:val="94"/>
              </w:rPr>
              <w:t>Non-designated foreign currency hedge contracts</w:t>
            </w:r>
          </w:p>
        </w:tc>
        <w:tc>
          <w:tcPr>
            <w:tcW w:w="14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(1,359)</w:t>
            </w:r>
          </w:p>
        </w:tc>
        <w:tc>
          <w:tcPr>
            <w:tcW w:w="120" w:type="dxa"/>
            <w:vAlign w:val="bottom"/>
          </w:tcPr>
          <w:p>
            <w:pPr>
              <w:spacing w:after="0"/>
              <w:rPr>
                <w:sz w:val="20"/>
                <w:szCs w:val="20"/>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(expense)</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Designated interest rate swaps, net of tax</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1,289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(expense), net</w:t>
            </w:r>
          </w:p>
        </w:tc>
        <w:tc>
          <w:tcPr>
            <w:tcW w:w="180" w:type="dxa"/>
            <w:vAlign w:val="bottom"/>
            <w:vMerge w:val="continue"/>
            <w:shd w:val="clear" w:color="auto" w:fill="CCEEFF"/>
          </w:tcPr>
          <w:p>
            <w:pPr>
              <w:spacing w:after="0"/>
              <w:rPr>
                <w:sz w:val="20"/>
                <w:szCs w:val="20"/>
                <w:color w:val="auto"/>
              </w:rPr>
            </w:pPr>
          </w:p>
        </w:tc>
        <w:tc>
          <w:tcPr>
            <w:tcW w:w="1300" w:type="dxa"/>
            <w:vAlign w:val="bottom"/>
            <w:gridSpan w:val="2"/>
            <w:vMerge w:val="continue"/>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20" w:hanging="585"/>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exclude the difference between the spot rate and hedge forward rate from our effectiveness testing.</w:t>
      </w:r>
    </w:p>
    <w:p>
      <w:pPr>
        <w:spacing w:after="0" w:line="158"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We did not have fair value hedges or net investment hedges outstanding as of March 29, 2014 or March 30, 2013. Amounts recognized as deferred tax benefits in fiscal 2014 for designated foreign currency and interest rate swap hedges were $0.1 million and $0.5 million, respectively.</w:t>
      </w:r>
    </w:p>
    <w:p>
      <w:pPr>
        <w:spacing w:after="0" w:line="1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ASC Topic 815 requires all derivative instruments to be recognized at their fair values as either assets or liabilities on the balance sheet. We determine the fair value of our derivative instruments using the framework prescribed by 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by considering the estimated amount we would receive or pay to sell or transfer these instruments at the reporting date and by taking into account current interest rates, currency exchange rates, current interest rate curves, interest rate volatilities, the creditworthiness of the counterparty for assets, and our creditworthiness for liabilities. In certain instances, we may utilize financial models to measure fair value. Generally, we use inputs that include quoted prices for similar assets or liabilities in active markets; quoted prices for identical or similar assets or liabilities in markets that are not active; other observable inputs for the asset or liability; and inputs derived principally from, or corroborated by, observable market data by correlation or other means. As of March 29, 2014, we have classified our derivative assets and liabilities within Level 2 of the fair value hierarchy prescribed by ASC Topic 815, as discussed below, because these observable inputs are available for substantially the full term of our derivative instruments.</w:t>
      </w:r>
    </w:p>
    <w:p>
      <w:pPr>
        <w:spacing w:after="0" w:line="8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following tables present the fair value of our derivative instruments as they appear in our consolidated balance sheets as of March 29, 2014 and March 30, 2013 by type of contract and whether it is a qualifying hedge under ASC Topic 815.</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980" w:type="dxa"/>
            <w:vAlign w:val="bottom"/>
            <w:gridSpan w:val="2"/>
          </w:tcPr>
          <w:p>
            <w:pPr>
              <w:ind w:left="1080"/>
              <w:spacing w:after="0"/>
              <w:rPr>
                <w:sz w:val="20"/>
                <w:szCs w:val="20"/>
                <w:color w:val="auto"/>
              </w:rPr>
            </w:pPr>
            <w:r>
              <w:rPr>
                <w:rFonts w:ascii="Arial" w:cs="Arial" w:eastAsia="Arial" w:hAnsi="Arial"/>
                <w:sz w:val="14"/>
                <w:szCs w:val="14"/>
                <w:b w:val="1"/>
                <w:bCs w:val="1"/>
                <w:color w:val="auto"/>
              </w:rPr>
              <w:t>Location in</w:t>
            </w:r>
          </w:p>
        </w:tc>
        <w:tc>
          <w:tcPr>
            <w:tcW w:w="1580" w:type="dxa"/>
            <w:vAlign w:val="bottom"/>
            <w:gridSpan w:val="3"/>
          </w:tcPr>
          <w:p>
            <w:pPr>
              <w:ind w:left="100"/>
              <w:spacing w:after="0"/>
              <w:rPr>
                <w:sz w:val="20"/>
                <w:szCs w:val="20"/>
                <w:color w:val="auto"/>
              </w:rPr>
            </w:pPr>
            <w:r>
              <w:rPr>
                <w:rFonts w:ascii="Arial" w:cs="Arial" w:eastAsia="Arial" w:hAnsi="Arial"/>
                <w:sz w:val="14"/>
                <w:szCs w:val="14"/>
                <w:b w:val="1"/>
                <w:bCs w:val="1"/>
                <w:color w:val="auto"/>
              </w:rPr>
              <w:t>Balance as of March</w:t>
            </w:r>
          </w:p>
        </w:tc>
        <w:tc>
          <w:tcPr>
            <w:tcW w:w="148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w w:val="98"/>
              </w:rPr>
              <w:t>Balance as of March</w:t>
            </w:r>
          </w:p>
        </w:tc>
      </w:tr>
      <w:tr>
        <w:trPr>
          <w:trHeight w:val="192"/>
        </w:trPr>
        <w:tc>
          <w:tcPr>
            <w:tcW w:w="536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980" w:type="dxa"/>
            <w:vAlign w:val="bottom"/>
            <w:gridSpan w:val="2"/>
          </w:tcPr>
          <w:p>
            <w:pPr>
              <w:ind w:left="1000"/>
              <w:spacing w:after="0"/>
              <w:rPr>
                <w:sz w:val="20"/>
                <w:szCs w:val="20"/>
                <w:color w:val="auto"/>
              </w:rPr>
            </w:pPr>
            <w:r>
              <w:rPr>
                <w:rFonts w:ascii="Arial" w:cs="Arial" w:eastAsia="Arial" w:hAnsi="Arial"/>
                <w:sz w:val="14"/>
                <w:szCs w:val="14"/>
                <w:b w:val="1"/>
                <w:bCs w:val="1"/>
                <w:color w:val="auto"/>
              </w:rPr>
              <w:t>Balance Sheet</w:t>
            </w:r>
          </w:p>
        </w:tc>
        <w:tc>
          <w:tcPr>
            <w:tcW w:w="300" w:type="dxa"/>
            <w:vAlign w:val="bottom"/>
          </w:tcPr>
          <w:p>
            <w:pPr>
              <w:spacing w:after="0"/>
              <w:rPr>
                <w:sz w:val="16"/>
                <w:szCs w:val="16"/>
                <w:color w:val="auto"/>
              </w:rPr>
            </w:pPr>
          </w:p>
        </w:tc>
        <w:tc>
          <w:tcPr>
            <w:tcW w:w="1180" w:type="dxa"/>
            <w:vAlign w:val="bottom"/>
          </w:tcPr>
          <w:p>
            <w:pPr>
              <w:jc w:val="right"/>
              <w:ind w:right="413"/>
              <w:spacing w:after="0"/>
              <w:rPr>
                <w:sz w:val="20"/>
                <w:szCs w:val="20"/>
                <w:color w:val="auto"/>
              </w:rPr>
            </w:pPr>
            <w:r>
              <w:rPr>
                <w:rFonts w:ascii="Arial" w:cs="Arial" w:eastAsia="Arial" w:hAnsi="Arial"/>
                <w:sz w:val="14"/>
                <w:szCs w:val="14"/>
                <w:b w:val="1"/>
                <w:bCs w:val="1"/>
                <w:color w:val="auto"/>
              </w:rPr>
              <w:t>29, 2014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413"/>
              <w:spacing w:after="0"/>
              <w:rPr>
                <w:sz w:val="20"/>
                <w:szCs w:val="20"/>
                <w:color w:val="auto"/>
              </w:rPr>
            </w:pPr>
            <w:r>
              <w:rPr>
                <w:rFonts w:ascii="Arial" w:cs="Arial" w:eastAsia="Arial" w:hAnsi="Arial"/>
                <w:sz w:val="14"/>
                <w:szCs w:val="14"/>
                <w:b w:val="1"/>
                <w:bCs w:val="1"/>
                <w:color w:val="auto"/>
              </w:rPr>
              <w:t>30, 2013</w:t>
            </w:r>
          </w:p>
        </w:tc>
      </w:tr>
      <w:tr>
        <w:trPr>
          <w:trHeight w:val="250"/>
        </w:trPr>
        <w:tc>
          <w:tcPr>
            <w:tcW w:w="5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Assets:</w:t>
            </w:r>
          </w:p>
        </w:tc>
        <w:tc>
          <w:tcPr>
            <w:tcW w:w="2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98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2,574</w:t>
            </w:r>
          </w:p>
        </w:tc>
        <w:tc>
          <w:tcPr>
            <w:tcW w:w="100" w:type="dxa"/>
            <w:vAlign w:val="bottom"/>
          </w:tcPr>
          <w:p>
            <w:pPr>
              <w:spacing w:after="0"/>
              <w:rPr>
                <w:sz w:val="21"/>
                <w:szCs w:val="21"/>
                <w:color w:val="auto"/>
              </w:rPr>
            </w:pP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7,030</w:t>
            </w:r>
          </w:p>
        </w:tc>
      </w:tr>
      <w:tr>
        <w:trPr>
          <w:trHeight w:val="27"/>
        </w:trPr>
        <w:tc>
          <w:tcPr>
            <w:tcW w:w="53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Designated interest rate swaps</w:t>
            </w:r>
          </w:p>
        </w:tc>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37"/>
        </w:trPr>
        <w:tc>
          <w:tcPr>
            <w:tcW w:w="53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3,824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7,030</w:t>
            </w:r>
          </w:p>
        </w:tc>
      </w:tr>
      <w:tr>
        <w:trPr>
          <w:trHeight w:val="67"/>
        </w:trPr>
        <w:tc>
          <w:tcPr>
            <w:tcW w:w="5360" w:type="dxa"/>
            <w:vAlign w:val="bottom"/>
            <w:tcBorders>
              <w:bottom w:val="single" w:sz="8" w:color="CCEEFF"/>
            </w:tcBorders>
          </w:tcPr>
          <w:p>
            <w:pPr>
              <w:spacing w:after="0"/>
              <w:rPr>
                <w:sz w:val="5"/>
                <w:szCs w:val="5"/>
                <w:color w:val="auto"/>
              </w:rPr>
            </w:pPr>
          </w:p>
        </w:tc>
        <w:tc>
          <w:tcPr>
            <w:tcW w:w="28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Liabilities:</w:t>
            </w:r>
          </w:p>
        </w:tc>
        <w:tc>
          <w:tcPr>
            <w:tcW w:w="2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98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1,255</w:t>
            </w:r>
          </w:p>
        </w:tc>
        <w:tc>
          <w:tcPr>
            <w:tcW w:w="100" w:type="dxa"/>
            <w:vAlign w:val="bottom"/>
          </w:tcPr>
          <w:p>
            <w:pPr>
              <w:spacing w:after="0"/>
              <w:rPr>
                <w:sz w:val="21"/>
                <w:szCs w:val="21"/>
                <w:color w:val="auto"/>
              </w:rPr>
            </w:pP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954</w:t>
            </w:r>
          </w:p>
        </w:tc>
      </w:tr>
      <w:tr>
        <w:trPr>
          <w:trHeight w:val="27"/>
        </w:trPr>
        <w:tc>
          <w:tcPr>
            <w:tcW w:w="53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Designated interest rate swaps</w:t>
            </w:r>
          </w:p>
        </w:tc>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671</w:t>
            </w:r>
          </w:p>
        </w:tc>
      </w:tr>
      <w:tr>
        <w:trPr>
          <w:trHeight w:val="237"/>
        </w:trPr>
        <w:tc>
          <w:tcPr>
            <w:tcW w:w="53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1,255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1,625</w:t>
            </w:r>
          </w:p>
        </w:tc>
      </w:tr>
      <w:tr>
        <w:trPr>
          <w:trHeight w:val="27"/>
        </w:trPr>
        <w:tc>
          <w:tcPr>
            <w:tcW w:w="53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53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the fiscal years ended March 29, 2014 and March 30, 2013, non-designated foreign currency hedge contracts were not significant and are not disclosed separately in the above table.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6" w:right="239" w:bottom="1440" w:gutter="0" w:footer="0" w:header="0"/>
        </w:sectPr>
      </w:pPr>
    </w:p>
    <w:bookmarkStart w:id="64" w:name="page65"/>
    <w:bookmarkEnd w:id="64"/>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Fair Value Measurements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defines fair value, establishes a framework for measuring fair value in accordance with</w:t>
      </w:r>
    </w:p>
    <w:p>
      <w:pPr>
        <w:spacing w:after="0" w:line="3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U.S. GAAP, and expands disclosures about fair value measurements. ASC Topic 820 does not require any new fair value measurements; rather, it applies to other accounting pronouncements that require or permit fair value measurements. In accordance with ASC Topic 820, for the fiscal years ended March 29, 2014 and March 30, 2013, we applied the requirements under ASC Topic 820 to our non-financial assets and non-financial liabilities. As we did not have an impairment of any non-financial assets or non-financial liabilities, there was no disclosure required relating to our non-financial assets or non-financial liabilities.</w:t>
      </w:r>
    </w:p>
    <w:p>
      <w:pPr>
        <w:spacing w:after="0" w:line="8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a recurring basis, we measure certain financial assets and financial liabilities at fair value, including our money market funds, foreign currency hedge contracts, and contingent consideration. ASC Topic 820 defines fair value as the price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We base fair value upon quoted market prices, where available. Where quoted market prices or other observable inputs are not available, we apply valuation techniques to estimate fair value.</w:t>
      </w:r>
    </w:p>
    <w:p>
      <w:pPr>
        <w:spacing w:after="0" w:line="6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ASC Topic 820 establishes a three-level valuation hierarchy for disclosure of fair value measurements. The categorization of assets and liabilities within the valuation hierarchy is based upon the lowest level of input that is significant to the measurement of fair value. The three levels of the hierarchy are defined as follows:</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market prices for identical assets or liabilities.</w:t>
      </w:r>
    </w:p>
    <w:p>
      <w:pPr>
        <w:spacing w:after="0" w:line="9" w:lineRule="exact"/>
        <w:rPr>
          <w:rFonts w:ascii="Arial" w:cs="Arial" w:eastAsia="Arial" w:hAnsi="Arial"/>
          <w:sz w:val="18"/>
          <w:szCs w:val="18"/>
          <w:color w:val="auto"/>
        </w:rPr>
      </w:pPr>
    </w:p>
    <w:p>
      <w:pPr>
        <w:ind w:left="660" w:right="54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ind w:left="660" w:right="240" w:hanging="328"/>
        <w:spacing w:after="0" w:line="261"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Our money market funds carried at fair value are classified within Level 1 of the fair value hierarchy because they are valued using quoted market prices.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Measured on a Recurring Basis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Financial assets and financial liabilities measured at fair value on a recurring basis consist of the following as of March 29, 2014 and March 30, 2013: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6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Quoted Market Prices</w:t>
            </w: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Significant Other</w:t>
            </w:r>
          </w:p>
        </w:tc>
        <w:tc>
          <w:tcPr>
            <w:tcW w:w="22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40" w:type="dxa"/>
            <w:vAlign w:val="bottom"/>
            <w:vMerge w:val="restart"/>
          </w:tcPr>
          <w:p>
            <w:pPr>
              <w:ind w:left="40"/>
              <w:spacing w:after="0"/>
              <w:rPr>
                <w:sz w:val="20"/>
                <w:szCs w:val="20"/>
                <w:color w:val="auto"/>
              </w:rPr>
            </w:pPr>
            <w:r>
              <w:rPr>
                <w:rFonts w:ascii="Arial" w:cs="Arial" w:eastAsia="Arial" w:hAnsi="Arial"/>
                <w:sz w:val="18"/>
                <w:szCs w:val="18"/>
                <w:color w:val="auto"/>
              </w:rPr>
              <w:t>As of March 29, 2014</w:t>
            </w:r>
          </w:p>
        </w:tc>
        <w:tc>
          <w:tcPr>
            <w:tcW w:w="140" w:type="dxa"/>
            <w:vAlign w:val="bottom"/>
          </w:tcPr>
          <w:p>
            <w:pPr>
              <w:spacing w:after="0"/>
              <w:rPr>
                <w:sz w:val="12"/>
                <w:szCs w:val="12"/>
                <w:color w:val="auto"/>
              </w:rPr>
            </w:pPr>
          </w:p>
        </w:tc>
        <w:tc>
          <w:tcPr>
            <w:tcW w:w="14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for Identical Assets</w:t>
            </w:r>
          </w:p>
        </w:tc>
        <w:tc>
          <w:tcPr>
            <w:tcW w:w="14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5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220" w:type="dxa"/>
            <w:vAlign w:val="bottom"/>
          </w:tcPr>
          <w:p>
            <w:pPr>
              <w:spacing w:after="0"/>
              <w:rPr>
                <w:sz w:val="12"/>
                <w:szCs w:val="12"/>
                <w:color w:val="auto"/>
              </w:rPr>
            </w:pPr>
          </w:p>
        </w:tc>
        <w:tc>
          <w:tcPr>
            <w:tcW w:w="126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4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5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i w:val="1"/>
                <w:iCs w:val="1"/>
                <w:color w:val="auto"/>
                <w:w w:val="93"/>
              </w:rPr>
              <w:t>(In thousands)</w:t>
            </w:r>
          </w:p>
        </w:tc>
        <w:tc>
          <w:tcPr>
            <w:tcW w:w="14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i w:val="1"/>
                <w:iCs w:val="1"/>
                <w:color w:val="auto"/>
                <w:w w:val="93"/>
              </w:rPr>
              <w:t>(In thousands)</w:t>
            </w:r>
          </w:p>
        </w:tc>
        <w:tc>
          <w:tcPr>
            <w:tcW w:w="220" w:type="dxa"/>
            <w:vAlign w:val="bottom"/>
          </w:tcPr>
          <w:p>
            <w:pPr>
              <w:spacing w:after="0"/>
              <w:rPr>
                <w:sz w:val="21"/>
                <w:szCs w:val="21"/>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i w:val="1"/>
                <w:iCs w:val="1"/>
                <w:color w:val="auto"/>
                <w:w w:val="93"/>
              </w:rPr>
              <w:t>(In thousands)</w:t>
            </w:r>
          </w:p>
        </w:tc>
        <w:tc>
          <w:tcPr>
            <w:tcW w:w="220" w:type="dxa"/>
            <w:vAlign w:val="bottom"/>
          </w:tcPr>
          <w:p>
            <w:pPr>
              <w:spacing w:after="0"/>
              <w:rPr>
                <w:sz w:val="21"/>
                <w:szCs w:val="21"/>
                <w:color w:val="auto"/>
              </w:rPr>
            </w:pPr>
          </w:p>
        </w:tc>
        <w:tc>
          <w:tcPr>
            <w:tcW w:w="1260" w:type="dxa"/>
            <w:vAlign w:val="bottom"/>
          </w:tcPr>
          <w:p>
            <w:pPr>
              <w:jc w:val="right"/>
              <w:ind w:right="234"/>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55"/>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135,378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135,378</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Foreign currency hedge contracts</w:t>
            </w:r>
          </w:p>
        </w:tc>
        <w:tc>
          <w:tcPr>
            <w:tcW w:w="14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37"/>
              <w:spacing w:after="0"/>
              <w:rPr>
                <w:sz w:val="20"/>
                <w:szCs w:val="20"/>
                <w:color w:val="auto"/>
              </w:rPr>
            </w:pPr>
            <w:r>
              <w:rPr>
                <w:rFonts w:ascii="Arial" w:cs="Arial" w:eastAsia="Arial" w:hAnsi="Arial"/>
                <w:sz w:val="18"/>
                <w:szCs w:val="18"/>
                <w:color w:val="auto"/>
              </w:rPr>
              <w:t>2,574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2,574</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1,250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135,378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3,824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139,202</w:t>
            </w:r>
          </w:p>
        </w:tc>
        <w:tc>
          <w:tcPr>
            <w:tcW w:w="0" w:type="dxa"/>
            <w:vAlign w:val="bottom"/>
          </w:tcPr>
          <w:p>
            <w:pPr>
              <w:spacing w:after="0"/>
              <w:rPr>
                <w:sz w:val="1"/>
                <w:szCs w:val="1"/>
                <w:color w:val="auto"/>
              </w:rPr>
            </w:pPr>
          </w:p>
        </w:tc>
      </w:tr>
      <w:tr>
        <w:trPr>
          <w:trHeight w:val="67"/>
        </w:trPr>
        <w:tc>
          <w:tcPr>
            <w:tcW w:w="514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Foreign currency hedge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7"/>
              <w:spacing w:after="0"/>
              <w:rPr>
                <w:sz w:val="20"/>
                <w:szCs w:val="20"/>
                <w:color w:val="auto"/>
              </w:rPr>
            </w:pPr>
            <w:r>
              <w:rPr>
                <w:rFonts w:ascii="Arial" w:cs="Arial" w:eastAsia="Arial" w:hAnsi="Arial"/>
                <w:sz w:val="18"/>
                <w:szCs w:val="18"/>
                <w:color w:val="auto"/>
              </w:rPr>
              <w:t>1,255</w:t>
            </w:r>
          </w:p>
        </w:tc>
        <w:tc>
          <w:tcPr>
            <w:tcW w:w="100" w:type="dxa"/>
            <w:vAlign w:val="bottom"/>
          </w:tcPr>
          <w:p>
            <w:pPr>
              <w:spacing w:after="0"/>
              <w:rPr>
                <w:sz w:val="21"/>
                <w:szCs w:val="21"/>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7,645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7,645</w:t>
            </w: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1,255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7,645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8,900</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jc w:val="right"/>
              <w:ind w:right="775"/>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65" w:name="page66"/>
    <w:bookmarkEnd w:id="65"/>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Quoted Market Prices</w:t>
            </w:r>
          </w:p>
        </w:tc>
        <w:tc>
          <w:tcPr>
            <w:tcW w:w="14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Significant Other</w:t>
            </w:r>
          </w:p>
        </w:tc>
        <w:tc>
          <w:tcPr>
            <w:tcW w:w="22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40" w:type="dxa"/>
            <w:vAlign w:val="bottom"/>
            <w:vMerge w:val="restart"/>
          </w:tcPr>
          <w:p>
            <w:pPr>
              <w:ind w:left="20"/>
              <w:spacing w:after="0"/>
              <w:rPr>
                <w:sz w:val="20"/>
                <w:szCs w:val="20"/>
                <w:color w:val="auto"/>
              </w:rPr>
            </w:pPr>
            <w:r>
              <w:rPr>
                <w:rFonts w:ascii="Arial" w:cs="Arial" w:eastAsia="Arial" w:hAnsi="Arial"/>
                <w:sz w:val="18"/>
                <w:szCs w:val="18"/>
                <w:color w:val="auto"/>
              </w:rPr>
              <w:t>As of March 30, 2013</w:t>
            </w:r>
          </w:p>
        </w:tc>
        <w:tc>
          <w:tcPr>
            <w:tcW w:w="140" w:type="dxa"/>
            <w:vAlign w:val="bottom"/>
          </w:tcPr>
          <w:p>
            <w:pPr>
              <w:spacing w:after="0"/>
              <w:rPr>
                <w:sz w:val="12"/>
                <w:szCs w:val="12"/>
                <w:color w:val="auto"/>
              </w:rPr>
            </w:pPr>
          </w:p>
        </w:tc>
        <w:tc>
          <w:tcPr>
            <w:tcW w:w="14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for Identical Assets</w:t>
            </w:r>
          </w:p>
        </w:tc>
        <w:tc>
          <w:tcPr>
            <w:tcW w:w="14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5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Unobservable Inputs</w:t>
            </w:r>
          </w:p>
        </w:tc>
        <w:tc>
          <w:tcPr>
            <w:tcW w:w="220" w:type="dxa"/>
            <w:vAlign w:val="bottom"/>
          </w:tcPr>
          <w:p>
            <w:pPr>
              <w:spacing w:after="0"/>
              <w:rPr>
                <w:sz w:val="12"/>
                <w:szCs w:val="12"/>
                <w:color w:val="auto"/>
              </w:rPr>
            </w:pPr>
          </w:p>
        </w:tc>
        <w:tc>
          <w:tcPr>
            <w:tcW w:w="124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4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4"/>
              </w:rPr>
              <w:t>(Level 3)</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5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i w:val="1"/>
                <w:iCs w:val="1"/>
                <w:color w:val="auto"/>
                <w:w w:val="91"/>
              </w:rPr>
              <w:t>(In thousands)</w:t>
            </w:r>
          </w:p>
        </w:tc>
        <w:tc>
          <w:tcPr>
            <w:tcW w:w="140" w:type="dxa"/>
            <w:vAlign w:val="bottom"/>
          </w:tcPr>
          <w:p>
            <w:pPr>
              <w:spacing w:after="0"/>
              <w:rPr>
                <w:sz w:val="21"/>
                <w:szCs w:val="21"/>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i w:val="1"/>
                <w:iCs w:val="1"/>
                <w:color w:val="auto"/>
                <w:w w:val="91"/>
              </w:rPr>
              <w:t>(In thousands)</w:t>
            </w:r>
          </w:p>
        </w:tc>
        <w:tc>
          <w:tcPr>
            <w:tcW w:w="220" w:type="dxa"/>
            <w:vAlign w:val="bottom"/>
          </w:tcPr>
          <w:p>
            <w:pPr>
              <w:spacing w:after="0"/>
              <w:rPr>
                <w:sz w:val="21"/>
                <w:szCs w:val="21"/>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i w:val="1"/>
                <w:iCs w:val="1"/>
                <w:color w:val="auto"/>
                <w:w w:val="91"/>
              </w:rPr>
              <w:t>(In thousands)</w:t>
            </w:r>
          </w:p>
        </w:tc>
        <w:tc>
          <w:tcPr>
            <w:tcW w:w="220" w:type="dxa"/>
            <w:vAlign w:val="bottom"/>
          </w:tcPr>
          <w:p>
            <w:pPr>
              <w:spacing w:after="0"/>
              <w:rPr>
                <w:sz w:val="21"/>
                <w:szCs w:val="21"/>
                <w:color w:val="auto"/>
              </w:rPr>
            </w:pPr>
          </w:p>
        </w:tc>
        <w:tc>
          <w:tcPr>
            <w:tcW w:w="1240" w:type="dxa"/>
            <w:vAlign w:val="bottom"/>
          </w:tcPr>
          <w:p>
            <w:pPr>
              <w:jc w:val="right"/>
              <w:ind w:right="234"/>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55"/>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141,120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141,120</w:t>
            </w: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Forward currency hedge contracts</w:t>
            </w:r>
          </w:p>
        </w:tc>
        <w:tc>
          <w:tcPr>
            <w:tcW w:w="140" w:type="dxa"/>
            <w:vAlign w:val="bottom"/>
          </w:tcPr>
          <w:p>
            <w:pPr>
              <w:spacing w:after="0"/>
              <w:rPr>
                <w:sz w:val="21"/>
                <w:szCs w:val="21"/>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7,030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7,030</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141,120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7,030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148,150</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Forward currency hedge contracts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140" w:type="dxa"/>
            <w:vAlign w:val="bottom"/>
          </w:tcPr>
          <w:p>
            <w:pPr>
              <w:spacing w:after="0"/>
              <w:rPr>
                <w:sz w:val="21"/>
                <w:szCs w:val="21"/>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671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1,625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1,625</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the fiscal years ended March 29, 2014 and March 30, 2013, non-designated foreign currency hedge contracts were not significant and are not disclosed separately in the above tables.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Hemerus</w:t>
      </w:r>
    </w:p>
    <w:p>
      <w:pPr>
        <w:spacing w:after="0" w:line="2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A description of the methods used to determine the fair value of the Level 3 liabilities is included within Note 3, Acquisitions. The table below provides a reconciliation of the beginning and ending Level 3 liabilities for the year ended March 29, 2014.</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2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Fair value measurements using</w:t>
            </w:r>
          </w:p>
        </w:tc>
      </w:tr>
      <w:tr>
        <w:trPr>
          <w:trHeight w:val="149"/>
        </w:trPr>
        <w:tc>
          <w:tcPr>
            <w:tcW w:w="9360" w:type="dxa"/>
            <w:vAlign w:val="bottom"/>
          </w:tcPr>
          <w:p>
            <w:pPr>
              <w:spacing w:after="0"/>
              <w:rPr>
                <w:sz w:val="12"/>
                <w:szCs w:val="12"/>
                <w:color w:val="auto"/>
              </w:rPr>
            </w:pPr>
          </w:p>
        </w:tc>
        <w:tc>
          <w:tcPr>
            <w:tcW w:w="2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significant unobservable inputs</w:t>
            </w:r>
          </w:p>
        </w:tc>
      </w:tr>
      <w:tr>
        <w:trPr>
          <w:trHeight w:val="192"/>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4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354"/>
              <w:spacing w:after="0"/>
              <w:rPr>
                <w:sz w:val="20"/>
                <w:szCs w:val="20"/>
                <w:color w:val="auto"/>
              </w:rPr>
            </w:pPr>
            <w:r>
              <w:rPr>
                <w:rFonts w:ascii="Arial" w:cs="Arial" w:eastAsia="Arial" w:hAnsi="Arial"/>
                <w:sz w:val="14"/>
                <w:szCs w:val="14"/>
                <w:b w:val="1"/>
                <w:bCs w:val="1"/>
                <w:color w:val="auto"/>
                <w:w w:val="94"/>
              </w:rPr>
              <w:t>(Level 3)</w:t>
            </w: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 as of acquisition date</w:t>
            </w: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7,600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Fair value adjustment</w:t>
            </w:r>
          </w:p>
        </w:tc>
        <w:tc>
          <w:tcPr>
            <w:tcW w:w="44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45</w:t>
            </w:r>
          </w:p>
        </w:tc>
      </w:tr>
      <w:tr>
        <w:trPr>
          <w:trHeight w:val="27"/>
        </w:trPr>
        <w:tc>
          <w:tcPr>
            <w:tcW w:w="93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Ending balance</w:t>
            </w: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7,645</w:t>
            </w:r>
          </w:p>
        </w:tc>
      </w:tr>
      <w:tr>
        <w:trPr>
          <w:trHeight w:val="20"/>
        </w:trPr>
        <w:tc>
          <w:tcPr>
            <w:tcW w:w="9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Fair Value Disclosures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The Term Loan is carried at amortized cost and accounts receivable and accounts payable are also reported at their cost which approximates fair value.</w:t>
      </w:r>
    </w:p>
    <w:p>
      <w:pPr>
        <w:spacing w:after="0" w:line="314" w:lineRule="exact"/>
        <w:rPr>
          <w:sz w:val="20"/>
          <w:szCs w:val="20"/>
          <w:color w:val="auto"/>
        </w:rPr>
      </w:pPr>
    </w:p>
    <w:p>
      <w:pPr>
        <w:ind w:left="800" w:hanging="792"/>
        <w:spacing w:after="0"/>
        <w:tabs>
          <w:tab w:leader="none" w:pos="8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NOTES PAYABLE AND LONG-TERM DEBT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Notes payable and long-term debt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6"/>
                <w:szCs w:val="16"/>
                <w:color w:val="auto"/>
              </w:rPr>
            </w:pPr>
          </w:p>
        </w:tc>
        <w:tc>
          <w:tcPr>
            <w:tcW w:w="174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29, 2014</w:t>
            </w:r>
          </w:p>
        </w:tc>
        <w:tc>
          <w:tcPr>
            <w:tcW w:w="320" w:type="dxa"/>
            <w:vAlign w:val="bottom"/>
          </w:tcPr>
          <w:p>
            <w:pPr>
              <w:spacing w:after="0"/>
              <w:rPr>
                <w:sz w:val="16"/>
                <w:szCs w:val="16"/>
                <w:color w:val="auto"/>
              </w:rPr>
            </w:pPr>
          </w:p>
        </w:tc>
        <w:tc>
          <w:tcPr>
            <w:tcW w:w="1620" w:type="dxa"/>
            <w:vAlign w:val="bottom"/>
          </w:tcPr>
          <w:p>
            <w:pPr>
              <w:jc w:val="right"/>
              <w:ind w:right="393"/>
              <w:spacing w:after="0"/>
              <w:rPr>
                <w:sz w:val="20"/>
                <w:szCs w:val="20"/>
                <w:color w:val="auto"/>
              </w:rPr>
            </w:pPr>
            <w:r>
              <w:rPr>
                <w:rFonts w:ascii="Arial" w:cs="Arial" w:eastAsia="Arial" w:hAnsi="Arial"/>
                <w:sz w:val="14"/>
                <w:szCs w:val="14"/>
                <w:b w:val="1"/>
                <w:bCs w:val="1"/>
                <w:color w:val="auto"/>
              </w:rPr>
              <w:t>March 30, 2013</w:t>
            </w: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 net of financing fees</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435,338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471,016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Real estate mortgage</w:t>
            </w:r>
          </w:p>
        </w:tc>
        <w:tc>
          <w:tcPr>
            <w:tcW w:w="300" w:type="dxa"/>
            <w:vAlign w:val="bottom"/>
          </w:tcPr>
          <w:p>
            <w:pPr>
              <w:spacing w:after="0"/>
              <w:rPr>
                <w:sz w:val="21"/>
                <w:szCs w:val="21"/>
                <w:color w:val="auto"/>
              </w:rPr>
            </w:pP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1,906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2,877</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Bank loans and other borrowings</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6,201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3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(45,630)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(23,150)</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Long-term debt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392,057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456,944</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On August 1, 2012 in connection with the acquisition of the whole blood business, we entered into a credit agreement ("Credit Agreement") with the banks listed below (together, “Lenders”) which provided for a $475.0 million term loan and a $50.0 million revolving loan (the “Revolving Credit Facility,” and together with the Term Loan, (the “Credit Facilities”). The Credit Facilities have a term of five years and mature on August 1, 2017.</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6" w:right="239" w:bottom="1440" w:gutter="0" w:footer="0" w:header="0"/>
        </w:sectPr>
      </w:pPr>
    </w:p>
    <w:bookmarkStart w:id="66" w:name="page67"/>
    <w:bookmarkEnd w:id="66"/>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right="260"/>
        <w:spacing w:after="0" w:line="232" w:lineRule="auto"/>
        <w:rPr>
          <w:sz w:val="20"/>
          <w:szCs w:val="20"/>
          <w:color w:val="auto"/>
        </w:rPr>
      </w:pPr>
      <w:r>
        <w:rPr>
          <w:rFonts w:ascii="Arial" w:cs="Arial" w:eastAsia="Arial" w:hAnsi="Arial"/>
          <w:sz w:val="18"/>
          <w:szCs w:val="18"/>
          <w:color w:val="auto"/>
        </w:rPr>
        <w:t>Under the terms of this Credit Agreement, the Company may borrow at a spread to an index, including the LIBOR index of 1-month, 3-months, 6-months, etc. From the date of the Credit Agreement, the Company has chosen to borrow against the 1-month USD-LIBOR-BBA rounded up, if necessary, to the nearest 1/16</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of 1%. The terms of the Credit Agreement also allow the Company to borrow in multiple tranches. The Company currently borrows in four tranches.</w:t>
      </w:r>
    </w:p>
    <w:p>
      <w:pPr>
        <w:spacing w:after="0" w:line="20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At closing, we borrowed the Term Loan and used the proceeds to pay Pall for the acquisition of the assets described in Note 3. The $475.0 million Term Loan bears interest at variable rates determined by Adjusted LIBOR plus a range of 1.125% to 1.500% depending on the achievement of certain leverage ratios. The Revolving Credit Facility bears interest at variable rates similar to the Term Loan. The current margin of the Term Loan is 1.375% over Adjusted LIBOR and our effective interest rate inclusive of prepaid financing costs and other fees was 1.89% as of March 29, 2014.</w:t>
      </w:r>
    </w:p>
    <w:p>
      <w:pPr>
        <w:spacing w:after="0" w:line="17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Revolving loans may be borrowed, repaid and re-borrowed to fund our working capital needs and for other general corporate purposes. No amounts were outstanding under the Revolving Credit Facility at March 29, 2014. The Term Loan or portions thereof may be prepaid at any time, or from time to time without penalty. Once repaid, such amount may not be re-borrowed.</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Under the Credit Facilities, we are required to maintain a Consolidated Total Leverage Ratio not to exceed 3.0:1.0 and a Consolidated Interest Coverage Ratio not to be less than 4.0:1.0 during periods when the Credit Facilities are outstanding. In addition, we are required to satisfy these covenants, on a pro forma basis, in connection with any new borrowings (including any letter of credit issuances) on the Revolving Credit Facility as of the time of such borrowings. The Consolidated Interest Coverage Ratio is calculated as the Consolidated EBITDA divided by Consolidated Interest Expense while the Consolidated Total Leverage Ratio is calculated as Consolidated Total Debt divided by Consolidated EBITDA. Consolidated EBITDA includes EBITDA adjusted by non-recurring and unusual transactions specifically as defined in the Credit Facilities.</w:t>
      </w:r>
    </w:p>
    <w:p>
      <w:pPr>
        <w:spacing w:after="0" w:line="17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Credit Facilities also contain usual and customary non-financial affirmative and negative covenants which include certain restrictions with respect to subsequent indebtedness, liens, loans and investments (including acquisitions), financial reporting obligations, mergers, consolidations, dissolutions or liquidation, asset sales, affiliate transactions, change of our business, capital expenditures, share repurchase and other restricted payments. These covenants are subject to important exceptions and qualifications set forth in the Credit Agreement.</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Any failure to comply with the financial and operating covenants of the Credit Facilities would prevent us from being able to borrow additional funds and would constitute a default, which could result in, among other things, the amounts outstanding including all accrued interest and unpaid fees, becoming immediately due and payable. In addition, the Credit Facilities include customary events of default, in certain cases subject to customary cure periods. As of March 29, 2014, we were in compliance with the covenants.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 fee</w:t>
      </w:r>
    </w:p>
    <w:p>
      <w:pPr>
        <w:spacing w:after="0" w:line="225"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Pursuant to the Credit Agreement we are required to pay the Lenders, on the last day of each calendar quarter, a commitment fee on the unused portion of the Revolving Credit Facility. The commitment fee is subject to a pricing grid based on our Consolidated Total Leverage Ratio. The commitment fee ranges from 0.175% to 0.300%. The current commitment fee on the undrawn portion of the Revolving Credit Facility is 0.250%.</w:t>
      </w:r>
    </w:p>
    <w:p>
      <w:pPr>
        <w:spacing w:after="0" w:line="16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may elect to increase the size of the Revolving Credit Facility from $50.0 million to $100.0 million. Alternatively, we may elect to enter into additional term loans up to a $100.0 million combined limit with the Revolving Credit Facility. These elections are subject to the approval of the Administrative Agent and the identification of additional Lenders or current Lenders willing to increase their loan amounts per the terms and conditions contained in the Credit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Prepayments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prepaid $20.0 million of the loan principal in September 2013 resulting in an adjustment of our repayment schedule and outstanding loan balance.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 and interest</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Expenses associated with the issuance of the Term Loan were capitalized and are amortized as additional interest expense over the five years using the effective interest method. In connection with the Term Loan, we recorded deferred financing costs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126" w:right="259" w:bottom="1440" w:gutter="0" w:footer="0" w:header="0"/>
        </w:sectPr>
      </w:pPr>
    </w:p>
    <w:bookmarkStart w:id="67" w:name="page68"/>
    <w:bookmarkEnd w:id="67"/>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$5.5 million, of which $2.6 million remains as a debt discount. The debt discount is netted against the $437.9 million Term Loan, resulting in a net note payable of $435.3 million. The debt discount will also be amortized as additional interest expense over the life of the term loan.</w:t>
      </w:r>
    </w:p>
    <w:p>
      <w:pPr>
        <w:spacing w:after="0" w:line="160"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Interest expense was $8.9 million and $5.9 million for the fiscal years ended March 29, 2014 and March 30, 2013, respectively. Accrued interest associated with our outstanding debt is included as a component of accrued expenses and other current liabilities in the accompanying consolidated balance sheets. As of March 29, 2014, accrued interest totaled $0.5 million.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Credit Facilities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other debt as of March 29, 2014 includes the real estate mortgage loan of $1.9 million and short term bank borrowings of $0.4 million under operating lines of credit.</w:t>
      </w:r>
    </w:p>
    <w:p>
      <w:pPr>
        <w:spacing w:after="0" w:line="7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December 2000, we entered into a $10.0 million real estate mortgage agreement (the “Mortgage Agreement”) with an investment firm. The Mortgage Agreement requires principal and interest payments of $0.1 million per month for a period of 180 months, commencing February 1, 2001. The Mortgage Agreement provides for interest to accrue on the unpaid principal balance at a rate of 8.41% per annum. Borrowings under the Mortgage Agreement, with a carrying value of approximately $1.9 million and $2.9 million as of March 29, 2014 and March 30, 2013, respectively, are secured by the land, building and building improvements at our headquarters and manufacturing facility in the U.S.. There are no financial covenants in the terms and conditions of this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There are no short term borrowings in Japan in fiscal 2014 and $5.6 million in fiscal 2013 related to fluctuations in their working capital.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Maturity Profile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maturity profile of all gross long-term debt, exclusive of debt discounts, as of March 29, 2014 is presented below:</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Fiscal year </w:t>
            </w:r>
            <w:r>
              <w:rPr>
                <w:rFonts w:ascii="Arial" w:cs="Arial" w:eastAsia="Arial" w:hAnsi="Arial"/>
                <w:sz w:val="14"/>
                <w:szCs w:val="14"/>
                <w:i w:val="1"/>
                <w:iCs w:val="1"/>
                <w:color w:val="auto"/>
              </w:rPr>
              <w:t>(in thousands)</w:t>
            </w: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Mortgage</w:t>
            </w:r>
          </w:p>
        </w:tc>
        <w:tc>
          <w:tcPr>
            <w:tcW w:w="200" w:type="dxa"/>
            <w:vAlign w:val="bottom"/>
          </w:tcPr>
          <w:p>
            <w:pPr>
              <w:spacing w:after="0"/>
              <w:rPr>
                <w:sz w:val="14"/>
                <w:szCs w:val="14"/>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Term Loan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Bank loans and</w:t>
            </w:r>
          </w:p>
        </w:tc>
        <w:tc>
          <w:tcPr>
            <w:tcW w:w="30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0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Obligation</w:t>
            </w: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other borrowings</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9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45,500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46,748</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851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68,250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69,261</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182,000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182,071</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142,188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142,207</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1,906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437,938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443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440,287</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Arial" w:cs="Arial" w:eastAsia="Arial" w:hAnsi="Arial"/>
                <w:sz w:val="18"/>
                <w:szCs w:val="18"/>
                <w:b w:val="1"/>
                <w:bCs w:val="1"/>
                <w:color w:val="auto"/>
              </w:rPr>
              <w:t>9.</w:t>
            </w:r>
          </w:p>
        </w:tc>
        <w:tc>
          <w:tcPr>
            <w:tcW w:w="4780" w:type="dxa"/>
            <w:vAlign w:val="bottom"/>
          </w:tcPr>
          <w:p>
            <w:pPr>
              <w:ind w:left="40"/>
              <w:spacing w:after="0"/>
              <w:rPr>
                <w:sz w:val="20"/>
                <w:szCs w:val="20"/>
                <w:color w:val="auto"/>
              </w:rPr>
            </w:pPr>
            <w:r>
              <w:rPr>
                <w:rFonts w:ascii="Arial" w:cs="Arial" w:eastAsia="Arial" w:hAnsi="Arial"/>
                <w:sz w:val="18"/>
                <w:szCs w:val="18"/>
                <w:b w:val="1"/>
                <w:bCs w:val="1"/>
                <w:color w:val="auto"/>
              </w:rPr>
              <w:t>INCOME TAXES</w:t>
            </w: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5540" w:type="dxa"/>
            <w:vAlign w:val="bottom"/>
            <w:gridSpan w:val="2"/>
          </w:tcPr>
          <w:p>
            <w:pPr>
              <w:spacing w:after="0"/>
              <w:rPr>
                <w:sz w:val="20"/>
                <w:szCs w:val="20"/>
                <w:color w:val="auto"/>
              </w:rPr>
            </w:pPr>
            <w:r>
              <w:rPr>
                <w:rFonts w:ascii="Arial" w:cs="Arial" w:eastAsia="Arial" w:hAnsi="Arial"/>
                <w:sz w:val="18"/>
                <w:szCs w:val="18"/>
                <w:color w:val="auto"/>
                <w:w w:val="93"/>
              </w:rPr>
              <w:t>Domestic and foreign income before provision for income tax is as follows:</w:t>
            </w: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6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29,</w:t>
            </w:r>
          </w:p>
        </w:tc>
        <w:tc>
          <w:tcPr>
            <w:tcW w:w="260" w:type="dxa"/>
            <w:vAlign w:val="bottom"/>
          </w:tcPr>
          <w:p>
            <w:pPr>
              <w:spacing w:after="0"/>
              <w:rPr>
                <w:sz w:val="24"/>
                <w:szCs w:val="2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30,</w:t>
            </w:r>
          </w:p>
        </w:tc>
        <w:tc>
          <w:tcPr>
            <w:tcW w:w="260" w:type="dxa"/>
            <w:vAlign w:val="bottom"/>
          </w:tcPr>
          <w:p>
            <w:pPr>
              <w:spacing w:after="0"/>
              <w:rPr>
                <w:sz w:val="24"/>
                <w:szCs w:val="24"/>
                <w:color w:val="auto"/>
              </w:rPr>
            </w:pPr>
          </w:p>
        </w:tc>
        <w:tc>
          <w:tcPr>
            <w:tcW w:w="1220" w:type="dxa"/>
            <w:vAlign w:val="bottom"/>
          </w:tcPr>
          <w:p>
            <w:pPr>
              <w:jc w:val="right"/>
              <w:ind w:right="357"/>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55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1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Domestic</w:t>
            </w:r>
          </w:p>
        </w:tc>
        <w:tc>
          <w:tcPr>
            <w:tcW w:w="47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17,360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40,666</w:t>
            </w:r>
          </w:p>
        </w:tc>
        <w:tc>
          <w:tcPr>
            <w:tcW w:w="0" w:type="dxa"/>
            <w:vAlign w:val="bottom"/>
          </w:tcPr>
          <w:p>
            <w:pPr>
              <w:spacing w:after="0"/>
              <w:rPr>
                <w:sz w:val="1"/>
                <w:szCs w:val="1"/>
                <w:color w:val="auto"/>
              </w:rPr>
            </w:pPr>
          </w:p>
        </w:tc>
      </w:tr>
      <w:tr>
        <w:trPr>
          <w:trHeight w:val="243"/>
        </w:trPr>
        <w:tc>
          <w:tcPr>
            <w:tcW w:w="760" w:type="dxa"/>
            <w:vAlign w:val="bottom"/>
          </w:tcPr>
          <w:p>
            <w:pPr>
              <w:ind w:left="40"/>
              <w:spacing w:after="0"/>
              <w:rPr>
                <w:sz w:val="20"/>
                <w:szCs w:val="20"/>
                <w:color w:val="auto"/>
              </w:rPr>
            </w:pPr>
            <w:r>
              <w:rPr>
                <w:rFonts w:ascii="Arial" w:cs="Arial" w:eastAsia="Arial" w:hAnsi="Arial"/>
                <w:sz w:val="18"/>
                <w:szCs w:val="18"/>
                <w:color w:val="auto"/>
              </w:rPr>
              <w:t>Foreign</w:t>
            </w:r>
          </w:p>
        </w:tc>
        <w:tc>
          <w:tcPr>
            <w:tcW w:w="47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43,260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32,537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48,832</w:t>
            </w:r>
          </w:p>
        </w:tc>
        <w:tc>
          <w:tcPr>
            <w:tcW w:w="0" w:type="dxa"/>
            <w:vAlign w:val="bottom"/>
          </w:tcPr>
          <w:p>
            <w:pPr>
              <w:spacing w:after="0"/>
              <w:rPr>
                <w:sz w:val="1"/>
                <w:szCs w:val="1"/>
                <w:color w:val="auto"/>
              </w:rPr>
            </w:pPr>
          </w:p>
        </w:tc>
      </w:tr>
      <w:tr>
        <w:trPr>
          <w:trHeight w:val="27"/>
        </w:trPr>
        <w:tc>
          <w:tcPr>
            <w:tcW w:w="760" w:type="dxa"/>
            <w:vAlign w:val="bottom"/>
            <w:tcBorders>
              <w:bottom w:val="single" w:sz="8" w:color="CCEEFF"/>
            </w:tcBorders>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478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36,401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49,897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89,498</w:t>
            </w:r>
          </w:p>
        </w:tc>
        <w:tc>
          <w:tcPr>
            <w:tcW w:w="0" w:type="dxa"/>
            <w:vAlign w:val="bottom"/>
          </w:tcPr>
          <w:p>
            <w:pPr>
              <w:spacing w:after="0"/>
              <w:rPr>
                <w:sz w:val="1"/>
                <w:szCs w:val="1"/>
                <w:color w:val="auto"/>
              </w:rPr>
            </w:pPr>
          </w:p>
        </w:tc>
      </w:tr>
      <w:tr>
        <w:trPr>
          <w:trHeight w:val="20"/>
        </w:trPr>
        <w:tc>
          <w:tcPr>
            <w:tcW w:w="76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Arial" w:cs="Arial" w:eastAsia="Arial" w:hAnsi="Arial"/>
                <w:sz w:val="18"/>
                <w:szCs w:val="18"/>
                <w:color w:val="auto"/>
              </w:rPr>
              <w:t>66</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76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68" w:name="page69"/>
    <w:bookmarkEnd w:id="68"/>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provision contains the following components: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29,</w:t>
            </w:r>
          </w:p>
        </w:tc>
        <w:tc>
          <w:tcPr>
            <w:tcW w:w="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30,</w:t>
            </w:r>
          </w:p>
        </w:tc>
        <w:tc>
          <w:tcPr>
            <w:tcW w:w="260" w:type="dxa"/>
            <w:vAlign w:val="bottom"/>
          </w:tcPr>
          <w:p>
            <w:pPr>
              <w:spacing w:after="0"/>
              <w:rPr>
                <w:sz w:val="14"/>
                <w:szCs w:val="14"/>
                <w:color w:val="auto"/>
              </w:rPr>
            </w:pPr>
          </w:p>
        </w:tc>
        <w:tc>
          <w:tcPr>
            <w:tcW w:w="1220" w:type="dxa"/>
            <w:vAlign w:val="bottom"/>
          </w:tcPr>
          <w:p>
            <w:pPr>
              <w:jc w:val="right"/>
              <w:ind w:right="353"/>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Federal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(4,896)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3,795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8,505</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2,275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5,478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5,389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5,954</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1,455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10,508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16,734</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Deferred</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7,522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State</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(597)</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1,376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(1,047)</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deferred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5,878</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1,253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11,097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22,612</w:t>
            </w: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Included in the federal income tax provisions for fiscal 2014, 2013 and 2012 are approximately $0.4 million, $1.6 million and $2.2 million, respectively, provided on foreign source income of approximately $1.3 million, $4.5 million and $6.2 million for fiscal years 2014, 2013 and 2012, respectively, for taxes which are payable in the United States.</w:t>
      </w:r>
    </w:p>
    <w:p>
      <w:pPr>
        <w:spacing w:after="0" w:line="87"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color w:val="auto"/>
        </w:rPr>
        <w:t>Our subsidiary in Puerto Rico has been granted a fifteen year tax grant which expires in 2027. Our qualification for the tax grant is dependent on the continuation of our manufacturing activities in Puerto Rico. We benefit from a reduced tax rate on our earnings in Puerto Rico under the tax grant.</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Tax affected, significant temporary differences comprising the net deferred tax liability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29,</w:t>
            </w:r>
          </w:p>
        </w:tc>
        <w:tc>
          <w:tcPr>
            <w:tcW w:w="260" w:type="dxa"/>
            <w:vAlign w:val="bottom"/>
          </w:tcPr>
          <w:p>
            <w:pPr>
              <w:spacing w:after="0"/>
              <w:rPr>
                <w:sz w:val="14"/>
                <w:szCs w:val="14"/>
                <w:color w:val="auto"/>
              </w:rPr>
            </w:pPr>
          </w:p>
        </w:tc>
        <w:tc>
          <w:tcPr>
            <w:tcW w:w="1220" w:type="dxa"/>
            <w:vAlign w:val="bottom"/>
          </w:tcPr>
          <w:p>
            <w:pPr>
              <w:jc w:val="right"/>
              <w:ind w:right="353"/>
              <w:spacing w:after="0"/>
              <w:rPr>
                <w:sz w:val="20"/>
                <w:szCs w:val="20"/>
                <w:color w:val="auto"/>
              </w:rPr>
            </w:pPr>
            <w:r>
              <w:rPr>
                <w:rFonts w:ascii="Arial" w:cs="Arial" w:eastAsia="Arial" w:hAnsi="Arial"/>
                <w:sz w:val="14"/>
                <w:szCs w:val="14"/>
                <w:b w:val="1"/>
                <w:bCs w:val="1"/>
                <w:color w:val="auto"/>
              </w:rPr>
              <w:t>March 30,</w:t>
            </w:r>
          </w:p>
        </w:tc>
      </w:t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(25,186)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Amortization</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(18,618)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(14,776)</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7,884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Hedging</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Accruals, reserves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7,208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operating loss carry-forward</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1,507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1,877</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7,834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Tax credit carry-forward, net</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2,660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2,243</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deferred taxes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(13,078)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valuation allowance</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(1,009)</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deferred tax liability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(14,375)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(14,087)</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valuation allowance increased by $2.1 million during 2014, primarily due to current year operating losses generated in foreign jurisdictions that we have determined are not more-likely-than-not realizable. As of March 29, 2014, we maintain a valuation allowance against certain U.S. tax attributes subject to limitations as a result of ownership changes and a full valuation allowance against the net deferred tax assets of certain foreign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At March 29, 2014, we have U.S. federal net operating loss carry-forwards of approximately $3.5 million, U.S. state net operating loss carry-forwards of</w:t>
      </w:r>
    </w:p>
    <w:p>
      <w:pPr>
        <w:spacing w:after="0" w:line="35"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$14.7 million, federal tax credit carry-forwards of $3.3 million and state tax credit carry-forwards of $1.6 million that are available to reduce future taxable income. The federal net operating losses are subject to an annual limitation due to the ownership change limitations set forth under Internal Revenue Code Sections 382. Certain of the aforementioned amounts have not been recognized because they relate to excess stock based compensation. At March 29, 2014, none of the federal net operating loss carry-forwards, $6.8 million of the state net operating loss carry-forwards, $1.7 million of the federal tax credit carry-forwards and none of the state tax credit carry-forwards relate to excess stock based compensation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6" w:right="239" w:bottom="1440" w:gutter="0" w:footer="0" w:header="0"/>
        </w:sectPr>
      </w:pPr>
    </w:p>
    <w:bookmarkStart w:id="69" w:name="page70"/>
    <w:bookmarkEnd w:id="69"/>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tax deductions for which the benefit will be recorded to additional paid-in capital when recognized. The state net operating losses begin to expire in 2019. The federal and state tax credits begin to expire in 2023 and 2025, respectively.</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March 29, 2014, we have foreign net operating losses of approximately $0.4 million that are available to reduce future income. Substantially all of our foreign net operating loss carry-forwards have unlimited carryover periods.</w:t>
      </w:r>
    </w:p>
    <w:p>
      <w:pPr>
        <w:spacing w:after="0" w:line="116"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Income taxes have not been provided on the undistributed earnings of foreign subsidiaries of approximately $264 million, because such earnings are considered to be indefinitely reinvested in the business. The accumulated earnings in the foreign subsidiaries are primarily utilized to fund working capital requirements as our subsidiaries continue to expand their operations, to service existing debt obligations and to fund future foreign acquisitions. We do not believe it is practicable to estimate the amount of income taxes payable on the earnings that are indefinitely reinvested in foreign operations.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The income tax provision from operations differs from tax provision computed at the 35% U.S. federal statutory income tax rate due to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gridSpan w:val="3"/>
          </w:tcPr>
          <w:p>
            <w:pPr>
              <w:jc w:val="center"/>
              <w:ind w:left="333"/>
              <w:spacing w:after="0"/>
              <w:rPr>
                <w:sz w:val="20"/>
                <w:szCs w:val="20"/>
                <w:color w:val="auto"/>
              </w:rPr>
            </w:pPr>
            <w:r>
              <w:rPr>
                <w:rFonts w:ascii="Arial" w:cs="Arial" w:eastAsia="Arial" w:hAnsi="Arial"/>
                <w:sz w:val="14"/>
                <w:szCs w:val="14"/>
                <w:b w:val="1"/>
                <w:bCs w:val="1"/>
                <w:color w:val="auto"/>
                <w:w w:val="99"/>
              </w:rPr>
              <w:t>March 29,</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gridSpan w:val="3"/>
          </w:tcPr>
          <w:p>
            <w:pPr>
              <w:jc w:val="center"/>
              <w:ind w:left="313"/>
              <w:spacing w:after="0"/>
              <w:rPr>
                <w:sz w:val="20"/>
                <w:szCs w:val="20"/>
                <w:color w:val="auto"/>
              </w:rPr>
            </w:pPr>
            <w:r>
              <w:rPr>
                <w:rFonts w:ascii="Arial" w:cs="Arial" w:eastAsia="Arial" w:hAnsi="Arial"/>
                <w:sz w:val="14"/>
                <w:szCs w:val="14"/>
                <w:b w:val="1"/>
                <w:bCs w:val="1"/>
                <w:color w:val="auto"/>
                <w:w w:val="99"/>
              </w:rPr>
              <w:t>March 30,</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gridSpan w:val="3"/>
          </w:tcPr>
          <w:p>
            <w:pPr>
              <w:jc w:val="center"/>
              <w:ind w:left="273"/>
              <w:spacing w:after="0"/>
              <w:rPr>
                <w:sz w:val="20"/>
                <w:szCs w:val="20"/>
                <w:color w:val="auto"/>
              </w:rPr>
            </w:pPr>
            <w:r>
              <w:rPr>
                <w:rFonts w:ascii="Arial" w:cs="Arial" w:eastAsia="Arial" w:hAnsi="Arial"/>
                <w:sz w:val="14"/>
                <w:szCs w:val="14"/>
                <w:b w:val="1"/>
                <w:bCs w:val="1"/>
                <w:color w:val="auto"/>
                <w:w w:val="99"/>
              </w:rPr>
              <w:t>March 31,</w:t>
            </w:r>
          </w:p>
        </w:tc>
        <w:tc>
          <w:tcPr>
            <w:tcW w:w="740" w:type="dxa"/>
            <w:vAlign w:val="bottom"/>
          </w:tcPr>
          <w:p>
            <w:pPr>
              <w:spacing w:after="0"/>
              <w:rPr>
                <w:sz w:val="14"/>
                <w:szCs w:val="14"/>
                <w:color w:val="auto"/>
              </w:rPr>
            </w:pPr>
          </w:p>
        </w:tc>
      </w:tr>
      <w:tr>
        <w:trPr>
          <w:trHeight w:val="192"/>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2014</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2013</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2012</w:t>
            </w:r>
          </w:p>
        </w:tc>
        <w:tc>
          <w:tcPr>
            <w:tcW w:w="740" w:type="dxa"/>
            <w:vAlign w:val="bottom"/>
            <w:tcBorders>
              <w:bottom w:val="single" w:sz="8" w:color="auto"/>
            </w:tcBorders>
          </w:tcPr>
          <w:p>
            <w:pPr>
              <w:spacing w:after="0"/>
              <w:rPr>
                <w:sz w:val="16"/>
                <w:szCs w:val="16"/>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at federal statutory rate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31,324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Domestic manufacturing deduction</w:t>
            </w:r>
          </w:p>
        </w:tc>
        <w:tc>
          <w:tcPr>
            <w:tcW w:w="360" w:type="dxa"/>
            <w:vAlign w:val="bottom"/>
          </w:tcPr>
          <w:p>
            <w:pPr>
              <w:spacing w:after="0"/>
              <w:rPr>
                <w:sz w:val="21"/>
                <w:szCs w:val="21"/>
                <w:color w:val="auto"/>
              </w:rPr>
            </w:pPr>
          </w:p>
        </w:tc>
        <w:tc>
          <w:tcPr>
            <w:tcW w:w="13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 %</w:t>
            </w: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3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Difference between U.S. and foreign tax</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State income taxes net of federal benefit</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1,136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7"/>
        </w:trPr>
        <w:tc>
          <w:tcPr>
            <w:tcW w:w="3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uncertain tax positions</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Intercompany loan deduction</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 %</w:t>
            </w:r>
          </w:p>
        </w:tc>
        <w:tc>
          <w:tcPr>
            <w:tcW w:w="380" w:type="dxa"/>
            <w:vAlign w:val="bottom"/>
          </w:tcPr>
          <w:p>
            <w:pPr>
              <w:spacing w:after="0"/>
              <w:rPr>
                <w:sz w:val="21"/>
                <w:szCs w:val="21"/>
                <w:color w:val="auto"/>
              </w:rPr>
            </w:pPr>
          </w:p>
        </w:tc>
        <w:tc>
          <w:tcPr>
            <w:tcW w:w="136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3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Non-deductible expenses</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Research credits</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3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 %</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37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 provision</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1,253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3.4 %</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11,097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22.2 %</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22,612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25.3 %</w:t>
            </w:r>
          </w:p>
        </w:tc>
      </w:tr>
      <w:tr>
        <w:trPr>
          <w:trHeight w:val="20"/>
        </w:trPr>
        <w:tc>
          <w:tcPr>
            <w:tcW w:w="3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23"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Unrecognized tax benefits represent uncertain tax positions for which reserves have been established. As of March 29, 2014, we had $5.6 million of unrecognized tax benefits, all of which would impact the effective tax rate, if recognized. As of March 30, 2013, we had $6.9 million of unrecognized tax benefits, of which $6.7 million would impact the effective tax rate, if recognized. At March 31, 2012, we had $6.9 million of unrecognized tax benefits, of which $6.6 million would impact the effective tax rate, if recognized.</w:t>
      </w:r>
    </w:p>
    <w:p>
      <w:pPr>
        <w:spacing w:after="0" w:line="9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During the fiscal year ended March 29, 2014 our unrecognized tax benefits were increased by $1.3 million due primarily to the release of certain previously established reserves in connection with the closure of tax statutes of limitations.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activity related to our gross unrecognized tax benefits for the fiscal years ended March 29, 2014, March 30, 2013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2012:</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29,</w:t>
            </w:r>
          </w:p>
        </w:tc>
        <w:tc>
          <w:tcPr>
            <w:tcW w:w="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30,</w:t>
            </w:r>
          </w:p>
        </w:tc>
        <w:tc>
          <w:tcPr>
            <w:tcW w:w="260" w:type="dxa"/>
            <w:vAlign w:val="bottom"/>
          </w:tcPr>
          <w:p>
            <w:pPr>
              <w:spacing w:after="0"/>
              <w:rPr>
                <w:sz w:val="14"/>
                <w:szCs w:val="14"/>
                <w:color w:val="auto"/>
              </w:rPr>
            </w:pPr>
          </w:p>
        </w:tc>
        <w:tc>
          <w:tcPr>
            <w:tcW w:w="1220" w:type="dxa"/>
            <w:vAlign w:val="bottom"/>
          </w:tcPr>
          <w:p>
            <w:pPr>
              <w:jc w:val="right"/>
              <w:ind w:right="354"/>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4,669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Additions based upon positions related to the current year</w:t>
            </w:r>
          </w:p>
        </w:tc>
        <w:tc>
          <w:tcPr>
            <w:tcW w:w="2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1,192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1,124</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for tax positions of prior years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Reductions of tax positions</w:t>
            </w:r>
          </w:p>
        </w:tc>
        <w:tc>
          <w:tcPr>
            <w:tcW w:w="2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 with taxing authorities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Closure of statute of limitations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Ending Balance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5,604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6,930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6,885</w:t>
            </w: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March 29, 2014 we anticipate that the liability for unrecognized tax benefits for uncertain tax positions could change by up to $1.7 million in the next twelve months, as a result of closure of various statutes of limitations.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6" w:right="239" w:bottom="1440" w:gutter="0" w:footer="0" w:header="0"/>
        </w:sectPr>
      </w:pPr>
    </w:p>
    <w:bookmarkStart w:id="70" w:name="page71"/>
    <w:bookmarkEnd w:id="70"/>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Our historic practice has been and continues to be to recognize interest and penalties related to Federal, state and foreign income tax matters in income tax expense. Approximately $0.8 million and $0.8 million of gross interest and penalties were accrued at March 29, 2014 and March 30, 2013, respectively and is not included in the amounts above. There was no benefit for the period ended March 29, 2014, a benefit of $0.1 million for the period ended March 30, 2013 and a provision of $0.3 million for the period ended and March 31, 2012, of accrued interest in our statements of operations.</w:t>
      </w:r>
    </w:p>
    <w:p>
      <w:pPr>
        <w:spacing w:after="0" w:line="154"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We conduct business globally and, as a result, file consolidated and separate Federal, state and foreign income tax returns in multiple jurisdictions. In the normal course of business, we are subject to examination by taxing authorities throughout the world. With a few exceptions overseas, we are no longer subject to U.S. federal, state and local, or foreign income tax examinations for years before 2010.</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880" w:hanging="872"/>
        <w:spacing w:after="0"/>
        <w:tabs>
          <w:tab w:leader="none" w:pos="8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4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lease facilities and certain equipment under operating leases expiring at various dates through fiscal 2020. Facility leases require us to pay certain insurance expenses, maintenance costs and real estate taxes.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Approximate future basic rental commitments under operating leases as of March 29, 2014 are as follows (in thousands):</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Fiscal Year Ending</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94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5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6,991</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2016</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5,141</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3,357</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2018</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2,627</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and thereafter</w:t>
            </w: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4,812</w:t>
            </w:r>
          </w:p>
        </w:tc>
      </w:tr>
      <w:tr>
        <w:trPr>
          <w:trHeight w:val="237"/>
        </w:trPr>
        <w:tc>
          <w:tcPr>
            <w:tcW w:w="994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22,928</w:t>
            </w:r>
          </w:p>
        </w:tc>
      </w:tr>
      <w:tr>
        <w:trPr>
          <w:trHeight w:val="27"/>
        </w:trPr>
        <w:tc>
          <w:tcPr>
            <w:tcW w:w="99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9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Rent expense in fiscal 2014, 2013, and 2012 was $7.7 million, $7.0 million and $6.1 million, respectively. Some of the Company's operating leases include renewal provisions, escalation clauses and options to purchase the facilities that we lease.</w:t>
      </w:r>
    </w:p>
    <w:p>
      <w:pPr>
        <w:spacing w:after="0" w:line="19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are presently engaged in various legal actions, and although our ultimate liability cannot be determined at the present time, we believe that any such liability will not materially affect our consolidated financial position or our results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Fenwal (Fresenius) Patent Infringement</w:t>
      </w:r>
    </w:p>
    <w:p>
      <w:pPr>
        <w:spacing w:after="0" w:line="18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For the past seven years, we have pursued patent infringement lawsuits against Fenwal Inc. seeking an injunction and damages from their infringement of a Haemonetics patent, through the sale of the ALYX brand automated red cell collection system, a competitor of our automated red cell collection systems.</w:t>
      </w:r>
    </w:p>
    <w:p>
      <w:pPr>
        <w:spacing w:after="0" w:line="8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Most recently, we have pursued a patent infringement action in Germany against Fenwal, and its European and German subsidiary. On September 20, 2010, we filed a patent infringement action in Germany. In response, Fenwal filed an action to invalidate the Haemonetics patent which is the subject of this infringement action on December 1, 2010. In January 2014, we received a final ruling which narrowed the scope of our patent. This ruling will prevent us from further claims of infringement and effectively ends our claims against Fenwal.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Italian Employment Litigation</w:t>
      </w:r>
    </w:p>
    <w:p>
      <w:pPr>
        <w:spacing w:after="0" w:line="18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have recently received notices from employees of the facility in Ascoli-Piceno, Italy where we are discontinuing operations of claimed violations of employment related contracts. Seventy-two employees served actions in February 2014 claiming their working conditions should have been established by the national collective bargaining agreement for the chemical and pharmaceutical industries rather than the one actually used. They claim applying the alternative bargaining agreement would have resulted in slightly higher minimum salaries according to their job functions. Also in February, sixty-eight employees served actions claiming that certain solidarity agreements are void. Solidarity agreements are arrangements between the company, employees and the government to continue full pay and benefits for employees who would otherwise be terminated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6" w:right="239" w:bottom="1440" w:gutter="0" w:footer="0" w:header="0"/>
        </w:sectPr>
      </w:pPr>
    </w:p>
    <w:bookmarkStart w:id="71" w:name="page72"/>
    <w:bookmarkEnd w:id="71"/>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 times of low demand. As of March 29, 2014, the total amount of damages claimed by the plaintiffs in these matters is approximately $3.5 million, however it is not possible at this point in the proceedings to accurately evaluate the likelihood or amount of any potential losses. As such, no amounts are accrued. We may receive other, similar claims, in the future.</w:t>
      </w:r>
    </w:p>
    <w:p>
      <w:pPr>
        <w:spacing w:after="0" w:line="200" w:lineRule="exact"/>
        <w:rPr>
          <w:sz w:val="20"/>
          <w:szCs w:val="20"/>
          <w:color w:val="auto"/>
        </w:rPr>
      </w:pPr>
    </w:p>
    <w:p>
      <w:pPr>
        <w:spacing w:after="0" w:line="234" w:lineRule="exact"/>
        <w:rPr>
          <w:sz w:val="20"/>
          <w:szCs w:val="20"/>
          <w:color w:val="auto"/>
        </w:rPr>
      </w:pPr>
    </w:p>
    <w:p>
      <w:pPr>
        <w:ind w:left="880" w:hanging="872"/>
        <w:spacing w:after="0"/>
        <w:tabs>
          <w:tab w:leader="none" w:pos="8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Plans</w:t>
      </w:r>
    </w:p>
    <w:p>
      <w:pPr>
        <w:spacing w:after="0" w:line="13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Company has an incentive compensation plan, (the “2005 Incentive Compensation Plan”). The 2005 Incentive Compensation Plan permits the award of non-qualified stock options, incentive stock options, stock appreciation rights, restricted stock, deferred stock/restricted stock units, other stock units and performance shares to the Company’s key employees, officers and directors. The 2005 Incentive Compensation Plan is administered by the Compensation Committee of the Board of Directors (the “Committee”) consisting of three independent members of our Board of Directors.</w:t>
      </w:r>
    </w:p>
    <w:p>
      <w:pPr>
        <w:spacing w:after="0" w:line="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maximum number of shares available for award under the 2005 Incentive Compensation Plan is 15,024,920. The maximum number of shares that may be issued pursuant to incentive stock options may not exceed 500,000. Any shares that are subject to the award of stock options shall be counted against this limit as one (1) share for every one (1) share issued. Any shares that are subject to awards other than stock options shall be counted against this limit as 3.26 shares for every one (1) share granted.</w:t>
      </w:r>
    </w:p>
    <w:p>
      <w:pPr>
        <w:spacing w:after="0" w:line="92"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Each award has different terms under the 2005 Incentive Compensation Plan. Options, Restricted Stock Awards and Restricted Stock Units become exercisable, or in the case of restricted stock, the resale restrictions are released in a manner determined by the Committee, generally over a four year period for employees and one year from grant for non-employee directors, and all options expire not more than 7 years from the date of the grant. The exercise price for options granted under the 2005 Incentive Compensation Plan is determined by the Committee, but in no event shall such exercise price be less than the fair market value of the common stock at the time of the grant. Holders of market stock units are eligible to receive a share of Haemonetics’ stock for each market stock unit based on the performance of the stock through March 31, 2017. If our stock is below a minimum threshold price of $50 per share during the relevant measurement period, the holders receive no market share units. If the stock achieves certain price levels, the holders are eligible to receive up</w:t>
      </w:r>
    </w:p>
    <w:p>
      <w:pPr>
        <w:spacing w:after="0" w:line="3"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to three times the “target” amount of market share units. As a result, we may issue up to 848,808 shares at a stock price of $85 per share or higher in connection with these grants.</w:t>
      </w:r>
    </w:p>
    <w:p>
      <w:pPr>
        <w:spacing w:after="0" w:line="8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At March 29, 2014, there were outstanding options to purchase 3,778,622 shares, 316,737 shares of restricted stock outstanding and 282,936 market stock units outstanding under this plan and 1,794,981 shares available for future grant.</w:t>
      </w:r>
    </w:p>
    <w:p>
      <w:pPr>
        <w:spacing w:after="0" w:line="7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had a long-term incentive stock option plan and a non-qualified stock option plan, (the “2000 Long-term Incentive Plan”) which permitted the issuance of a maximum of 7,000,000 shares of our common stock pursuant to incentive and non-qualified stock options granted to key employees, officers and directors. The plan was terminated in connection with the adoption of the 2005 Incentive Compensation Plan. At March 29, 2014, there were 55,750 options outstanding under this plan and no further options will be granted under this plan.</w:t>
      </w:r>
    </w:p>
    <w:p>
      <w:pPr>
        <w:spacing w:after="0" w:line="9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has an Employee Stock Purchase Plan (the “Purchase Plan”) under which a maximum of 1,400,000 shares (subject to adjustment for stock splits and similar changes) of common stock may be purchased by eligible employees. Substantially all of our full-time employees are eligible to participate in the Purchase Plan.</w:t>
      </w:r>
    </w:p>
    <w:p>
      <w:pPr>
        <w:spacing w:after="0" w:line="87"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Purchase Plan provides for two “purchase periods” within each of our fiscal years, the first commencing on November 1 of each year and continuing through April 30 of the next calendar year, and the second commencing on May 1 of each year and continuing through October 31 of such year. Shares are purchased through an accumulation of payroll deductions (of not less than 2% nor more than 15% of compensation, as defined) for the number of whole shares determined by dividing the balance in the employee’s account on the last day of the purchase period by the purchase price per share for the stock determined under the Purchase Plan. The purchase price for shares is the lower of 85% of the fair market value of the common stock at the beginning of the purchase period, or 85% of such value at the end of the purchase period.</w:t>
      </w:r>
    </w:p>
    <w:p>
      <w:pPr>
        <w:spacing w:after="0" w:line="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Stock-based compensation expense of $13.1 million, $11.0 million, and $9.3 million was recognized under ASC Topic 718, </w:t>
      </w:r>
      <w:r>
        <w:rPr>
          <w:rFonts w:ascii="Arial" w:cs="Arial" w:eastAsia="Arial" w:hAnsi="Arial"/>
          <w:sz w:val="18"/>
          <w:szCs w:val="18"/>
          <w:i w:val="1"/>
          <w:iCs w:val="1"/>
          <w:color w:val="auto"/>
        </w:rPr>
        <w:t>Compensation — Stock</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for the fiscal year ended March 29, 2014, March 30, 2013, and March 31, 2012, respectively. The related income tax benefit recognized was</w:t>
      </w:r>
      <w:r>
        <w:rPr>
          <w:rFonts w:ascii="Arial" w:cs="Arial" w:eastAsia="Arial" w:hAnsi="Arial"/>
          <w:sz w:val="18"/>
          <w:szCs w:val="18"/>
          <w:i w:val="1"/>
          <w:iCs w:val="1"/>
          <w:color w:val="auto"/>
        </w:rPr>
        <w:t xml:space="preserve"> </w:t>
      </w:r>
      <w:r>
        <w:rPr>
          <w:rFonts w:ascii="Arial" w:cs="Arial" w:eastAsia="Arial" w:hAnsi="Arial"/>
          <w:sz w:val="18"/>
          <w:szCs w:val="18"/>
          <w:color w:val="auto"/>
        </w:rPr>
        <w:t>$4.3 million, $3.5 million, and $2.7 million for the fiscal year ended March 29, 2014, March 30, 2013, and March 31, 2012, respectively. We recognize stock-based compensation on a straight line basis.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126" w:right="259" w:bottom="1440" w:gutter="0" w:footer="0" w:header="0"/>
        </w:sectPr>
      </w:pPr>
    </w:p>
    <w:bookmarkStart w:id="72" w:name="page73"/>
    <w:bookmarkEnd w:id="72"/>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ASC Topic 718 requires that cash flows relating to the benefits of tax deductions in excess of stock compensation cost recognized be reported as a financing cash flow, rather than as an operating cash flow. This excess tax benefit was $2.4 million, $4.1 million, and $1.4 million for the fiscal year ended March 29, 2014, March 30, 2013, and March 31, 2012, respectively.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for the fiscal year ended March 29, 2014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4"/>
                <w:szCs w:val="14"/>
                <w:color w:val="auto"/>
              </w:rPr>
            </w:pPr>
          </w:p>
        </w:tc>
        <w:tc>
          <w:tcPr>
            <w:tcW w:w="1200" w:type="dxa"/>
            <w:vAlign w:val="bottom"/>
          </w:tcPr>
          <w:p>
            <w:pPr>
              <w:jc w:val="center"/>
              <w:ind w:right="19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120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120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(shares)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2"/>
              </w:rPr>
              <w:t>per Share</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Life (years)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1"/>
              </w:rPr>
              <w:t>($000’s)</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March 30, 2013</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4,069,758</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29.85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48,061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758,705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42.00</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(736,640)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25.04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(257,451)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33.61</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March 29, 2014</w:t>
            </w:r>
          </w:p>
        </w:tc>
        <w:tc>
          <w:tcPr>
            <w:tcW w:w="15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3,834,372</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32.93</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9,436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March 29, 2014</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2,147,092</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28.95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8,446</w:t>
            </w:r>
          </w:p>
        </w:tc>
        <w:tc>
          <w:tcPr>
            <w:tcW w:w="0" w:type="dxa"/>
            <w:vAlign w:val="bottom"/>
          </w:tcPr>
          <w:p>
            <w:pPr>
              <w:spacing w:after="0"/>
              <w:rPr>
                <w:sz w:val="1"/>
                <w:szCs w:val="1"/>
                <w:color w:val="auto"/>
              </w:rPr>
            </w:pPr>
          </w:p>
        </w:tc>
      </w:tr>
      <w:tr>
        <w:trPr>
          <w:trHeight w:val="324"/>
        </w:trPr>
        <w:tc>
          <w:tcPr>
            <w:tcW w:w="5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 or expected to vest at March 29, 2014</w:t>
            </w:r>
          </w:p>
        </w:tc>
        <w:tc>
          <w:tcPr>
            <w:tcW w:w="15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3,636,128</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32.58</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9,379</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total intrinsic value of options exercised was $11.7 million, $20.9 million, and $8.5 million during fiscal 2014, 2013, and 2012, respectively.</w:t>
      </w:r>
    </w:p>
    <w:p>
      <w:pPr>
        <w:spacing w:after="0" w:line="13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As of March 29, 2014, there was $11.2 million of total unrecognized compensation cost related to non-vested stock options. This cost is expected to be recognized over a weighted average period of 2.55 years.</w:t>
      </w:r>
    </w:p>
    <w:p>
      <w:pPr>
        <w:spacing w:after="0" w:line="7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fair value was estimated using the Black-Scholes option-pricing model based on the weighted average of the high and low stock prices at the grant date and the weighted average assumptions specific to the underlying options. Expected volatility assumptions are based on the historical volatility of our common stock. The risk-free interest rate was selected based upon yields of U.S. Treasury issues with a term equal to the expected life of the option being valued. The expected life of the option was estimated with reference to historical exercise patterns, the contractual term of the option and the vesting period. The assumptions utilized for option grants during the periods presented are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660" w:type="dxa"/>
            <w:vAlign w:val="bottom"/>
            <w:gridSpan w:val="2"/>
          </w:tcPr>
          <w:p>
            <w:pPr>
              <w:ind w:left="440"/>
              <w:spacing w:after="0"/>
              <w:rPr>
                <w:sz w:val="20"/>
                <w:szCs w:val="20"/>
                <w:color w:val="auto"/>
              </w:rPr>
            </w:pPr>
            <w:r>
              <w:rPr>
                <w:rFonts w:ascii="Arial" w:cs="Arial" w:eastAsia="Arial" w:hAnsi="Arial"/>
                <w:sz w:val="14"/>
                <w:szCs w:val="14"/>
                <w:b w:val="1"/>
                <w:bCs w:val="1"/>
                <w:color w:val="auto"/>
              </w:rPr>
              <w:t>March 29,</w:t>
            </w:r>
          </w:p>
        </w:tc>
        <w:tc>
          <w:tcPr>
            <w:tcW w:w="1640" w:type="dxa"/>
            <w:vAlign w:val="bottom"/>
            <w:gridSpan w:val="2"/>
          </w:tcPr>
          <w:p>
            <w:pPr>
              <w:ind w:left="440"/>
              <w:spacing w:after="0"/>
              <w:rPr>
                <w:sz w:val="20"/>
                <w:szCs w:val="20"/>
                <w:color w:val="auto"/>
              </w:rPr>
            </w:pPr>
            <w:r>
              <w:rPr>
                <w:rFonts w:ascii="Arial" w:cs="Arial" w:eastAsia="Arial" w:hAnsi="Arial"/>
                <w:sz w:val="14"/>
                <w:szCs w:val="14"/>
                <w:b w:val="1"/>
                <w:bCs w:val="1"/>
                <w:color w:val="auto"/>
              </w:rPr>
              <w:t>March 30,</w:t>
            </w:r>
          </w:p>
        </w:tc>
        <w:tc>
          <w:tcPr>
            <w:tcW w:w="1540" w:type="dxa"/>
            <w:vAlign w:val="bottom"/>
          </w:tcPr>
          <w:p>
            <w:pPr>
              <w:jc w:val="right"/>
              <w:ind w:right="396"/>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658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2012</w:t>
            </w: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Expected life (years)</w:t>
            </w:r>
          </w:p>
        </w:tc>
        <w:tc>
          <w:tcPr>
            <w:tcW w:w="1540" w:type="dxa"/>
            <w:vAlign w:val="bottom"/>
          </w:tcPr>
          <w:p>
            <w:pPr>
              <w:jc w:val="right"/>
              <w:ind w:right="96"/>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1540" w:type="dxa"/>
            <w:vAlign w:val="bottom"/>
          </w:tcPr>
          <w:p>
            <w:pPr>
              <w:jc w:val="right"/>
              <w:ind w:right="116"/>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540" w:type="dxa"/>
            <w:vAlign w:val="bottom"/>
          </w:tcPr>
          <w:p>
            <w:pPr>
              <w:jc w:val="right"/>
              <w:ind w:right="96"/>
              <w:spacing w:after="0"/>
              <w:rPr>
                <w:sz w:val="20"/>
                <w:szCs w:val="20"/>
                <w:color w:val="auto"/>
              </w:rPr>
            </w:pPr>
            <w:r>
              <w:rPr>
                <w:rFonts w:ascii="Arial" w:cs="Arial" w:eastAsia="Arial" w:hAnsi="Arial"/>
                <w:sz w:val="18"/>
                <w:szCs w:val="18"/>
                <w:color w:val="auto"/>
              </w:rPr>
              <w:t>4.9</w:t>
            </w:r>
          </w:p>
        </w:tc>
      </w:tr>
      <w:tr>
        <w:trPr>
          <w:trHeight w:val="27"/>
        </w:trPr>
        <w:tc>
          <w:tcPr>
            <w:tcW w:w="6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154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0.0%</w:t>
            </w:r>
          </w:p>
        </w:tc>
      </w:tr>
    </w:tbl>
    <w:p>
      <w:pPr>
        <w:spacing w:after="0" w:line="13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weighted average grant date fair value of options to purchase one share granted during 2014, 2013, and 2012 was approximately $10.15, $9.76, and $8.16, respectively.</w:t>
      </w:r>
    </w:p>
    <w:p>
      <w:pPr>
        <w:spacing w:after="0" w:line="7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have applied, based on an analysis of our historical forfeitures, an annual forfeiture rate of 8% to all unvested stock options as of March 29, 2014 and March 30, 2013, which represents the portion that we expect will be forfeited each year over the vesting period.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6" w:right="239" w:bottom="1440" w:gutter="0" w:footer="0" w:header="0"/>
        </w:sectPr>
      </w:pPr>
    </w:p>
    <w:bookmarkStart w:id="73" w:name="page74"/>
    <w:bookmarkEnd w:id="73"/>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3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fair values of shares purchased under the Employee Stock Purchase Plan are estimated using the Black-Scholes single option-pricing model with the following weighted average assumptions: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660" w:type="dxa"/>
            <w:vAlign w:val="bottom"/>
            <w:gridSpan w:val="2"/>
          </w:tcPr>
          <w:p>
            <w:pPr>
              <w:ind w:left="440"/>
              <w:spacing w:after="0"/>
              <w:rPr>
                <w:sz w:val="20"/>
                <w:szCs w:val="20"/>
                <w:color w:val="auto"/>
              </w:rPr>
            </w:pPr>
            <w:r>
              <w:rPr>
                <w:rFonts w:ascii="Arial" w:cs="Arial" w:eastAsia="Arial" w:hAnsi="Arial"/>
                <w:sz w:val="14"/>
                <w:szCs w:val="14"/>
                <w:b w:val="1"/>
                <w:bCs w:val="1"/>
                <w:color w:val="auto"/>
              </w:rPr>
              <w:t>March 29,</w:t>
            </w:r>
          </w:p>
        </w:tc>
        <w:tc>
          <w:tcPr>
            <w:tcW w:w="1640" w:type="dxa"/>
            <w:vAlign w:val="bottom"/>
            <w:gridSpan w:val="2"/>
          </w:tcPr>
          <w:p>
            <w:pPr>
              <w:ind w:left="440"/>
              <w:spacing w:after="0"/>
              <w:rPr>
                <w:sz w:val="20"/>
                <w:szCs w:val="20"/>
                <w:color w:val="auto"/>
              </w:rPr>
            </w:pPr>
            <w:r>
              <w:rPr>
                <w:rFonts w:ascii="Arial" w:cs="Arial" w:eastAsia="Arial" w:hAnsi="Arial"/>
                <w:sz w:val="14"/>
                <w:szCs w:val="14"/>
                <w:b w:val="1"/>
                <w:bCs w:val="1"/>
                <w:color w:val="auto"/>
              </w:rPr>
              <w:t>March 30,</w:t>
            </w:r>
          </w:p>
        </w:tc>
        <w:tc>
          <w:tcPr>
            <w:tcW w:w="1540" w:type="dxa"/>
            <w:vAlign w:val="bottom"/>
          </w:tcPr>
          <w:p>
            <w:pPr>
              <w:jc w:val="right"/>
              <w:ind w:right="396"/>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658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2012</w:t>
            </w: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Expected life (months)</w:t>
            </w:r>
          </w:p>
        </w:tc>
        <w:tc>
          <w:tcPr>
            <w:tcW w:w="1540" w:type="dxa"/>
            <w:vAlign w:val="bottom"/>
          </w:tcPr>
          <w:p>
            <w:pPr>
              <w:jc w:val="right"/>
              <w:ind w:right="96"/>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540" w:type="dxa"/>
            <w:vAlign w:val="bottom"/>
          </w:tcPr>
          <w:p>
            <w:pPr>
              <w:jc w:val="right"/>
              <w:ind w:right="116"/>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540" w:type="dxa"/>
            <w:vAlign w:val="bottom"/>
          </w:tcPr>
          <w:p>
            <w:pPr>
              <w:jc w:val="right"/>
              <w:ind w:right="96"/>
              <w:spacing w:after="0"/>
              <w:rPr>
                <w:sz w:val="20"/>
                <w:szCs w:val="20"/>
                <w:color w:val="auto"/>
              </w:rPr>
            </w:pPr>
            <w:r>
              <w:rPr>
                <w:rFonts w:ascii="Arial" w:cs="Arial" w:eastAsia="Arial" w:hAnsi="Arial"/>
                <w:sz w:val="18"/>
                <w:szCs w:val="18"/>
                <w:color w:val="auto"/>
              </w:rPr>
              <w:t>6</w:t>
            </w:r>
          </w:p>
        </w:tc>
      </w:tr>
      <w:tr>
        <w:trPr>
          <w:trHeight w:val="27"/>
        </w:trPr>
        <w:tc>
          <w:tcPr>
            <w:tcW w:w="6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154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0.0%</w:t>
            </w:r>
          </w:p>
        </w:tc>
      </w:tr>
    </w:tbl>
    <w:p>
      <w:pPr>
        <w:spacing w:after="0" w:line="13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weighted average grant date fair value of the six-month option inherent in the Purchase Plan was approximately $8.25, $8.50, and $7.10 during fiscal 2014, 2013, and 2012,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As of March 29, 2014, there was no unrecognized compensation cost related to non-vested restricted stock awards.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 and Market Stock Units</w:t>
      </w:r>
    </w:p>
    <w:p>
      <w:pPr>
        <w:spacing w:after="0" w:line="13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March 29, 2014, there was $14.9 million of total unrecognized compensation cost related to non-vested restricted stock units. This cost is expected to be recognized over a weighted average period of 2.8 years.</w:t>
      </w:r>
    </w:p>
    <w:p>
      <w:pPr>
        <w:spacing w:after="0" w:line="17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As of March 29, 2014, there were 282,936 market stock units outstanding. We determined the fair value of a market stock units to be $37.42, utilizing a Monte Carlo simulation model based on an expected term of 3.7 years, a risk free rate of 0.9%, volatility of 20% and no dividends. The grant date fair value of these awards totaled $11.2 million and will be expensed evenly over the 3.7 year period through the cliff-vesting date of March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summary of market stock units and restricted stock units activity for the fiscal year ended March 29, 2014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jc w:val="center"/>
              <w:ind w:right="17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1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9"/>
              </w:rPr>
              <w:t>Market Value</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CCEEFF"/>
            </w:tcBorders>
          </w:tcPr>
          <w:p>
            <w:pPr>
              <w:spacing w:after="0"/>
              <w:rPr>
                <w:sz w:val="16"/>
                <w:szCs w:val="16"/>
                <w:color w:val="auto"/>
              </w:rPr>
            </w:pPr>
          </w:p>
        </w:tc>
        <w:tc>
          <w:tcPr>
            <w:tcW w:w="456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7"/>
              </w:rPr>
              <w:t>at Grant Date</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March 30, 2013</w:t>
            </w:r>
          </w:p>
        </w:tc>
        <w:tc>
          <w:tcPr>
            <w:tcW w:w="57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356,419</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34.06</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Awarded</w:t>
            </w:r>
          </w:p>
        </w:tc>
        <w:tc>
          <w:tcPr>
            <w:tcW w:w="5720" w:type="dxa"/>
            <w:vAlign w:val="bottom"/>
            <w:gridSpan w:val="2"/>
          </w:tcPr>
          <w:p>
            <w:pPr>
              <w:jc w:val="right"/>
              <w:ind w:right="48"/>
              <w:spacing w:after="0"/>
              <w:rPr>
                <w:sz w:val="20"/>
                <w:szCs w:val="20"/>
                <w:color w:val="auto"/>
              </w:rPr>
            </w:pPr>
            <w:r>
              <w:rPr>
                <w:rFonts w:ascii="Arial" w:cs="Arial" w:eastAsia="Arial" w:hAnsi="Arial"/>
                <w:sz w:val="18"/>
                <w:szCs w:val="18"/>
                <w:color w:val="auto"/>
              </w:rPr>
              <w:t>462,769</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8"/>
              <w:spacing w:after="0"/>
              <w:rPr>
                <w:sz w:val="20"/>
                <w:szCs w:val="20"/>
                <w:color w:val="auto"/>
              </w:rPr>
            </w:pPr>
            <w:r>
              <w:rPr>
                <w:rFonts w:ascii="Arial" w:cs="Arial" w:eastAsia="Arial" w:hAnsi="Arial"/>
                <w:sz w:val="18"/>
                <w:szCs w:val="18"/>
                <w:color w:val="auto"/>
              </w:rPr>
              <w:t>32.77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Released</w:t>
            </w:r>
          </w:p>
        </w:tc>
        <w:tc>
          <w:tcPr>
            <w:tcW w:w="5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(119,345)</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32.41</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5720" w:type="dxa"/>
            <w:vAlign w:val="bottom"/>
            <w:gridSpan w:val="2"/>
          </w:tcPr>
          <w:p>
            <w:pPr>
              <w:jc w:val="right"/>
              <w:spacing w:after="0"/>
              <w:rPr>
                <w:sz w:val="20"/>
                <w:szCs w:val="20"/>
                <w:color w:val="auto"/>
              </w:rPr>
            </w:pPr>
            <w:r>
              <w:rPr>
                <w:rFonts w:ascii="Arial" w:cs="Arial" w:eastAsia="Arial" w:hAnsi="Arial"/>
                <w:sz w:val="18"/>
                <w:szCs w:val="18"/>
                <w:color w:val="auto"/>
              </w:rPr>
              <w:t>(100,170)</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8"/>
              <w:spacing w:after="0"/>
              <w:rPr>
                <w:sz w:val="20"/>
                <w:szCs w:val="20"/>
                <w:color w:val="auto"/>
              </w:rPr>
            </w:pPr>
            <w:r>
              <w:rPr>
                <w:rFonts w:ascii="Arial" w:cs="Arial" w:eastAsia="Arial" w:hAnsi="Arial"/>
                <w:sz w:val="18"/>
                <w:szCs w:val="18"/>
                <w:color w:val="auto"/>
              </w:rPr>
              <w:t>35.79</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Unvested at March 29, 2014</w:t>
            </w:r>
          </w:p>
        </w:tc>
        <w:tc>
          <w:tcPr>
            <w:tcW w:w="57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b w:val="1"/>
                <w:bCs w:val="1"/>
                <w:color w:val="auto"/>
              </w:rPr>
              <w:t>599,673</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440" w:type="dxa"/>
            <w:vAlign w:val="bottom"/>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37.70</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bottom w:val="single" w:sz="8" w:color="CCEEFF"/>
            </w:tcBorders>
            <w:vMerge w:val="restart"/>
          </w:tcPr>
          <w:p>
            <w:pPr>
              <w:jc w:val="right"/>
              <w:ind w:right="2570"/>
              <w:spacing w:after="0"/>
              <w:rPr>
                <w:sz w:val="20"/>
                <w:szCs w:val="20"/>
                <w:color w:val="auto"/>
              </w:rPr>
            </w:pPr>
            <w:r>
              <w:rPr>
                <w:rFonts w:ascii="Arial" w:cs="Arial" w:eastAsia="Arial" w:hAnsi="Arial"/>
                <w:sz w:val="18"/>
                <w:szCs w:val="18"/>
                <w:color w:val="auto"/>
              </w:rPr>
              <w:t>72</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900" w:type="dxa"/>
            <w:vAlign w:val="bottom"/>
          </w:tcPr>
          <w:p>
            <w:pPr>
              <w:spacing w:after="0"/>
              <w:rPr>
                <w:sz w:val="24"/>
                <w:szCs w:val="24"/>
                <w:color w:val="auto"/>
              </w:rPr>
            </w:pPr>
          </w:p>
        </w:tc>
        <w:tc>
          <w:tcPr>
            <w:tcW w:w="456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74" w:name="page75"/>
    <w:bookmarkEnd w:id="74"/>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880" w:hanging="872"/>
        <w:spacing w:after="0"/>
        <w:tabs>
          <w:tab w:leader="none" w:pos="8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 (“EPS”)</w:t>
      </w:r>
    </w:p>
    <w:p>
      <w:pPr>
        <w:spacing w:after="0" w:line="135"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The following table provides a reconciliation of the numerators and denominators of the basic and diluted earnings per share computations. Basic EPS is computed by dividing net income by weighted average shares outstanding. Diluted EPS includes the effect of potentially dilutive common shares. The common stock weighted average number of shares has been retroactively adjusted for the stock split.</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29,</w:t>
            </w:r>
          </w:p>
        </w:tc>
        <w:tc>
          <w:tcPr>
            <w:tcW w:w="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30,</w:t>
            </w:r>
          </w:p>
        </w:tc>
        <w:tc>
          <w:tcPr>
            <w:tcW w:w="260" w:type="dxa"/>
            <w:vAlign w:val="bottom"/>
          </w:tcPr>
          <w:p>
            <w:pPr>
              <w:spacing w:after="0"/>
              <w:rPr>
                <w:sz w:val="14"/>
                <w:szCs w:val="14"/>
                <w:color w:val="auto"/>
              </w:rPr>
            </w:pPr>
          </w:p>
        </w:tc>
        <w:tc>
          <w:tcPr>
            <w:tcW w:w="1220" w:type="dxa"/>
            <w:vAlign w:val="bottom"/>
          </w:tcPr>
          <w:p>
            <w:pPr>
              <w:jc w:val="right"/>
              <w:ind w:right="354"/>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 except per share amounts)</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35,148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38,800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66,886</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51,611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51,349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50,727</w:t>
            </w:r>
          </w:p>
        </w:tc>
      </w:tr>
      <w:tr>
        <w:trPr>
          <w:trHeight w:val="29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Basic income per share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0.68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0.76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1.32</w:t>
            </w: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35,148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38,800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66,886</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shares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51,611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51,349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50,727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effect of common stock equivalents</w:t>
            </w: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863</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w:t>
            </w: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52,377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52,259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51,590</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Diluted income per share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0.67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0.74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1.30</w:t>
            </w: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Weighted average shares outstanding, assuming dilution, excludes the impact of 1.1 million, 0.5 million and 1.4 million stock options for fiscal years 2014, 2013 and 2012, respectively, because these securities were anti-dilutive during the noted periods.</w:t>
      </w:r>
    </w:p>
    <w:p>
      <w:pPr>
        <w:spacing w:after="0" w:line="200" w:lineRule="exact"/>
        <w:rPr>
          <w:sz w:val="20"/>
          <w:szCs w:val="20"/>
          <w:color w:val="auto"/>
        </w:rPr>
      </w:pPr>
    </w:p>
    <w:p>
      <w:pPr>
        <w:spacing w:after="0" w:line="372" w:lineRule="exact"/>
        <w:rPr>
          <w:sz w:val="20"/>
          <w:szCs w:val="20"/>
          <w:color w:val="auto"/>
        </w:rPr>
      </w:pPr>
    </w:p>
    <w:p>
      <w:pPr>
        <w:ind w:right="7280" w:firstLine="8"/>
        <w:spacing w:after="0" w:line="391" w:lineRule="auto"/>
        <w:tabs>
          <w:tab w:leader="none" w:pos="873"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PROPERTY, PLANT AND EQUIPMENT </w:t>
      </w:r>
      <w:r>
        <w:rPr>
          <w:rFonts w:ascii="Arial" w:cs="Arial" w:eastAsia="Arial" w:hAnsi="Arial"/>
          <w:sz w:val="18"/>
          <w:szCs w:val="18"/>
          <w:color w:val="auto"/>
        </w:rPr>
        <w:t>Property and equipment consisted of the following:</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March 29, 2014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March 30, 2013</w:t>
            </w: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4,216</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Building and building improvements</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83,439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78,682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Plant equipment and machinery</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236,539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205,698</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Office equipment and information technology</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111,925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103,235</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Haemonetics equipment</w:t>
            </w: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262,784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240,889</w:t>
            </w:r>
          </w:p>
        </w:tc>
      </w:tr>
      <w:tr>
        <w:trPr>
          <w:trHeight w:val="237"/>
        </w:trPr>
        <w:tc>
          <w:tcPr>
            <w:tcW w:w="8360" w:type="dxa"/>
            <w:vAlign w:val="bottom"/>
            <w:gridSpan w:val="2"/>
          </w:tcPr>
          <w:p>
            <w:pPr>
              <w:ind w:left="260"/>
              <w:spacing w:after="0"/>
              <w:rPr>
                <w:sz w:val="20"/>
                <w:szCs w:val="20"/>
                <w:color w:val="auto"/>
              </w:rPr>
            </w:pPr>
            <w:r>
              <w:rPr>
                <w:rFonts w:ascii="Arial" w:cs="Arial" w:eastAsia="Arial" w:hAnsi="Arial"/>
                <w:sz w:val="18"/>
                <w:szCs w:val="18"/>
                <w:color w:val="auto"/>
              </w:rPr>
              <w:t>Total</w:t>
            </w: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701,855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632,720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(430,418)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(375,767)</w:t>
            </w:r>
          </w:p>
        </w:tc>
      </w:tr>
      <w:tr>
        <w:trPr>
          <w:trHeight w:val="257"/>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271,437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256,953</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$52.6 million, $43.4 million, and $38.6 million for fiscal 2014, 2013, and 2012, respectively.</w:t>
      </w:r>
    </w:p>
    <w:p>
      <w:pPr>
        <w:spacing w:after="0" w:line="225"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During fiscal 2013, there was a change in the estimated useful lives of Haemonetics equipment which resulted in a fiscal 2013 decrease in depreciation expense of $4.5 million, an increase of $3.3 million in net income, and an increase in basic and diluted earnings per share of $0.09.</w:t>
      </w:r>
    </w:p>
    <w:p>
      <w:pPr>
        <w:spacing w:after="0" w:line="224" w:lineRule="exact"/>
        <w:rPr>
          <w:sz w:val="20"/>
          <w:szCs w:val="20"/>
          <w:color w:val="auto"/>
        </w:rPr>
      </w:pPr>
    </w:p>
    <w:p>
      <w:pPr>
        <w:ind w:left="880" w:hanging="872"/>
        <w:spacing w:after="0"/>
        <w:tabs>
          <w:tab w:leader="none" w:pos="8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13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a Savings Plus Plan that is a 401(k) plan that allows our U.S. employees to accumulate savings on a pre-tax basis. In addition, matching contributions are made to the Plan based upon pre-established rates. Our matching contributions amounted to approximately $6.2 million in 2014, $4.9 million in 2013, and $4.0 million in 2012. Upon Board approval, additional discretionary contributions can also be made. No discretionary contributions were made for the Savings Plan in fiscal 2014, 2013, or 2012.</w:t>
      </w:r>
    </w:p>
    <w:p>
      <w:pPr>
        <w:sectPr>
          <w:pgSz w:w="11900" w:h="16838" w:orient="portrait"/>
          <w:cols w:equalWidth="0" w:num="1">
            <w:col w:w="11420"/>
          </w:cols>
          <w:pgMar w:left="240" w:top="126"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126" w:right="239" w:bottom="1440" w:gutter="0" w:footer="0" w:header="0"/>
          <w:type w:val="continuous"/>
        </w:sectPr>
      </w:pPr>
    </w:p>
    <w:bookmarkStart w:id="75" w:name="page76"/>
    <w:bookmarkEnd w:id="75"/>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Some of our subsidiaries also have defined contribution plans, to which plan both the employee and the employer make contributions. The employer contributions to these plans totaled $0.8 million, $2.4 million, and $0.8 million in fiscal 2014, 2013, and 2012,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Plans</w:t>
      </w:r>
    </w:p>
    <w:p>
      <w:pPr>
        <w:spacing w:after="0" w:line="13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ASC Topic 715, </w:t>
      </w:r>
      <w:r>
        <w:rPr>
          <w:rFonts w:ascii="Arial" w:cs="Arial" w:eastAsia="Arial" w:hAnsi="Arial"/>
          <w:sz w:val="18"/>
          <w:szCs w:val="18"/>
          <w:i w:val="1"/>
          <w:iCs w:val="1"/>
          <w:color w:val="auto"/>
        </w:rPr>
        <w:t>Compensation — Retirement Benefits</w:t>
      </w:r>
      <w:r>
        <w:rPr>
          <w:rFonts w:ascii="Arial" w:cs="Arial" w:eastAsia="Arial" w:hAnsi="Arial"/>
          <w:sz w:val="18"/>
          <w:szCs w:val="18"/>
          <w:color w:val="auto"/>
        </w:rPr>
        <w:t>, requires an employer to: (a) recognize in its statement of financial position an asset for a plan’s over-funded status or a liability for a plan’s under-funded status; (b) measure a plan’s assets and its obligations that determine its funded status as of the end of the employer’s fiscal year (with limited exceptions); and (c) recognize changes in the funded status of a defined benefit post retirement plan in the year in which the changes occur. Accordingly, the Company is required to report changes in its funded status in comprehensive income on its Statement of Stockholders’ Equity and Comprehensive Income.</w:t>
      </w:r>
    </w:p>
    <w:p>
      <w:pPr>
        <w:spacing w:after="0" w:line="9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Benefits under these plans are generally based on either career average or final average salaries and creditable years of service as defined in the plans. The annual cost for these plans is determined using the projected unit credit actuarial cost method that includes actuarial assumptions and estimates which are subject to change.</w:t>
      </w:r>
    </w:p>
    <w:p>
      <w:pPr>
        <w:spacing w:after="0" w:line="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Some of the our foreign subsidiaries have defined benefit pension plans covering substantially all full time employees at those subsidiaries. Net periodic benefit costs for the plans in the aggregate include the following components: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29,</w:t>
            </w:r>
          </w:p>
        </w:tc>
        <w:tc>
          <w:tcPr>
            <w:tcW w:w="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30,</w:t>
            </w:r>
          </w:p>
        </w:tc>
        <w:tc>
          <w:tcPr>
            <w:tcW w:w="260" w:type="dxa"/>
            <w:vAlign w:val="bottom"/>
          </w:tcPr>
          <w:p>
            <w:pPr>
              <w:spacing w:after="0"/>
              <w:rPr>
                <w:sz w:val="14"/>
                <w:szCs w:val="14"/>
                <w:color w:val="auto"/>
              </w:rPr>
            </w:pPr>
          </w:p>
        </w:tc>
        <w:tc>
          <w:tcPr>
            <w:tcW w:w="1220" w:type="dxa"/>
            <w:vAlign w:val="bottom"/>
          </w:tcPr>
          <w:p>
            <w:pPr>
              <w:jc w:val="right"/>
              <w:ind w:right="354"/>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2,545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cost on benefit obligation</w:t>
            </w: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601</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(return)/loss on plan assets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Actuarial loss/(gain)</w:t>
            </w: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(385)</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unrecognized prior service cost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Amortization of unrecognized transition obligation</w:t>
            </w: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221</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3,856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3,215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2,953</w:t>
            </w: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6" w:right="239" w:bottom="1440" w:gutter="0" w:footer="0" w:header="0"/>
        </w:sectPr>
      </w:pPr>
    </w:p>
    <w:bookmarkStart w:id="76" w:name="page77"/>
    <w:bookmarkEnd w:id="76"/>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The activity under those defined benefit plans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29,</w:t>
            </w:r>
          </w:p>
        </w:tc>
        <w:tc>
          <w:tcPr>
            <w:tcW w:w="260" w:type="dxa"/>
            <w:vAlign w:val="bottom"/>
          </w:tcPr>
          <w:p>
            <w:pPr>
              <w:spacing w:after="0"/>
              <w:rPr>
                <w:sz w:val="14"/>
                <w:szCs w:val="14"/>
                <w:color w:val="auto"/>
              </w:rPr>
            </w:pPr>
          </w:p>
        </w:tc>
        <w:tc>
          <w:tcPr>
            <w:tcW w:w="1220" w:type="dxa"/>
            <w:vAlign w:val="bottom"/>
          </w:tcPr>
          <w:p>
            <w:pPr>
              <w:jc w:val="right"/>
              <w:ind w:right="352"/>
              <w:spacing w:after="0"/>
              <w:rPr>
                <w:sz w:val="20"/>
                <w:szCs w:val="20"/>
                <w:color w:val="auto"/>
              </w:rPr>
            </w:pPr>
            <w:r>
              <w:rPr>
                <w:rFonts w:ascii="Arial" w:cs="Arial" w:eastAsia="Arial" w:hAnsi="Arial"/>
                <w:sz w:val="14"/>
                <w:szCs w:val="14"/>
                <w:b w:val="1"/>
                <w:bCs w:val="1"/>
                <w:color w:val="auto"/>
              </w:rPr>
              <w:t>March 30,</w:t>
            </w:r>
          </w:p>
        </w:tc>
      </w:t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Benefit Obligation: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Benefit Obligation, beginning of year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(30,126)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(27,150)</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 cost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(639)</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Benefits paid</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3,210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Actuarial (loss)/gain</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(1,364)</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Employee and plan participants contribution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Plan Amendments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changes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1,502</w:t>
            </w: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Benefit obligation, end of year</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(32,621)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(30,126)</w:t>
            </w: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Plan Assets: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Fair value of plan assets, beginning of year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19,577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18,185</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Company contributions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(3,210)</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Gain/(Loss)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Employee and plan participants contributions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3,087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2,926</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changes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(1,102)</w:t>
            </w: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Fair value of Plan Assets, end of year</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19,981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19,577</w:t>
            </w: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Funded Status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(12,640)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(10,549)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Unrecognized net actuarial loss/(gain)</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5,899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5,418</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initial obligation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Unrecognized prior service cost</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138</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amount recognized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(7,069)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(4,809)</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One of the benefit plans is funded by benefit payments made by the Company. Accordingly that plan has no assets included in the information presented above. The total liability for this plan was $7.4 million and $5.4 million as of March 29, 2014 and March 30, 2013, respectively.</w:t>
      </w:r>
    </w:p>
    <w:p>
      <w:pPr>
        <w:spacing w:after="0" w:line="52"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accumulated benefit obligation for all plans was $30.9 million and $28.1 million for the fiscal year ended March 29, 2014 and March 30, 2013, respectively.</w:t>
      </w:r>
    </w:p>
    <w:p>
      <w:pPr>
        <w:spacing w:after="0" w:line="7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projected benefit obligation, accumulated benefit obligation, and fair value of plan assets for the pension plans with an accumulated benefit obligation in excess of plan assets were $32.6 million, $30.9 million and $20.0 million, respectively, as of March 29, 2014 and $30.1 million, $28.1 million and $19.6 million, respectively, as of March 30, 2013. There were no plans where the plan assets were greater than the accumulated benefit obligation as of March 29, 2014 and March 30, 2013.</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6" w:right="239" w:bottom="1440" w:gutter="0" w:footer="0" w:header="0"/>
        </w:sectPr>
      </w:pPr>
    </w:p>
    <w:bookmarkStart w:id="77" w:name="page78"/>
    <w:bookmarkEnd w:id="77"/>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components of the change recorded in our accumulated other comprehensive income related to our defined benefit plans, net of tax, are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April 2, 2011</w:t>
            </w: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43"/>
        </w:trPr>
        <w:tc>
          <w:tcPr>
            <w:tcW w:w="6880" w:type="dxa"/>
            <w:vAlign w:val="bottom"/>
            <w:gridSpan w:val="2"/>
          </w:tcPr>
          <w:p>
            <w:pPr>
              <w:ind w:left="40"/>
              <w:spacing w:after="0"/>
              <w:rPr>
                <w:sz w:val="20"/>
                <w:szCs w:val="20"/>
                <w:color w:val="auto"/>
              </w:rPr>
            </w:pPr>
            <w:r>
              <w:rPr>
                <w:rFonts w:ascii="Arial" w:cs="Arial" w:eastAsia="Arial" w:hAnsi="Arial"/>
                <w:sz w:val="18"/>
                <w:szCs w:val="18"/>
                <w:color w:val="auto"/>
              </w:rPr>
              <w:t>Obligation at transition</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Actuarial loss</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0" w:type="dxa"/>
            <w:vAlign w:val="bottom"/>
          </w:tcPr>
          <w:p>
            <w:pPr>
              <w:spacing w:after="0"/>
              <w:rPr>
                <w:sz w:val="1"/>
                <w:szCs w:val="1"/>
                <w:color w:val="auto"/>
              </w:rPr>
            </w:pPr>
          </w:p>
        </w:tc>
      </w:tr>
      <w:tr>
        <w:trPr>
          <w:trHeight w:val="243"/>
        </w:trPr>
        <w:tc>
          <w:tcPr>
            <w:tcW w:w="6880" w:type="dxa"/>
            <w:vAlign w:val="bottom"/>
            <w:gridSpan w:val="2"/>
          </w:tcPr>
          <w:p>
            <w:pPr>
              <w:ind w:left="40"/>
              <w:spacing w:after="0"/>
              <w:rPr>
                <w:sz w:val="20"/>
                <w:szCs w:val="20"/>
                <w:color w:val="auto"/>
              </w:rPr>
            </w:pPr>
            <w:r>
              <w:rPr>
                <w:rFonts w:ascii="Arial" w:cs="Arial" w:eastAsia="Arial" w:hAnsi="Arial"/>
                <w:sz w:val="18"/>
                <w:szCs w:val="18"/>
                <w:color w:val="auto"/>
              </w:rPr>
              <w:t>Prior service cost</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March 31, 2012</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(4,253)</w:t>
            </w:r>
          </w:p>
        </w:tc>
        <w:tc>
          <w:tcPr>
            <w:tcW w:w="0" w:type="dxa"/>
            <w:vAlign w:val="bottom"/>
          </w:tcPr>
          <w:p>
            <w:pPr>
              <w:spacing w:after="0"/>
              <w:rPr>
                <w:sz w:val="1"/>
                <w:szCs w:val="1"/>
                <w:color w:val="auto"/>
              </w:rPr>
            </w:pPr>
          </w:p>
        </w:tc>
      </w:tr>
      <w:tr>
        <w:trPr>
          <w:trHeight w:val="243"/>
        </w:trPr>
        <w:tc>
          <w:tcPr>
            <w:tcW w:w="6880" w:type="dxa"/>
            <w:vAlign w:val="bottom"/>
            <w:gridSpan w:val="2"/>
          </w:tcPr>
          <w:p>
            <w:pPr>
              <w:ind w:left="40"/>
              <w:spacing w:after="0"/>
              <w:rPr>
                <w:sz w:val="20"/>
                <w:szCs w:val="20"/>
                <w:color w:val="auto"/>
              </w:rPr>
            </w:pPr>
            <w:r>
              <w:rPr>
                <w:rFonts w:ascii="Arial" w:cs="Arial" w:eastAsia="Arial" w:hAnsi="Arial"/>
                <w:sz w:val="18"/>
                <w:szCs w:val="18"/>
                <w:color w:val="auto"/>
              </w:rPr>
              <w:t>Obligation at transition</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Actuarial loss</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43"/>
        </w:trPr>
        <w:tc>
          <w:tcPr>
            <w:tcW w:w="6880" w:type="dxa"/>
            <w:vAlign w:val="bottom"/>
            <w:gridSpan w:val="2"/>
          </w:tcPr>
          <w:p>
            <w:pPr>
              <w:ind w:left="40"/>
              <w:spacing w:after="0"/>
              <w:rPr>
                <w:sz w:val="20"/>
                <w:szCs w:val="20"/>
                <w:color w:val="auto"/>
              </w:rPr>
            </w:pPr>
            <w:r>
              <w:rPr>
                <w:rFonts w:ascii="Arial" w:cs="Arial" w:eastAsia="Arial" w:hAnsi="Arial"/>
                <w:sz w:val="18"/>
                <w:szCs w:val="18"/>
                <w:color w:val="auto"/>
              </w:rPr>
              <w:t>Prior service cost</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March 30, 2013</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(5,073)</w:t>
            </w:r>
          </w:p>
        </w:tc>
        <w:tc>
          <w:tcPr>
            <w:tcW w:w="0" w:type="dxa"/>
            <w:vAlign w:val="bottom"/>
          </w:tcPr>
          <w:p>
            <w:pPr>
              <w:spacing w:after="0"/>
              <w:rPr>
                <w:sz w:val="1"/>
                <w:szCs w:val="1"/>
                <w:color w:val="auto"/>
              </w:rPr>
            </w:pPr>
          </w:p>
        </w:tc>
      </w:tr>
      <w:tr>
        <w:trPr>
          <w:trHeight w:val="243"/>
        </w:trPr>
        <w:tc>
          <w:tcPr>
            <w:tcW w:w="6880" w:type="dxa"/>
            <w:vAlign w:val="bottom"/>
            <w:gridSpan w:val="2"/>
          </w:tcPr>
          <w:p>
            <w:pPr>
              <w:ind w:left="40"/>
              <w:spacing w:after="0"/>
              <w:rPr>
                <w:sz w:val="20"/>
                <w:szCs w:val="20"/>
                <w:color w:val="auto"/>
              </w:rPr>
            </w:pPr>
            <w:r>
              <w:rPr>
                <w:rFonts w:ascii="Arial" w:cs="Arial" w:eastAsia="Arial" w:hAnsi="Arial"/>
                <w:sz w:val="18"/>
                <w:szCs w:val="18"/>
                <w:color w:val="auto"/>
              </w:rPr>
              <w:t>Obligation at transition</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Actuarial loss</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3"/>
        </w:trPr>
        <w:tc>
          <w:tcPr>
            <w:tcW w:w="6880" w:type="dxa"/>
            <w:vAlign w:val="bottom"/>
            <w:gridSpan w:val="2"/>
          </w:tcPr>
          <w:p>
            <w:pPr>
              <w:ind w:left="40"/>
              <w:spacing w:after="0"/>
              <w:rPr>
                <w:sz w:val="20"/>
                <w:szCs w:val="20"/>
                <w:color w:val="auto"/>
              </w:rPr>
            </w:pPr>
            <w:r>
              <w:rPr>
                <w:rFonts w:ascii="Arial" w:cs="Arial" w:eastAsia="Arial" w:hAnsi="Arial"/>
                <w:sz w:val="18"/>
                <w:szCs w:val="18"/>
                <w:color w:val="auto"/>
              </w:rPr>
              <w:t>Prior service cost</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March 29, 2014</w:t>
            </w: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(4,592)</w:t>
            </w: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spacing w:after="0"/>
              <w:rPr>
                <w:sz w:val="20"/>
                <w:szCs w:val="20"/>
                <w:color w:val="auto"/>
              </w:rPr>
            </w:pPr>
            <w:r>
              <w:rPr>
                <w:rFonts w:ascii="Arial" w:cs="Arial" w:eastAsia="Arial" w:hAnsi="Arial"/>
                <w:sz w:val="18"/>
                <w:szCs w:val="18"/>
                <w:color w:val="auto"/>
                <w:w w:val="92"/>
              </w:rPr>
              <w:t>We expect to amortize $0.2 million from accumulated other comprehensive loss during 2014.</w:t>
            </w: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688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940" w:type="dxa"/>
            <w:vAlign w:val="bottom"/>
            <w:gridSpan w:val="7"/>
          </w:tcPr>
          <w:p>
            <w:pPr>
              <w:spacing w:after="0"/>
              <w:rPr>
                <w:sz w:val="20"/>
                <w:szCs w:val="20"/>
                <w:color w:val="auto"/>
              </w:rPr>
            </w:pPr>
            <w:r>
              <w:rPr>
                <w:rFonts w:ascii="Arial" w:cs="Arial" w:eastAsia="Arial" w:hAnsi="Arial"/>
                <w:sz w:val="18"/>
                <w:szCs w:val="18"/>
                <w:color w:val="auto"/>
                <w:w w:val="98"/>
              </w:rPr>
              <w:t>The weighted average rates used to determine the net periodic benefit costs and projected benefit obligations were as follows: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29,</w:t>
            </w:r>
          </w:p>
        </w:tc>
        <w:tc>
          <w:tcPr>
            <w:tcW w:w="1700" w:type="dxa"/>
            <w:vAlign w:val="bottom"/>
            <w:gridSpan w:val="3"/>
          </w:tcPr>
          <w:p>
            <w:pPr>
              <w:ind w:left="440"/>
              <w:spacing w:after="0"/>
              <w:rPr>
                <w:sz w:val="20"/>
                <w:szCs w:val="20"/>
                <w:color w:val="auto"/>
              </w:rPr>
            </w:pPr>
            <w:r>
              <w:rPr>
                <w:rFonts w:ascii="Arial" w:cs="Arial" w:eastAsia="Arial" w:hAnsi="Arial"/>
                <w:sz w:val="14"/>
                <w:szCs w:val="14"/>
                <w:b w:val="1"/>
                <w:bCs w:val="1"/>
                <w:color w:val="auto"/>
              </w:rPr>
              <w:t>March 30,</w:t>
            </w:r>
          </w:p>
        </w:tc>
        <w:tc>
          <w:tcPr>
            <w:tcW w:w="260" w:type="dxa"/>
            <w:vAlign w:val="bottom"/>
          </w:tcPr>
          <w:p>
            <w:pPr>
              <w:spacing w:after="0"/>
              <w:rPr>
                <w:sz w:val="24"/>
                <w:szCs w:val="24"/>
                <w:color w:val="auto"/>
              </w:rPr>
            </w:pPr>
          </w:p>
        </w:tc>
        <w:tc>
          <w:tcPr>
            <w:tcW w:w="1220" w:type="dxa"/>
            <w:vAlign w:val="bottom"/>
          </w:tcPr>
          <w:p>
            <w:pPr>
              <w:jc w:val="right"/>
              <w:ind w:right="392"/>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65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6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43"/>
        </w:trPr>
        <w:tc>
          <w:tcPr>
            <w:tcW w:w="6880" w:type="dxa"/>
            <w:vAlign w:val="bottom"/>
            <w:gridSpan w:val="2"/>
          </w:tcPr>
          <w:p>
            <w:pPr>
              <w:ind w:left="40"/>
              <w:spacing w:after="0"/>
              <w:rPr>
                <w:sz w:val="20"/>
                <w:szCs w:val="20"/>
                <w:color w:val="auto"/>
              </w:rPr>
            </w:pPr>
            <w:r>
              <w:rPr>
                <w:rFonts w:ascii="Arial" w:cs="Arial" w:eastAsia="Arial" w:hAnsi="Arial"/>
                <w:sz w:val="18"/>
                <w:szCs w:val="18"/>
                <w:color w:val="auto"/>
              </w:rPr>
              <w:t>Rate of increased salary levels</w:t>
            </w:r>
          </w:p>
        </w:tc>
        <w:tc>
          <w:tcPr>
            <w:tcW w:w="124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Expected long-term rate of return on assets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
        </w:trPr>
        <w:tc>
          <w:tcPr>
            <w:tcW w:w="65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Assumptions for expected long-term rate of return on plan assets are based upon actual historical returns, future expectations of returns for each asset class and the effect of periodic target asset allocation rebalancing. The results are adjusted for the payment of reasonable expenses of the plan from plan assets.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We have no other material obligation for post-retirement or post-employment benefits.</w:t>
      </w:r>
    </w:p>
    <w:p>
      <w:pPr>
        <w:spacing w:after="0" w:line="13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Our investment policy for pension plans is to balance risk and return through a diversified portfolio to reduce interest rate and market risk. Maturities are managed so that sufficient liquidity exists to meet immediate and future benefit payment requirements.</w:t>
      </w:r>
    </w:p>
    <w:p>
      <w:pPr>
        <w:spacing w:after="0" w:line="76"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 xml:space="preserve">ASC Topic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provides guidance for reporting and measuring the plan assets of our defined benefit pension plan at fair value as of March 29, 2014. Using the same three-level valuation hierarchy for disclosure of fair value measurements as described in Note 7, all of the assets of the Company’s plan are classified within Level 2 of the fair value hierarchy because the plan assets are primarily insurance contracts.</w:t>
      </w:r>
    </w:p>
    <w:p>
      <w:pPr>
        <w:spacing w:after="0" w:line="5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Expected benefit payments for both plans are estimated using the same assumptions used in determining the company’s benefit obligation at March 29, 2014. Benefit payments will depend on future employment and compensation levels, average years employed and average life spans, among other factors, and changes in any of these factors could significantly affect these estimated future benefit payments.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6" w:right="239" w:bottom="1440" w:gutter="0" w:footer="0" w:header="0"/>
        </w:sectPr>
      </w:pPr>
    </w:p>
    <w:bookmarkStart w:id="78" w:name="page79"/>
    <w:bookmarkEnd w:id="78"/>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color w:val="auto"/>
        </w:rPr>
        <w:t>Estimated future benefit payments during the next five years and in the aggregate for the five fiscal years thereafter, are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gridSpan w:val="2"/>
          </w:tcPr>
          <w:p>
            <w:pPr>
              <w:ind w:left="40"/>
              <w:spacing w:after="0"/>
              <w:rPr>
                <w:sz w:val="20"/>
                <w:szCs w:val="20"/>
                <w:color w:val="auto"/>
              </w:rPr>
            </w:pPr>
            <w:r>
              <w:rPr>
                <w:rFonts w:ascii="Arial" w:cs="Arial" w:eastAsia="Arial" w:hAnsi="Arial"/>
                <w:sz w:val="18"/>
                <w:szCs w:val="18"/>
                <w:b w:val="1"/>
                <w:bCs w:val="1"/>
                <w:color w:val="auto"/>
              </w:rPr>
              <w:t>Expected Benefit Payments</w:t>
            </w:r>
          </w:p>
        </w:tc>
        <w:tc>
          <w:tcPr>
            <w:tcW w:w="21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8320" w:type="dxa"/>
            <w:vAlign w:val="bottom"/>
            <w:gridSpan w:val="2"/>
          </w:tcPr>
          <w:p>
            <w:pPr>
              <w:spacing w:after="0"/>
              <w:rPr>
                <w:sz w:val="2"/>
                <w:szCs w:val="2"/>
                <w:color w:val="auto"/>
              </w:rPr>
            </w:pPr>
          </w:p>
        </w:tc>
        <w:tc>
          <w:tcPr>
            <w:tcW w:w="2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Fiscal Year 2015</w:t>
            </w:r>
          </w:p>
        </w:tc>
        <w:tc>
          <w:tcPr>
            <w:tcW w:w="21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2,023</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Fiscal Year 2016</w:t>
            </w:r>
          </w:p>
        </w:tc>
        <w:tc>
          <w:tcPr>
            <w:tcW w:w="21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1,897</w:t>
            </w:r>
          </w:p>
        </w:tc>
      </w:tr>
      <w:tr>
        <w:trPr>
          <w:trHeight w:val="27"/>
        </w:trPr>
        <w:tc>
          <w:tcPr>
            <w:tcW w:w="8320" w:type="dxa"/>
            <w:vAlign w:val="bottom"/>
            <w:gridSpan w:val="2"/>
          </w:tcPr>
          <w:p>
            <w:pPr>
              <w:spacing w:after="0"/>
              <w:rPr>
                <w:sz w:val="2"/>
                <w:szCs w:val="2"/>
                <w:color w:val="auto"/>
              </w:rPr>
            </w:pPr>
          </w:p>
        </w:tc>
        <w:tc>
          <w:tcPr>
            <w:tcW w:w="2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Fiscal Year 2017</w:t>
            </w:r>
          </w:p>
        </w:tc>
        <w:tc>
          <w:tcPr>
            <w:tcW w:w="21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1,907</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Fiscal Year 2018</w:t>
            </w:r>
          </w:p>
        </w:tc>
        <w:tc>
          <w:tcPr>
            <w:tcW w:w="21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1,578</w:t>
            </w:r>
          </w:p>
        </w:tc>
      </w:tr>
      <w:tr>
        <w:trPr>
          <w:trHeight w:val="27"/>
        </w:trPr>
        <w:tc>
          <w:tcPr>
            <w:tcW w:w="8320" w:type="dxa"/>
            <w:vAlign w:val="bottom"/>
            <w:gridSpan w:val="2"/>
          </w:tcPr>
          <w:p>
            <w:pPr>
              <w:spacing w:after="0"/>
              <w:rPr>
                <w:sz w:val="2"/>
                <w:szCs w:val="2"/>
                <w:color w:val="auto"/>
              </w:rPr>
            </w:pPr>
          </w:p>
        </w:tc>
        <w:tc>
          <w:tcPr>
            <w:tcW w:w="2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Fiscal Year 2019</w:t>
            </w:r>
          </w:p>
        </w:tc>
        <w:tc>
          <w:tcPr>
            <w:tcW w:w="21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1,645</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Fiscal Year 2020-2024</w:t>
            </w:r>
          </w:p>
        </w:tc>
        <w:tc>
          <w:tcPr>
            <w:tcW w:w="21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8,295</w:t>
            </w:r>
          </w:p>
        </w:tc>
      </w:tr>
      <w:tr>
        <w:trPr>
          <w:trHeight w:val="365"/>
        </w:trPr>
        <w:tc>
          <w:tcPr>
            <w:tcW w:w="8320" w:type="dxa"/>
            <w:vAlign w:val="bottom"/>
            <w:gridSpan w:val="2"/>
          </w:tcPr>
          <w:p>
            <w:pPr>
              <w:spacing w:after="0"/>
              <w:rPr>
                <w:sz w:val="20"/>
                <w:szCs w:val="20"/>
                <w:color w:val="auto"/>
              </w:rPr>
            </w:pPr>
            <w:r>
              <w:rPr>
                <w:rFonts w:ascii="Arial" w:cs="Arial" w:eastAsia="Arial" w:hAnsi="Arial"/>
                <w:sz w:val="18"/>
                <w:szCs w:val="18"/>
                <w:color w:val="auto"/>
              </w:rPr>
              <w:t>The Company's contributions for fiscal 2015 are expected to be consistent with current year.</w:t>
            </w:r>
          </w:p>
        </w:tc>
        <w:tc>
          <w:tcPr>
            <w:tcW w:w="2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513"/>
        </w:trPr>
        <w:tc>
          <w:tcPr>
            <w:tcW w:w="560" w:type="dxa"/>
            <w:vAlign w:val="bottom"/>
          </w:tcPr>
          <w:p>
            <w:pPr>
              <w:spacing w:after="0"/>
              <w:rPr>
                <w:sz w:val="20"/>
                <w:szCs w:val="20"/>
                <w:color w:val="auto"/>
              </w:rPr>
            </w:pPr>
            <w:r>
              <w:rPr>
                <w:rFonts w:ascii="Arial" w:cs="Arial" w:eastAsia="Arial" w:hAnsi="Arial"/>
                <w:sz w:val="18"/>
                <w:szCs w:val="18"/>
                <w:b w:val="1"/>
                <w:bCs w:val="1"/>
                <w:color w:val="auto"/>
              </w:rPr>
              <w:t>15.</w:t>
            </w:r>
          </w:p>
        </w:tc>
        <w:tc>
          <w:tcPr>
            <w:tcW w:w="7760" w:type="dxa"/>
            <w:vAlign w:val="bottom"/>
          </w:tcPr>
          <w:p>
            <w:pPr>
              <w:ind w:left="320"/>
              <w:spacing w:after="0"/>
              <w:rPr>
                <w:sz w:val="20"/>
                <w:szCs w:val="20"/>
                <w:color w:val="auto"/>
              </w:rPr>
            </w:pPr>
            <w:r>
              <w:rPr>
                <w:rFonts w:ascii="Arial" w:cs="Arial" w:eastAsia="Arial" w:hAnsi="Arial"/>
                <w:sz w:val="18"/>
                <w:szCs w:val="18"/>
                <w:b w:val="1"/>
                <w:bCs w:val="1"/>
                <w:color w:val="auto"/>
              </w:rPr>
              <w:t>SEGMENT INFORMATION</w:t>
            </w:r>
          </w:p>
        </w:tc>
        <w:tc>
          <w:tcPr>
            <w:tcW w:w="21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Definition Criteria</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We manage a global business which designs, manufactures and markets blood management solutions. Our solutions are marketed through operating units organized based primarily on geography: North America Plasma, North America Blood Center and Hospital, Europe, Asia Pacific and Japan. Prior to fiscal 2014 we determined we operated a single operating segment, blood management solutions, based on our CODM primarily using consolidated results to make operating and strategic decisions. During fiscal 2014 our CODM utilized financial results by operating units organized primarily on geography due to changes in the composition in the executive staff reporting to the CODM. Based on these changes we determined the five operating units noted above represent operating segments as defined under ASC 280 - </w:t>
      </w:r>
      <w:r>
        <w:rPr>
          <w:rFonts w:ascii="Arial" w:cs="Arial" w:eastAsia="Arial" w:hAnsi="Arial"/>
          <w:sz w:val="17"/>
          <w:szCs w:val="17"/>
          <w:i w:val="1"/>
          <w:iCs w:val="1"/>
          <w:color w:val="auto"/>
        </w:rPr>
        <w:t>Segment Reporting</w:t>
      </w:r>
      <w:r>
        <w:rPr>
          <w:rFonts w:ascii="Arial" w:cs="Arial" w:eastAsia="Arial" w:hAnsi="Arial"/>
          <w:sz w:val="17"/>
          <w:szCs w:val="17"/>
          <w:color w:val="auto"/>
        </w:rPr>
        <w:t>.</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ASC 280 - Segment Reporting permits aggregation of segments which are economically similar as well as similar in all of the following areas: (i) the nature of the products and services, (ii) the nature of the production processes, (iii) the type or class of customer for their products and services, (iv) the methods used to distribute their products or provide their services, and (v) the nature of the regulatory environment. We determined each operating segment is similar based on the criteria of ASC 280 and accordingly aggregate our five operating segments into one reportable segment. This conclusion is consistent with how our chief operating decision-maker views the business. Our chief operating decision maker primarily uses consolidated results to make operating and strategic decisions.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Enterprise Wide Disclosures About Product and Services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We have four global product families: plasma, blood center, hospital, and software solutions.</w:t>
      </w:r>
    </w:p>
    <w:p>
      <w:pPr>
        <w:spacing w:after="0" w:line="131" w:lineRule="exact"/>
        <w:rPr>
          <w:sz w:val="20"/>
          <w:szCs w:val="20"/>
          <w:color w:val="auto"/>
        </w:rPr>
      </w:pPr>
    </w:p>
    <w:p>
      <w:pPr>
        <w:ind w:right="180"/>
        <w:spacing w:after="0" w:line="264" w:lineRule="auto"/>
        <w:rPr>
          <w:sz w:val="20"/>
          <w:szCs w:val="20"/>
          <w:color w:val="auto"/>
        </w:rPr>
      </w:pPr>
      <w:r>
        <w:rPr>
          <w:rFonts w:ascii="Arial" w:cs="Arial" w:eastAsia="Arial" w:hAnsi="Arial"/>
          <w:sz w:val="16"/>
          <w:szCs w:val="16"/>
          <w:color w:val="auto"/>
        </w:rPr>
        <w:t>Our products include whole blood disposables, equipment devices and the related disposables used with these devices. Disposables include part of plasma, blood center, and hospital product families. Plasma consists of the disposables used to perform apheresis for the separation of whole blood components and subsequent collection of plasma to be used as a raw material for biologically derived pharmaceuticals. Blood center consists of disposables which separate whole blood for the subsequent collection of platelets, plasma, red cells, or a combination of these components for transfusion to patients as well as disposables for manual whole blood collection. Hospital consists of surgical disposables (principally the Cell Saver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autologous blood recovery system targeted to procedures that involve rapid, high volume blood loss such as cardiovascular surgeries), the OrthoPAT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orthopedic perioperative autotransfusion system designed to operate both during and after surgery to recover and wash the patient’s red cells to prepare them for reinfusion, and diagnostics products (principally the TEG</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Thrombelastograph</w:t>
      </w:r>
      <w:r>
        <w:rPr>
          <w:rFonts w:ascii="Arial" w:cs="Arial" w:eastAsia="Arial" w:hAnsi="Arial"/>
          <w:sz w:val="22"/>
          <w:szCs w:val="22"/>
          <w:color w:val="auto"/>
          <w:vertAlign w:val="superscript"/>
        </w:rPr>
        <w:t>®</w:t>
      </w:r>
      <w:r>
        <w:rPr>
          <w:rFonts w:ascii="Arial" w:cs="Arial" w:eastAsia="Arial" w:hAnsi="Arial"/>
          <w:sz w:val="16"/>
          <w:szCs w:val="16"/>
          <w:color w:val="auto"/>
        </w:rPr>
        <w:t xml:space="preserve"> hemostasis analyzer used to help assess a surgical patient’s hemostasis during and after surgery).</w:t>
      </w:r>
    </w:p>
    <w:p>
      <w:pPr>
        <w:spacing w:after="0" w:line="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Software solutions include information technology platforms that assist blood centers, plasma centers, and hospitals to more effectively manage regulatory compliance and operational efficiency.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6" w:right="239" w:bottom="1440" w:gutter="0" w:footer="0" w:header="0"/>
        </w:sectPr>
      </w:pPr>
    </w:p>
    <w:bookmarkStart w:id="79" w:name="page80"/>
    <w:bookmarkEnd w:id="79"/>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Revenues from External Customers: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4"/>
          </w:tcPr>
          <w:p>
            <w:pPr>
              <w:jc w:val="right"/>
              <w:ind w:right="308"/>
              <w:spacing w:after="0"/>
              <w:rPr>
                <w:sz w:val="20"/>
                <w:szCs w:val="20"/>
                <w:color w:val="auto"/>
              </w:rPr>
            </w:pPr>
            <w:r>
              <w:rPr>
                <w:rFonts w:ascii="Arial" w:cs="Arial" w:eastAsia="Arial" w:hAnsi="Arial"/>
                <w:sz w:val="14"/>
                <w:szCs w:val="14"/>
                <w:b w:val="1"/>
                <w:bCs w:val="1"/>
                <w:color w:val="auto"/>
              </w:rPr>
              <w:t>March 29,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w w:val="99"/>
              </w:rPr>
              <w:t>March 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355"/>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Disposable revenues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40" w:type="dxa"/>
            <w:vAlign w:val="bottom"/>
          </w:tcPr>
          <w:p>
            <w:pPr>
              <w:ind w:left="180"/>
              <w:spacing w:after="0"/>
              <w:rPr>
                <w:sz w:val="20"/>
                <w:szCs w:val="20"/>
                <w:color w:val="auto"/>
              </w:rPr>
            </w:pPr>
            <w:r>
              <w:rPr>
                <w:rFonts w:ascii="Arial" w:cs="Arial" w:eastAsia="Arial" w:hAnsi="Arial"/>
                <w:sz w:val="18"/>
                <w:szCs w:val="18"/>
                <w:color w:val="auto"/>
              </w:rPr>
              <w:t>Plasma disposables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ind w:right="556"/>
              <w:spacing w:after="0"/>
              <w:rPr>
                <w:sz w:val="20"/>
                <w:szCs w:val="20"/>
                <w:color w:val="auto"/>
              </w:rPr>
            </w:pPr>
            <w:r>
              <w:rPr>
                <w:rFonts w:ascii="Arial" w:cs="Arial" w:eastAsia="Arial" w:hAnsi="Arial"/>
                <w:sz w:val="18"/>
                <w:szCs w:val="18"/>
                <w:color w:val="auto"/>
                <w:w w:val="99"/>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95"/>
              </w:rPr>
              <w:t>291,895</w:t>
            </w:r>
          </w:p>
        </w:tc>
        <w:tc>
          <w:tcPr>
            <w:tcW w:w="56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w w:val="95"/>
              </w:rPr>
              <w:t>268,900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258,061</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Blood center disposables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40" w:type="dxa"/>
            <w:vAlign w:val="bottom"/>
          </w:tcPr>
          <w:p>
            <w:pPr>
              <w:ind w:left="380"/>
              <w:spacing w:after="0"/>
              <w:rPr>
                <w:sz w:val="20"/>
                <w:szCs w:val="20"/>
                <w:color w:val="auto"/>
              </w:rPr>
            </w:pPr>
            <w:r>
              <w:rPr>
                <w:rFonts w:ascii="Arial" w:cs="Arial" w:eastAsia="Arial" w:hAnsi="Arial"/>
                <w:sz w:val="18"/>
                <w:szCs w:val="18"/>
                <w:color w:val="auto"/>
              </w:rPr>
              <w:t>Platelet</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95"/>
              </w:rPr>
              <w:t>156,643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w w:val="95"/>
              </w:rPr>
              <w:t>169,602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167,946</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Red cell</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42,378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49,733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48,034</w:t>
            </w:r>
          </w:p>
        </w:tc>
        <w:tc>
          <w:tcPr>
            <w:tcW w:w="0" w:type="dxa"/>
            <w:vAlign w:val="bottom"/>
          </w:tcPr>
          <w:p>
            <w:pPr>
              <w:spacing w:after="0"/>
              <w:rPr>
                <w:sz w:val="1"/>
                <w:szCs w:val="1"/>
                <w:color w:val="auto"/>
              </w:rPr>
            </w:pPr>
          </w:p>
        </w:tc>
      </w:tr>
      <w:tr>
        <w:trPr>
          <w:trHeight w:val="243"/>
        </w:trPr>
        <w:tc>
          <w:tcPr>
            <w:tcW w:w="2640" w:type="dxa"/>
            <w:vAlign w:val="bottom"/>
          </w:tcPr>
          <w:p>
            <w:pPr>
              <w:ind w:left="380"/>
              <w:spacing w:after="0"/>
              <w:rPr>
                <w:sz w:val="20"/>
                <w:szCs w:val="20"/>
                <w:color w:val="auto"/>
              </w:rPr>
            </w:pPr>
            <w:r>
              <w:rPr>
                <w:rFonts w:ascii="Arial" w:cs="Arial" w:eastAsia="Arial" w:hAnsi="Arial"/>
                <w:sz w:val="18"/>
                <w:szCs w:val="18"/>
                <w:color w:val="auto"/>
              </w:rPr>
              <w:t>Whole blood</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95"/>
              </w:rPr>
              <w:t>190,698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w w:val="95"/>
              </w:rPr>
              <w:t>138,436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6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389,719</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5"/>
              </w:rPr>
              <w:t>357,771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215,980</w:t>
            </w:r>
          </w:p>
        </w:tc>
        <w:tc>
          <w:tcPr>
            <w:tcW w:w="0" w:type="dxa"/>
            <w:vAlign w:val="bottom"/>
          </w:tcPr>
          <w:p>
            <w:pPr>
              <w:spacing w:after="0"/>
              <w:rPr>
                <w:sz w:val="1"/>
                <w:szCs w:val="1"/>
                <w:color w:val="auto"/>
              </w:rPr>
            </w:pPr>
          </w:p>
        </w:tc>
      </w:tr>
      <w:tr>
        <w:trPr>
          <w:trHeight w:val="237"/>
        </w:trPr>
        <w:tc>
          <w:tcPr>
            <w:tcW w:w="2640" w:type="dxa"/>
            <w:vAlign w:val="bottom"/>
          </w:tcPr>
          <w:p>
            <w:pPr>
              <w:ind w:left="180"/>
              <w:spacing w:after="0"/>
              <w:rPr>
                <w:sz w:val="20"/>
                <w:szCs w:val="20"/>
                <w:color w:val="auto"/>
              </w:rPr>
            </w:pPr>
            <w:r>
              <w:rPr>
                <w:rFonts w:ascii="Arial" w:cs="Arial" w:eastAsia="Arial" w:hAnsi="Arial"/>
                <w:sz w:val="18"/>
                <w:szCs w:val="18"/>
                <w:color w:val="auto"/>
              </w:rPr>
              <w:t>Hospital disposables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Surgical</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66,876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73,508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66,619</w:t>
            </w:r>
          </w:p>
        </w:tc>
        <w:tc>
          <w:tcPr>
            <w:tcW w:w="0" w:type="dxa"/>
            <w:vAlign w:val="bottom"/>
          </w:tcPr>
          <w:p>
            <w:pPr>
              <w:spacing w:after="0"/>
              <w:rPr>
                <w:sz w:val="1"/>
                <w:szCs w:val="1"/>
                <w:color w:val="auto"/>
              </w:rPr>
            </w:pPr>
          </w:p>
        </w:tc>
      </w:tr>
      <w:tr>
        <w:trPr>
          <w:trHeight w:val="243"/>
        </w:trPr>
        <w:tc>
          <w:tcPr>
            <w:tcW w:w="2640" w:type="dxa"/>
            <w:vAlign w:val="bottom"/>
          </w:tcPr>
          <w:p>
            <w:pPr>
              <w:ind w:left="380"/>
              <w:spacing w:after="0"/>
              <w:rPr>
                <w:sz w:val="20"/>
                <w:szCs w:val="20"/>
                <w:color w:val="auto"/>
              </w:rPr>
            </w:pPr>
            <w:r>
              <w:rPr>
                <w:rFonts w:ascii="Arial" w:cs="Arial" w:eastAsia="Arial" w:hAnsi="Arial"/>
                <w:sz w:val="18"/>
                <w:szCs w:val="18"/>
                <w:color w:val="auto"/>
              </w:rPr>
              <w:t>OrthoPAT</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25,042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30,230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31,186</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Diagnostics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33,302</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27,356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23,087</w:t>
            </w:r>
          </w:p>
        </w:tc>
        <w:tc>
          <w:tcPr>
            <w:tcW w:w="0" w:type="dxa"/>
            <w:vAlign w:val="bottom"/>
          </w:tcPr>
          <w:p>
            <w:pPr>
              <w:spacing w:after="0"/>
              <w:rPr>
                <w:sz w:val="1"/>
                <w:szCs w:val="1"/>
                <w:color w:val="auto"/>
              </w:rPr>
            </w:pPr>
          </w:p>
        </w:tc>
      </w:tr>
      <w:tr>
        <w:trPr>
          <w:trHeight w:val="237"/>
        </w:trPr>
        <w:tc>
          <w:tcPr>
            <w:tcW w:w="2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5"/>
              </w:rPr>
              <w:t>125,220</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5"/>
              </w:rPr>
              <w:t>131,094</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120,892</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Disposables revenue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806,834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5"/>
              </w:rPr>
              <w:t>757,765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594,933</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Software solutions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70,441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69,952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70,557</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&amp; other</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61,234</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64,273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62,354</w:t>
            </w:r>
          </w:p>
        </w:tc>
        <w:tc>
          <w:tcPr>
            <w:tcW w:w="0" w:type="dxa"/>
            <w:vAlign w:val="bottom"/>
          </w:tcPr>
          <w:p>
            <w:pPr>
              <w:spacing w:after="0"/>
              <w:rPr>
                <w:sz w:val="1"/>
                <w:szCs w:val="1"/>
                <w:color w:val="auto"/>
              </w:rPr>
            </w:pPr>
          </w:p>
        </w:tc>
      </w:tr>
      <w:tr>
        <w:trPr>
          <w:trHeight w:val="257"/>
        </w:trPr>
        <w:tc>
          <w:tcPr>
            <w:tcW w:w="2640" w:type="dxa"/>
            <w:vAlign w:val="bottom"/>
          </w:tcPr>
          <w:p>
            <w:pPr>
              <w:ind w:left="40"/>
              <w:spacing w:after="0"/>
              <w:rPr>
                <w:sz w:val="20"/>
                <w:szCs w:val="20"/>
                <w:color w:val="auto"/>
              </w:rPr>
            </w:pPr>
            <w:r>
              <w:rPr>
                <w:rFonts w:ascii="Arial" w:cs="Arial" w:eastAsia="Arial" w:hAnsi="Arial"/>
                <w:sz w:val="18"/>
                <w:szCs w:val="18"/>
                <w:b w:val="1"/>
                <w:bCs w:val="1"/>
                <w:color w:val="auto"/>
              </w:rPr>
              <w:t>Total revenues</w:t>
            </w: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5"/>
              </w:rPr>
              <w:t>938,509</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w w:val="95"/>
              </w:rPr>
              <w:t>891,990</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w w:val="79"/>
              </w:rPr>
              <w:t>$</w:t>
            </w:r>
          </w:p>
        </w:tc>
        <w:tc>
          <w:tcPr>
            <w:tcW w:w="1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727,844</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2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00" w:type="dxa"/>
            <w:vAlign w:val="bottom"/>
            <w:gridSpan w:val="13"/>
          </w:tcPr>
          <w:p>
            <w:pPr>
              <w:jc w:val="right"/>
              <w:ind w:right="208"/>
              <w:spacing w:after="0"/>
              <w:rPr>
                <w:sz w:val="20"/>
                <w:szCs w:val="20"/>
                <w:color w:val="auto"/>
              </w:rPr>
            </w:pPr>
            <w:r>
              <w:rPr>
                <w:rFonts w:ascii="Arial" w:cs="Arial" w:eastAsia="Arial" w:hAnsi="Arial"/>
                <w:sz w:val="18"/>
                <w:szCs w:val="18"/>
                <w:b w:val="1"/>
                <w:bCs w:val="1"/>
                <w:color w:val="auto"/>
              </w:rPr>
              <w:t>Enterprise Wide Disclosures About Product and Services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(in thousands)</w:t>
            </w: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2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United</w:t>
            </w:r>
          </w:p>
        </w:tc>
        <w:tc>
          <w:tcPr>
            <w:tcW w:w="220" w:type="dxa"/>
            <w:vAlign w:val="bottom"/>
          </w:tcPr>
          <w:p>
            <w:pPr>
              <w:spacing w:after="0"/>
              <w:rPr>
                <w:sz w:val="24"/>
                <w:szCs w:val="2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24"/>
                <w:szCs w:val="2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4"/>
            <w:vMerge w:val="restart"/>
          </w:tcPr>
          <w:p>
            <w:pPr>
              <w:jc w:val="center"/>
              <w:ind w:left="8"/>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640" w:type="dxa"/>
            <w:vAlign w:val="bottom"/>
            <w:vMerge w:val="restart"/>
          </w:tcPr>
          <w:p>
            <w:pPr>
              <w:spacing w:after="0"/>
              <w:rPr>
                <w:sz w:val="20"/>
                <w:szCs w:val="20"/>
                <w:color w:val="auto"/>
              </w:rPr>
            </w:pPr>
            <w:r>
              <w:rPr>
                <w:rFonts w:ascii="Arial" w:cs="Arial" w:eastAsia="Arial" w:hAnsi="Arial"/>
                <w:sz w:val="14"/>
                <w:szCs w:val="14"/>
                <w:b w:val="1"/>
                <w:bCs w:val="1"/>
                <w:color w:val="auto"/>
              </w:rPr>
              <w:t>March 29, 2014</w:t>
            </w:r>
          </w:p>
        </w:tc>
        <w:tc>
          <w:tcPr>
            <w:tcW w:w="2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North</w:t>
            </w:r>
          </w:p>
        </w:tc>
        <w:tc>
          <w:tcPr>
            <w:tcW w:w="2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North</w:t>
            </w:r>
          </w:p>
        </w:tc>
        <w:tc>
          <w:tcPr>
            <w:tcW w:w="300" w:type="dxa"/>
            <w:vAlign w:val="bottom"/>
          </w:tcPr>
          <w:p>
            <w:pPr>
              <w:spacing w:after="0"/>
              <w:rPr>
                <w:sz w:val="12"/>
                <w:szCs w:val="12"/>
                <w:color w:val="auto"/>
              </w:rPr>
            </w:pPr>
          </w:p>
        </w:tc>
        <w:tc>
          <w:tcPr>
            <w:tcW w:w="76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Japan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64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0"/>
              </w:rPr>
              <w:t>States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7"/>
              </w:rPr>
              <w:t>America</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4"/>
              </w:rPr>
              <w:t>America</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gridSpan w:val="4"/>
          </w:tcPr>
          <w:p>
            <w:pPr>
              <w:jc w:val="center"/>
              <w:ind w:left="8"/>
              <w:spacing w:after="0"/>
              <w:rPr>
                <w:sz w:val="20"/>
                <w:szCs w:val="20"/>
                <w:color w:val="auto"/>
              </w:rPr>
            </w:pPr>
            <w:r>
              <w:rPr>
                <w:rFonts w:ascii="Arial" w:cs="Arial" w:eastAsia="Arial" w:hAnsi="Arial"/>
                <w:sz w:val="14"/>
                <w:szCs w:val="14"/>
                <w:b w:val="1"/>
                <w:bCs w:val="1"/>
                <w:color w:val="auto"/>
                <w:w w:val="87"/>
              </w:rPr>
              <w:t>Asia</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5"/>
              </w:rPr>
              <w:t>Europe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500,719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9,557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510,276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108,679</w:t>
            </w:r>
          </w:p>
        </w:tc>
        <w:tc>
          <w:tcPr>
            <w:tcW w:w="680" w:type="dxa"/>
            <w:vAlign w:val="bottom"/>
            <w:tcBorders>
              <w:bottom w:val="single" w:sz="8" w:color="CCEEFF"/>
            </w:tcBorders>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94,762</w:t>
            </w:r>
          </w:p>
        </w:tc>
        <w:tc>
          <w:tcPr>
            <w:tcW w:w="36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224,792</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938,509</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810,409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9"/>
              <w:spacing w:after="0"/>
              <w:rPr>
                <w:sz w:val="20"/>
                <w:szCs w:val="20"/>
                <w:color w:val="auto"/>
              </w:rPr>
            </w:pPr>
            <w:r>
              <w:rPr>
                <w:rFonts w:ascii="Arial" w:cs="Arial" w:eastAsia="Arial" w:hAnsi="Arial"/>
                <w:sz w:val="18"/>
                <w:szCs w:val="18"/>
                <w:color w:val="auto"/>
              </w:rPr>
              <w:t>225,998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9"/>
              <w:spacing w:after="0"/>
              <w:rPr>
                <w:sz w:val="20"/>
                <w:szCs w:val="20"/>
                <w:color w:val="auto"/>
              </w:rPr>
            </w:pPr>
            <w:r>
              <w:rPr>
                <w:rFonts w:ascii="Arial" w:cs="Arial" w:eastAsia="Arial" w:hAnsi="Arial"/>
                <w:sz w:val="18"/>
                <w:szCs w:val="18"/>
                <w:color w:val="auto"/>
                <w:w w:val="99"/>
              </w:rPr>
              <w:t>1,036,407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53,207</w:t>
            </w:r>
          </w:p>
        </w:tc>
        <w:tc>
          <w:tcPr>
            <w:tcW w:w="680" w:type="dxa"/>
            <w:vAlign w:val="bottom"/>
            <w:gridSpan w:val="3"/>
          </w:tcPr>
          <w:p>
            <w:pPr>
              <w:jc w:val="right"/>
              <w:ind w:right="308"/>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90"/>
              </w:rPr>
              <w:t>53,055</w:t>
            </w:r>
          </w:p>
        </w:tc>
        <w:tc>
          <w:tcPr>
            <w:tcW w:w="36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371,509</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1,514,178</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Long-Lived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519,396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211,624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731,020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11,522</w:t>
            </w:r>
          </w:p>
        </w:tc>
        <w:tc>
          <w:tcPr>
            <w:tcW w:w="680" w:type="dxa"/>
            <w:vAlign w:val="bottom"/>
            <w:tcBorders>
              <w:bottom w:val="single" w:sz="8" w:color="CCEEFF"/>
            </w:tcBorders>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17,269</w:t>
            </w:r>
          </w:p>
        </w:tc>
        <w:tc>
          <w:tcPr>
            <w:tcW w:w="36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131,391</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891,202</w:t>
            </w:r>
          </w:p>
        </w:tc>
        <w:tc>
          <w:tcPr>
            <w:tcW w:w="0" w:type="dxa"/>
            <w:vAlign w:val="bottom"/>
          </w:tcPr>
          <w:p>
            <w:pPr>
              <w:spacing w:after="0"/>
              <w:rPr>
                <w:sz w:val="1"/>
                <w:szCs w:val="1"/>
                <w:color w:val="auto"/>
              </w:rPr>
            </w:pPr>
          </w:p>
        </w:tc>
      </w:tr>
      <w:tr>
        <w:trPr>
          <w:trHeight w:val="504"/>
        </w:trPr>
        <w:tc>
          <w:tcPr>
            <w:tcW w:w="2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United</w:t>
            </w:r>
          </w:p>
        </w:tc>
        <w:tc>
          <w:tcPr>
            <w:tcW w:w="220" w:type="dxa"/>
            <w:vAlign w:val="bottom"/>
          </w:tcPr>
          <w:p>
            <w:pPr>
              <w:spacing w:after="0"/>
              <w:rPr>
                <w:sz w:val="24"/>
                <w:szCs w:val="2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24"/>
                <w:szCs w:val="2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4"/>
            <w:vMerge w:val="restart"/>
          </w:tcPr>
          <w:p>
            <w:pPr>
              <w:jc w:val="center"/>
              <w:ind w:left="8"/>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640" w:type="dxa"/>
            <w:vAlign w:val="bottom"/>
            <w:vMerge w:val="restart"/>
          </w:tcPr>
          <w:p>
            <w:pPr>
              <w:spacing w:after="0"/>
              <w:rPr>
                <w:sz w:val="20"/>
                <w:szCs w:val="20"/>
                <w:color w:val="auto"/>
              </w:rPr>
            </w:pPr>
            <w:r>
              <w:rPr>
                <w:rFonts w:ascii="Arial" w:cs="Arial" w:eastAsia="Arial" w:hAnsi="Arial"/>
                <w:sz w:val="14"/>
                <w:szCs w:val="14"/>
                <w:b w:val="1"/>
                <w:bCs w:val="1"/>
                <w:color w:val="auto"/>
              </w:rPr>
              <w:t>March 30, 2013</w:t>
            </w:r>
          </w:p>
        </w:tc>
        <w:tc>
          <w:tcPr>
            <w:tcW w:w="2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North</w:t>
            </w:r>
          </w:p>
        </w:tc>
        <w:tc>
          <w:tcPr>
            <w:tcW w:w="2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North</w:t>
            </w:r>
          </w:p>
        </w:tc>
        <w:tc>
          <w:tcPr>
            <w:tcW w:w="300" w:type="dxa"/>
            <w:vAlign w:val="bottom"/>
          </w:tcPr>
          <w:p>
            <w:pPr>
              <w:spacing w:after="0"/>
              <w:rPr>
                <w:sz w:val="12"/>
                <w:szCs w:val="12"/>
                <w:color w:val="auto"/>
              </w:rPr>
            </w:pPr>
          </w:p>
        </w:tc>
        <w:tc>
          <w:tcPr>
            <w:tcW w:w="76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Japan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64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0"/>
              </w:rPr>
              <w:t>States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7"/>
              </w:rPr>
              <w:t>America</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4"/>
              </w:rPr>
              <w:t>America</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gridSpan w:val="4"/>
          </w:tcPr>
          <w:p>
            <w:pPr>
              <w:jc w:val="center"/>
              <w:ind w:left="8"/>
              <w:spacing w:after="0"/>
              <w:rPr>
                <w:sz w:val="20"/>
                <w:szCs w:val="20"/>
                <w:color w:val="auto"/>
              </w:rPr>
            </w:pPr>
            <w:r>
              <w:rPr>
                <w:rFonts w:ascii="Arial" w:cs="Arial" w:eastAsia="Arial" w:hAnsi="Arial"/>
                <w:sz w:val="14"/>
                <w:szCs w:val="14"/>
                <w:b w:val="1"/>
                <w:bCs w:val="1"/>
                <w:color w:val="auto"/>
                <w:w w:val="87"/>
              </w:rPr>
              <w:t>Asia</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5"/>
              </w:rPr>
              <w:t>Europe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454,874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6,851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461,725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120,726</w:t>
            </w:r>
          </w:p>
        </w:tc>
        <w:tc>
          <w:tcPr>
            <w:tcW w:w="680" w:type="dxa"/>
            <w:vAlign w:val="bottom"/>
            <w:tcBorders>
              <w:bottom w:val="single" w:sz="8" w:color="CCEEFF"/>
            </w:tcBorders>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84,860</w:t>
            </w:r>
          </w:p>
        </w:tc>
        <w:tc>
          <w:tcPr>
            <w:tcW w:w="36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224,679</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891,990</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830,754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9"/>
              <w:spacing w:after="0"/>
              <w:rPr>
                <w:sz w:val="20"/>
                <w:szCs w:val="20"/>
                <w:color w:val="auto"/>
              </w:rPr>
            </w:pPr>
            <w:r>
              <w:rPr>
                <w:rFonts w:ascii="Arial" w:cs="Arial" w:eastAsia="Arial" w:hAnsi="Arial"/>
                <w:sz w:val="18"/>
                <w:szCs w:val="18"/>
                <w:color w:val="auto"/>
              </w:rPr>
              <w:t>225,849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9"/>
              <w:spacing w:after="0"/>
              <w:rPr>
                <w:sz w:val="20"/>
                <w:szCs w:val="20"/>
                <w:color w:val="auto"/>
              </w:rPr>
            </w:pPr>
            <w:r>
              <w:rPr>
                <w:rFonts w:ascii="Arial" w:cs="Arial" w:eastAsia="Arial" w:hAnsi="Arial"/>
                <w:sz w:val="18"/>
                <w:szCs w:val="18"/>
                <w:color w:val="auto"/>
                <w:w w:val="99"/>
              </w:rPr>
              <w:t>1,056,603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44,189</w:t>
            </w:r>
          </w:p>
        </w:tc>
        <w:tc>
          <w:tcPr>
            <w:tcW w:w="680" w:type="dxa"/>
            <w:vAlign w:val="bottom"/>
            <w:gridSpan w:val="3"/>
          </w:tcPr>
          <w:p>
            <w:pPr>
              <w:jc w:val="right"/>
              <w:ind w:right="308"/>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90"/>
              </w:rPr>
              <w:t>41,037</w:t>
            </w:r>
          </w:p>
        </w:tc>
        <w:tc>
          <w:tcPr>
            <w:tcW w:w="36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320,088</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1,461,917</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560" w:type="dxa"/>
            <w:vAlign w:val="bottom"/>
            <w:gridSpan w:val="3"/>
          </w:tcPr>
          <w:p>
            <w:pPr>
              <w:spacing w:after="0"/>
              <w:rPr>
                <w:sz w:val="2"/>
                <w:szCs w:val="2"/>
                <w:color w:val="auto"/>
              </w:rPr>
            </w:pPr>
          </w:p>
        </w:tc>
        <w:tc>
          <w:tcPr>
            <w:tcW w:w="360" w:type="dxa"/>
            <w:vAlign w:val="bottom"/>
            <w:gridSpan w:val="3"/>
          </w:tcPr>
          <w:p>
            <w:pPr>
              <w:spacing w:after="0"/>
              <w:rPr>
                <w:sz w:val="2"/>
                <w:szCs w:val="2"/>
                <w:color w:val="auto"/>
              </w:rPr>
            </w:pPr>
          </w:p>
        </w:tc>
        <w:tc>
          <w:tcPr>
            <w:tcW w:w="860" w:type="dxa"/>
            <w:vAlign w:val="bottom"/>
            <w:gridSpan w:val="3"/>
          </w:tcPr>
          <w:p>
            <w:pPr>
              <w:spacing w:after="0"/>
              <w:rPr>
                <w:sz w:val="2"/>
                <w:szCs w:val="2"/>
                <w:color w:val="auto"/>
              </w:rPr>
            </w:pPr>
          </w:p>
        </w:tc>
        <w:tc>
          <w:tcPr>
            <w:tcW w:w="360" w:type="dxa"/>
            <w:vAlign w:val="bottom"/>
            <w:gridSpan w:val="3"/>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Long-Lived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503,606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209,439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713,045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12,977</w:t>
            </w:r>
          </w:p>
        </w:tc>
        <w:tc>
          <w:tcPr>
            <w:tcW w:w="680" w:type="dxa"/>
            <w:vAlign w:val="bottom"/>
            <w:tcBorders>
              <w:bottom w:val="single" w:sz="8" w:color="CCEEFF"/>
            </w:tcBorders>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8,076</w:t>
            </w:r>
          </w:p>
        </w:tc>
        <w:tc>
          <w:tcPr>
            <w:tcW w:w="36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117,717</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851,815</w:t>
            </w:r>
          </w:p>
        </w:tc>
        <w:tc>
          <w:tcPr>
            <w:tcW w:w="0" w:type="dxa"/>
            <w:vAlign w:val="bottom"/>
          </w:tcPr>
          <w:p>
            <w:pPr>
              <w:spacing w:after="0"/>
              <w:rPr>
                <w:sz w:val="1"/>
                <w:szCs w:val="1"/>
                <w:color w:val="auto"/>
              </w:rPr>
            </w:pPr>
          </w:p>
        </w:tc>
      </w:tr>
      <w:tr>
        <w:trPr>
          <w:trHeight w:val="504"/>
        </w:trPr>
        <w:tc>
          <w:tcPr>
            <w:tcW w:w="2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United</w:t>
            </w:r>
          </w:p>
        </w:tc>
        <w:tc>
          <w:tcPr>
            <w:tcW w:w="220" w:type="dxa"/>
            <w:vAlign w:val="bottom"/>
          </w:tcPr>
          <w:p>
            <w:pPr>
              <w:spacing w:after="0"/>
              <w:rPr>
                <w:sz w:val="24"/>
                <w:szCs w:val="2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24"/>
                <w:szCs w:val="2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4"/>
            <w:vMerge w:val="restart"/>
          </w:tcPr>
          <w:p>
            <w:pPr>
              <w:jc w:val="center"/>
              <w:ind w:left="8"/>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640" w:type="dxa"/>
            <w:vAlign w:val="bottom"/>
            <w:vMerge w:val="restart"/>
          </w:tcPr>
          <w:p>
            <w:pPr>
              <w:spacing w:after="0"/>
              <w:rPr>
                <w:sz w:val="20"/>
                <w:szCs w:val="20"/>
                <w:color w:val="auto"/>
              </w:rPr>
            </w:pPr>
            <w:r>
              <w:rPr>
                <w:rFonts w:ascii="Arial" w:cs="Arial" w:eastAsia="Arial" w:hAnsi="Arial"/>
                <w:sz w:val="14"/>
                <w:szCs w:val="14"/>
                <w:b w:val="1"/>
                <w:bCs w:val="1"/>
                <w:color w:val="auto"/>
              </w:rPr>
              <w:t>March 31, 2012</w:t>
            </w:r>
          </w:p>
        </w:tc>
        <w:tc>
          <w:tcPr>
            <w:tcW w:w="2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North</w:t>
            </w:r>
          </w:p>
        </w:tc>
        <w:tc>
          <w:tcPr>
            <w:tcW w:w="2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North</w:t>
            </w:r>
          </w:p>
        </w:tc>
        <w:tc>
          <w:tcPr>
            <w:tcW w:w="300" w:type="dxa"/>
            <w:vAlign w:val="bottom"/>
          </w:tcPr>
          <w:p>
            <w:pPr>
              <w:spacing w:after="0"/>
              <w:rPr>
                <w:sz w:val="12"/>
                <w:szCs w:val="12"/>
                <w:color w:val="auto"/>
              </w:rPr>
            </w:pPr>
          </w:p>
        </w:tc>
        <w:tc>
          <w:tcPr>
            <w:tcW w:w="76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Japan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64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0"/>
              </w:rPr>
              <w:t>States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7"/>
              </w:rPr>
              <w:t>America</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4"/>
              </w:rPr>
              <w:t>America</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gridSpan w:val="4"/>
          </w:tcPr>
          <w:p>
            <w:pPr>
              <w:jc w:val="center"/>
              <w:ind w:left="8"/>
              <w:spacing w:after="0"/>
              <w:rPr>
                <w:sz w:val="20"/>
                <w:szCs w:val="20"/>
                <w:color w:val="auto"/>
              </w:rPr>
            </w:pPr>
            <w:r>
              <w:rPr>
                <w:rFonts w:ascii="Arial" w:cs="Arial" w:eastAsia="Arial" w:hAnsi="Arial"/>
                <w:sz w:val="14"/>
                <w:szCs w:val="14"/>
                <w:b w:val="1"/>
                <w:bCs w:val="1"/>
                <w:color w:val="auto"/>
                <w:w w:val="87"/>
              </w:rPr>
              <w:t>Asia</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5"/>
              </w:rPr>
              <w:t>Europe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352,160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352,672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124,381</w:t>
            </w:r>
          </w:p>
        </w:tc>
        <w:tc>
          <w:tcPr>
            <w:tcW w:w="680" w:type="dxa"/>
            <w:vAlign w:val="bottom"/>
            <w:tcBorders>
              <w:bottom w:val="single" w:sz="8" w:color="CCEEFF"/>
            </w:tcBorders>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67,223</w:t>
            </w:r>
          </w:p>
        </w:tc>
        <w:tc>
          <w:tcPr>
            <w:tcW w:w="36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183,568</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727,844</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634,171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9"/>
              <w:spacing w:after="0"/>
              <w:rPr>
                <w:sz w:val="20"/>
                <w:szCs w:val="20"/>
                <w:color w:val="auto"/>
              </w:rPr>
            </w:pPr>
            <w:r>
              <w:rPr>
                <w:rFonts w:ascii="Arial" w:cs="Arial" w:eastAsia="Arial" w:hAnsi="Arial"/>
                <w:sz w:val="18"/>
                <w:szCs w:val="18"/>
                <w:color w:val="auto"/>
              </w:rPr>
              <w:t>15,365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9"/>
              <w:spacing w:after="0"/>
              <w:rPr>
                <w:sz w:val="20"/>
                <w:szCs w:val="20"/>
                <w:color w:val="auto"/>
              </w:rPr>
            </w:pPr>
            <w:r>
              <w:rPr>
                <w:rFonts w:ascii="Arial" w:cs="Arial" w:eastAsia="Arial" w:hAnsi="Arial"/>
                <w:sz w:val="18"/>
                <w:szCs w:val="18"/>
                <w:color w:val="auto"/>
              </w:rPr>
              <w:t>649,536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50,509</w:t>
            </w:r>
          </w:p>
        </w:tc>
        <w:tc>
          <w:tcPr>
            <w:tcW w:w="680" w:type="dxa"/>
            <w:vAlign w:val="bottom"/>
            <w:gridSpan w:val="3"/>
          </w:tcPr>
          <w:p>
            <w:pPr>
              <w:jc w:val="right"/>
              <w:ind w:right="308"/>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90"/>
              </w:rPr>
              <w:t>27,353</w:t>
            </w:r>
          </w:p>
        </w:tc>
        <w:tc>
          <w:tcPr>
            <w:tcW w:w="36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183,737</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911,135</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560" w:type="dxa"/>
            <w:vAlign w:val="bottom"/>
            <w:gridSpan w:val="3"/>
          </w:tcPr>
          <w:p>
            <w:pPr>
              <w:spacing w:after="0"/>
              <w:rPr>
                <w:sz w:val="2"/>
                <w:szCs w:val="2"/>
                <w:color w:val="auto"/>
              </w:rPr>
            </w:pPr>
          </w:p>
        </w:tc>
        <w:tc>
          <w:tcPr>
            <w:tcW w:w="360" w:type="dxa"/>
            <w:vAlign w:val="bottom"/>
            <w:gridSpan w:val="3"/>
          </w:tcPr>
          <w:p>
            <w:pPr>
              <w:spacing w:after="0"/>
              <w:rPr>
                <w:sz w:val="2"/>
                <w:szCs w:val="2"/>
                <w:color w:val="auto"/>
              </w:rPr>
            </w:pPr>
          </w:p>
        </w:tc>
        <w:tc>
          <w:tcPr>
            <w:tcW w:w="860" w:type="dxa"/>
            <w:vAlign w:val="bottom"/>
            <w:gridSpan w:val="3"/>
          </w:tcPr>
          <w:p>
            <w:pPr>
              <w:spacing w:after="0"/>
              <w:rPr>
                <w:sz w:val="2"/>
                <w:szCs w:val="2"/>
                <w:color w:val="auto"/>
              </w:rPr>
            </w:pPr>
          </w:p>
        </w:tc>
        <w:tc>
          <w:tcPr>
            <w:tcW w:w="360" w:type="dxa"/>
            <w:vAlign w:val="bottom"/>
            <w:gridSpan w:val="3"/>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Long-Lived Assets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305,370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12,796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318,166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13,128</w:t>
            </w:r>
          </w:p>
        </w:tc>
        <w:tc>
          <w:tcPr>
            <w:tcW w:w="680" w:type="dxa"/>
            <w:vAlign w:val="bottom"/>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3,961</w:t>
            </w:r>
          </w:p>
        </w:tc>
        <w:tc>
          <w:tcPr>
            <w:tcW w:w="3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38,009</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373,264</w:t>
            </w:r>
          </w:p>
        </w:tc>
        <w:tc>
          <w:tcPr>
            <w:tcW w:w="0" w:type="dxa"/>
            <w:vAlign w:val="bottom"/>
          </w:tcPr>
          <w:p>
            <w:pPr>
              <w:spacing w:after="0"/>
              <w:rPr>
                <w:sz w:val="1"/>
                <w:szCs w:val="1"/>
                <w:color w:val="auto"/>
              </w:rPr>
            </w:pPr>
          </w:p>
        </w:tc>
      </w:tr>
      <w:tr>
        <w:trPr>
          <w:trHeight w:val="27"/>
        </w:trPr>
        <w:tc>
          <w:tcPr>
            <w:tcW w:w="26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Long-Lived Assets reported above include Goodwill, Intangibles and Net Property, Plant and Equipment.</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6" w:right="239" w:bottom="1440" w:gutter="0" w:footer="0" w:header="0"/>
        </w:sectPr>
      </w:pPr>
    </w:p>
    <w:bookmarkStart w:id="80" w:name="page81"/>
    <w:bookmarkEnd w:id="80"/>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880" w:hanging="872"/>
        <w:spacing w:after="0"/>
        <w:tabs>
          <w:tab w:leader="none" w:pos="8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243"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color w:val="auto"/>
        </w:rPr>
        <w:t>On an ongoing basis, we review the global economy, the healthcare industry, and the markets in which we compete. From these reviews we identify opportunities to improve efficiencies, enhance commercial capabilities, better align our resources and offer customers better comprehensive solutions. In order to realize these opportunities, from time to time, we undertake restructuring and other initiatives to transform our business.</w:t>
      </w:r>
    </w:p>
    <w:p>
      <w:pPr>
        <w:spacing w:after="0" w:line="14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On May 1, 2013, we announced that our Board of Directors has approved a plan to pursue identified VCC opportunities. These include: (i) investment in product line extensions, next generation products and growth platforms; (ii) enhancement of commercial execution capabilities by implementing go-to-market and other strategies to enable global profitable revenue growth; and (iii) transformation of the manufacturing network to best support these commercial strategies while optimizing expense levels. Collectively, these are opportunities to position us for optimal growth and increased competitiveness.</w:t>
      </w:r>
    </w:p>
    <w:p>
      <w:pPr>
        <w:spacing w:after="0" w:line="154"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Our manufacturing network transformation plan, part of our larger VCC activities previously announced, now includes (i) discontinuing manufacturing activities at our Braintree, Massachusetts and Ascoli-Piceno, Italy facilities, (ii) consulting with employee representatives regarding ceasing operations and closure of our manufacturing facility in Bothwell, Scotland, (iii) creating a technology center of excellence for product development, (iv) expansion of our current facility in Tijuana, Mexico, (v) engaging Sanmina Corporation as a contract manufacturer to produce certain medical equipment, and (vi) building a new manufacturing facility in Malaysia closer to our customers in Asia.</w:t>
      </w:r>
    </w:p>
    <w:p>
      <w:pPr>
        <w:spacing w:after="0" w:line="173"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We estimate we will incur approximately $74.0 million of restructuring and restructuring related expense and spend approximately $58.0 million on these initiatives in fiscal 2015. We estimate we will spend an additional $10 to $15 million to complete these initiatives through fiscal 2017.</w:t>
      </w:r>
    </w:p>
    <w:p>
      <w:pPr>
        <w:spacing w:after="0" w:line="147"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For the year ended March 29, 2014, we incurred $49.1 million of restructuring and restructuring related charges of which approximately $25.4 million has been paid to date and approximately $18.2 million is payable within the next twelve months. The majority of these costs relate to the discontinuation of manufacturing activities in Braintree, Massachusetts and Ascoli-Piceno, Italy, and were incurred in fiscal 2014. The substantial majority of restructuring expenses have been included as a component of selling, general and administrative expense in the accompanying consolidated statements of income and comprehensive income.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summarizes the restructuring activity for the fiscal year ended March 29, 2014, March 30, 2013, and March 31, 2012,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6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Balance at March 30,</w:t>
            </w:r>
          </w:p>
        </w:tc>
        <w:tc>
          <w:tcPr>
            <w:tcW w:w="280" w:type="dxa"/>
            <w:vAlign w:val="bottom"/>
          </w:tcPr>
          <w:p>
            <w:pPr>
              <w:spacing w:after="0"/>
              <w:rPr>
                <w:sz w:val="14"/>
                <w:szCs w:val="14"/>
                <w:color w:val="auto"/>
              </w:rPr>
            </w:pPr>
          </w:p>
        </w:tc>
        <w:tc>
          <w:tcPr>
            <w:tcW w:w="13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Less Non-Cash</w:t>
            </w:r>
          </w:p>
        </w:tc>
        <w:tc>
          <w:tcPr>
            <w:tcW w:w="1480" w:type="dxa"/>
            <w:vAlign w:val="bottom"/>
            <w:gridSpan w:val="2"/>
          </w:tcPr>
          <w:p>
            <w:pPr>
              <w:ind w:left="60"/>
              <w:spacing w:after="0"/>
              <w:rPr>
                <w:sz w:val="20"/>
                <w:szCs w:val="20"/>
                <w:color w:val="auto"/>
              </w:rPr>
            </w:pPr>
            <w:r>
              <w:rPr>
                <w:rFonts w:ascii="Arial" w:cs="Arial" w:eastAsia="Arial" w:hAnsi="Arial"/>
                <w:sz w:val="14"/>
                <w:szCs w:val="14"/>
                <w:b w:val="1"/>
                <w:bCs w:val="1"/>
                <w:color w:val="auto"/>
                <w:w w:val="95"/>
              </w:rPr>
              <w:t>Restructuring Accrual</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Payments</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Balance at March 29,</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93"/>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6"/>
              </w:rPr>
              <w:t>Incurred</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1"/>
              </w:rPr>
              <w:t>Adjustments</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and other employee costs</w:t>
            </w: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31,492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22,908</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Facility related costs</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14,254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(13,699)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Accelerated depreciation</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Asset write-down</w:t>
            </w:r>
          </w:p>
        </w:tc>
        <w:tc>
          <w:tcPr>
            <w:tcW w:w="38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3,262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49,051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(25,372)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23,636</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3540" w:type="dxa"/>
            <w:vAlign w:val="bottom"/>
          </w:tcPr>
          <w:p>
            <w:pPr>
              <w:spacing w:after="0"/>
              <w:rPr>
                <w:sz w:val="24"/>
                <w:szCs w:val="24"/>
                <w:color w:val="auto"/>
              </w:rPr>
            </w:pPr>
          </w:p>
        </w:tc>
        <w:tc>
          <w:tcPr>
            <w:tcW w:w="16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Balance at March 31,</w:t>
            </w:r>
          </w:p>
        </w:tc>
        <w:tc>
          <w:tcPr>
            <w:tcW w:w="280" w:type="dxa"/>
            <w:vAlign w:val="bottom"/>
          </w:tcPr>
          <w:p>
            <w:pPr>
              <w:spacing w:after="0"/>
              <w:rPr>
                <w:sz w:val="24"/>
                <w:szCs w:val="24"/>
                <w:color w:val="auto"/>
              </w:rPr>
            </w:pPr>
          </w:p>
        </w:tc>
        <w:tc>
          <w:tcPr>
            <w:tcW w:w="13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Less Non-Cash</w:t>
            </w:r>
          </w:p>
        </w:tc>
        <w:tc>
          <w:tcPr>
            <w:tcW w:w="1480" w:type="dxa"/>
            <w:vAlign w:val="bottom"/>
            <w:gridSpan w:val="2"/>
          </w:tcPr>
          <w:p>
            <w:pPr>
              <w:ind w:left="60"/>
              <w:spacing w:after="0"/>
              <w:rPr>
                <w:sz w:val="20"/>
                <w:szCs w:val="20"/>
                <w:color w:val="auto"/>
              </w:rPr>
            </w:pPr>
            <w:r>
              <w:rPr>
                <w:rFonts w:ascii="Arial" w:cs="Arial" w:eastAsia="Arial" w:hAnsi="Arial"/>
                <w:sz w:val="14"/>
                <w:szCs w:val="14"/>
                <w:b w:val="1"/>
                <w:bCs w:val="1"/>
                <w:color w:val="auto"/>
                <w:w w:val="95"/>
              </w:rPr>
              <w:t>Restructuring Accrual</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Payments</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Balance at March 30,</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93"/>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6"/>
              </w:rPr>
              <w:t>Incurred</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1"/>
              </w:rPr>
              <w:t>Adjustments</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and other employee costs</w:t>
            </w: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6,214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3,089</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Facility related costs</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write down</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4,247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40" w:type="dxa"/>
            <w:vAlign w:val="bottom"/>
          </w:tcPr>
          <w:p>
            <w:pPr>
              <w:spacing w:after="0"/>
              <w:rPr>
                <w:sz w:val="20"/>
                <w:szCs w:val="20"/>
                <w:color w:val="auto"/>
              </w:rPr>
            </w:pPr>
          </w:p>
        </w:tc>
        <w:tc>
          <w:tcPr>
            <w:tcW w:w="380" w:type="dxa"/>
            <w:vAlign w:val="bottom"/>
            <w:tcBorders>
              <w:top w:val="single" w:sz="8" w:color="auto"/>
            </w:tcBorders>
          </w:tcPr>
          <w:p>
            <w:pPr>
              <w:jc w:val="right"/>
              <w:ind w:right="176"/>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1,994</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10,892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(5,377)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(4,247)</w:t>
            </w:r>
          </w:p>
        </w:tc>
        <w:tc>
          <w:tcPr>
            <w:tcW w:w="100" w:type="dxa"/>
            <w:vAlign w:val="bottom"/>
          </w:tcPr>
          <w:p>
            <w:pPr>
              <w:spacing w:after="0"/>
              <w:rPr>
                <w:sz w:val="20"/>
                <w:szCs w:val="20"/>
                <w:color w:val="auto"/>
              </w:rPr>
            </w:pPr>
          </w:p>
        </w:tc>
        <w:tc>
          <w:tcPr>
            <w:tcW w:w="3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3,262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3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95"/>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81" w:name="page82"/>
    <w:bookmarkEnd w:id="81"/>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Balance at April 2,</w:t>
            </w:r>
          </w:p>
        </w:tc>
        <w:tc>
          <w:tcPr>
            <w:tcW w:w="300" w:type="dxa"/>
            <w:vAlign w:val="bottom"/>
          </w:tcPr>
          <w:p>
            <w:pPr>
              <w:spacing w:after="0"/>
              <w:rPr>
                <w:sz w:val="14"/>
                <w:szCs w:val="14"/>
                <w:color w:val="auto"/>
              </w:rPr>
            </w:pPr>
          </w:p>
        </w:tc>
        <w:tc>
          <w:tcPr>
            <w:tcW w:w="13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Less Non-Cash</w:t>
            </w:r>
          </w:p>
        </w:tc>
        <w:tc>
          <w:tcPr>
            <w:tcW w:w="1480" w:type="dxa"/>
            <w:vAlign w:val="bottom"/>
            <w:gridSpan w:val="2"/>
          </w:tcPr>
          <w:p>
            <w:pPr>
              <w:ind w:left="60"/>
              <w:spacing w:after="0"/>
              <w:rPr>
                <w:sz w:val="20"/>
                <w:szCs w:val="20"/>
                <w:color w:val="auto"/>
              </w:rPr>
            </w:pPr>
            <w:r>
              <w:rPr>
                <w:rFonts w:ascii="Arial" w:cs="Arial" w:eastAsia="Arial" w:hAnsi="Arial"/>
                <w:sz w:val="14"/>
                <w:szCs w:val="14"/>
                <w:b w:val="1"/>
                <w:bCs w:val="1"/>
                <w:color w:val="auto"/>
                <w:w w:val="95"/>
              </w:rPr>
              <w:t>Restructuring Accrual</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Payments</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9"/>
              </w:rPr>
              <w:t>Balance at March 31,</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Incurred</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1"/>
              </w:rPr>
              <w:t>Adjustments</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and other employee costs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2,782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4,112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Facility related costs</w:t>
            </w:r>
          </w:p>
        </w:tc>
        <w:tc>
          <w:tcPr>
            <w:tcW w:w="160" w:type="dxa"/>
            <w:vAlign w:val="bottom"/>
          </w:tcPr>
          <w:p>
            <w:pPr>
              <w:spacing w:after="0"/>
              <w:rPr>
                <w:sz w:val="21"/>
                <w:szCs w:val="21"/>
                <w:color w:val="auto"/>
              </w:rPr>
            </w:pP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889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1,746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3,671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5,858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(7,535)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1,994</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deployed significant financial resources for these activities. Many of the activities necessary to complete the VCC initiatives include severance and other costs which qualify as restructuring expenses under ASC 420, Exit or Disposal Cost Obligations. We incurred $49.1 million in severance, asset write-offs and other restructuring charges in fiscal 2014. In addition, we also incurred $35.7 million of costs that do not constitute restructuring under ASC 420, which we refer to as "Transformation Costs". These costs consist primarily of expenditures directly related to our transformation activities including program management, integration and product line transfer teams, infrastructure related costs, accelerated depreciation and asset disposals.</w:t>
      </w:r>
    </w:p>
    <w:p>
      <w:pPr>
        <w:spacing w:after="0" w:line="173"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The table below presents transformation and restructuring costs recorded in cost of goods sold, research and development, selling, general and administrative expenses and interest and other expense in our statements of income and comprehensive income for the periods presented. The majority of expenses recorded as Transformation Costs in the prior year relate to the integration of the whole blood acquisition. Transformation Costs in the current year are associated with our VCC initiatives as well as completion of the integration of the whole blood acquisition.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Transformation costs</w:t>
            </w: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674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24"/>
                <w:szCs w:val="24"/>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29, 2014</w:t>
            </w:r>
          </w:p>
        </w:tc>
        <w:tc>
          <w:tcPr>
            <w:tcW w:w="200" w:type="dxa"/>
            <w:vAlign w:val="bottom"/>
          </w:tcPr>
          <w:p>
            <w:pPr>
              <w:spacing w:after="0"/>
              <w:rPr>
                <w:sz w:val="24"/>
                <w:szCs w:val="24"/>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30, 2013</w:t>
            </w:r>
          </w:p>
        </w:tc>
        <w:tc>
          <w:tcPr>
            <w:tcW w:w="200" w:type="dxa"/>
            <w:vAlign w:val="bottom"/>
          </w:tcPr>
          <w:p>
            <w:pPr>
              <w:spacing w:after="0"/>
              <w:rPr>
                <w:sz w:val="24"/>
                <w:szCs w:val="24"/>
                <w:color w:val="auto"/>
              </w:rPr>
            </w:pPr>
          </w:p>
        </w:tc>
        <w:tc>
          <w:tcPr>
            <w:tcW w:w="1280" w:type="dxa"/>
            <w:vAlign w:val="bottom"/>
          </w:tcPr>
          <w:p>
            <w:pPr>
              <w:jc w:val="right"/>
              <w:ind w:right="173"/>
              <w:spacing w:after="0"/>
              <w:rPr>
                <w:sz w:val="20"/>
                <w:szCs w:val="20"/>
                <w:color w:val="auto"/>
              </w:rPr>
            </w:pPr>
            <w:r>
              <w:rPr>
                <w:rFonts w:ascii="Arial" w:cs="Arial" w:eastAsia="Arial" w:hAnsi="Arial"/>
                <w:sz w:val="14"/>
                <w:szCs w:val="14"/>
                <w:b w:val="1"/>
                <w:bCs w:val="1"/>
                <w:color w:val="auto"/>
              </w:rPr>
              <w:t>March 31, 2012</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Integration and other costs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30,701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60,878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11,206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Accelerated depreciation</w:t>
            </w:r>
          </w:p>
        </w:tc>
        <w:tc>
          <w:tcPr>
            <w:tcW w:w="20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4,203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disposal</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35,700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61,565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11,883</w:t>
            </w:r>
          </w:p>
        </w:tc>
        <w:tc>
          <w:tcPr>
            <w:tcW w:w="0" w:type="dxa"/>
            <w:vAlign w:val="bottom"/>
          </w:tcPr>
          <w:p>
            <w:pPr>
              <w:spacing w:after="0"/>
              <w:rPr>
                <w:sz w:val="1"/>
                <w:szCs w:val="1"/>
                <w:color w:val="auto"/>
              </w:rPr>
            </w:pPr>
          </w:p>
        </w:tc>
      </w:tr>
      <w:tr>
        <w:trPr>
          <w:trHeight w:val="27"/>
        </w:trPr>
        <w:tc>
          <w:tcPr>
            <w:tcW w:w="6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Restructuring costs</w:t>
            </w: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82"/>
        </w:trPr>
        <w:tc>
          <w:tcPr>
            <w:tcW w:w="67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March 29, 2014</w:t>
            </w:r>
          </w:p>
        </w:tc>
        <w:tc>
          <w:tcPr>
            <w:tcW w:w="2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March 30, 2013</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73"/>
              <w:spacing w:after="0"/>
              <w:rPr>
                <w:sz w:val="20"/>
                <w:szCs w:val="20"/>
                <w:color w:val="auto"/>
              </w:rPr>
            </w:pPr>
            <w:r>
              <w:rPr>
                <w:rFonts w:ascii="Arial" w:cs="Arial" w:eastAsia="Arial" w:hAnsi="Arial"/>
                <w:sz w:val="14"/>
                <w:szCs w:val="14"/>
                <w:b w:val="1"/>
                <w:bCs w:val="1"/>
                <w:color w:val="auto"/>
              </w:rPr>
              <w:t>March 31, 2012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Severance and other employee costs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31,492</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6,214</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4,112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costs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14,254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Accelerated depreciation</w:t>
            </w:r>
          </w:p>
        </w:tc>
        <w:tc>
          <w:tcPr>
            <w:tcW w:w="20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2,390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disposal</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4,247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49,051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10,892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5,858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674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Total restructuring and transformation</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84,751</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72,457</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17,741</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6" w:right="239" w:bottom="1440" w:gutter="0" w:footer="0" w:header="0"/>
        </w:sectPr>
      </w:pPr>
    </w:p>
    <w:bookmarkStart w:id="82" w:name="page83"/>
    <w:bookmarkEnd w:id="82"/>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880" w:hanging="872"/>
        <w:spacing w:after="0"/>
        <w:tabs>
          <w:tab w:leader="none" w:pos="8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CAPITALIZATION OF SOFTWARE DEVELOPMENT COSTS</w:t>
      </w:r>
    </w:p>
    <w:p>
      <w:pPr>
        <w:spacing w:after="0" w:line="14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The cost of software that is developed or obtained for internal use is accounted for pursuant to ASC Topic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Pursuant to ASC Topic 350, the Company capitalizes costs incurred during the application development stage of software developed for internal use, and expenses costs incurred during the preliminary project and the post-implementation operation stages of development. The capitalized costs are included as a component of property, plant and equipment in the consolidated financial statements.</w:t>
      </w:r>
    </w:p>
    <w:p>
      <w:pPr>
        <w:spacing w:after="0" w:line="9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 xml:space="preserve">For costs incurred related to the development of software to be sold, leased, or otherwise marketed, the Company applies the provisions of ASC Topic 985-20, </w:t>
      </w:r>
      <w:r>
        <w:rPr>
          <w:rFonts w:ascii="Arial" w:cs="Arial" w:eastAsia="Arial" w:hAnsi="Arial"/>
          <w:sz w:val="18"/>
          <w:szCs w:val="18"/>
          <w:i w:val="1"/>
          <w:iCs w:val="1"/>
          <w:color w:val="auto"/>
        </w:rPr>
        <w:t>Software</w:t>
      </w:r>
      <w:r>
        <w:rPr>
          <w:rFonts w:ascii="Arial" w:cs="Arial" w:eastAsia="Arial" w:hAnsi="Arial"/>
          <w:sz w:val="18"/>
          <w:szCs w:val="18"/>
          <w:color w:val="auto"/>
        </w:rPr>
        <w:t>, which specifies that costs incurred internally in researching and developing a computer software product should be charged to expense until technological feasibility has been established for the product. Once technological feasibility is established, all software costs should be capitalized until the product is available for general release to customers.</w:t>
      </w:r>
    </w:p>
    <w:p>
      <w:pPr>
        <w:spacing w:after="0" w:line="9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capitalized $6.0 million and $6.2 million in software development costs for ongoing initiatives during the fiscal years ended March 29, 2014 and March 30, 2013, respectively. At March 29, 2014 and March 30, 2013, we have a total of $31.7 million and $25.7 million, respectively, of software costs capitalized, of which $15.6 million and $20.0 million, respectively, related to in process software development initiatives. In connection with these development activities, we capitalized interest of $0.4 million and $0.3 million in fiscal 2014 and 2013, respectively. We amortize capitalized costs when the products are released for sale. During fiscal 2014, $10.4 million of capitalized costs related to three projects were placed into service, compared to $1.7 million of capitalized costs placed into service during fiscal 2013. Amortization of capitalized software development cost expense was $1.1 million, $0.9 million and $0.7 million for fiscal 2014, 2013 and 2012 respectively. The costs capitalized for each project are included in intangible assets in the consolidated financial statements.</w:t>
      </w:r>
    </w:p>
    <w:p>
      <w:pPr>
        <w:spacing w:after="0" w:line="269" w:lineRule="exact"/>
        <w:rPr>
          <w:sz w:val="20"/>
          <w:szCs w:val="20"/>
          <w:color w:val="auto"/>
        </w:rPr>
      </w:pPr>
    </w:p>
    <w:p>
      <w:pPr>
        <w:ind w:left="920" w:hanging="912"/>
        <w:spacing w:after="0"/>
        <w:tabs>
          <w:tab w:leader="none" w:pos="92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QUARTERLY DATA (UNAUDITED)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62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i w:val="1"/>
                <w:iCs w:val="1"/>
                <w:color w:val="auto"/>
              </w:rPr>
              <w:t>(In thousands)</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5"/>
          </w:tcPr>
          <w:p>
            <w:pPr>
              <w:ind w:left="46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5500" w:type="dxa"/>
            <w:vAlign w:val="bottom"/>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Fiscal 2014</w:t>
            </w:r>
          </w:p>
        </w:tc>
        <w:tc>
          <w:tcPr>
            <w:tcW w:w="120" w:type="dxa"/>
            <w:vAlign w:val="bottom"/>
            <w:vMerge w:val="restart"/>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ind w:left="160"/>
              <w:spacing w:after="0" w:line="153" w:lineRule="exact"/>
              <w:rPr>
                <w:sz w:val="20"/>
                <w:szCs w:val="20"/>
                <w:color w:val="auto"/>
              </w:rPr>
            </w:pPr>
            <w:r>
              <w:rPr>
                <w:rFonts w:ascii="Arial" w:cs="Arial" w:eastAsia="Arial" w:hAnsi="Arial"/>
                <w:sz w:val="14"/>
                <w:szCs w:val="14"/>
                <w:b w:val="1"/>
                <w:bCs w:val="1"/>
                <w:color w:val="auto"/>
              </w:rPr>
              <w:t>June 29,</w:t>
            </w:r>
          </w:p>
        </w:tc>
        <w:tc>
          <w:tcPr>
            <w:tcW w:w="16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ind w:left="60"/>
              <w:spacing w:after="0" w:line="153" w:lineRule="exact"/>
              <w:rPr>
                <w:sz w:val="20"/>
                <w:szCs w:val="20"/>
                <w:color w:val="auto"/>
              </w:rPr>
            </w:pPr>
            <w:r>
              <w:rPr>
                <w:rFonts w:ascii="Arial" w:cs="Arial" w:eastAsia="Arial" w:hAnsi="Arial"/>
                <w:sz w:val="14"/>
                <w:szCs w:val="14"/>
                <w:b w:val="1"/>
                <w:bCs w:val="1"/>
                <w:color w:val="auto"/>
              </w:rPr>
              <w:t>September 28,</w:t>
            </w:r>
          </w:p>
        </w:tc>
        <w:tc>
          <w:tcPr>
            <w:tcW w:w="1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ind w:left="60"/>
              <w:spacing w:after="0" w:line="153" w:lineRule="exact"/>
              <w:rPr>
                <w:sz w:val="20"/>
                <w:szCs w:val="20"/>
                <w:color w:val="auto"/>
              </w:rPr>
            </w:pPr>
            <w:r>
              <w:rPr>
                <w:rFonts w:ascii="Arial" w:cs="Arial" w:eastAsia="Arial" w:hAnsi="Arial"/>
                <w:sz w:val="14"/>
                <w:szCs w:val="14"/>
                <w:b w:val="1"/>
                <w:bCs w:val="1"/>
                <w:color w:val="auto"/>
              </w:rPr>
              <w:t>December 28,</w:t>
            </w: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294"/>
              <w:spacing w:after="0" w:line="153" w:lineRule="exact"/>
              <w:rPr>
                <w:sz w:val="20"/>
                <w:szCs w:val="20"/>
                <w:color w:val="auto"/>
              </w:rPr>
            </w:pPr>
            <w:r>
              <w:rPr>
                <w:rFonts w:ascii="Arial" w:cs="Arial" w:eastAsia="Arial" w:hAnsi="Arial"/>
                <w:sz w:val="14"/>
                <w:szCs w:val="14"/>
                <w:b w:val="1"/>
                <w:bCs w:val="1"/>
                <w:color w:val="auto"/>
              </w:rPr>
              <w:t>March 29,</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Net revenues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219,543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235,755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242,120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241,091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111,412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119,884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121,629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115,440</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Operating (loss)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(6,608)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23,430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17,860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12,645</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16,548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16,290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10,184</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Per share data:</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0.31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7"/>
        </w:trPr>
        <w:tc>
          <w:tcPr>
            <w:tcW w:w="5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3"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34290</wp:posOffset>
            </wp:positionV>
            <wp:extent cx="3687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Fiscal 2013</w:t>
            </w:r>
          </w:p>
        </w:tc>
        <w:tc>
          <w:tcPr>
            <w:tcW w:w="12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29,</w:t>
            </w:r>
          </w:p>
        </w:tc>
        <w:tc>
          <w:tcPr>
            <w:tcW w:w="18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29,</w:t>
            </w:r>
          </w:p>
        </w:tc>
        <w:tc>
          <w:tcPr>
            <w:tcW w:w="220" w:type="dxa"/>
            <w:vAlign w:val="bottom"/>
          </w:tcPr>
          <w:p>
            <w:pPr>
              <w:spacing w:after="0"/>
              <w:rPr>
                <w:sz w:val="14"/>
                <w:szCs w:val="14"/>
                <w:color w:val="auto"/>
              </w:rPr>
            </w:pPr>
          </w:p>
        </w:tc>
        <w:tc>
          <w:tcPr>
            <w:tcW w:w="1140" w:type="dxa"/>
            <w:vAlign w:val="bottom"/>
          </w:tcPr>
          <w:p>
            <w:pPr>
              <w:jc w:val="right"/>
              <w:ind w:right="294"/>
              <w:spacing w:after="0"/>
              <w:rPr>
                <w:sz w:val="20"/>
                <w:szCs w:val="20"/>
                <w:color w:val="auto"/>
              </w:rPr>
            </w:pPr>
            <w:r>
              <w:rPr>
                <w:rFonts w:ascii="Arial" w:cs="Arial" w:eastAsia="Arial" w:hAnsi="Arial"/>
                <w:sz w:val="14"/>
                <w:szCs w:val="14"/>
                <w:b w:val="1"/>
                <w:bCs w:val="1"/>
                <w:color w:val="auto"/>
              </w:rPr>
              <w:t>March 30,</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176,475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218,178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247,395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249,942</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90,113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101,762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113,115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123,141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15,747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17,710</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9,787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6,547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9,904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12,562</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Per share data:</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Diluted</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702"/>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81</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83" w:name="page84"/>
    <w:bookmarkEnd w:id="83"/>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19.</w:t>
        <w:tab/>
        <w:t>ACCUMULATED OTHER COMPREHENSIVE INCOME</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is a roll-forward of the components of Accumulated Other Comprehensive Income, net of tax, for the years ended March 29, 2014 and March 30, 2013:</w:t>
      </w: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Net Unrealized</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2"/>
              </w:rPr>
              <w:t>Foreign currency</w:t>
            </w:r>
          </w:p>
        </w:tc>
        <w:tc>
          <w:tcPr>
            <w:tcW w:w="100" w:type="dxa"/>
            <w:vAlign w:val="bottom"/>
            <w:vMerge w:val="restart"/>
          </w:tcPr>
          <w:p>
            <w:pPr>
              <w:spacing w:after="0"/>
              <w:rPr>
                <w:sz w:val="12"/>
                <w:szCs w:val="12"/>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Defined benefit plans</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Gain/loss on</w:t>
            </w:r>
          </w:p>
        </w:tc>
        <w:tc>
          <w:tcPr>
            <w:tcW w:w="320" w:type="dxa"/>
            <w:vAlign w:val="bottom"/>
          </w:tcPr>
          <w:p>
            <w:pPr>
              <w:spacing w:after="0"/>
              <w:rPr>
                <w:sz w:val="12"/>
                <w:szCs w:val="12"/>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3"/>
              </w:rPr>
              <w:t>Derivatives</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Balance as of March 31, 2012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8,838</w:t>
            </w:r>
          </w:p>
        </w:tc>
        <w:tc>
          <w:tcPr>
            <w:tcW w:w="100" w:type="dxa"/>
            <w:vAlign w:val="bottom"/>
          </w:tcPr>
          <w:p>
            <w:pPr>
              <w:spacing w:after="0"/>
              <w:rPr>
                <w:sz w:val="21"/>
                <w:szCs w:val="21"/>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(4,253)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4,525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9,110</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(loss)/income before reclassifications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43"/>
        </w:trPr>
        <w:tc>
          <w:tcPr>
            <w:tcW w:w="5600" w:type="dxa"/>
            <w:vAlign w:val="bottom"/>
            <w:gridSpan w:val="2"/>
          </w:tcPr>
          <w:p>
            <w:pPr>
              <w:ind w:left="20"/>
              <w:spacing w:after="0"/>
              <w:rPr>
                <w:sz w:val="20"/>
                <w:szCs w:val="20"/>
                <w:color w:val="auto"/>
              </w:rPr>
            </w:pPr>
            <w:r>
              <w:rPr>
                <w:rFonts w:ascii="Arial" w:cs="Arial" w:eastAsia="Arial" w:hAnsi="Arial"/>
                <w:sz w:val="18"/>
                <w:szCs w:val="18"/>
                <w:color w:val="auto"/>
                <w:w w:val="99"/>
              </w:rPr>
              <w:t>Amounts reclassified from Accumulated Other Comprehensive Income</w:t>
            </w: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(2,564)</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current period other comprehensive (loss)/income</w:t>
            </w: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1,848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(3,677)</w:t>
            </w:r>
          </w:p>
        </w:tc>
        <w:tc>
          <w:tcPr>
            <w:tcW w:w="0" w:type="dxa"/>
            <w:vAlign w:val="bottom"/>
          </w:tcPr>
          <w:p>
            <w:pPr>
              <w:spacing w:after="0"/>
              <w:rPr>
                <w:sz w:val="1"/>
                <w:szCs w:val="1"/>
                <w:color w:val="auto"/>
              </w:rPr>
            </w:pPr>
          </w:p>
        </w:tc>
      </w:tr>
      <w:tr>
        <w:trPr>
          <w:trHeight w:val="237"/>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Balance as of March 30, 2013</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4,133</w:t>
            </w:r>
          </w:p>
        </w:tc>
        <w:tc>
          <w:tcPr>
            <w:tcW w:w="100" w:type="dxa"/>
            <w:vAlign w:val="bottom"/>
          </w:tcPr>
          <w:p>
            <w:pPr>
              <w:spacing w:after="0"/>
              <w:rPr>
                <w:sz w:val="20"/>
                <w:szCs w:val="20"/>
                <w:color w:val="auto"/>
              </w:rPr>
            </w:pPr>
          </w:p>
        </w:tc>
        <w:tc>
          <w:tcPr>
            <w:tcW w:w="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(5,073)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6,373</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5,433</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(loss)/income before reclassifications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4,547</w:t>
            </w:r>
          </w:p>
        </w:tc>
        <w:tc>
          <w:tcPr>
            <w:tcW w:w="0" w:type="dxa"/>
            <w:vAlign w:val="bottom"/>
          </w:tcPr>
          <w:p>
            <w:pPr>
              <w:spacing w:after="0"/>
              <w:rPr>
                <w:sz w:val="1"/>
                <w:szCs w:val="1"/>
                <w:color w:val="auto"/>
              </w:rPr>
            </w:pPr>
          </w:p>
        </w:tc>
      </w:tr>
      <w:tr>
        <w:trPr>
          <w:trHeight w:val="243"/>
        </w:trPr>
        <w:tc>
          <w:tcPr>
            <w:tcW w:w="5600" w:type="dxa"/>
            <w:vAlign w:val="bottom"/>
            <w:gridSpan w:val="2"/>
          </w:tcPr>
          <w:p>
            <w:pPr>
              <w:ind w:left="20"/>
              <w:spacing w:after="0"/>
              <w:rPr>
                <w:sz w:val="20"/>
                <w:szCs w:val="20"/>
                <w:color w:val="auto"/>
              </w:rPr>
            </w:pPr>
            <w:r>
              <w:rPr>
                <w:rFonts w:ascii="Arial" w:cs="Arial" w:eastAsia="Arial" w:hAnsi="Arial"/>
                <w:sz w:val="18"/>
                <w:szCs w:val="18"/>
                <w:color w:val="auto"/>
                <w:w w:val="99"/>
              </w:rPr>
              <w:t>Amounts reclassified from Accumulated Other Comprehensive Income</w:t>
            </w: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(8,570)</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current period other comprehensive (loss)/income</w:t>
            </w: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(4,023)</w:t>
            </w:r>
          </w:p>
        </w:tc>
        <w:tc>
          <w:tcPr>
            <w:tcW w:w="0" w:type="dxa"/>
            <w:vAlign w:val="bottom"/>
          </w:tcPr>
          <w:p>
            <w:pPr>
              <w:spacing w:after="0"/>
              <w:rPr>
                <w:sz w:val="1"/>
                <w:szCs w:val="1"/>
                <w:color w:val="auto"/>
              </w:rPr>
            </w:pPr>
          </w:p>
        </w:tc>
      </w:tr>
      <w:tr>
        <w:trPr>
          <w:trHeight w:val="257"/>
        </w:trPr>
        <w:tc>
          <w:tcPr>
            <w:tcW w:w="560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as of March 29, 2014</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3,198</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(4,592)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2,804</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1,410</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details about the amount reclassified from Accumulated Other Comprehensive Income for the years ended March 29, 2014 and March 30, 2013 are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gridSpan w:val="4"/>
          </w:tcPr>
          <w:p>
            <w:pPr>
              <w:jc w:val="right"/>
              <w:ind w:right="293"/>
              <w:spacing w:after="0"/>
              <w:rPr>
                <w:sz w:val="20"/>
                <w:szCs w:val="20"/>
                <w:color w:val="auto"/>
              </w:rPr>
            </w:pPr>
            <w:r>
              <w:rPr>
                <w:rFonts w:ascii="Arial" w:cs="Arial" w:eastAsia="Arial" w:hAnsi="Arial"/>
                <w:sz w:val="14"/>
                <w:szCs w:val="14"/>
                <w:b w:val="1"/>
                <w:bCs w:val="1"/>
                <w:color w:val="auto"/>
              </w:rPr>
              <w:t>Amounts Reclassified from Other</w:t>
            </w:r>
          </w:p>
        </w:tc>
        <w:tc>
          <w:tcPr>
            <w:tcW w:w="2960" w:type="dxa"/>
            <w:vAlign w:val="bottom"/>
          </w:tcPr>
          <w:p>
            <w:pPr>
              <w:ind w:left="920"/>
              <w:spacing w:after="0"/>
              <w:rPr>
                <w:sz w:val="20"/>
                <w:szCs w:val="20"/>
                <w:color w:val="auto"/>
              </w:rPr>
            </w:pPr>
            <w:r>
              <w:rPr>
                <w:rFonts w:ascii="Arial" w:cs="Arial" w:eastAsia="Arial" w:hAnsi="Arial"/>
                <w:sz w:val="14"/>
                <w:szCs w:val="14"/>
                <w:b w:val="1"/>
                <w:bCs w:val="1"/>
                <w:color w:val="auto"/>
              </w:rPr>
              <w:t>Affected Line in the</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Comprehensive Income</w:t>
            </w:r>
          </w:p>
        </w:tc>
        <w:tc>
          <w:tcPr>
            <w:tcW w:w="296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Statement of Income</w:t>
            </w:r>
          </w:p>
        </w:tc>
        <w:tc>
          <w:tcPr>
            <w:tcW w:w="0" w:type="dxa"/>
            <w:vAlign w:val="bottom"/>
          </w:tcPr>
          <w:p>
            <w:pPr>
              <w:spacing w:after="0"/>
              <w:rPr>
                <w:sz w:val="1"/>
                <w:szCs w:val="1"/>
                <w:color w:val="auto"/>
              </w:rPr>
            </w:pPr>
          </w:p>
        </w:tc>
      </w:tr>
      <w:tr>
        <w:trPr>
          <w:trHeight w:val="152"/>
        </w:trPr>
        <w:tc>
          <w:tcPr>
            <w:tcW w:w="56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Derivative instruments reclassified to income statement</w:t>
            </w:r>
          </w:p>
        </w:tc>
        <w:tc>
          <w:tcPr>
            <w:tcW w:w="120" w:type="dxa"/>
            <w:vAlign w:val="bottom"/>
          </w:tcPr>
          <w:p>
            <w:pPr>
              <w:spacing w:after="0"/>
              <w:rPr>
                <w:sz w:val="13"/>
                <w:szCs w:val="13"/>
                <w:color w:val="auto"/>
              </w:rPr>
            </w:pPr>
          </w:p>
        </w:tc>
        <w:tc>
          <w:tcPr>
            <w:tcW w:w="136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Year ended March</w:t>
            </w:r>
          </w:p>
        </w:tc>
        <w:tc>
          <w:tcPr>
            <w:tcW w:w="1360" w:type="dxa"/>
            <w:vAlign w:val="bottom"/>
            <w:gridSpan w:val="2"/>
          </w:tcPr>
          <w:p>
            <w:pPr>
              <w:jc w:val="right"/>
              <w:ind w:right="13"/>
              <w:spacing w:after="0" w:line="153" w:lineRule="exact"/>
              <w:rPr>
                <w:sz w:val="20"/>
                <w:szCs w:val="20"/>
                <w:color w:val="auto"/>
              </w:rPr>
            </w:pPr>
            <w:r>
              <w:rPr>
                <w:rFonts w:ascii="Arial" w:cs="Arial" w:eastAsia="Arial" w:hAnsi="Arial"/>
                <w:sz w:val="14"/>
                <w:szCs w:val="14"/>
                <w:b w:val="1"/>
                <w:bCs w:val="1"/>
                <w:color w:val="auto"/>
              </w:rPr>
              <w:t>Year ended March</w:t>
            </w:r>
          </w:p>
        </w:tc>
        <w:tc>
          <w:tcPr>
            <w:tcW w:w="2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6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357"/>
              <w:spacing w:after="0"/>
              <w:rPr>
                <w:sz w:val="20"/>
                <w:szCs w:val="20"/>
                <w:color w:val="auto"/>
              </w:rPr>
            </w:pPr>
            <w:r>
              <w:rPr>
                <w:rFonts w:ascii="Arial" w:cs="Arial" w:eastAsia="Arial" w:hAnsi="Arial"/>
                <w:sz w:val="14"/>
                <w:szCs w:val="14"/>
                <w:b w:val="1"/>
                <w:bCs w:val="1"/>
                <w:color w:val="auto"/>
              </w:rPr>
              <w:t>29, 2014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333"/>
              <w:spacing w:after="0"/>
              <w:rPr>
                <w:sz w:val="20"/>
                <w:szCs w:val="20"/>
                <w:color w:val="auto"/>
              </w:rPr>
            </w:pPr>
            <w:r>
              <w:rPr>
                <w:rFonts w:ascii="Arial" w:cs="Arial" w:eastAsia="Arial" w:hAnsi="Arial"/>
                <w:sz w:val="14"/>
                <w:szCs w:val="14"/>
                <w:b w:val="1"/>
                <w:bCs w:val="1"/>
                <w:color w:val="auto"/>
              </w:rPr>
              <w:t>30, 2013</w:t>
            </w:r>
          </w:p>
        </w:tc>
        <w:tc>
          <w:tcPr>
            <w:tcW w:w="2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Revenue, cost of goods sold, other</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Realized net gain on derivatives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8,960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4,403</w:t>
            </w:r>
          </w:p>
        </w:tc>
        <w:tc>
          <w:tcPr>
            <w:tcW w:w="2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income</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Income tax effect</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(1,657)</w:t>
            </w:r>
          </w:p>
        </w:tc>
        <w:tc>
          <w:tcPr>
            <w:tcW w:w="2960" w:type="dxa"/>
            <w:vAlign w:val="bottom"/>
          </w:tcPr>
          <w:p>
            <w:pPr>
              <w:ind w:left="14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of taxes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8,570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2,746</w:t>
            </w:r>
          </w:p>
        </w:tc>
        <w:tc>
          <w:tcPr>
            <w:tcW w:w="2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Pension items reclassified to income statement</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Realized net loss on pension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230</w:t>
            </w:r>
          </w:p>
        </w:tc>
        <w:tc>
          <w:tcPr>
            <w:tcW w:w="2960" w:type="dxa"/>
            <w:vAlign w:val="bottom"/>
          </w:tcPr>
          <w:p>
            <w:pPr>
              <w:ind w:left="140"/>
              <w:spacing w:after="0"/>
              <w:rPr>
                <w:sz w:val="20"/>
                <w:szCs w:val="20"/>
                <w:color w:val="auto"/>
              </w:rPr>
            </w:pPr>
            <w:r>
              <w:rPr>
                <w:rFonts w:ascii="Arial" w:cs="Arial" w:eastAsia="Arial" w:hAnsi="Arial"/>
                <w:sz w:val="18"/>
                <w:szCs w:val="18"/>
                <w:color w:val="auto"/>
              </w:rPr>
              <w:t>Other income</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effect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57"/>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of taxes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258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182</w:t>
            </w:r>
          </w:p>
        </w:tc>
        <w:tc>
          <w:tcPr>
            <w:tcW w:w="2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880" w:hanging="872"/>
        <w:spacing w:after="0"/>
        <w:tabs>
          <w:tab w:leader="none" w:pos="8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On April 28, 2104, we announced that the Board of Directors has approved the repurchase of up to $100 million of shares, consistent with its loan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6" w:right="239" w:bottom="1440" w:gutter="0" w:footer="0" w:header="0"/>
        </w:sectPr>
      </w:pPr>
    </w:p>
    <w:bookmarkStart w:id="84" w:name="page85"/>
    <w:bookmarkEnd w:id="8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line="423"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7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220"/>
          </w:cols>
          <w:pgMar w:left="240" w:top="130" w:right="1439" w:bottom="1440" w:gutter="0" w:footer="0" w:header="0"/>
        </w:sectPr>
      </w:pPr>
    </w:p>
    <w:bookmarkStart w:id="85" w:name="page86"/>
    <w:bookmarkEnd w:id="8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As of the end of the period covered by this report, we conducted an evaluation under the supervision and with the participation of our management, including our Chief Executive Officer and Chief Financial Officer (our principal executive officer and principal financial officer, respectively) regarding the effectiveness of the design and operation of our disclosure controls and procedures as defined in Rule 13a-15 of the Securities Exchange Act of 1934 (the “Exchange Act”). Based upon that evaluation, the Chief Executive Officer and Chief Financial Officer concluded that as of the end of the period covered by this report, our disclosure controls and procedures are effective. There has been no change in our internal control over financial reporting during the fiscal year ended March 29, 2014 that has materially affected, or is reasonably likely to materially affect, our internal control over financial reporting.</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on Internal Control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Management’s Annual Report on Internal Control over Financial Reporting</w:t>
      </w:r>
    </w:p>
    <w:p>
      <w:pPr>
        <w:spacing w:after="0" w:line="13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management of the Company is responsible for establishing and maintaining adequate internal control over financial reporting, as such term is defined in Exchange Act Rules 13a-15(f) and 15d-a5(f). The Company’s internal control system was designed to provide reasonable assurance to the Company’s management and Board of Directors regarding the preparation and fair presentation of published financial statements.</w:t>
      </w:r>
    </w:p>
    <w:p>
      <w:pPr>
        <w:spacing w:after="0" w:line="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become inadequate because of changes in conditions, or that the degree of compliance with the policies or procedures may deteriorate.</w:t>
      </w:r>
    </w:p>
    <w:p>
      <w:pPr>
        <w:spacing w:after="0" w:line="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Company’s management assessed the effectiveness of its internal control over financial reporting as of March 29, 2014. In making this assessment, the management used the criteria set forth by the Committee of Sponsoring Organizations of the Treadway Commission (COSO) in Internal Control-Integrated Framework (1992 framework). Based on our assessment we believe that, as of March 29, 2014, the Company’s internal control over financial reporting is effective based on those criteria.</w:t>
      </w:r>
    </w:p>
    <w:p>
      <w:pPr>
        <w:spacing w:after="0" w:line="9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Ernst &amp; Young, LLP, an independent registered public accounting firm, has issued an attestation report on the effectiveness of our internal control over financial reporting. This report, in which they expressed an unqualified opinion, is included below.</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60"/>
          </w:cols>
          <w:pgMar w:left="240" w:top="130" w:right="299" w:bottom="1440" w:gutter="0" w:footer="0" w:header="0"/>
        </w:sectPr>
      </w:pPr>
    </w:p>
    <w:bookmarkStart w:id="86" w:name="page87"/>
    <w:bookmarkEnd w:id="8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Haemonetics Corporation</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have audited Haemonetics Corporation and subsidiaries’ internal control over financial reporting as of March 29, 2014, based on criteria established in Internal Control-Integrated Framework issued by the Committee of Sponsoring Organizations of the Treadway Commission (1992 framework) (the COSO criteria). Haemonetics Corporation and subsidiaries’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5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our opinion, Haemonetics Corporation and subsidiaries maintained, in all material respects, effective internal control over financial reporting as of March 29, 2014, based on the COSO criteria.</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Haemonetics Corporation and subsidiaries as of March 29, 2014 and March 30, 2013, and the related consolidated statements of income, comprehensive income, shareholders’ equity and cash flows for each of the three years in the period ended March 29, 2014 of Haemonetics Corporation and subsidiaries and our report dated May 22, 2014 expressed an unqualified opinion thereon.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22,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130" w:right="279" w:bottom="1440" w:gutter="0" w:footer="0" w:header="0"/>
        </w:sectPr>
      </w:pPr>
    </w:p>
    <w:bookmarkStart w:id="87" w:name="page88"/>
    <w:bookmarkEnd w:id="8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29"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There were no changes in the Company’s internal control over financial reporting that occurred during the fourth quarter of the Company’s most recently completed fiscal year that materially affected, or are reasonably likely to materially affect, the Company’s internal control over financial reporting.</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 AND CORPORATE GOVERNANCE</w:t>
      </w:r>
    </w:p>
    <w:p>
      <w:pPr>
        <w:spacing w:after="0" w:line="135" w:lineRule="exact"/>
        <w:rPr>
          <w:sz w:val="20"/>
          <w:szCs w:val="20"/>
          <w:color w:val="auto"/>
        </w:rPr>
      </w:pPr>
    </w:p>
    <w:p>
      <w:pPr>
        <w:ind w:right="240" w:firstLine="440"/>
        <w:spacing w:after="0" w:line="264" w:lineRule="auto"/>
        <w:tabs>
          <w:tab w:leader="none" w:pos="609"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called for by Item 401 of Regulations S-K concerning our directors and the information called for by Item 405 of Regulation S-K concerning compliance with Section 16(a) of the Securities Exchange Act of 1934 required by this Item is incorporated by reference from our Proxy Statement for the Annual Meeting to be held July 23, 2014.</w:t>
      </w:r>
    </w:p>
    <w:p>
      <w:pPr>
        <w:spacing w:after="0" w:line="86" w:lineRule="exact"/>
        <w:rPr>
          <w:rFonts w:ascii="Arial" w:cs="Arial" w:eastAsia="Arial" w:hAnsi="Arial"/>
          <w:sz w:val="18"/>
          <w:szCs w:val="18"/>
          <w:color w:val="auto"/>
        </w:rPr>
      </w:pPr>
    </w:p>
    <w:p>
      <w:pPr>
        <w:ind w:left="620" w:hanging="180"/>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concerning our Executive Officers is set forth at the end of Part I hereof.</w:t>
      </w:r>
    </w:p>
    <w:p>
      <w:pPr>
        <w:spacing w:after="0" w:line="130" w:lineRule="exact"/>
        <w:rPr>
          <w:rFonts w:ascii="Arial" w:cs="Arial" w:eastAsia="Arial" w:hAnsi="Arial"/>
          <w:sz w:val="18"/>
          <w:szCs w:val="18"/>
          <w:color w:val="auto"/>
        </w:rPr>
      </w:pPr>
    </w:p>
    <w:p>
      <w:pPr>
        <w:ind w:firstLine="440"/>
        <w:spacing w:after="0" w:line="297" w:lineRule="auto"/>
        <w:tabs>
          <w:tab w:leader="none" w:pos="609"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The balance of the information required by this item, including information concerning our Audit Committee and the Audit Committee Financial Expert and compliance with Item 407(c)(3) of S-K, is incorporated by reference from the Company’s Proxy Statement for the Annual Meeting to be held July 23, 2014. We have adopted a Code of Ethics that applies to our chief executive officer, chief financial officer and senior financial officers. The Code of Ethics is incorporated into the Company’s Code of Business Conduct located on the Company’s internet web site at </w:t>
      </w:r>
      <w:r>
        <w:rPr>
          <w:rFonts w:ascii="Arial" w:cs="Arial" w:eastAsia="Arial" w:hAnsi="Arial"/>
          <w:sz w:val="16"/>
          <w:szCs w:val="16"/>
          <w:u w:val="single" w:color="auto"/>
          <w:color w:val="003399"/>
        </w:rPr>
        <w:t>http://phx.corporate-ir.net/phoenix.zhtml?</w:t>
      </w:r>
      <w:r>
        <w:rPr>
          <w:rFonts w:ascii="Arial" w:cs="Arial" w:eastAsia="Arial" w:hAnsi="Arial"/>
          <w:sz w:val="16"/>
          <w:szCs w:val="16"/>
          <w:color w:val="auto"/>
        </w:rPr>
        <w:t xml:space="preserve"> </w:t>
      </w:r>
      <w:r>
        <w:rPr>
          <w:rFonts w:ascii="Arial" w:cs="Arial" w:eastAsia="Arial" w:hAnsi="Arial"/>
          <w:sz w:val="16"/>
          <w:szCs w:val="16"/>
          <w:u w:val="single" w:color="auto"/>
          <w:color w:val="003399"/>
        </w:rPr>
        <w:t>c=72118&amp;p=irol-IRHome</w:t>
      </w:r>
      <w:r>
        <w:rPr>
          <w:rFonts w:ascii="Arial" w:cs="Arial" w:eastAsia="Arial" w:hAnsi="Arial"/>
          <w:sz w:val="16"/>
          <w:szCs w:val="16"/>
          <w:color w:val="003399"/>
        </w:rPr>
        <w:t xml:space="preserve"> </w:t>
      </w:r>
      <w:r>
        <w:rPr>
          <w:rFonts w:ascii="Arial" w:cs="Arial" w:eastAsia="Arial" w:hAnsi="Arial"/>
          <w:sz w:val="16"/>
          <w:szCs w:val="16"/>
          <w:color w:val="000000"/>
        </w:rPr>
        <w:t>and it is available in print to any shareholder who requests it. Such requests should be directed to our Company’s Secretary.</w:t>
      </w:r>
    </w:p>
    <w:p>
      <w:pPr>
        <w:spacing w:after="0" w:line="64"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We intend to disclose any amendment to, or waiver from, a provision of the Code of Ethics that applies to our chief executive officer, chief financial officer or senior financial officers and that relates to any element of the Code of Ethics definition enumerated in Item 406 of Regulation S-K by posting such information on our website. Pursuant to NYSE Rule 303A.10, as amended, any waiver of the code of ethics for any executive officer or director must be disclosed within four business days by a press release, SEC Form 8-K, or internet posting.</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3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information required by this Item is incorporated by reference from our Proxy Statement for the Annual Meeting to be held July 23, 2014. Notwithstanding the foregoing, the Compensation Committee Report included within the Proxy Statement is only being “furnished” hereunder and shall not be deemed “filed” for purposes of Section 18 of the Securities and Exchange Act of 1934.</w:t>
      </w:r>
    </w:p>
    <w:p>
      <w:pPr>
        <w:spacing w:after="0" w:line="231"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7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information required by this Item concerning security ownership of certain beneficial owners and management is incorporated by reference from the Company’s Proxy Statement for the Annual Meeting to be held July 23, 2014.</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80"/>
          </w:cols>
          <w:pgMar w:left="240" w:top="130" w:right="279" w:bottom="1440" w:gutter="0" w:footer="0" w:header="0"/>
        </w:sectPr>
      </w:pPr>
    </w:p>
    <w:bookmarkStart w:id="88" w:name="page89"/>
    <w:bookmarkEnd w:id="8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Plans</w:t>
      </w:r>
    </w:p>
    <w:p>
      <w:pPr>
        <w:spacing w:after="0" w:line="13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below sets forth information as of March 29, 2014 with respect to compensation plans under which equity securities of the Company are authorized for issuance.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w:t>
            </w:r>
          </w:p>
        </w:tc>
        <w:tc>
          <w:tcPr>
            <w:tcW w:w="220" w:type="dxa"/>
            <w:vAlign w:val="bottom"/>
          </w:tcPr>
          <w:p>
            <w:pPr>
              <w:spacing w:after="0"/>
              <w:rPr>
                <w:sz w:val="16"/>
                <w:szCs w:val="16"/>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(b)</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65"/>
        </w:trPr>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3"/>
              </w:rPr>
              <w:t>Number of Securities</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Available for Future</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Number of Securities to be</w:t>
            </w:r>
          </w:p>
        </w:tc>
        <w:tc>
          <w:tcPr>
            <w:tcW w:w="220" w:type="dxa"/>
            <w:vAlign w:val="bottom"/>
          </w:tcPr>
          <w:p>
            <w:pPr>
              <w:spacing w:after="0"/>
              <w:rPr>
                <w:sz w:val="12"/>
                <w:szCs w:val="12"/>
                <w:color w:val="auto"/>
              </w:rPr>
            </w:pPr>
          </w:p>
        </w:tc>
        <w:tc>
          <w:tcPr>
            <w:tcW w:w="18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 Average</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Issuance Under Equity</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Issued upon Exercise</w:t>
            </w:r>
          </w:p>
        </w:tc>
        <w:tc>
          <w:tcPr>
            <w:tcW w:w="220" w:type="dxa"/>
            <w:vAlign w:val="bottom"/>
          </w:tcPr>
          <w:p>
            <w:pPr>
              <w:spacing w:after="0"/>
              <w:rPr>
                <w:sz w:val="12"/>
                <w:szCs w:val="12"/>
                <w:color w:val="auto"/>
              </w:rPr>
            </w:pPr>
          </w:p>
        </w:tc>
        <w:tc>
          <w:tcPr>
            <w:tcW w:w="18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(Excluding Securities</w:t>
            </w:r>
          </w:p>
        </w:tc>
        <w:tc>
          <w:tcPr>
            <w:tcW w:w="0" w:type="dxa"/>
            <w:vAlign w:val="bottom"/>
          </w:tcPr>
          <w:p>
            <w:pPr>
              <w:spacing w:after="0"/>
              <w:rPr>
                <w:sz w:val="1"/>
                <w:szCs w:val="1"/>
                <w:color w:val="auto"/>
              </w:rPr>
            </w:pPr>
          </w:p>
        </w:tc>
      </w:tr>
      <w:tr>
        <w:trPr>
          <w:trHeight w:val="149"/>
        </w:trPr>
        <w:tc>
          <w:tcPr>
            <w:tcW w:w="45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2"/>
                <w:szCs w:val="12"/>
                <w:color w:val="auto"/>
              </w:rPr>
            </w:pPr>
          </w:p>
        </w:tc>
        <w:tc>
          <w:tcPr>
            <w:tcW w:w="2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of Outstanding Options,</w:t>
            </w:r>
          </w:p>
        </w:tc>
        <w:tc>
          <w:tcPr>
            <w:tcW w:w="220" w:type="dxa"/>
            <w:vAlign w:val="bottom"/>
          </w:tcPr>
          <w:p>
            <w:pPr>
              <w:spacing w:after="0"/>
              <w:rPr>
                <w:sz w:val="12"/>
                <w:szCs w:val="12"/>
                <w:color w:val="auto"/>
              </w:rPr>
            </w:pPr>
          </w:p>
        </w:tc>
        <w:tc>
          <w:tcPr>
            <w:tcW w:w="18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Outstanding Options,</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Reflected in Column</w:t>
            </w:r>
          </w:p>
        </w:tc>
        <w:tc>
          <w:tcPr>
            <w:tcW w:w="0" w:type="dxa"/>
            <w:vAlign w:val="bottom"/>
          </w:tcPr>
          <w:p>
            <w:pPr>
              <w:spacing w:after="0"/>
              <w:rPr>
                <w:sz w:val="1"/>
                <w:szCs w:val="1"/>
                <w:color w:val="auto"/>
              </w:rPr>
            </w:pPr>
          </w:p>
        </w:tc>
      </w:tr>
      <w:tr>
        <w:trPr>
          <w:trHeight w:val="192"/>
        </w:trPr>
        <w:tc>
          <w:tcPr>
            <w:tcW w:w="45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Warrants and Rights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4"/>
              </w:rPr>
              <w:t>Warrants and Rights</w:t>
            </w: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0" w:type="dxa"/>
            <w:vAlign w:val="bottom"/>
          </w:tcPr>
          <w:p>
            <w:pPr>
              <w:spacing w:after="0"/>
              <w:rPr>
                <w:sz w:val="1"/>
                <w:szCs w:val="1"/>
                <w:color w:val="auto"/>
              </w:rPr>
            </w:pPr>
          </w:p>
        </w:tc>
      </w:tr>
      <w:tr>
        <w:trPr>
          <w:trHeight w:val="25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25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4,434,045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33.58</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2,321,442</w:t>
            </w:r>
          </w:p>
        </w:tc>
        <w:tc>
          <w:tcPr>
            <w:tcW w:w="0" w:type="dxa"/>
            <w:vAlign w:val="bottom"/>
          </w:tcPr>
          <w:p>
            <w:pPr>
              <w:spacing w:after="0"/>
              <w:rPr>
                <w:sz w:val="1"/>
                <w:szCs w:val="1"/>
                <w:color w:val="auto"/>
              </w:rPr>
            </w:pPr>
          </w:p>
        </w:tc>
      </w:tr>
      <w:tr>
        <w:trPr>
          <w:trHeight w:val="243"/>
        </w:trPr>
        <w:tc>
          <w:tcPr>
            <w:tcW w:w="4680" w:type="dxa"/>
            <w:vAlign w:val="bottom"/>
            <w:gridSpan w:val="2"/>
          </w:tcPr>
          <w:p>
            <w:pPr>
              <w:ind w:left="40"/>
              <w:spacing w:after="0"/>
              <w:rPr>
                <w:sz w:val="20"/>
                <w:szCs w:val="20"/>
                <w:color w:val="auto"/>
              </w:rPr>
            </w:pPr>
            <w:r>
              <w:rPr>
                <w:rFonts w:ascii="Arial" w:cs="Arial" w:eastAsia="Arial" w:hAnsi="Arial"/>
                <w:sz w:val="18"/>
                <w:szCs w:val="18"/>
                <w:color w:val="auto"/>
                <w:w w:val="96"/>
              </w:rPr>
              <w:t>Equity compensation plans not approved by security holders</w:t>
            </w:r>
          </w:p>
        </w:tc>
        <w:tc>
          <w:tcPr>
            <w:tcW w:w="2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4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5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4,434,045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33.58</w:t>
            </w:r>
          </w:p>
        </w:tc>
        <w:tc>
          <w:tcPr>
            <w:tcW w:w="10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8"/>
                <w:szCs w:val="18"/>
                <w:b w:val="1"/>
                <w:bCs w:val="1"/>
                <w:color w:val="auto"/>
              </w:rPr>
              <w:t>2,321,442</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Includes 526,461 shares available for purchase under the Employee Stock Purchase Plan in future purchase periods.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INDEPEDENCE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incorporated by reference from our Proxy Statement for the Annual Meeting to be held July 23,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incorporated by reference from our Proxy Statement for the Annual Meeting to be held July 23, 2014.</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60"/>
          </w:cols>
          <w:pgMar w:left="240" w:top="129" w:right="299" w:bottom="1440" w:gutter="0" w:footer="0" w:header="0"/>
        </w:sectPr>
      </w:pPr>
    </w:p>
    <w:bookmarkStart w:id="89" w:name="page90"/>
    <w:bookmarkEnd w:id="8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a part of this report: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gridSpan w:val="2"/>
          </w:tcPr>
          <w:p>
            <w:pPr>
              <w:spacing w:after="0"/>
              <w:rPr>
                <w:sz w:val="20"/>
                <w:szCs w:val="20"/>
                <w:color w:val="auto"/>
              </w:rPr>
            </w:pPr>
            <w:r>
              <w:rPr>
                <w:rFonts w:ascii="Arial" w:cs="Arial" w:eastAsia="Arial" w:hAnsi="Arial"/>
                <w:sz w:val="18"/>
                <w:szCs w:val="18"/>
                <w:b w:val="1"/>
                <w:bCs w:val="1"/>
                <w:color w:val="auto"/>
              </w:rPr>
              <w:t>A)</w:t>
            </w:r>
          </w:p>
        </w:tc>
        <w:tc>
          <w:tcPr>
            <w:tcW w:w="10640" w:type="dxa"/>
            <w:vAlign w:val="bottom"/>
            <w:gridSpan w:val="9"/>
          </w:tcPr>
          <w:p>
            <w:pPr>
              <w:ind w:left="320"/>
              <w:spacing w:after="0"/>
              <w:rPr>
                <w:sz w:val="20"/>
                <w:szCs w:val="20"/>
                <w:color w:val="auto"/>
              </w:rPr>
            </w:pPr>
            <w:r>
              <w:rPr>
                <w:rFonts w:ascii="Arial" w:cs="Arial" w:eastAsia="Arial" w:hAnsi="Arial"/>
                <w:sz w:val="18"/>
                <w:szCs w:val="18"/>
                <w:b w:val="1"/>
                <w:bCs w:val="1"/>
                <w:color w:val="auto"/>
              </w:rPr>
              <w:t>Financial Statements are included in Part II of this report</w:t>
            </w:r>
          </w:p>
        </w:tc>
        <w:tc>
          <w:tcPr>
            <w:tcW w:w="180" w:type="dxa"/>
            <w:vAlign w:val="bottom"/>
          </w:tcPr>
          <w:p>
            <w:pPr>
              <w:spacing w:after="0"/>
              <w:rPr>
                <w:sz w:val="20"/>
                <w:szCs w:val="20"/>
                <w:color w:val="auto"/>
              </w:rPr>
            </w:pPr>
          </w:p>
        </w:tc>
      </w:tr>
      <w:tr>
        <w:trPr>
          <w:trHeight w:val="392"/>
        </w:trPr>
        <w:tc>
          <w:tcPr>
            <w:tcW w:w="11160" w:type="dxa"/>
            <w:vAlign w:val="bottom"/>
            <w:gridSpan w:val="11"/>
          </w:tcPr>
          <w:p>
            <w:pPr>
              <w:ind w:left="40"/>
              <w:spacing w:after="0"/>
              <w:rPr>
                <w:sz w:val="20"/>
                <w:szCs w:val="20"/>
                <w:color w:val="auto"/>
              </w:rPr>
            </w:pPr>
            <w:r>
              <w:rPr>
                <w:rFonts w:ascii="Arial" w:cs="Arial" w:eastAsia="Arial" w:hAnsi="Arial"/>
                <w:sz w:val="18"/>
                <w:szCs w:val="18"/>
                <w:color w:val="auto"/>
              </w:rPr>
              <w:t>Financial Statements required by Item 8 of this Form</w:t>
            </w:r>
          </w:p>
        </w:tc>
        <w:tc>
          <w:tcPr>
            <w:tcW w:w="180" w:type="dxa"/>
            <w:vAlign w:val="bottom"/>
          </w:tcPr>
          <w:p>
            <w:pPr>
              <w:spacing w:after="0"/>
              <w:rPr>
                <w:sz w:val="24"/>
                <w:szCs w:val="24"/>
                <w:color w:val="auto"/>
              </w:rPr>
            </w:pPr>
          </w:p>
        </w:tc>
      </w:tr>
      <w:tr>
        <w:trPr>
          <w:trHeight w:val="230"/>
        </w:trPr>
        <w:tc>
          <w:tcPr>
            <w:tcW w:w="180" w:type="dxa"/>
            <w:vAlign w:val="bottom"/>
          </w:tcPr>
          <w:p>
            <w:pPr>
              <w:spacing w:after="0"/>
              <w:rPr>
                <w:sz w:val="19"/>
                <w:szCs w:val="19"/>
                <w:color w:val="auto"/>
              </w:rPr>
            </w:pPr>
          </w:p>
        </w:tc>
        <w:tc>
          <w:tcPr>
            <w:tcW w:w="10980" w:type="dxa"/>
            <w:vAlign w:val="bottom"/>
            <w:gridSpan w:val="10"/>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Report of Independent Registered Public Accounting Firm</w:t>
              </w:r>
            </w:hyperlink>
          </w:p>
        </w:tc>
        <w:tc>
          <w:tcPr>
            <w:tcW w:w="180" w:type="dxa"/>
            <w:vAlign w:val="bottom"/>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43</w:t>
              </w:r>
            </w:hyperlink>
          </w:p>
        </w:tc>
      </w:tr>
      <w:tr>
        <w:trPr>
          <w:trHeight w:val="250"/>
        </w:trPr>
        <w:tc>
          <w:tcPr>
            <w:tcW w:w="180" w:type="dxa"/>
            <w:vAlign w:val="bottom"/>
          </w:tcPr>
          <w:p>
            <w:pPr>
              <w:spacing w:after="0"/>
              <w:rPr>
                <w:sz w:val="21"/>
                <w:szCs w:val="21"/>
                <w:color w:val="auto"/>
              </w:rPr>
            </w:pPr>
          </w:p>
        </w:tc>
        <w:tc>
          <w:tcPr>
            <w:tcW w:w="2560" w:type="dxa"/>
            <w:vAlign w:val="bottom"/>
            <w:tcBorders>
              <w:top w:val="single" w:sz="8" w:color="0000EE"/>
              <w:bottom w:val="single" w:sz="8" w:color="0000FF"/>
            </w:tcBorders>
            <w:gridSpan w:val="3"/>
          </w:tcPr>
          <w:p>
            <w:pPr>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Consolidated Statements of Income</w:t>
              </w:r>
            </w:hyperlink>
          </w:p>
        </w:tc>
        <w:tc>
          <w:tcPr>
            <w:tcW w:w="1640" w:type="dxa"/>
            <w:vAlign w:val="bottom"/>
            <w:tcBorders>
              <w:top w:val="single" w:sz="8" w:color="0000EE"/>
            </w:tcBorders>
            <w:gridSpan w:val="6"/>
          </w:tcPr>
          <w:p>
            <w:pPr>
              <w:spacing w:after="0"/>
              <w:rPr>
                <w:sz w:val="21"/>
                <w:szCs w:val="21"/>
                <w:color w:val="auto"/>
              </w:rPr>
            </w:pPr>
          </w:p>
        </w:tc>
        <w:tc>
          <w:tcPr>
            <w:tcW w:w="6780" w:type="dxa"/>
            <w:vAlign w:val="bottom"/>
          </w:tcPr>
          <w:p>
            <w:pPr>
              <w:spacing w:after="0"/>
              <w:rPr>
                <w:sz w:val="21"/>
                <w:szCs w:val="21"/>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46">
              <w:r>
                <w:rPr>
                  <w:rFonts w:ascii="Arial" w:cs="Arial" w:eastAsia="Arial" w:hAnsi="Arial"/>
                  <w:sz w:val="18"/>
                  <w:szCs w:val="18"/>
                  <w:color w:val="0000EE"/>
                  <w:w w:val="79"/>
                </w:rPr>
                <w:t>44</w:t>
              </w:r>
            </w:hyperlink>
          </w:p>
        </w:tc>
      </w:tr>
      <w:tr>
        <w:trPr>
          <w:trHeight w:val="250"/>
        </w:trPr>
        <w:tc>
          <w:tcPr>
            <w:tcW w:w="180" w:type="dxa"/>
            <w:vAlign w:val="bottom"/>
          </w:tcPr>
          <w:p>
            <w:pPr>
              <w:spacing w:after="0"/>
              <w:rPr>
                <w:sz w:val="21"/>
                <w:szCs w:val="21"/>
                <w:color w:val="auto"/>
              </w:rPr>
            </w:pPr>
          </w:p>
        </w:tc>
        <w:tc>
          <w:tcPr>
            <w:tcW w:w="10980" w:type="dxa"/>
            <w:vAlign w:val="bottom"/>
            <w:gridSpan w:val="10"/>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Consolidated Statements of Comprehensive Income</w:t>
              </w:r>
            </w:hyperlink>
          </w:p>
        </w:tc>
        <w:tc>
          <w:tcPr>
            <w:tcW w:w="180" w:type="dxa"/>
            <w:vAlign w:val="bottom"/>
          </w:tcPr>
          <w:p>
            <w:pPr>
              <w:jc w:val="right"/>
              <w:spacing w:after="0"/>
              <w:rPr>
                <w:rFonts w:ascii="Arial" w:cs="Arial" w:eastAsia="Arial" w:hAnsi="Arial"/>
                <w:sz w:val="18"/>
                <w:szCs w:val="18"/>
                <w:color w:val="0000EE"/>
                <w:w w:val="79"/>
              </w:rPr>
            </w:pPr>
            <w:hyperlink w:anchor="page46">
              <w:r>
                <w:rPr>
                  <w:rFonts w:ascii="Arial" w:cs="Arial" w:eastAsia="Arial" w:hAnsi="Arial"/>
                  <w:sz w:val="18"/>
                  <w:szCs w:val="18"/>
                  <w:color w:val="0000EE"/>
                  <w:w w:val="79"/>
                </w:rPr>
                <w:t>45</w:t>
              </w:r>
            </w:hyperlink>
          </w:p>
        </w:tc>
      </w:tr>
      <w:tr>
        <w:trPr>
          <w:trHeight w:val="250"/>
        </w:trPr>
        <w:tc>
          <w:tcPr>
            <w:tcW w:w="180" w:type="dxa"/>
            <w:vAlign w:val="bottom"/>
          </w:tcPr>
          <w:p>
            <w:pPr>
              <w:spacing w:after="0"/>
              <w:rPr>
                <w:sz w:val="21"/>
                <w:szCs w:val="21"/>
                <w:color w:val="auto"/>
              </w:rPr>
            </w:pPr>
          </w:p>
        </w:tc>
        <w:tc>
          <w:tcPr>
            <w:tcW w:w="2080" w:type="dxa"/>
            <w:vAlign w:val="bottom"/>
            <w:tcBorders>
              <w:top w:val="single" w:sz="8" w:color="0000FF"/>
              <w:bottom w:val="single" w:sz="8" w:color="0000EE"/>
            </w:tcBorders>
            <w:gridSpan w:val="2"/>
          </w:tcPr>
          <w:p>
            <w:pPr>
              <w:spacing w:after="0"/>
              <w:rPr>
                <w:rFonts w:ascii="Arial" w:cs="Arial" w:eastAsia="Arial" w:hAnsi="Arial"/>
                <w:sz w:val="18"/>
                <w:szCs w:val="18"/>
                <w:color w:val="0000EE"/>
                <w:w w:val="87"/>
              </w:rPr>
            </w:pPr>
            <w:hyperlink w:anchor="page47">
              <w:r>
                <w:rPr>
                  <w:rFonts w:ascii="Arial" w:cs="Arial" w:eastAsia="Arial" w:hAnsi="Arial"/>
                  <w:sz w:val="18"/>
                  <w:szCs w:val="18"/>
                  <w:color w:val="0000EE"/>
                  <w:w w:val="87"/>
                </w:rPr>
                <w:t>Consolidated Balance Sheets</w:t>
              </w:r>
            </w:hyperlink>
          </w:p>
        </w:tc>
        <w:tc>
          <w:tcPr>
            <w:tcW w:w="1640" w:type="dxa"/>
            <w:vAlign w:val="bottom"/>
            <w:tcBorders>
              <w:top w:val="single" w:sz="8" w:color="0000FF"/>
            </w:tcBorders>
            <w:gridSpan w:val="6"/>
          </w:tcPr>
          <w:p>
            <w:pPr>
              <w:spacing w:after="0"/>
              <w:rPr>
                <w:sz w:val="21"/>
                <w:szCs w:val="21"/>
                <w:color w:val="auto"/>
              </w:rPr>
            </w:pPr>
          </w:p>
        </w:tc>
        <w:tc>
          <w:tcPr>
            <w:tcW w:w="7260" w:type="dxa"/>
            <w:vAlign w:val="bottom"/>
            <w:gridSpan w:val="2"/>
          </w:tcPr>
          <w:p>
            <w:pPr>
              <w:spacing w:after="0"/>
              <w:rPr>
                <w:sz w:val="21"/>
                <w:szCs w:val="21"/>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47">
              <w:r>
                <w:rPr>
                  <w:rFonts w:ascii="Arial" w:cs="Arial" w:eastAsia="Arial" w:hAnsi="Arial"/>
                  <w:sz w:val="18"/>
                  <w:szCs w:val="18"/>
                  <w:color w:val="0000EE"/>
                  <w:w w:val="79"/>
                </w:rPr>
                <w:t>46</w:t>
              </w:r>
            </w:hyperlink>
          </w:p>
        </w:tc>
      </w:tr>
      <w:tr>
        <w:trPr>
          <w:trHeight w:val="250"/>
        </w:trPr>
        <w:tc>
          <w:tcPr>
            <w:tcW w:w="180" w:type="dxa"/>
            <w:vAlign w:val="bottom"/>
          </w:tcPr>
          <w:p>
            <w:pPr>
              <w:spacing w:after="0"/>
              <w:rPr>
                <w:sz w:val="21"/>
                <w:szCs w:val="21"/>
                <w:color w:val="auto"/>
              </w:rPr>
            </w:pPr>
          </w:p>
        </w:tc>
        <w:tc>
          <w:tcPr>
            <w:tcW w:w="354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48">
              <w:r>
                <w:rPr>
                  <w:rFonts w:ascii="Arial" w:cs="Arial" w:eastAsia="Arial" w:hAnsi="Arial"/>
                  <w:sz w:val="18"/>
                  <w:szCs w:val="18"/>
                  <w:color w:val="0000FF"/>
                  <w:w w:val="90"/>
                </w:rPr>
                <w:t xml:space="preserve">Consolidated Statements of Stockholders’ </w:t>
              </w:r>
            </w:hyperlink>
            <w:r>
              <w:rPr>
                <w:rFonts w:ascii="Arial" w:cs="Arial" w:eastAsia="Arial" w:hAnsi="Arial"/>
                <w:sz w:val="18"/>
                <w:szCs w:val="18"/>
                <w:color w:val="0000FF"/>
                <w:w w:val="90"/>
              </w:rPr>
              <w:t>Equity</w:t>
            </w:r>
          </w:p>
        </w:tc>
        <w:tc>
          <w:tcPr>
            <w:tcW w:w="7440" w:type="dxa"/>
            <w:vAlign w:val="bottom"/>
            <w:gridSpan w:val="3"/>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8">
              <w:r>
                <w:rPr>
                  <w:rFonts w:ascii="Arial" w:cs="Arial" w:eastAsia="Arial" w:hAnsi="Arial"/>
                  <w:sz w:val="18"/>
                  <w:szCs w:val="18"/>
                  <w:color w:val="0000EE"/>
                  <w:w w:val="79"/>
                </w:rPr>
                <w:t>47</w:t>
              </w:r>
            </w:hyperlink>
          </w:p>
        </w:tc>
      </w:tr>
      <w:tr>
        <w:trPr>
          <w:trHeight w:val="250"/>
        </w:trPr>
        <w:tc>
          <w:tcPr>
            <w:tcW w:w="180" w:type="dxa"/>
            <w:vAlign w:val="bottom"/>
          </w:tcPr>
          <w:p>
            <w:pPr>
              <w:spacing w:after="0"/>
              <w:rPr>
                <w:sz w:val="21"/>
                <w:szCs w:val="21"/>
                <w:color w:val="auto"/>
              </w:rPr>
            </w:pPr>
          </w:p>
        </w:tc>
        <w:tc>
          <w:tcPr>
            <w:tcW w:w="286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49">
              <w:r>
                <w:rPr>
                  <w:rFonts w:ascii="Arial" w:cs="Arial" w:eastAsia="Arial" w:hAnsi="Arial"/>
                  <w:sz w:val="18"/>
                  <w:szCs w:val="18"/>
                  <w:color w:val="0000EE"/>
                  <w:w w:val="88"/>
                </w:rPr>
                <w:t>Consolidated Statements of Cash Flows</w:t>
              </w:r>
            </w:hyperlink>
          </w:p>
        </w:tc>
        <w:tc>
          <w:tcPr>
            <w:tcW w:w="8120" w:type="dxa"/>
            <w:vAlign w:val="bottom"/>
            <w:gridSpan w:val="5"/>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9">
              <w:r>
                <w:rPr>
                  <w:rFonts w:ascii="Arial" w:cs="Arial" w:eastAsia="Arial" w:hAnsi="Arial"/>
                  <w:sz w:val="18"/>
                  <w:szCs w:val="18"/>
                  <w:color w:val="0000EE"/>
                  <w:w w:val="79"/>
                </w:rPr>
                <w:t>48</w:t>
              </w:r>
            </w:hyperlink>
          </w:p>
        </w:tc>
      </w:tr>
      <w:tr>
        <w:trPr>
          <w:trHeight w:val="250"/>
        </w:trPr>
        <w:tc>
          <w:tcPr>
            <w:tcW w:w="180" w:type="dxa"/>
            <w:vAlign w:val="bottom"/>
          </w:tcPr>
          <w:p>
            <w:pPr>
              <w:spacing w:after="0"/>
              <w:rPr>
                <w:sz w:val="21"/>
                <w:szCs w:val="21"/>
                <w:color w:val="auto"/>
              </w:rPr>
            </w:pPr>
          </w:p>
        </w:tc>
        <w:tc>
          <w:tcPr>
            <w:tcW w:w="31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Notes to Consolidated Financial Statements</w:t>
              </w:r>
            </w:hyperlink>
          </w:p>
        </w:tc>
        <w:tc>
          <w:tcPr>
            <w:tcW w:w="7840" w:type="dxa"/>
            <w:vAlign w:val="bottom"/>
            <w:gridSpan w:val="4"/>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0">
              <w:r>
                <w:rPr>
                  <w:rFonts w:ascii="Arial" w:cs="Arial" w:eastAsia="Arial" w:hAnsi="Arial"/>
                  <w:sz w:val="18"/>
                  <w:szCs w:val="18"/>
                  <w:color w:val="0000EE"/>
                  <w:w w:val="79"/>
                </w:rPr>
                <w:t>49</w:t>
              </w:r>
            </w:hyperlink>
          </w:p>
        </w:tc>
      </w:tr>
      <w:tr>
        <w:trPr>
          <w:trHeight w:val="291"/>
        </w:trPr>
        <w:tc>
          <w:tcPr>
            <w:tcW w:w="11160" w:type="dxa"/>
            <w:vAlign w:val="bottom"/>
            <w:gridSpan w:val="11"/>
          </w:tcPr>
          <w:p>
            <w:pPr>
              <w:spacing w:after="0"/>
              <w:rPr>
                <w:sz w:val="20"/>
                <w:szCs w:val="20"/>
                <w:color w:val="auto"/>
              </w:rPr>
            </w:pPr>
            <w:r>
              <w:rPr>
                <w:rFonts w:ascii="Arial" w:cs="Arial" w:eastAsia="Arial" w:hAnsi="Arial"/>
                <w:sz w:val="18"/>
                <w:szCs w:val="18"/>
                <w:color w:val="auto"/>
              </w:rPr>
              <w:t>Schedules required by Article 12 of Regulation S-X</w:t>
            </w:r>
          </w:p>
        </w:tc>
        <w:tc>
          <w:tcPr>
            <w:tcW w:w="180" w:type="dxa"/>
            <w:vAlign w:val="bottom"/>
          </w:tcPr>
          <w:p>
            <w:pPr>
              <w:spacing w:after="0"/>
              <w:rPr>
                <w:sz w:val="24"/>
                <w:szCs w:val="24"/>
                <w:color w:val="auto"/>
              </w:rPr>
            </w:pPr>
          </w:p>
        </w:tc>
      </w:tr>
      <w:tr>
        <w:trPr>
          <w:trHeight w:val="230"/>
        </w:trPr>
        <w:tc>
          <w:tcPr>
            <w:tcW w:w="180" w:type="dxa"/>
            <w:vAlign w:val="bottom"/>
          </w:tcPr>
          <w:p>
            <w:pPr>
              <w:spacing w:after="0"/>
              <w:rPr>
                <w:sz w:val="19"/>
                <w:szCs w:val="19"/>
                <w:color w:val="auto"/>
              </w:rPr>
            </w:pPr>
          </w:p>
        </w:tc>
        <w:tc>
          <w:tcPr>
            <w:tcW w:w="270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95">
              <w:r>
                <w:rPr>
                  <w:rFonts w:ascii="Arial" w:cs="Arial" w:eastAsia="Arial" w:hAnsi="Arial"/>
                  <w:sz w:val="18"/>
                  <w:szCs w:val="18"/>
                  <w:color w:val="0000EE"/>
                  <w:w w:val="92"/>
                </w:rPr>
                <w:t>II Valuation and Qualifying Accounts</w:t>
              </w:r>
            </w:hyperlink>
          </w:p>
        </w:tc>
        <w:tc>
          <w:tcPr>
            <w:tcW w:w="8280" w:type="dxa"/>
            <w:vAlign w:val="bottom"/>
            <w:gridSpan w:val="6"/>
          </w:tcPr>
          <w:p>
            <w:pPr>
              <w:spacing w:after="0"/>
              <w:rPr>
                <w:sz w:val="19"/>
                <w:szCs w:val="19"/>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5">
              <w:r>
                <w:rPr>
                  <w:rFonts w:ascii="Arial" w:cs="Arial" w:eastAsia="Arial" w:hAnsi="Arial"/>
                  <w:sz w:val="18"/>
                  <w:szCs w:val="18"/>
                  <w:color w:val="0000EE"/>
                  <w:w w:val="79"/>
                </w:rPr>
                <w:t>94</w:t>
              </w:r>
            </w:hyperlink>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All other schedules have been omitted because they are not applicable or not required.</w:t>
      </w:r>
    </w:p>
    <w:p>
      <w:pPr>
        <w:spacing w:after="0" w:line="248" w:lineRule="exact"/>
        <w:rPr>
          <w:sz w:val="20"/>
          <w:szCs w:val="20"/>
          <w:color w:val="auto"/>
        </w:rPr>
      </w:pPr>
    </w:p>
    <w:p>
      <w:pPr>
        <w:ind w:left="840" w:hanging="832"/>
        <w:spacing w:after="0"/>
        <w:tabs>
          <w:tab w:leader="none" w:pos="840"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Exhibits required by Item 601 of Regulation S-K are listed in the Exhibit Index at page 89, which is incorporated herein by reference.</w:t>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62" w:lineRule="exact"/>
        <w:rPr>
          <w:rFonts w:ascii="Arial" w:cs="Arial" w:eastAsia="Arial" w:hAnsi="Arial"/>
          <w:sz w:val="16"/>
          <w:szCs w:val="16"/>
          <w:b w:val="1"/>
          <w:bCs w:val="1"/>
          <w:color w:val="auto"/>
        </w:rPr>
      </w:pPr>
    </w:p>
    <w:p>
      <w:pPr>
        <w:ind w:left="5620"/>
        <w:spacing w:after="0"/>
        <w:rPr>
          <w:rFonts w:ascii="Arial" w:cs="Arial" w:eastAsia="Arial" w:hAnsi="Arial"/>
          <w:sz w:val="16"/>
          <w:szCs w:val="16"/>
          <w:b w:val="1"/>
          <w:bCs w:val="1"/>
          <w:color w:val="auto"/>
        </w:rPr>
      </w:pPr>
      <w:r>
        <w:rPr>
          <w:rFonts w:ascii="Arial" w:cs="Arial" w:eastAsia="Arial" w:hAnsi="Arial"/>
          <w:sz w:val="18"/>
          <w:szCs w:val="18"/>
          <w:color w:val="auto"/>
        </w:rPr>
        <w:t>88</w:t>
      </w:r>
    </w:p>
    <w:p>
      <w:pPr>
        <w:sectPr>
          <w:pgSz w:w="11900" w:h="16838" w:orient="portrait"/>
          <w:cols w:equalWidth="0" w:num="1">
            <w:col w:w="11340"/>
          </w:cols>
          <w:pgMar w:left="240" w:top="130" w:right="319" w:bottom="1440" w:gutter="0" w:footer="0" w:header="0"/>
        </w:sectPr>
      </w:pPr>
    </w:p>
    <w:bookmarkStart w:id="90" w:name="page91"/>
    <w:bookmarkEnd w:id="9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HAEMONETICS CORPORATION</w:t>
      </w:r>
    </w:p>
    <w:p>
      <w:pPr>
        <w:spacing w:after="0" w:line="360" w:lineRule="exact"/>
        <w:rPr>
          <w:sz w:val="20"/>
          <w:szCs w:val="20"/>
          <w:color w:val="auto"/>
        </w:rPr>
      </w:pPr>
    </w:p>
    <w:p>
      <w:pPr>
        <w:ind w:left="5620"/>
        <w:spacing w:after="0"/>
        <w:tabs>
          <w:tab w:leader="none" w:pos="6020" w:val="left"/>
        </w:tabs>
        <w:rPr>
          <w:sz w:val="20"/>
          <w:szCs w:val="20"/>
          <w:color w:val="auto"/>
        </w:rPr>
      </w:pPr>
      <w:r>
        <w:rPr>
          <w:rFonts w:ascii="Arial" w:cs="Arial" w:eastAsia="Arial" w:hAnsi="Arial"/>
          <w:sz w:val="18"/>
          <w:szCs w:val="18"/>
          <w:color w:val="auto"/>
        </w:rPr>
        <w:t>By:</w:t>
        <w:tab/>
        <w:t>/s/  Brian Concannon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31750</wp:posOffset>
            </wp:positionV>
            <wp:extent cx="33877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5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Brian Concannon,</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Date : May 22, 2014</w:t>
      </w:r>
    </w:p>
    <w:p>
      <w:pPr>
        <w:spacing w:after="0" w:line="131"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7"/>
              </w:rPr>
              <w:t>Title</w:t>
            </w:r>
          </w:p>
        </w:tc>
        <w:tc>
          <w:tcPr>
            <w:tcW w:w="1220" w:type="dxa"/>
            <w:vAlign w:val="bottom"/>
          </w:tcPr>
          <w:p>
            <w:pPr>
              <w:jc w:val="center"/>
              <w:ind w:left="111"/>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471"/>
        </w:trPr>
        <w:tc>
          <w:tcPr>
            <w:tcW w:w="2820" w:type="dxa"/>
            <w:vAlign w:val="bottom"/>
          </w:tcPr>
          <w:p>
            <w:pPr>
              <w:jc w:val="center"/>
              <w:spacing w:after="0"/>
              <w:rPr>
                <w:sz w:val="20"/>
                <w:szCs w:val="20"/>
                <w:color w:val="auto"/>
              </w:rPr>
            </w:pPr>
            <w:r>
              <w:rPr>
                <w:rFonts w:ascii="Arial" w:cs="Arial" w:eastAsia="Arial" w:hAnsi="Arial"/>
                <w:sz w:val="18"/>
                <w:szCs w:val="18"/>
                <w:color w:val="auto"/>
                <w:w w:val="90"/>
              </w:rPr>
              <w:t>/s/  Brian Concannon</w:t>
            </w:r>
          </w:p>
        </w:tc>
        <w:tc>
          <w:tcPr>
            <w:tcW w:w="5040" w:type="dxa"/>
            <w:vAlign w:val="bottom"/>
          </w:tcPr>
          <w:p>
            <w:pPr>
              <w:jc w:val="center"/>
              <w:spacing w:after="0"/>
              <w:rPr>
                <w:sz w:val="20"/>
                <w:szCs w:val="20"/>
                <w:color w:val="auto"/>
              </w:rPr>
            </w:pPr>
            <w:r>
              <w:rPr>
                <w:rFonts w:ascii="Arial" w:cs="Arial" w:eastAsia="Arial" w:hAnsi="Arial"/>
                <w:sz w:val="18"/>
                <w:szCs w:val="18"/>
                <w:color w:val="auto"/>
                <w:w w:val="92"/>
              </w:rPr>
              <w:t>President, Chief Executive Officer and Director</w:t>
            </w:r>
          </w:p>
        </w:tc>
        <w:tc>
          <w:tcPr>
            <w:tcW w:w="1220" w:type="dxa"/>
            <w:vAlign w:val="bottom"/>
          </w:tcPr>
          <w:p>
            <w:pPr>
              <w:jc w:val="center"/>
              <w:ind w:left="111"/>
              <w:spacing w:after="0"/>
              <w:rPr>
                <w:sz w:val="20"/>
                <w:szCs w:val="20"/>
                <w:color w:val="auto"/>
              </w:rPr>
            </w:pPr>
            <w:r>
              <w:rPr>
                <w:rFonts w:ascii="Arial" w:cs="Arial" w:eastAsia="Arial" w:hAnsi="Arial"/>
                <w:sz w:val="18"/>
                <w:szCs w:val="18"/>
                <w:color w:val="auto"/>
                <w:w w:val="93"/>
              </w:rPr>
              <w:t>May 22, 2014</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5040" w:type="dxa"/>
            <w:vAlign w:val="bottom"/>
            <w:vMerge w:val="restart"/>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20" w:type="dxa"/>
            <w:vAlign w:val="bottom"/>
          </w:tcPr>
          <w:p>
            <w:pPr>
              <w:jc w:val="center"/>
              <w:spacing w:after="0"/>
              <w:rPr>
                <w:sz w:val="20"/>
                <w:szCs w:val="20"/>
                <w:color w:val="auto"/>
              </w:rPr>
            </w:pPr>
            <w:r>
              <w:rPr>
                <w:rFonts w:ascii="Arial" w:cs="Arial" w:eastAsia="Arial" w:hAnsi="Arial"/>
                <w:sz w:val="18"/>
                <w:szCs w:val="18"/>
                <w:color w:val="auto"/>
                <w:w w:val="90"/>
              </w:rPr>
              <w:t>Brian Concannon</w:t>
            </w:r>
          </w:p>
        </w:tc>
        <w:tc>
          <w:tcPr>
            <w:tcW w:w="5040" w:type="dxa"/>
            <w:vAlign w:val="bottom"/>
            <w:vMerge w:val="continue"/>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282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1"/>
              </w:rPr>
              <w:t>Chief Financial Officer and Executive Vice President Business</w:t>
            </w:r>
          </w:p>
        </w:tc>
        <w:tc>
          <w:tcPr>
            <w:tcW w:w="1220" w:type="dxa"/>
            <w:vAlign w:val="bottom"/>
          </w:tcPr>
          <w:p>
            <w:pPr>
              <w:jc w:val="center"/>
              <w:ind w:left="111"/>
              <w:spacing w:after="0"/>
              <w:rPr>
                <w:sz w:val="20"/>
                <w:szCs w:val="20"/>
                <w:color w:val="auto"/>
              </w:rPr>
            </w:pPr>
            <w:r>
              <w:rPr>
                <w:rFonts w:ascii="Arial" w:cs="Arial" w:eastAsia="Arial" w:hAnsi="Arial"/>
                <w:sz w:val="18"/>
                <w:szCs w:val="18"/>
                <w:color w:val="auto"/>
                <w:w w:val="93"/>
              </w:rPr>
              <w:t>May 22, 2014</w:t>
            </w:r>
          </w:p>
        </w:tc>
        <w:tc>
          <w:tcPr>
            <w:tcW w:w="0" w:type="dxa"/>
            <w:vAlign w:val="bottom"/>
          </w:tcPr>
          <w:p>
            <w:pPr>
              <w:spacing w:after="0"/>
              <w:rPr>
                <w:sz w:val="1"/>
                <w:szCs w:val="1"/>
                <w:color w:val="auto"/>
              </w:rPr>
            </w:pPr>
          </w:p>
        </w:tc>
      </w:tr>
      <w:tr>
        <w:trPr>
          <w:trHeight w:val="230"/>
        </w:trPr>
        <w:tc>
          <w:tcPr>
            <w:tcW w:w="2820" w:type="dxa"/>
            <w:vAlign w:val="bottom"/>
          </w:tcPr>
          <w:p>
            <w:pPr>
              <w:jc w:val="center"/>
              <w:spacing w:after="0"/>
              <w:rPr>
                <w:sz w:val="20"/>
                <w:szCs w:val="20"/>
                <w:color w:val="auto"/>
              </w:rPr>
            </w:pPr>
            <w:r>
              <w:rPr>
                <w:rFonts w:ascii="Arial" w:cs="Arial" w:eastAsia="Arial" w:hAnsi="Arial"/>
                <w:sz w:val="18"/>
                <w:szCs w:val="18"/>
                <w:color w:val="auto"/>
                <w:w w:val="92"/>
              </w:rPr>
              <w:t>/s/  Christopher Lindop</w:t>
            </w:r>
          </w:p>
        </w:tc>
        <w:tc>
          <w:tcPr>
            <w:tcW w:w="5040" w:type="dxa"/>
            <w:vAlign w:val="bottom"/>
          </w:tcPr>
          <w:p>
            <w:pPr>
              <w:jc w:val="center"/>
              <w:spacing w:after="0"/>
              <w:rPr>
                <w:sz w:val="20"/>
                <w:szCs w:val="20"/>
                <w:color w:val="auto"/>
              </w:rPr>
            </w:pPr>
            <w:r>
              <w:rPr>
                <w:rFonts w:ascii="Arial" w:cs="Arial" w:eastAsia="Arial" w:hAnsi="Arial"/>
                <w:sz w:val="18"/>
                <w:szCs w:val="18"/>
                <w:color w:val="auto"/>
                <w:w w:val="90"/>
              </w:rPr>
              <w:t>Development</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5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20" w:type="dxa"/>
            <w:vAlign w:val="bottom"/>
          </w:tcPr>
          <w:p>
            <w:pPr>
              <w:jc w:val="center"/>
              <w:spacing w:after="0"/>
              <w:rPr>
                <w:sz w:val="20"/>
                <w:szCs w:val="20"/>
                <w:color w:val="auto"/>
              </w:rPr>
            </w:pPr>
            <w:r>
              <w:rPr>
                <w:rFonts w:ascii="Arial" w:cs="Arial" w:eastAsia="Arial" w:hAnsi="Arial"/>
                <w:sz w:val="18"/>
                <w:szCs w:val="18"/>
                <w:color w:val="auto"/>
                <w:w w:val="93"/>
              </w:rPr>
              <w:t>Christopher Lindop</w:t>
            </w:r>
          </w:p>
        </w:tc>
        <w:tc>
          <w:tcPr>
            <w:tcW w:w="504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20" w:type="dxa"/>
            <w:vAlign w:val="bottom"/>
          </w:tcPr>
          <w:p>
            <w:pPr>
              <w:jc w:val="center"/>
              <w:spacing w:after="0"/>
              <w:rPr>
                <w:sz w:val="20"/>
                <w:szCs w:val="20"/>
                <w:color w:val="auto"/>
              </w:rPr>
            </w:pPr>
            <w:r>
              <w:rPr>
                <w:rFonts w:ascii="Arial" w:cs="Arial" w:eastAsia="Arial" w:hAnsi="Arial"/>
                <w:sz w:val="18"/>
                <w:szCs w:val="18"/>
                <w:color w:val="auto"/>
                <w:w w:val="88"/>
              </w:rPr>
              <w:t>/s/  Susan Hanlon</w:t>
            </w:r>
          </w:p>
        </w:tc>
        <w:tc>
          <w:tcPr>
            <w:tcW w:w="5040" w:type="dxa"/>
            <w:vAlign w:val="bottom"/>
          </w:tcPr>
          <w:p>
            <w:pPr>
              <w:jc w:val="center"/>
              <w:spacing w:after="0"/>
              <w:rPr>
                <w:sz w:val="20"/>
                <w:szCs w:val="20"/>
                <w:color w:val="auto"/>
              </w:rPr>
            </w:pPr>
            <w:r>
              <w:rPr>
                <w:rFonts w:ascii="Arial" w:cs="Arial" w:eastAsia="Arial" w:hAnsi="Arial"/>
                <w:sz w:val="18"/>
                <w:szCs w:val="18"/>
                <w:color w:val="auto"/>
                <w:w w:val="89"/>
              </w:rPr>
              <w:t>Vice President Finance</w:t>
            </w:r>
          </w:p>
        </w:tc>
        <w:tc>
          <w:tcPr>
            <w:tcW w:w="1220" w:type="dxa"/>
            <w:vAlign w:val="bottom"/>
          </w:tcPr>
          <w:p>
            <w:pPr>
              <w:jc w:val="center"/>
              <w:ind w:left="111"/>
              <w:spacing w:after="0"/>
              <w:rPr>
                <w:sz w:val="20"/>
                <w:szCs w:val="20"/>
                <w:color w:val="auto"/>
              </w:rPr>
            </w:pPr>
            <w:r>
              <w:rPr>
                <w:rFonts w:ascii="Arial" w:cs="Arial" w:eastAsia="Arial" w:hAnsi="Arial"/>
                <w:sz w:val="18"/>
                <w:szCs w:val="18"/>
                <w:color w:val="auto"/>
                <w:w w:val="93"/>
              </w:rPr>
              <w:t>May 22, 2014</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5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20" w:type="dxa"/>
            <w:vAlign w:val="bottom"/>
          </w:tcPr>
          <w:p>
            <w:pPr>
              <w:jc w:val="center"/>
              <w:spacing w:after="0"/>
              <w:rPr>
                <w:sz w:val="20"/>
                <w:szCs w:val="20"/>
                <w:color w:val="auto"/>
              </w:rPr>
            </w:pPr>
            <w:r>
              <w:rPr>
                <w:rFonts w:ascii="Arial" w:cs="Arial" w:eastAsia="Arial" w:hAnsi="Arial"/>
                <w:sz w:val="18"/>
                <w:szCs w:val="18"/>
                <w:color w:val="auto"/>
                <w:w w:val="88"/>
              </w:rPr>
              <w:t>Susan Hanlon</w:t>
            </w:r>
          </w:p>
        </w:tc>
        <w:tc>
          <w:tcPr>
            <w:tcW w:w="504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20" w:type="dxa"/>
            <w:vAlign w:val="bottom"/>
          </w:tcPr>
          <w:p>
            <w:pPr>
              <w:jc w:val="center"/>
              <w:spacing w:after="0"/>
              <w:rPr>
                <w:sz w:val="20"/>
                <w:szCs w:val="20"/>
                <w:color w:val="auto"/>
              </w:rPr>
            </w:pPr>
            <w:r>
              <w:rPr>
                <w:rFonts w:ascii="Arial" w:cs="Arial" w:eastAsia="Arial" w:hAnsi="Arial"/>
                <w:sz w:val="18"/>
                <w:szCs w:val="18"/>
                <w:color w:val="auto"/>
                <w:w w:val="90"/>
              </w:rPr>
              <w:t>/s/  Lawrence Best</w:t>
            </w:r>
          </w:p>
        </w:tc>
        <w:tc>
          <w:tcPr>
            <w:tcW w:w="50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220" w:type="dxa"/>
            <w:vAlign w:val="bottom"/>
          </w:tcPr>
          <w:p>
            <w:pPr>
              <w:jc w:val="center"/>
              <w:ind w:left="111"/>
              <w:spacing w:after="0"/>
              <w:rPr>
                <w:sz w:val="20"/>
                <w:szCs w:val="20"/>
                <w:color w:val="auto"/>
              </w:rPr>
            </w:pPr>
            <w:r>
              <w:rPr>
                <w:rFonts w:ascii="Arial" w:cs="Arial" w:eastAsia="Arial" w:hAnsi="Arial"/>
                <w:sz w:val="18"/>
                <w:szCs w:val="18"/>
                <w:color w:val="auto"/>
                <w:w w:val="93"/>
              </w:rPr>
              <w:t>May 22, 2014</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5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20" w:type="dxa"/>
            <w:vAlign w:val="bottom"/>
          </w:tcPr>
          <w:p>
            <w:pPr>
              <w:jc w:val="center"/>
              <w:spacing w:after="0"/>
              <w:rPr>
                <w:sz w:val="20"/>
                <w:szCs w:val="20"/>
                <w:color w:val="auto"/>
              </w:rPr>
            </w:pPr>
            <w:r>
              <w:rPr>
                <w:rFonts w:ascii="Arial" w:cs="Arial" w:eastAsia="Arial" w:hAnsi="Arial"/>
                <w:sz w:val="18"/>
                <w:szCs w:val="18"/>
                <w:color w:val="auto"/>
                <w:w w:val="88"/>
              </w:rPr>
              <w:t>Lawrence Best</w:t>
            </w:r>
          </w:p>
        </w:tc>
        <w:tc>
          <w:tcPr>
            <w:tcW w:w="50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20" w:type="dxa"/>
            <w:vAlign w:val="bottom"/>
          </w:tcPr>
          <w:p>
            <w:pPr>
              <w:jc w:val="center"/>
              <w:spacing w:after="0"/>
              <w:rPr>
                <w:sz w:val="20"/>
                <w:szCs w:val="20"/>
                <w:color w:val="auto"/>
              </w:rPr>
            </w:pPr>
            <w:r>
              <w:rPr>
                <w:rFonts w:ascii="Arial" w:cs="Arial" w:eastAsia="Arial" w:hAnsi="Arial"/>
                <w:sz w:val="18"/>
                <w:szCs w:val="18"/>
                <w:color w:val="auto"/>
                <w:w w:val="91"/>
              </w:rPr>
              <w:t>/s/  Paul Black</w:t>
            </w:r>
          </w:p>
        </w:tc>
        <w:tc>
          <w:tcPr>
            <w:tcW w:w="50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220" w:type="dxa"/>
            <w:vAlign w:val="bottom"/>
          </w:tcPr>
          <w:p>
            <w:pPr>
              <w:jc w:val="center"/>
              <w:ind w:left="111"/>
              <w:spacing w:after="0"/>
              <w:rPr>
                <w:sz w:val="20"/>
                <w:szCs w:val="20"/>
                <w:color w:val="auto"/>
              </w:rPr>
            </w:pPr>
            <w:r>
              <w:rPr>
                <w:rFonts w:ascii="Arial" w:cs="Arial" w:eastAsia="Arial" w:hAnsi="Arial"/>
                <w:sz w:val="18"/>
                <w:szCs w:val="18"/>
                <w:color w:val="auto"/>
                <w:w w:val="93"/>
              </w:rPr>
              <w:t>May 22, 2014</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5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20" w:type="dxa"/>
            <w:vAlign w:val="bottom"/>
          </w:tcPr>
          <w:p>
            <w:pPr>
              <w:jc w:val="center"/>
              <w:spacing w:after="0"/>
              <w:rPr>
                <w:sz w:val="20"/>
                <w:szCs w:val="20"/>
                <w:color w:val="auto"/>
              </w:rPr>
            </w:pPr>
            <w:r>
              <w:rPr>
                <w:rFonts w:ascii="Arial" w:cs="Arial" w:eastAsia="Arial" w:hAnsi="Arial"/>
                <w:sz w:val="18"/>
                <w:szCs w:val="18"/>
                <w:color w:val="auto"/>
                <w:w w:val="91"/>
              </w:rPr>
              <w:t>Paul Black</w:t>
            </w:r>
          </w:p>
        </w:tc>
        <w:tc>
          <w:tcPr>
            <w:tcW w:w="50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20" w:type="dxa"/>
            <w:vAlign w:val="bottom"/>
          </w:tcPr>
          <w:p>
            <w:pPr>
              <w:jc w:val="center"/>
              <w:spacing w:after="0"/>
              <w:rPr>
                <w:sz w:val="20"/>
                <w:szCs w:val="20"/>
                <w:color w:val="auto"/>
              </w:rPr>
            </w:pPr>
            <w:r>
              <w:rPr>
                <w:rFonts w:ascii="Arial" w:cs="Arial" w:eastAsia="Arial" w:hAnsi="Arial"/>
                <w:sz w:val="18"/>
                <w:szCs w:val="18"/>
                <w:color w:val="auto"/>
                <w:w w:val="90"/>
              </w:rPr>
              <w:t>/s/  Susan Bartlett Foote</w:t>
            </w:r>
          </w:p>
        </w:tc>
        <w:tc>
          <w:tcPr>
            <w:tcW w:w="50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220" w:type="dxa"/>
            <w:vAlign w:val="bottom"/>
          </w:tcPr>
          <w:p>
            <w:pPr>
              <w:jc w:val="center"/>
              <w:ind w:left="111"/>
              <w:spacing w:after="0"/>
              <w:rPr>
                <w:sz w:val="20"/>
                <w:szCs w:val="20"/>
                <w:color w:val="auto"/>
              </w:rPr>
            </w:pPr>
            <w:r>
              <w:rPr>
                <w:rFonts w:ascii="Arial" w:cs="Arial" w:eastAsia="Arial" w:hAnsi="Arial"/>
                <w:sz w:val="18"/>
                <w:szCs w:val="18"/>
                <w:color w:val="auto"/>
                <w:w w:val="93"/>
              </w:rPr>
              <w:t>May 22, 2014</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5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20" w:type="dxa"/>
            <w:vAlign w:val="bottom"/>
          </w:tcPr>
          <w:p>
            <w:pPr>
              <w:jc w:val="center"/>
              <w:spacing w:after="0"/>
              <w:rPr>
                <w:sz w:val="20"/>
                <w:szCs w:val="20"/>
                <w:color w:val="auto"/>
              </w:rPr>
            </w:pPr>
            <w:r>
              <w:rPr>
                <w:rFonts w:ascii="Arial" w:cs="Arial" w:eastAsia="Arial" w:hAnsi="Arial"/>
                <w:sz w:val="18"/>
                <w:szCs w:val="18"/>
                <w:color w:val="auto"/>
                <w:w w:val="88"/>
              </w:rPr>
              <w:t>Susan Bartlett Foote</w:t>
            </w:r>
          </w:p>
        </w:tc>
        <w:tc>
          <w:tcPr>
            <w:tcW w:w="50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20" w:type="dxa"/>
            <w:vAlign w:val="bottom"/>
          </w:tcPr>
          <w:p>
            <w:pPr>
              <w:jc w:val="center"/>
              <w:spacing w:after="0"/>
              <w:rPr>
                <w:sz w:val="20"/>
                <w:szCs w:val="20"/>
                <w:color w:val="auto"/>
              </w:rPr>
            </w:pPr>
            <w:r>
              <w:rPr>
                <w:rFonts w:ascii="Arial" w:cs="Arial" w:eastAsia="Arial" w:hAnsi="Arial"/>
                <w:sz w:val="18"/>
                <w:szCs w:val="18"/>
                <w:color w:val="auto"/>
                <w:w w:val="90"/>
              </w:rPr>
              <w:t>/s/  Ronald Gelbman</w:t>
            </w:r>
          </w:p>
        </w:tc>
        <w:tc>
          <w:tcPr>
            <w:tcW w:w="50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220" w:type="dxa"/>
            <w:vAlign w:val="bottom"/>
          </w:tcPr>
          <w:p>
            <w:pPr>
              <w:jc w:val="center"/>
              <w:ind w:left="111"/>
              <w:spacing w:after="0"/>
              <w:rPr>
                <w:sz w:val="20"/>
                <w:szCs w:val="20"/>
                <w:color w:val="auto"/>
              </w:rPr>
            </w:pPr>
            <w:r>
              <w:rPr>
                <w:rFonts w:ascii="Arial" w:cs="Arial" w:eastAsia="Arial" w:hAnsi="Arial"/>
                <w:sz w:val="18"/>
                <w:szCs w:val="18"/>
                <w:color w:val="auto"/>
                <w:w w:val="93"/>
              </w:rPr>
              <w:t>May 22, 2014</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5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20" w:type="dxa"/>
            <w:vAlign w:val="bottom"/>
          </w:tcPr>
          <w:p>
            <w:pPr>
              <w:jc w:val="center"/>
              <w:spacing w:after="0"/>
              <w:rPr>
                <w:sz w:val="20"/>
                <w:szCs w:val="20"/>
                <w:color w:val="auto"/>
              </w:rPr>
            </w:pPr>
            <w:r>
              <w:rPr>
                <w:rFonts w:ascii="Arial" w:cs="Arial" w:eastAsia="Arial" w:hAnsi="Arial"/>
                <w:sz w:val="18"/>
                <w:szCs w:val="18"/>
                <w:color w:val="auto"/>
                <w:w w:val="90"/>
              </w:rPr>
              <w:t>Ronald Gelbman</w:t>
            </w:r>
          </w:p>
        </w:tc>
        <w:tc>
          <w:tcPr>
            <w:tcW w:w="50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20" w:type="dxa"/>
            <w:vAlign w:val="bottom"/>
          </w:tcPr>
          <w:p>
            <w:pPr>
              <w:jc w:val="center"/>
              <w:spacing w:after="0"/>
              <w:rPr>
                <w:sz w:val="20"/>
                <w:szCs w:val="20"/>
                <w:color w:val="auto"/>
              </w:rPr>
            </w:pPr>
            <w:r>
              <w:rPr>
                <w:rFonts w:ascii="Arial" w:cs="Arial" w:eastAsia="Arial" w:hAnsi="Arial"/>
                <w:sz w:val="18"/>
                <w:szCs w:val="18"/>
                <w:color w:val="auto"/>
                <w:w w:val="91"/>
              </w:rPr>
              <w:t>/s/  Pedro Granadillo</w:t>
            </w:r>
          </w:p>
        </w:tc>
        <w:tc>
          <w:tcPr>
            <w:tcW w:w="50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220" w:type="dxa"/>
            <w:vAlign w:val="bottom"/>
          </w:tcPr>
          <w:p>
            <w:pPr>
              <w:jc w:val="center"/>
              <w:ind w:left="111"/>
              <w:spacing w:after="0"/>
              <w:rPr>
                <w:sz w:val="20"/>
                <w:szCs w:val="20"/>
                <w:color w:val="auto"/>
              </w:rPr>
            </w:pPr>
            <w:r>
              <w:rPr>
                <w:rFonts w:ascii="Arial" w:cs="Arial" w:eastAsia="Arial" w:hAnsi="Arial"/>
                <w:sz w:val="18"/>
                <w:szCs w:val="18"/>
                <w:color w:val="auto"/>
                <w:w w:val="93"/>
              </w:rPr>
              <w:t>May 22, 2014</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5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20" w:type="dxa"/>
            <w:vAlign w:val="bottom"/>
          </w:tcPr>
          <w:p>
            <w:pPr>
              <w:jc w:val="center"/>
              <w:spacing w:after="0"/>
              <w:rPr>
                <w:sz w:val="20"/>
                <w:szCs w:val="20"/>
                <w:color w:val="auto"/>
              </w:rPr>
            </w:pPr>
            <w:r>
              <w:rPr>
                <w:rFonts w:ascii="Arial" w:cs="Arial" w:eastAsia="Arial" w:hAnsi="Arial"/>
                <w:sz w:val="18"/>
                <w:szCs w:val="18"/>
                <w:color w:val="auto"/>
                <w:w w:val="90"/>
              </w:rPr>
              <w:t>Pedro Granadillo</w:t>
            </w:r>
          </w:p>
        </w:tc>
        <w:tc>
          <w:tcPr>
            <w:tcW w:w="50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20" w:type="dxa"/>
            <w:vAlign w:val="bottom"/>
          </w:tcPr>
          <w:p>
            <w:pPr>
              <w:jc w:val="center"/>
              <w:spacing w:after="0"/>
              <w:rPr>
                <w:sz w:val="20"/>
                <w:szCs w:val="20"/>
                <w:color w:val="auto"/>
              </w:rPr>
            </w:pPr>
            <w:r>
              <w:rPr>
                <w:rFonts w:ascii="Arial" w:cs="Arial" w:eastAsia="Arial" w:hAnsi="Arial"/>
                <w:sz w:val="18"/>
                <w:szCs w:val="18"/>
                <w:color w:val="auto"/>
                <w:w w:val="95"/>
              </w:rPr>
              <w:t>/s/  Mark Kroll, Ph.D.</w:t>
            </w:r>
          </w:p>
        </w:tc>
        <w:tc>
          <w:tcPr>
            <w:tcW w:w="50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220" w:type="dxa"/>
            <w:vAlign w:val="bottom"/>
          </w:tcPr>
          <w:p>
            <w:pPr>
              <w:jc w:val="center"/>
              <w:ind w:left="111"/>
              <w:spacing w:after="0"/>
              <w:rPr>
                <w:sz w:val="20"/>
                <w:szCs w:val="20"/>
                <w:color w:val="auto"/>
              </w:rPr>
            </w:pPr>
            <w:r>
              <w:rPr>
                <w:rFonts w:ascii="Arial" w:cs="Arial" w:eastAsia="Arial" w:hAnsi="Arial"/>
                <w:sz w:val="18"/>
                <w:szCs w:val="18"/>
                <w:color w:val="auto"/>
                <w:w w:val="93"/>
              </w:rPr>
              <w:t>May 22, 2014</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5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20" w:type="dxa"/>
            <w:vAlign w:val="bottom"/>
          </w:tcPr>
          <w:p>
            <w:pPr>
              <w:jc w:val="center"/>
              <w:spacing w:after="0"/>
              <w:rPr>
                <w:sz w:val="20"/>
                <w:szCs w:val="20"/>
                <w:color w:val="auto"/>
              </w:rPr>
            </w:pPr>
            <w:r>
              <w:rPr>
                <w:rFonts w:ascii="Arial" w:cs="Arial" w:eastAsia="Arial" w:hAnsi="Arial"/>
                <w:sz w:val="18"/>
                <w:szCs w:val="18"/>
                <w:color w:val="auto"/>
              </w:rPr>
              <w:t>Mark Kroll</w:t>
            </w:r>
          </w:p>
        </w:tc>
        <w:tc>
          <w:tcPr>
            <w:tcW w:w="50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20" w:type="dxa"/>
            <w:vAlign w:val="bottom"/>
          </w:tcPr>
          <w:p>
            <w:pPr>
              <w:jc w:val="center"/>
              <w:spacing w:after="0"/>
              <w:rPr>
                <w:sz w:val="20"/>
                <w:szCs w:val="20"/>
                <w:color w:val="auto"/>
              </w:rPr>
            </w:pPr>
            <w:r>
              <w:rPr>
                <w:rFonts w:ascii="Arial" w:cs="Arial" w:eastAsia="Arial" w:hAnsi="Arial"/>
                <w:sz w:val="18"/>
                <w:szCs w:val="18"/>
                <w:color w:val="auto"/>
                <w:w w:val="92"/>
              </w:rPr>
              <w:t>/s/  Richard Meelia</w:t>
            </w:r>
          </w:p>
        </w:tc>
        <w:tc>
          <w:tcPr>
            <w:tcW w:w="50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220" w:type="dxa"/>
            <w:vAlign w:val="bottom"/>
          </w:tcPr>
          <w:p>
            <w:pPr>
              <w:jc w:val="center"/>
              <w:ind w:left="111"/>
              <w:spacing w:after="0"/>
              <w:rPr>
                <w:sz w:val="20"/>
                <w:szCs w:val="20"/>
                <w:color w:val="auto"/>
              </w:rPr>
            </w:pPr>
            <w:r>
              <w:rPr>
                <w:rFonts w:ascii="Arial" w:cs="Arial" w:eastAsia="Arial" w:hAnsi="Arial"/>
                <w:sz w:val="18"/>
                <w:szCs w:val="18"/>
                <w:color w:val="auto"/>
                <w:w w:val="93"/>
              </w:rPr>
              <w:t>May 22, 2014</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5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20" w:type="dxa"/>
            <w:vAlign w:val="bottom"/>
          </w:tcPr>
          <w:p>
            <w:pPr>
              <w:jc w:val="center"/>
              <w:spacing w:after="0"/>
              <w:rPr>
                <w:sz w:val="20"/>
                <w:szCs w:val="20"/>
                <w:color w:val="auto"/>
              </w:rPr>
            </w:pPr>
            <w:r>
              <w:rPr>
                <w:rFonts w:ascii="Arial" w:cs="Arial" w:eastAsia="Arial" w:hAnsi="Arial"/>
                <w:sz w:val="18"/>
                <w:szCs w:val="18"/>
                <w:color w:val="auto"/>
                <w:w w:val="91"/>
              </w:rPr>
              <w:t>Richard Meelia</w:t>
            </w:r>
          </w:p>
        </w:tc>
        <w:tc>
          <w:tcPr>
            <w:tcW w:w="50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20" w:type="dxa"/>
            <w:vAlign w:val="bottom"/>
          </w:tcPr>
          <w:p>
            <w:pPr>
              <w:jc w:val="center"/>
              <w:spacing w:after="0"/>
              <w:rPr>
                <w:sz w:val="20"/>
                <w:szCs w:val="20"/>
                <w:color w:val="auto"/>
              </w:rPr>
            </w:pPr>
            <w:r>
              <w:rPr>
                <w:rFonts w:ascii="Arial" w:cs="Arial" w:eastAsia="Arial" w:hAnsi="Arial"/>
                <w:sz w:val="18"/>
                <w:szCs w:val="18"/>
                <w:color w:val="auto"/>
                <w:w w:val="92"/>
              </w:rPr>
              <w:t>/s/  Ronald Merriman</w:t>
            </w:r>
          </w:p>
        </w:tc>
        <w:tc>
          <w:tcPr>
            <w:tcW w:w="50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220" w:type="dxa"/>
            <w:vAlign w:val="bottom"/>
          </w:tcPr>
          <w:p>
            <w:pPr>
              <w:jc w:val="center"/>
              <w:ind w:left="111"/>
              <w:spacing w:after="0"/>
              <w:rPr>
                <w:sz w:val="20"/>
                <w:szCs w:val="20"/>
                <w:color w:val="auto"/>
              </w:rPr>
            </w:pPr>
            <w:r>
              <w:rPr>
                <w:rFonts w:ascii="Arial" w:cs="Arial" w:eastAsia="Arial" w:hAnsi="Arial"/>
                <w:sz w:val="18"/>
                <w:szCs w:val="18"/>
                <w:color w:val="auto"/>
                <w:w w:val="93"/>
              </w:rPr>
              <w:t>May 22, 2014</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5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20" w:type="dxa"/>
            <w:vAlign w:val="bottom"/>
          </w:tcPr>
          <w:p>
            <w:pPr>
              <w:jc w:val="center"/>
              <w:spacing w:after="0"/>
              <w:rPr>
                <w:sz w:val="20"/>
                <w:szCs w:val="20"/>
                <w:color w:val="auto"/>
              </w:rPr>
            </w:pPr>
            <w:r>
              <w:rPr>
                <w:rFonts w:ascii="Arial" w:cs="Arial" w:eastAsia="Arial" w:hAnsi="Arial"/>
                <w:sz w:val="18"/>
                <w:szCs w:val="18"/>
                <w:color w:val="auto"/>
                <w:w w:val="92"/>
              </w:rPr>
              <w:t>Ronald Merriman</w:t>
            </w:r>
          </w:p>
        </w:tc>
        <w:tc>
          <w:tcPr>
            <w:tcW w:w="50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20" w:type="dxa"/>
            <w:vAlign w:val="bottom"/>
          </w:tcPr>
          <w:p>
            <w:pPr>
              <w:jc w:val="center"/>
              <w:spacing w:after="0"/>
              <w:rPr>
                <w:sz w:val="20"/>
                <w:szCs w:val="20"/>
                <w:color w:val="auto"/>
              </w:rPr>
            </w:pPr>
            <w:r>
              <w:rPr>
                <w:rFonts w:ascii="Arial" w:cs="Arial" w:eastAsia="Arial" w:hAnsi="Arial"/>
                <w:sz w:val="18"/>
                <w:szCs w:val="18"/>
                <w:color w:val="auto"/>
                <w:w w:val="90"/>
              </w:rPr>
              <w:t>/s/  Ellen Zane</w:t>
            </w:r>
          </w:p>
        </w:tc>
        <w:tc>
          <w:tcPr>
            <w:tcW w:w="50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220" w:type="dxa"/>
            <w:vAlign w:val="bottom"/>
          </w:tcPr>
          <w:p>
            <w:pPr>
              <w:jc w:val="center"/>
              <w:ind w:left="111"/>
              <w:spacing w:after="0"/>
              <w:rPr>
                <w:sz w:val="20"/>
                <w:szCs w:val="20"/>
                <w:color w:val="auto"/>
              </w:rPr>
            </w:pPr>
            <w:r>
              <w:rPr>
                <w:rFonts w:ascii="Arial" w:cs="Arial" w:eastAsia="Arial" w:hAnsi="Arial"/>
                <w:sz w:val="18"/>
                <w:szCs w:val="18"/>
                <w:color w:val="auto"/>
                <w:w w:val="93"/>
              </w:rPr>
              <w:t>May 22, 2014</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5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20" w:type="dxa"/>
            <w:vAlign w:val="bottom"/>
          </w:tcPr>
          <w:p>
            <w:pPr>
              <w:jc w:val="center"/>
              <w:spacing w:after="0"/>
              <w:rPr>
                <w:sz w:val="20"/>
                <w:szCs w:val="20"/>
                <w:color w:val="auto"/>
              </w:rPr>
            </w:pPr>
            <w:r>
              <w:rPr>
                <w:rFonts w:ascii="Arial" w:cs="Arial" w:eastAsia="Arial" w:hAnsi="Arial"/>
                <w:sz w:val="18"/>
                <w:szCs w:val="18"/>
                <w:color w:val="auto"/>
                <w:w w:val="90"/>
              </w:rPr>
              <w:t>Ellen Zane</w:t>
            </w:r>
          </w:p>
        </w:tc>
        <w:tc>
          <w:tcPr>
            <w:tcW w:w="50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00"/>
          </w:cols>
          <w:pgMar w:left="240" w:top="130" w:right="659" w:bottom="1440" w:gutter="0" w:footer="0" w:header="0"/>
        </w:sectPr>
      </w:pPr>
    </w:p>
    <w:p>
      <w:pPr>
        <w:spacing w:after="0" w:line="56"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000"/>
          </w:cols>
          <w:pgMar w:left="240" w:top="130" w:right="659" w:bottom="1440" w:gutter="0" w:footer="0" w:header="0"/>
          <w:type w:val="continuous"/>
        </w:sectPr>
      </w:pPr>
    </w:p>
    <w:bookmarkStart w:id="91" w:name="page92"/>
    <w:bookmarkEnd w:id="9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10520" w:type="dxa"/>
            <w:vAlign w:val="bottom"/>
          </w:tcPr>
          <w:p>
            <w:pPr>
              <w:ind w:left="1940"/>
              <w:spacing w:after="0"/>
              <w:rPr>
                <w:sz w:val="20"/>
                <w:szCs w:val="20"/>
                <w:color w:val="auto"/>
              </w:rPr>
            </w:pPr>
            <w:r>
              <w:rPr>
                <w:rFonts w:ascii="Arial" w:cs="Arial" w:eastAsia="Arial" w:hAnsi="Arial"/>
                <w:sz w:val="18"/>
                <w:szCs w:val="18"/>
                <w:b w:val="1"/>
                <w:bCs w:val="1"/>
                <w:color w:val="auto"/>
              </w:rPr>
              <w:t>EXHIBITS FILED WITH SECURITIES AND EXCHANGE COMMISSION</w:t>
            </w:r>
          </w:p>
        </w:tc>
      </w:tr>
      <w:tr>
        <w:trPr>
          <w:trHeight w:val="338"/>
        </w:trPr>
        <w:tc>
          <w:tcPr>
            <w:tcW w:w="760" w:type="dxa"/>
            <w:vAlign w:val="bottom"/>
          </w:tcPr>
          <w:p>
            <w:pPr>
              <w:spacing w:after="0"/>
              <w:rPr>
                <w:sz w:val="24"/>
                <w:szCs w:val="24"/>
                <w:color w:val="auto"/>
              </w:rPr>
            </w:pPr>
          </w:p>
        </w:tc>
        <w:tc>
          <w:tcPr>
            <w:tcW w:w="10520" w:type="dxa"/>
            <w:vAlign w:val="bottom"/>
          </w:tcPr>
          <w:p>
            <w:pPr>
              <w:ind w:left="3560"/>
              <w:spacing w:after="0"/>
              <w:rPr>
                <w:sz w:val="20"/>
                <w:szCs w:val="20"/>
                <w:color w:val="auto"/>
              </w:rPr>
            </w:pPr>
            <w:r>
              <w:rPr>
                <w:rFonts w:ascii="Arial" w:cs="Arial" w:eastAsia="Arial" w:hAnsi="Arial"/>
                <w:sz w:val="18"/>
                <w:szCs w:val="18"/>
                <w:b w:val="1"/>
                <w:bCs w:val="1"/>
                <w:color w:val="auto"/>
              </w:rPr>
              <w:t>Number and Description of Exhibit</w:t>
            </w:r>
          </w:p>
        </w:tc>
      </w:tr>
      <w:tr>
        <w:trPr>
          <w:trHeight w:val="378"/>
        </w:trPr>
        <w:tc>
          <w:tcPr>
            <w:tcW w:w="11280" w:type="dxa"/>
            <w:vAlign w:val="bottom"/>
            <w:gridSpan w:val="2"/>
          </w:tcPr>
          <w:p>
            <w:pPr>
              <w:spacing w:after="0"/>
              <w:rPr>
                <w:sz w:val="20"/>
                <w:szCs w:val="20"/>
                <w:color w:val="auto"/>
              </w:rPr>
            </w:pPr>
            <w:r>
              <w:rPr>
                <w:rFonts w:ascii="Arial" w:cs="Arial" w:eastAsia="Arial" w:hAnsi="Arial"/>
                <w:sz w:val="18"/>
                <w:szCs w:val="18"/>
                <w:b w:val="1"/>
                <w:bCs w:val="1"/>
                <w:color w:val="auto"/>
              </w:rPr>
              <w:t>1. Articles of Organization</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3A*</w:t>
            </w:r>
          </w:p>
        </w:tc>
        <w:tc>
          <w:tcPr>
            <w:tcW w:w="10520" w:type="dxa"/>
            <w:vAlign w:val="bottom"/>
          </w:tcPr>
          <w:p>
            <w:pPr>
              <w:ind w:left="360"/>
              <w:spacing w:after="0"/>
              <w:rPr>
                <w:sz w:val="20"/>
                <w:szCs w:val="20"/>
                <w:color w:val="auto"/>
              </w:rPr>
            </w:pPr>
            <w:r>
              <w:rPr>
                <w:rFonts w:ascii="Arial" w:cs="Arial" w:eastAsia="Arial" w:hAnsi="Arial"/>
                <w:sz w:val="18"/>
                <w:szCs w:val="18"/>
                <w:color w:val="auto"/>
                <w:w w:val="93"/>
              </w:rPr>
              <w:t>Pro forma Amended and Restated Articles of Organization of the Company reflecting Articles of Amendment dated August 23, 1993 and</w:t>
            </w:r>
          </w:p>
        </w:tc>
      </w:tr>
      <w:tr>
        <w:trPr>
          <w:trHeight w:val="216"/>
        </w:trPr>
        <w:tc>
          <w:tcPr>
            <w:tcW w:w="76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5"/>
              </w:rPr>
              <w:t>August 21, 2006 (filed as Exhibit 3.1 to the Company's Quarterly Report on Form 10-Q for the Quarter ended December 29, 2012 and</w:t>
            </w:r>
          </w:p>
        </w:tc>
      </w:tr>
      <w:tr>
        <w:trPr>
          <w:trHeight w:val="230"/>
        </w:trPr>
        <w:tc>
          <w:tcPr>
            <w:tcW w:w="76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incorporated herein by reference).</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3B*</w:t>
            </w:r>
          </w:p>
        </w:tc>
        <w:tc>
          <w:tcPr>
            <w:tcW w:w="10520" w:type="dxa"/>
            <w:vAlign w:val="bottom"/>
          </w:tcPr>
          <w:p>
            <w:pPr>
              <w:ind w:left="360"/>
              <w:spacing w:after="0"/>
              <w:rPr>
                <w:sz w:val="20"/>
                <w:szCs w:val="20"/>
                <w:color w:val="auto"/>
              </w:rPr>
            </w:pPr>
            <w:r>
              <w:rPr>
                <w:rFonts w:ascii="Arial" w:cs="Arial" w:eastAsia="Arial" w:hAnsi="Arial"/>
                <w:sz w:val="18"/>
                <w:szCs w:val="18"/>
                <w:color w:val="auto"/>
                <w:w w:val="93"/>
              </w:rPr>
              <w:t>By-Laws of the Company, as amended through July 27, 2012 (filed as Exhibit 5.03 to the Company's Form 8-K filed August 2, 2012 and</w:t>
            </w:r>
          </w:p>
        </w:tc>
      </w:tr>
      <w:tr>
        <w:trPr>
          <w:trHeight w:val="230"/>
        </w:trPr>
        <w:tc>
          <w:tcPr>
            <w:tcW w:w="76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incorporated herein by reference).</w:t>
            </w:r>
          </w:p>
        </w:tc>
      </w:tr>
      <w:tr>
        <w:trPr>
          <w:trHeight w:val="783"/>
        </w:trPr>
        <w:tc>
          <w:tcPr>
            <w:tcW w:w="11280" w:type="dxa"/>
            <w:vAlign w:val="bottom"/>
            <w:gridSpan w:val="2"/>
          </w:tcPr>
          <w:p>
            <w:pPr>
              <w:spacing w:after="0"/>
              <w:rPr>
                <w:sz w:val="20"/>
                <w:szCs w:val="20"/>
                <w:color w:val="auto"/>
              </w:rPr>
            </w:pPr>
            <w:r>
              <w:rPr>
                <w:rFonts w:ascii="Arial" w:cs="Arial" w:eastAsia="Arial" w:hAnsi="Arial"/>
                <w:sz w:val="18"/>
                <w:szCs w:val="18"/>
                <w:b w:val="1"/>
                <w:bCs w:val="1"/>
                <w:color w:val="auto"/>
              </w:rPr>
              <w:t>2. Instruments Defining the Rights of Security Holders</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4A*</w:t>
            </w:r>
          </w:p>
        </w:tc>
        <w:tc>
          <w:tcPr>
            <w:tcW w:w="10520" w:type="dxa"/>
            <w:vAlign w:val="bottom"/>
          </w:tcPr>
          <w:p>
            <w:pPr>
              <w:ind w:left="360"/>
              <w:spacing w:after="0"/>
              <w:rPr>
                <w:sz w:val="20"/>
                <w:szCs w:val="20"/>
                <w:color w:val="auto"/>
              </w:rPr>
            </w:pPr>
            <w:r>
              <w:rPr>
                <w:rFonts w:ascii="Arial" w:cs="Arial" w:eastAsia="Arial" w:hAnsi="Arial"/>
                <w:sz w:val="18"/>
                <w:szCs w:val="18"/>
                <w:color w:val="auto"/>
                <w:w w:val="93"/>
              </w:rPr>
              <w:t>Specimen certificate for shares of common stock (filed as Exhibit 4B to the Company's Amendment No. 1 to Form S-1 No. 33-39490 and</w:t>
            </w:r>
          </w:p>
        </w:tc>
      </w:tr>
      <w:tr>
        <w:trPr>
          <w:trHeight w:val="230"/>
        </w:trPr>
        <w:tc>
          <w:tcPr>
            <w:tcW w:w="76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incorporated herein by reference).</w:t>
            </w:r>
          </w:p>
        </w:tc>
      </w:tr>
      <w:tr>
        <w:trPr>
          <w:trHeight w:val="770"/>
        </w:trPr>
        <w:tc>
          <w:tcPr>
            <w:tcW w:w="11280" w:type="dxa"/>
            <w:vAlign w:val="bottom"/>
            <w:gridSpan w:val="2"/>
          </w:tcPr>
          <w:p>
            <w:pPr>
              <w:spacing w:after="0"/>
              <w:rPr>
                <w:sz w:val="20"/>
                <w:szCs w:val="20"/>
                <w:color w:val="auto"/>
              </w:rPr>
            </w:pPr>
            <w:r>
              <w:rPr>
                <w:rFonts w:ascii="Arial" w:cs="Arial" w:eastAsia="Arial" w:hAnsi="Arial"/>
                <w:sz w:val="18"/>
                <w:szCs w:val="18"/>
                <w:b w:val="1"/>
                <w:bCs w:val="1"/>
                <w:color w:val="auto"/>
              </w:rPr>
              <w:t>3. Material Contracts</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10A*</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Lease dated July 17, 1990 between the Buncher Company and the Company of property in Pittsburgh, Pennsylvania (filed as Exhibit 10K to</w:t>
            </w:r>
          </w:p>
        </w:tc>
      </w:tr>
      <w:tr>
        <w:trPr>
          <w:trHeight w:val="230"/>
        </w:trPr>
        <w:tc>
          <w:tcPr>
            <w:tcW w:w="7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the Company's Form S-1 No. 33-39490 and incorporated herein by reference).</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10B*</w:t>
            </w:r>
          </w:p>
        </w:tc>
        <w:tc>
          <w:tcPr>
            <w:tcW w:w="10520" w:type="dxa"/>
            <w:vAlign w:val="bottom"/>
          </w:tcPr>
          <w:p>
            <w:pPr>
              <w:ind w:left="380"/>
              <w:spacing w:after="0"/>
              <w:rPr>
                <w:sz w:val="20"/>
                <w:szCs w:val="20"/>
                <w:color w:val="auto"/>
              </w:rPr>
            </w:pPr>
            <w:r>
              <w:rPr>
                <w:rFonts w:ascii="Arial" w:cs="Arial" w:eastAsia="Arial" w:hAnsi="Arial"/>
                <w:sz w:val="18"/>
                <w:szCs w:val="18"/>
                <w:color w:val="auto"/>
                <w:w w:val="95"/>
              </w:rPr>
              <w:t>First Amendment to lease dated July 17, 1990, made as of July 17, 1996 between Buncher Company and the Company of property in</w:t>
            </w:r>
          </w:p>
        </w:tc>
      </w:tr>
      <w:tr>
        <w:trPr>
          <w:trHeight w:val="216"/>
        </w:trPr>
        <w:tc>
          <w:tcPr>
            <w:tcW w:w="76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3"/>
              </w:rPr>
              <w:t>Pittsburgh, Pennsylvania (filed as Exhibit 10AI to the Company's Form 10-Q for the quarter ended December 28, 1996 and incorporated</w:t>
            </w:r>
          </w:p>
        </w:tc>
      </w:tr>
      <w:tr>
        <w:trPr>
          <w:trHeight w:val="230"/>
        </w:trPr>
        <w:tc>
          <w:tcPr>
            <w:tcW w:w="7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herein by reference).</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10C*</w:t>
            </w:r>
          </w:p>
        </w:tc>
        <w:tc>
          <w:tcPr>
            <w:tcW w:w="10520" w:type="dxa"/>
            <w:vAlign w:val="bottom"/>
          </w:tcPr>
          <w:p>
            <w:pPr>
              <w:ind w:left="380"/>
              <w:spacing w:after="0"/>
              <w:rPr>
                <w:sz w:val="20"/>
                <w:szCs w:val="20"/>
                <w:color w:val="auto"/>
              </w:rPr>
            </w:pPr>
            <w:r>
              <w:rPr>
                <w:rFonts w:ascii="Arial" w:cs="Arial" w:eastAsia="Arial" w:hAnsi="Arial"/>
                <w:sz w:val="18"/>
                <w:szCs w:val="18"/>
                <w:color w:val="auto"/>
                <w:w w:val="94"/>
              </w:rPr>
              <w:t>Second Amendment to lease dated July 17, 1990, made as of October 18, 2000 between Buncher Company and the Company for the</w:t>
            </w:r>
          </w:p>
        </w:tc>
      </w:tr>
      <w:tr>
        <w:trPr>
          <w:trHeight w:val="216"/>
        </w:trPr>
        <w:tc>
          <w:tcPr>
            <w:tcW w:w="76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9"/>
              </w:rPr>
              <w:t>property in Pittsburgh, Pennsylvania (filed as Exhibit 10AG to the Company's Form 10-K for the year ended March 29, 2003 and</w:t>
            </w:r>
          </w:p>
        </w:tc>
      </w:tr>
      <w:tr>
        <w:trPr>
          <w:trHeight w:val="230"/>
        </w:trPr>
        <w:tc>
          <w:tcPr>
            <w:tcW w:w="7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incorporated herein by reference).</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10D*</w:t>
            </w: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Third Amendment to lease dated July 17, 1990, made as of March 23, 2004 between Buncher Company and the Company for the property</w:t>
            </w:r>
          </w:p>
        </w:tc>
      </w:tr>
      <w:tr>
        <w:trPr>
          <w:trHeight w:val="216"/>
        </w:trPr>
        <w:tc>
          <w:tcPr>
            <w:tcW w:w="76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in Pittsburgh, Pennsylvania (filed as Exhibit 10D to the Company's Form 10-K for the year ended March 30, 2013 and incorporated herein</w:t>
            </w:r>
          </w:p>
        </w:tc>
      </w:tr>
      <w:tr>
        <w:trPr>
          <w:trHeight w:val="230"/>
        </w:trPr>
        <w:tc>
          <w:tcPr>
            <w:tcW w:w="7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by reference).</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10E*</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Fourth Amendment to lease dated July 17, 1990, made as of March 12, 2008 between Buncher Company and the Company for the property</w:t>
            </w:r>
          </w:p>
        </w:tc>
      </w:tr>
      <w:tr>
        <w:trPr>
          <w:trHeight w:val="216"/>
        </w:trPr>
        <w:tc>
          <w:tcPr>
            <w:tcW w:w="76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in Pittsburgh, Pennsylvania (filed as Exhibit 10E to the Company's Form 10-K for the year ended March 30, 2013 and incorporated herein</w:t>
            </w:r>
          </w:p>
        </w:tc>
      </w:tr>
      <w:tr>
        <w:trPr>
          <w:trHeight w:val="230"/>
        </w:trPr>
        <w:tc>
          <w:tcPr>
            <w:tcW w:w="7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by reference).</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10F*</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Fifth Amendment to lease dated July 17, 1990, made as of October 1, 2008 between Buncher Company and the Company for the property in</w:t>
            </w:r>
          </w:p>
        </w:tc>
      </w:tr>
      <w:tr>
        <w:trPr>
          <w:trHeight w:val="216"/>
        </w:trPr>
        <w:tc>
          <w:tcPr>
            <w:tcW w:w="76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Pittsburgh, Pennsylvania (filed as Exhibit 10F to the Company's Form 10-K for the year ended March 30, 2013 and incorporated herein by</w:t>
            </w:r>
          </w:p>
        </w:tc>
      </w:tr>
      <w:tr>
        <w:trPr>
          <w:trHeight w:val="230"/>
        </w:trPr>
        <w:tc>
          <w:tcPr>
            <w:tcW w:w="7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reference).</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10G*</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Sixth Amendment to lease dated July 17, 1990 made as of January 8, 2010 between Buncher Company and the Company for the property in</w:t>
            </w:r>
          </w:p>
        </w:tc>
      </w:tr>
      <w:tr>
        <w:trPr>
          <w:trHeight w:val="216"/>
        </w:trPr>
        <w:tc>
          <w:tcPr>
            <w:tcW w:w="76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Pittsburgh, Pennsylvania (filed as Exhibit 10G to the Company's Form 10-K for the year ended March 30, 2013 and incorporated herein by</w:t>
            </w:r>
          </w:p>
        </w:tc>
      </w:tr>
      <w:tr>
        <w:trPr>
          <w:trHeight w:val="230"/>
        </w:trPr>
        <w:tc>
          <w:tcPr>
            <w:tcW w:w="7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reference).</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10H*</w:t>
            </w: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Seventh Amendment to lease dated July 17, 1990, made as of March 31, 2011 between Buncher Company and the Company for the property</w:t>
            </w:r>
          </w:p>
        </w:tc>
      </w:tr>
      <w:tr>
        <w:trPr>
          <w:trHeight w:val="216"/>
        </w:trPr>
        <w:tc>
          <w:tcPr>
            <w:tcW w:w="76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in Pittsburgh, Pennsylvania (filed as Exhibit 10H to the Company's Form 10-K for the year ended March 30, 2013 and incorporated herein</w:t>
            </w:r>
          </w:p>
        </w:tc>
      </w:tr>
      <w:tr>
        <w:trPr>
          <w:trHeight w:val="230"/>
        </w:trPr>
        <w:tc>
          <w:tcPr>
            <w:tcW w:w="7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by reference).</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10I*</w:t>
            </w:r>
          </w:p>
        </w:tc>
        <w:tc>
          <w:tcPr>
            <w:tcW w:w="10520" w:type="dxa"/>
            <w:vAlign w:val="bottom"/>
          </w:tcPr>
          <w:p>
            <w:pPr>
              <w:ind w:left="380"/>
              <w:spacing w:after="0"/>
              <w:rPr>
                <w:sz w:val="20"/>
                <w:szCs w:val="20"/>
                <w:color w:val="auto"/>
              </w:rPr>
            </w:pPr>
            <w:r>
              <w:rPr>
                <w:rFonts w:ascii="Arial" w:cs="Arial" w:eastAsia="Arial" w:hAnsi="Arial"/>
                <w:sz w:val="18"/>
                <w:szCs w:val="18"/>
                <w:color w:val="auto"/>
                <w:w w:val="95"/>
              </w:rPr>
              <w:t>Eighth Amendment to lease dated July 17, 1990, made as of February 26, 2013 between Buncher Company and the Company for the</w:t>
            </w:r>
          </w:p>
        </w:tc>
      </w:tr>
      <w:tr>
        <w:trPr>
          <w:trHeight w:val="216"/>
        </w:trPr>
        <w:tc>
          <w:tcPr>
            <w:tcW w:w="76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property in Pittsburgh, Pennsylvania (filed as Exhibit 10I to the Company's Form 10-K for the year ended March 30, 2013 and incorporated</w:t>
            </w:r>
          </w:p>
        </w:tc>
      </w:tr>
      <w:tr>
        <w:trPr>
          <w:trHeight w:val="230"/>
        </w:trPr>
        <w:tc>
          <w:tcPr>
            <w:tcW w:w="7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herein by reference).</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10J*</w:t>
            </w:r>
          </w:p>
        </w:tc>
        <w:tc>
          <w:tcPr>
            <w:tcW w:w="10520" w:type="dxa"/>
            <w:vAlign w:val="bottom"/>
          </w:tcPr>
          <w:p>
            <w:pPr>
              <w:ind w:left="380"/>
              <w:spacing w:after="0"/>
              <w:rPr>
                <w:sz w:val="20"/>
                <w:szCs w:val="20"/>
                <w:color w:val="auto"/>
              </w:rPr>
            </w:pPr>
            <w:r>
              <w:rPr>
                <w:rFonts w:ascii="Arial" w:cs="Arial" w:eastAsia="Arial" w:hAnsi="Arial"/>
                <w:sz w:val="18"/>
                <w:szCs w:val="18"/>
                <w:color w:val="auto"/>
                <w:w w:val="98"/>
              </w:rPr>
              <w:t>Lease dated February 21, 2000 between BBVA Bancomer Servicios, S.A., as Trustee of the “Submetropoli de Tijuana” Trust and</w:t>
            </w:r>
          </w:p>
        </w:tc>
      </w:tr>
      <w:tr>
        <w:trPr>
          <w:trHeight w:val="216"/>
        </w:trPr>
        <w:tc>
          <w:tcPr>
            <w:tcW w:w="76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3"/>
              </w:rPr>
              <w:t>Haemonetics Mexico Manufacturing, S. de R.L. de C.V., as successor in interest to Ensatec, S.A. de C.V. with authorization of El Florido</w:t>
            </w:r>
          </w:p>
        </w:tc>
      </w:tr>
      <w:tr>
        <w:trPr>
          <w:trHeight w:val="216"/>
        </w:trPr>
        <w:tc>
          <w:tcPr>
            <w:tcW w:w="76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6"/>
              </w:rPr>
              <w:t>California, S.A. de C.V., for property located in Tijuana, Mexico (filed as Exhibit 10J to the Company's Form 10-K for the year ended</w:t>
            </w:r>
          </w:p>
        </w:tc>
      </w:tr>
      <w:tr>
        <w:trPr>
          <w:trHeight w:val="230"/>
        </w:trPr>
        <w:tc>
          <w:tcPr>
            <w:tcW w:w="7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March 30, 2013 and incorporated herein by reference).</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10K*</w:t>
            </w:r>
          </w:p>
        </w:tc>
        <w:tc>
          <w:tcPr>
            <w:tcW w:w="10520" w:type="dxa"/>
            <w:vAlign w:val="bottom"/>
          </w:tcPr>
          <w:p>
            <w:pPr>
              <w:ind w:left="380"/>
              <w:spacing w:after="0"/>
              <w:rPr>
                <w:sz w:val="20"/>
                <w:szCs w:val="20"/>
                <w:color w:val="auto"/>
              </w:rPr>
            </w:pPr>
            <w:r>
              <w:rPr>
                <w:rFonts w:ascii="Arial" w:cs="Arial" w:eastAsia="Arial" w:hAnsi="Arial"/>
                <w:sz w:val="18"/>
                <w:szCs w:val="18"/>
                <w:color w:val="auto"/>
                <w:w w:val="95"/>
              </w:rPr>
              <w:t>Amendment to Lease dated February 21, 2000 made as of July 25, 2008 between BBVA Bancomer Servicios, S.A., as Trustee of the</w:t>
            </w:r>
          </w:p>
        </w:tc>
      </w:tr>
      <w:tr>
        <w:trPr>
          <w:trHeight w:val="216"/>
        </w:trPr>
        <w:tc>
          <w:tcPr>
            <w:tcW w:w="76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“Submetropoli de Tijuana” Trust Haemonetics Mexico Manufacturing, S. de R.L. de C.V., as successor in interest to Ensatec, S.A. de C.V.,</w:t>
            </w:r>
          </w:p>
        </w:tc>
      </w:tr>
      <w:tr>
        <w:trPr>
          <w:trHeight w:val="216"/>
        </w:trPr>
        <w:tc>
          <w:tcPr>
            <w:tcW w:w="76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9"/>
              </w:rPr>
              <w:t>for property located in Tijuana, Mexico (filed as Exhibit 10K to the Company's Form 10-K for the year ended March 30, 2013 and</w:t>
            </w:r>
          </w:p>
        </w:tc>
      </w:tr>
      <w:tr>
        <w:trPr>
          <w:trHeight w:val="230"/>
        </w:trPr>
        <w:tc>
          <w:tcPr>
            <w:tcW w:w="7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incorporated herein by reference).</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10L*</w:t>
            </w: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Extension to Lease dated February 21, 2000, made as of August 14, 2011 between PROCADEF 1, S.A.P.I. de C.V. and Haemonetics Mexico</w:t>
            </w:r>
          </w:p>
        </w:tc>
      </w:tr>
      <w:tr>
        <w:trPr>
          <w:trHeight w:val="230"/>
        </w:trPr>
        <w:tc>
          <w:tcPr>
            <w:tcW w:w="7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3"/>
              </w:rPr>
              <w:t>Manufacturing, S. de R.L. de C.V., as successor in interest to Ensatec, S.A. de C.V., for property located in Tijuana, Mexico (Spanish to</w:t>
            </w:r>
          </w:p>
        </w:tc>
      </w:tr>
    </w:tbl>
    <w:p>
      <w:pPr>
        <w:ind w:left="1180" w:right="640"/>
        <w:spacing w:after="0" w:line="261" w:lineRule="auto"/>
        <w:rPr>
          <w:sz w:val="20"/>
          <w:szCs w:val="20"/>
          <w:color w:val="auto"/>
        </w:rPr>
      </w:pPr>
      <w:r>
        <w:rPr>
          <w:rFonts w:ascii="Arial" w:cs="Arial" w:eastAsia="Arial" w:hAnsi="Arial"/>
          <w:sz w:val="18"/>
          <w:szCs w:val="18"/>
          <w:color w:val="auto"/>
        </w:rPr>
        <w:t>English translation filed as Exhibit 10L to the Company's Form 10-K for the year ended March 30, 2013 and incorporated herein by reference).</w:t>
      </w:r>
    </w:p>
    <w:p>
      <w:pPr>
        <w:sectPr>
          <w:pgSz w:w="11900" w:h="16838" w:orient="portrait"/>
          <w:cols w:equalWidth="0" w:num="1">
            <w:col w:w="11320"/>
          </w:cols>
          <w:pgMar w:left="240" w:top="130" w:right="339" w:bottom="1440" w:gutter="0" w:footer="0" w:header="0"/>
        </w:sectPr>
      </w:pP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320"/>
          </w:cols>
          <w:pgMar w:left="240" w:top="130" w:right="339" w:bottom="1440"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tcPr>
          <w:p>
            <w:pPr>
              <w:spacing w:after="0"/>
              <w:rPr>
                <w:rFonts w:ascii="Arial" w:cs="Arial" w:eastAsia="Arial" w:hAnsi="Arial"/>
                <w:sz w:val="16"/>
                <w:szCs w:val="16"/>
                <w:color w:val="0000EE"/>
                <w:w w:val="90"/>
              </w:rPr>
            </w:pPr>
            <w:hyperlink w:anchor="page1">
              <w:r>
                <w:rPr>
                  <w:rFonts w:ascii="Arial" w:cs="Arial" w:eastAsia="Arial" w:hAnsi="Arial"/>
                  <w:sz w:val="16"/>
                  <w:szCs w:val="16"/>
                  <w:color w:val="0000EE"/>
                  <w:w w:val="90"/>
                </w:rPr>
                <w:t>Table of Contents</w:t>
              </w:r>
            </w:hyperlink>
          </w:p>
        </w:tc>
        <w:tc>
          <w:tcPr>
            <w:tcW w:w="20" w:type="dxa"/>
            <w:vAlign w:val="bottom"/>
          </w:tcPr>
          <w:p>
            <w:pPr>
              <w:spacing w:after="0"/>
              <w:rPr>
                <w:sz w:val="16"/>
                <w:szCs w:val="16"/>
                <w:color w:val="auto"/>
              </w:rPr>
            </w:pPr>
          </w:p>
        </w:tc>
        <w:tc>
          <w:tcPr>
            <w:tcW w:w="10140" w:type="dxa"/>
            <w:vAlign w:val="bottom"/>
          </w:tcPr>
          <w:p>
            <w:pPr>
              <w:spacing w:after="0"/>
              <w:rPr>
                <w:sz w:val="16"/>
                <w:szCs w:val="16"/>
                <w:color w:val="auto"/>
              </w:rPr>
            </w:pPr>
          </w:p>
        </w:tc>
      </w:tr>
      <w:tr>
        <w:trPr>
          <w:trHeight w:val="614"/>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10M*</w:t>
            </w:r>
          </w:p>
        </w:tc>
        <w:tc>
          <w:tcPr>
            <w:tcW w:w="10140" w:type="dxa"/>
            <w:vAlign w:val="bottom"/>
          </w:tcPr>
          <w:p>
            <w:pPr>
              <w:spacing w:after="0"/>
              <w:rPr>
                <w:sz w:val="20"/>
                <w:szCs w:val="20"/>
                <w:color w:val="auto"/>
              </w:rPr>
            </w:pPr>
            <w:r>
              <w:rPr>
                <w:rFonts w:ascii="Arial" w:cs="Arial" w:eastAsia="Arial" w:hAnsi="Arial"/>
                <w:sz w:val="18"/>
                <w:szCs w:val="18"/>
                <w:color w:val="auto"/>
                <w:w w:val="91"/>
              </w:rPr>
              <w:t>Amendment Letter to Lease dated February 21, 2000, made as of August 14, 2011 between BBVA Bancomer Servicios, S.A., as Trustee of</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2"/>
              </w:rPr>
              <w:t>the “Submetropoli de Tijuana” Trust and Haemonetics Mexico Manufacturing, S. de R.L. de C.V., as successor in interest to Ensatec, S.A.</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2"/>
              </w:rPr>
              <w:t>de C.V., for property located in Tijuana, Mexico (filed as Exhibit 10M to the Company's Form 10-K for the year ended March 30, 2013 and</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10N*</w:t>
            </w:r>
          </w:p>
        </w:tc>
        <w:tc>
          <w:tcPr>
            <w:tcW w:w="10140" w:type="dxa"/>
            <w:vAlign w:val="bottom"/>
          </w:tcPr>
          <w:p>
            <w:pPr>
              <w:spacing w:after="0"/>
              <w:rPr>
                <w:sz w:val="20"/>
                <w:szCs w:val="20"/>
                <w:color w:val="auto"/>
              </w:rPr>
            </w:pPr>
            <w:r>
              <w:rPr>
                <w:rFonts w:ascii="Arial" w:cs="Arial" w:eastAsia="Arial" w:hAnsi="Arial"/>
                <w:sz w:val="18"/>
                <w:szCs w:val="18"/>
                <w:color w:val="auto"/>
                <w:w w:val="95"/>
              </w:rPr>
              <w:t>Notice of Assignment to Lease dated February 21, 2000, made as of February 23, 2012 between BBVA Bancomer Servicios, S.A., as</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4"/>
              </w:rPr>
              <w:t>Trustee of the “Submetropoli de Tijuana” Trust and Haemonetics Mexico Manufacturing, S. de R.L. de C.V., as successor in interest to</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3"/>
              </w:rPr>
              <w:t>Ensatec, S.A. de C.V. for property located in Tijuana, Mexico (Spanish to English translation filed as Exhibit 10N to the Company's Form</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10-K for the year ended March 30, 2013 and 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10O*</w:t>
            </w:r>
          </w:p>
        </w:tc>
        <w:tc>
          <w:tcPr>
            <w:tcW w:w="10140" w:type="dxa"/>
            <w:vAlign w:val="bottom"/>
          </w:tcPr>
          <w:p>
            <w:pPr>
              <w:spacing w:after="0"/>
              <w:rPr>
                <w:sz w:val="20"/>
                <w:szCs w:val="20"/>
                <w:color w:val="auto"/>
              </w:rPr>
            </w:pPr>
            <w:r>
              <w:rPr>
                <w:rFonts w:ascii="Arial" w:cs="Arial" w:eastAsia="Arial" w:hAnsi="Arial"/>
                <w:sz w:val="18"/>
                <w:szCs w:val="18"/>
                <w:color w:val="auto"/>
                <w:w w:val="93"/>
              </w:rPr>
              <w:t>Note and Mortgage dated December 12, 2000 between the Company and General Electric Capital Business Asset Funding Corporation</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9"/>
              </w:rPr>
              <w:t>relating to the Braintree facility (filed as Exhibit 10B to the Company's Form 10-Q for the quarter ended December 30, 2000 and</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10P*</w:t>
            </w:r>
          </w:p>
        </w:tc>
        <w:tc>
          <w:tcPr>
            <w:tcW w:w="10140" w:type="dxa"/>
            <w:vAlign w:val="bottom"/>
          </w:tcPr>
          <w:p>
            <w:pPr>
              <w:spacing w:after="0"/>
              <w:rPr>
                <w:sz w:val="20"/>
                <w:szCs w:val="20"/>
                <w:color w:val="auto"/>
              </w:rPr>
            </w:pPr>
            <w:r>
              <w:rPr>
                <w:rFonts w:ascii="Arial" w:cs="Arial" w:eastAsia="Arial" w:hAnsi="Arial"/>
                <w:sz w:val="18"/>
                <w:szCs w:val="18"/>
                <w:color w:val="auto"/>
                <w:w w:val="92"/>
              </w:rPr>
              <w:t>Real Estate Lease Agreement dated November 2, 2002 between Haemonetics Produzione Italia S.r.l. as successor in interest to Pall Italia</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6"/>
              </w:rPr>
              <w:t>S.r.l and Tempera Infissi S.r.l for premises located in Ascoli, Italy (Italian to English translation filed as Exhibit 10P to the Company's</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Form 10-K for the year ended March 30, 2013 and 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10Q*</w:t>
            </w:r>
          </w:p>
        </w:tc>
        <w:tc>
          <w:tcPr>
            <w:tcW w:w="10140" w:type="dxa"/>
            <w:vAlign w:val="bottom"/>
          </w:tcPr>
          <w:p>
            <w:pPr>
              <w:spacing w:after="0"/>
              <w:rPr>
                <w:sz w:val="20"/>
                <w:szCs w:val="20"/>
                <w:color w:val="auto"/>
              </w:rPr>
            </w:pPr>
            <w:r>
              <w:rPr>
                <w:rFonts w:ascii="Arial" w:cs="Arial" w:eastAsia="Arial" w:hAnsi="Arial"/>
                <w:sz w:val="18"/>
                <w:szCs w:val="18"/>
                <w:color w:val="auto"/>
                <w:w w:val="92"/>
              </w:rPr>
              <w:t>Lease effective July 15, 2004 between Howard Commons Associates, LLC and Haemoscope Corporation for the property located in Niles,</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7"/>
              </w:rPr>
              <w:t>Illinois (filed as Exhibit 10Q to the Company's Form 10-K for the year ended March 30, 2013 and 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10R*</w:t>
            </w:r>
          </w:p>
        </w:tc>
        <w:tc>
          <w:tcPr>
            <w:tcW w:w="10140" w:type="dxa"/>
            <w:vAlign w:val="bottom"/>
          </w:tcPr>
          <w:p>
            <w:pPr>
              <w:spacing w:after="0"/>
              <w:rPr>
                <w:sz w:val="20"/>
                <w:szCs w:val="20"/>
                <w:color w:val="auto"/>
              </w:rPr>
            </w:pPr>
            <w:r>
              <w:rPr>
                <w:rFonts w:ascii="Arial" w:cs="Arial" w:eastAsia="Arial" w:hAnsi="Arial"/>
                <w:sz w:val="18"/>
                <w:szCs w:val="18"/>
                <w:color w:val="auto"/>
                <w:w w:val="92"/>
              </w:rPr>
              <w:t>First Amendment to Lease dated July 15, 2004, made as of June 10, 2004 between Howard Commons Associates, LLC and Haemoscope</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3"/>
              </w:rPr>
              <w:t>Corporation for the property located in Niles, Illinois (filed as Exhibit 10R to the Company's Form10-K for the year ended March 30, 2013</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and 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10S*</w:t>
            </w:r>
          </w:p>
        </w:tc>
        <w:tc>
          <w:tcPr>
            <w:tcW w:w="10140" w:type="dxa"/>
            <w:vAlign w:val="bottom"/>
          </w:tcPr>
          <w:p>
            <w:pPr>
              <w:spacing w:after="0"/>
              <w:rPr>
                <w:sz w:val="20"/>
                <w:szCs w:val="20"/>
                <w:color w:val="auto"/>
              </w:rPr>
            </w:pPr>
            <w:r>
              <w:rPr>
                <w:rFonts w:ascii="Arial" w:cs="Arial" w:eastAsia="Arial" w:hAnsi="Arial"/>
                <w:sz w:val="18"/>
                <w:szCs w:val="18"/>
                <w:color w:val="auto"/>
                <w:w w:val="91"/>
              </w:rPr>
              <w:t>Second Amendment to Lease dated July 15, 2004, made as of June 5, 2007 between Cabot II - ILI W02-W03, LLC, predecessor-in interest</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3"/>
              </w:rPr>
              <w:t>to Howard Commons Associates, LLC and Haemoscope Corporation for the property located in Niles, Illinois (filed as Exhibit 10S to the</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Company's Form 10-K for the year ended March 30, 2013 and 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10T*</w:t>
            </w:r>
          </w:p>
        </w:tc>
        <w:tc>
          <w:tcPr>
            <w:tcW w:w="10140" w:type="dxa"/>
            <w:vAlign w:val="bottom"/>
          </w:tcPr>
          <w:p>
            <w:pPr>
              <w:spacing w:after="0"/>
              <w:rPr>
                <w:sz w:val="20"/>
                <w:szCs w:val="20"/>
                <w:color w:val="auto"/>
              </w:rPr>
            </w:pPr>
            <w:r>
              <w:rPr>
                <w:rFonts w:ascii="Arial" w:cs="Arial" w:eastAsia="Arial" w:hAnsi="Arial"/>
                <w:sz w:val="18"/>
                <w:szCs w:val="18"/>
                <w:color w:val="auto"/>
                <w:w w:val="95"/>
              </w:rPr>
              <w:t>Third Amendment to Lease dated July 15, 2004, made as of November 19, 2007 between Cabot II - ILI W02-W03, LLC, Haemoscope</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5"/>
              </w:rPr>
              <w:t>Corporation and Huron Acquisition Corporation, a wholly-owned subsidiary of the Company, as successor in interest to Haemoscope</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3"/>
              </w:rPr>
              <w:t>Corporation for the property located in Niles, Illinois (filed as Exhibit 10T to the Company's Form 10-K for the year ended March 30, 2013</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and 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10U*</w:t>
            </w:r>
          </w:p>
        </w:tc>
        <w:tc>
          <w:tcPr>
            <w:tcW w:w="10140" w:type="dxa"/>
            <w:vAlign w:val="bottom"/>
          </w:tcPr>
          <w:p>
            <w:pPr>
              <w:spacing w:after="0"/>
              <w:rPr>
                <w:sz w:val="20"/>
                <w:szCs w:val="20"/>
                <w:color w:val="auto"/>
              </w:rPr>
            </w:pPr>
            <w:r>
              <w:rPr>
                <w:rFonts w:ascii="Arial" w:cs="Arial" w:eastAsia="Arial" w:hAnsi="Arial"/>
                <w:sz w:val="18"/>
                <w:szCs w:val="18"/>
                <w:color w:val="auto"/>
                <w:w w:val="94"/>
              </w:rPr>
              <w:t>Fourth Amendment to Lease dated July 15, 2004, made as of December 22, 2010 between Cabot II - ILI W02-W03, LLC, Haemoscope</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2"/>
              </w:rPr>
              <w:t>Corporation and the Company as assignee and New Tenant of the property located in Niles, Illinois (filed as Exhibit 10U to the Company's</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Form 10-K for the year ended March 30, 2013 and 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10V*</w:t>
            </w:r>
          </w:p>
        </w:tc>
        <w:tc>
          <w:tcPr>
            <w:tcW w:w="10140" w:type="dxa"/>
            <w:vAlign w:val="bottom"/>
          </w:tcPr>
          <w:p>
            <w:pPr>
              <w:spacing w:after="0"/>
              <w:rPr>
                <w:sz w:val="20"/>
                <w:szCs w:val="20"/>
                <w:color w:val="auto"/>
              </w:rPr>
            </w:pPr>
            <w:r>
              <w:rPr>
                <w:rFonts w:ascii="Arial" w:cs="Arial" w:eastAsia="Arial" w:hAnsi="Arial"/>
                <w:sz w:val="18"/>
                <w:szCs w:val="18"/>
                <w:color w:val="auto"/>
                <w:w w:val="93"/>
              </w:rPr>
              <w:t>Fifth Amendment to Lease dated July 15, 2004, made as of July 24, 2012 between Cabot II - ILI W02-W03, LLC and the Company of the</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2"/>
              </w:rPr>
              <w:t>property located in Niles, Illinois (filed as Exhibit 10V to the Company's10-K for the year ended March 30, 2013 and incorporated herein by</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10W*</w:t>
            </w:r>
          </w:p>
        </w:tc>
        <w:tc>
          <w:tcPr>
            <w:tcW w:w="10140" w:type="dxa"/>
            <w:vAlign w:val="bottom"/>
          </w:tcPr>
          <w:p>
            <w:pPr>
              <w:spacing w:after="0"/>
              <w:rPr>
                <w:sz w:val="20"/>
                <w:szCs w:val="20"/>
                <w:color w:val="auto"/>
              </w:rPr>
            </w:pPr>
            <w:r>
              <w:rPr>
                <w:rFonts w:ascii="Arial" w:cs="Arial" w:eastAsia="Arial" w:hAnsi="Arial"/>
                <w:sz w:val="18"/>
                <w:szCs w:val="18"/>
                <w:color w:val="auto"/>
                <w:w w:val="93"/>
              </w:rPr>
              <w:t>Lease Agreement effective December 3, 2007 between Mrs. Blanca Estela Colunga Santelices, by her own right, and Pall Life Sciences</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9"/>
              </w:rPr>
              <w:t>Mexico, S.de R.L. de C.V., for the property located in Tijuana, Mexico (Spanish to English translation filed as Exhibit 10W to the</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Company's Form 10-K for the year ended March 30, 2013 and 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10X*</w:t>
            </w:r>
          </w:p>
        </w:tc>
        <w:tc>
          <w:tcPr>
            <w:tcW w:w="10140" w:type="dxa"/>
            <w:vAlign w:val="bottom"/>
          </w:tcPr>
          <w:p>
            <w:pPr>
              <w:spacing w:after="0"/>
              <w:rPr>
                <w:sz w:val="20"/>
                <w:szCs w:val="20"/>
                <w:color w:val="auto"/>
              </w:rPr>
            </w:pPr>
            <w:r>
              <w:rPr>
                <w:rFonts w:ascii="Arial" w:cs="Arial" w:eastAsia="Arial" w:hAnsi="Arial"/>
                <w:sz w:val="18"/>
                <w:szCs w:val="18"/>
                <w:color w:val="auto"/>
                <w:w w:val="97"/>
              </w:rPr>
              <w:t>Assignment to Lease Agreement effective December 3, 2007, made as of December 2, 2011 between Mrs. Blanca Estela Colunga</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4"/>
              </w:rPr>
              <w:t>Santelices, by her own right, Pall Life Sciences Mexico, S.de R.L. de C.V., (“Assignor”) and Haemonetics Mexico Manufacturing, S. de</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1"/>
              </w:rPr>
              <w:t>R.L. de C.V.as successor in interest to Pall Mexico Manufacturing S. de R.L. de C.V., (“Assignee”) assigned in favor of the property located</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6"/>
              </w:rPr>
              <w:t>in Tijuana, Mexico (filed as Exhibit 10X to the Company's Form 10-K for the year ended March 30, 2013 and incorporated herein by</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10Y*</w:t>
            </w:r>
          </w:p>
        </w:tc>
        <w:tc>
          <w:tcPr>
            <w:tcW w:w="10140" w:type="dxa"/>
            <w:vAlign w:val="bottom"/>
          </w:tcPr>
          <w:p>
            <w:pPr>
              <w:spacing w:after="0"/>
              <w:rPr>
                <w:sz w:val="20"/>
                <w:szCs w:val="20"/>
                <w:color w:val="auto"/>
              </w:rPr>
            </w:pPr>
            <w:r>
              <w:rPr>
                <w:rFonts w:ascii="Arial" w:cs="Arial" w:eastAsia="Arial" w:hAnsi="Arial"/>
                <w:sz w:val="18"/>
                <w:szCs w:val="18"/>
                <w:color w:val="auto"/>
                <w:w w:val="97"/>
              </w:rPr>
              <w:t>Sublease Contract to Lease Agreement effective December 3, 2007, made as of December 3, 2011 between Haemonetics Mexico</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1"/>
              </w:rPr>
              <w:t>Manufacturing, S. de R.L. de C.V. as successor in interest to Pall Mexico Manufacturing, S.de R.L. de C.V., and Pall Life Sciences Mexico,</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7"/>
              </w:rPr>
              <w:t>S. de R.L. de C.V., for the property located in Tijuana, Mexico (filed as Exhibit 10Y to the Company's Form 10-K for the year ended</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March 30, 2013 and 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10Z*</w:t>
            </w:r>
          </w:p>
        </w:tc>
        <w:tc>
          <w:tcPr>
            <w:tcW w:w="10140" w:type="dxa"/>
            <w:vAlign w:val="bottom"/>
          </w:tcPr>
          <w:p>
            <w:pPr>
              <w:spacing w:after="0"/>
              <w:rPr>
                <w:sz w:val="20"/>
                <w:szCs w:val="20"/>
                <w:color w:val="auto"/>
              </w:rPr>
            </w:pPr>
            <w:r>
              <w:rPr>
                <w:rFonts w:ascii="Arial" w:cs="Arial" w:eastAsia="Arial" w:hAnsi="Arial"/>
                <w:sz w:val="18"/>
                <w:szCs w:val="18"/>
                <w:color w:val="auto"/>
                <w:w w:val="97"/>
              </w:rPr>
              <w:t>Sublease Contract to Lease Agreement effective December 3, 2007, made as of February 23, 2012 between Haemonetics Mexico</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2"/>
              </w:rPr>
              <w:t>Manufacturing, S. de R.L. de C.V. as successor in interest to Pall Mexico Manufacturing S. de R.L. de C.V. and Ensatec, S.A. de C.V., for</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8"/>
              </w:rPr>
              <w:t>the property located in Tijuana, Mexico (filed as Exhibit 10Z to the Company's Form 10-K for the year ended March 30, 2013 and</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10AA*</w:t>
            </w:r>
          </w:p>
        </w:tc>
        <w:tc>
          <w:tcPr>
            <w:tcW w:w="10140" w:type="dxa"/>
            <w:vAlign w:val="bottom"/>
          </w:tcPr>
          <w:p>
            <w:pPr>
              <w:spacing w:after="0"/>
              <w:rPr>
                <w:sz w:val="20"/>
                <w:szCs w:val="20"/>
                <w:color w:val="auto"/>
              </w:rPr>
            </w:pPr>
            <w:r>
              <w:rPr>
                <w:rFonts w:ascii="Arial" w:cs="Arial" w:eastAsia="Arial" w:hAnsi="Arial"/>
                <w:sz w:val="18"/>
                <w:szCs w:val="18"/>
                <w:color w:val="auto"/>
                <w:w w:val="90"/>
              </w:rPr>
              <w:t>Lease dated August 20, 2009 between Price Logistics Center Draper One, LLC and the Company for property located in Draper, Utah. (filed</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as Exhibit 10AA to the Company's Form 10-K for the year ended March 30, 2013 and incorporated herein by reference).</w:t>
            </w:r>
          </w:p>
        </w:tc>
      </w:tr>
      <w:tr>
        <w:trPr>
          <w:trHeight w:val="486"/>
        </w:trPr>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tcPr>
          <w:p>
            <w:pPr>
              <w:ind w:left="4440"/>
              <w:spacing w:after="0"/>
              <w:rPr>
                <w:sz w:val="20"/>
                <w:szCs w:val="20"/>
                <w:color w:val="auto"/>
              </w:rPr>
            </w:pPr>
            <w:r>
              <w:rPr>
                <w:rFonts w:ascii="Arial" w:cs="Arial" w:eastAsia="Arial" w:hAnsi="Arial"/>
                <w:sz w:val="18"/>
                <w:szCs w:val="18"/>
                <w:color w:val="auto"/>
              </w:rPr>
              <w:t>91</w:t>
            </w:r>
          </w:p>
        </w:tc>
      </w:tr>
    </w:tbl>
    <w:p>
      <w:pPr>
        <w:sectPr>
          <w:pgSz w:w="11900" w:h="16838" w:orient="portrait"/>
          <w:cols w:equalWidth="0" w:num="1">
            <w:col w:w="11320"/>
          </w:cols>
          <w:pgMar w:left="240" w:top="118" w:right="339"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tcPr>
          <w:p>
            <w:pPr>
              <w:spacing w:after="0"/>
              <w:rPr>
                <w:rFonts w:ascii="Arial" w:cs="Arial" w:eastAsia="Arial" w:hAnsi="Arial"/>
                <w:sz w:val="16"/>
                <w:szCs w:val="16"/>
                <w:color w:val="0000EE"/>
                <w:w w:val="90"/>
              </w:rPr>
            </w:pPr>
            <w:hyperlink w:anchor="page1">
              <w:r>
                <w:rPr>
                  <w:rFonts w:ascii="Arial" w:cs="Arial" w:eastAsia="Arial" w:hAnsi="Arial"/>
                  <w:sz w:val="16"/>
                  <w:szCs w:val="16"/>
                  <w:color w:val="0000EE"/>
                  <w:w w:val="90"/>
                </w:rPr>
                <w:t>Table of Contents</w:t>
              </w:r>
            </w:hyperlink>
          </w:p>
        </w:tc>
        <w:tc>
          <w:tcPr>
            <w:tcW w:w="20" w:type="dxa"/>
            <w:vAlign w:val="bottom"/>
          </w:tcPr>
          <w:p>
            <w:pPr>
              <w:spacing w:after="0"/>
              <w:rPr>
                <w:sz w:val="16"/>
                <w:szCs w:val="16"/>
                <w:color w:val="auto"/>
              </w:rPr>
            </w:pPr>
          </w:p>
        </w:tc>
        <w:tc>
          <w:tcPr>
            <w:tcW w:w="10140" w:type="dxa"/>
            <w:vAlign w:val="bottom"/>
          </w:tcPr>
          <w:p>
            <w:pPr>
              <w:spacing w:after="0"/>
              <w:rPr>
                <w:sz w:val="16"/>
                <w:szCs w:val="16"/>
                <w:color w:val="auto"/>
              </w:rPr>
            </w:pPr>
          </w:p>
        </w:tc>
      </w:tr>
      <w:tr>
        <w:trPr>
          <w:trHeight w:val="614"/>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10AB*†</w:t>
            </w:r>
          </w:p>
        </w:tc>
        <w:tc>
          <w:tcPr>
            <w:tcW w:w="10140" w:type="dxa"/>
            <w:vAlign w:val="bottom"/>
          </w:tcPr>
          <w:p>
            <w:pPr>
              <w:spacing w:after="0"/>
              <w:rPr>
                <w:sz w:val="20"/>
                <w:szCs w:val="20"/>
                <w:color w:val="auto"/>
              </w:rPr>
            </w:pPr>
            <w:r>
              <w:rPr>
                <w:rFonts w:ascii="Arial" w:cs="Arial" w:eastAsia="Arial" w:hAnsi="Arial"/>
                <w:sz w:val="18"/>
                <w:szCs w:val="18"/>
                <w:color w:val="auto"/>
                <w:w w:val="98"/>
              </w:rPr>
              <w:t>Haemonetics Corporation 2000 Long-term Incentive Plan (filed as Exhibit 10A to the Company's Form 10-Q for the quarter ended</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December 30, 2000 and 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10AC*†</w:t>
            </w:r>
          </w:p>
        </w:tc>
        <w:tc>
          <w:tcPr>
            <w:tcW w:w="10140" w:type="dxa"/>
            <w:vAlign w:val="bottom"/>
          </w:tcPr>
          <w:p>
            <w:pPr>
              <w:spacing w:after="0"/>
              <w:rPr>
                <w:sz w:val="20"/>
                <w:szCs w:val="20"/>
                <w:color w:val="auto"/>
              </w:rPr>
            </w:pPr>
            <w:r>
              <w:rPr>
                <w:rFonts w:ascii="Arial" w:cs="Arial" w:eastAsia="Arial" w:hAnsi="Arial"/>
                <w:sz w:val="18"/>
                <w:szCs w:val="18"/>
                <w:color w:val="auto"/>
                <w:w w:val="92"/>
              </w:rPr>
              <w:t>Form of Option Agreement for Non-Qualified stock options for the 2000 Long Term-Incentive Plan for Employees (filed as Exhibit 10AJ to</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the Company's Form 10-K for the year ended March 29, 2003 and 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10AD*†</w:t>
            </w:r>
          </w:p>
        </w:tc>
        <w:tc>
          <w:tcPr>
            <w:tcW w:w="10140" w:type="dxa"/>
            <w:vAlign w:val="bottom"/>
          </w:tcPr>
          <w:p>
            <w:pPr>
              <w:spacing w:after="0"/>
              <w:rPr>
                <w:sz w:val="20"/>
                <w:szCs w:val="20"/>
                <w:color w:val="auto"/>
              </w:rPr>
            </w:pPr>
            <w:r>
              <w:rPr>
                <w:rFonts w:ascii="Arial" w:cs="Arial" w:eastAsia="Arial" w:hAnsi="Arial"/>
                <w:sz w:val="18"/>
                <w:szCs w:val="18"/>
                <w:color w:val="auto"/>
                <w:w w:val="93"/>
              </w:rPr>
              <w:t>Form of Option Agreements for Non-Qualified stock options for the 2000 Long- Term Incentive Plan for Non-Employee Directors (filed as</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Exhibit 10AK to the Company's Form 10-K for the year ended March 29, 2003 and 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10AE†</w:t>
            </w:r>
          </w:p>
        </w:tc>
        <w:tc>
          <w:tcPr>
            <w:tcW w:w="10140" w:type="dxa"/>
            <w:vAlign w:val="bottom"/>
          </w:tcPr>
          <w:p>
            <w:pPr>
              <w:spacing w:after="0"/>
              <w:rPr>
                <w:sz w:val="20"/>
                <w:szCs w:val="20"/>
                <w:color w:val="auto"/>
              </w:rPr>
            </w:pPr>
            <w:r>
              <w:rPr>
                <w:rFonts w:ascii="Arial" w:cs="Arial" w:eastAsia="Arial" w:hAnsi="Arial"/>
                <w:sz w:val="18"/>
                <w:szCs w:val="18"/>
                <w:color w:val="auto"/>
                <w:w w:val="92"/>
              </w:rPr>
              <w:t>Pro Forma Haemonetics Corporation 2005 Long-Term Incentive Compensation Plan, reflecting amendments dated July 31, 2008, July 29,</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2009, July 21, 20011, November 30, 2012, July 24, 2013 and January 21, 2014 (filed herewith).</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10AF*†</w:t>
            </w:r>
          </w:p>
        </w:tc>
        <w:tc>
          <w:tcPr>
            <w:tcW w:w="10140" w:type="dxa"/>
            <w:vAlign w:val="bottom"/>
          </w:tcPr>
          <w:p>
            <w:pPr>
              <w:spacing w:after="0"/>
              <w:rPr>
                <w:sz w:val="20"/>
                <w:szCs w:val="20"/>
                <w:color w:val="auto"/>
              </w:rPr>
            </w:pPr>
            <w:r>
              <w:rPr>
                <w:rFonts w:ascii="Arial" w:cs="Arial" w:eastAsia="Arial" w:hAnsi="Arial"/>
                <w:sz w:val="18"/>
                <w:szCs w:val="18"/>
                <w:color w:val="auto"/>
                <w:w w:val="96"/>
              </w:rPr>
              <w:t>Form of Option Agreement for Non-Qualified stock options for the 2005 Long Term-Incentive Compensation Plan for Non-employee</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2"/>
              </w:rPr>
              <w:t>Directors (filed as Exhibit 10.1 to the Company's Form 10-Q for the quarter ended October 1, 2005 and 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10AG*†</w:t>
            </w:r>
          </w:p>
        </w:tc>
        <w:tc>
          <w:tcPr>
            <w:tcW w:w="10140" w:type="dxa"/>
            <w:vAlign w:val="bottom"/>
          </w:tcPr>
          <w:p>
            <w:pPr>
              <w:spacing w:after="0"/>
              <w:rPr>
                <w:sz w:val="20"/>
                <w:szCs w:val="20"/>
                <w:color w:val="auto"/>
              </w:rPr>
            </w:pPr>
            <w:r>
              <w:rPr>
                <w:rFonts w:ascii="Arial" w:cs="Arial" w:eastAsia="Arial" w:hAnsi="Arial"/>
                <w:sz w:val="18"/>
                <w:szCs w:val="18"/>
                <w:color w:val="auto"/>
                <w:w w:val="92"/>
              </w:rPr>
              <w:t>Form of Option Agreement for Non-Qualified stock options for the 2005 Long-Term Incentive Compensation Plan for Employees. (filed as</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Exhibit 10S to the Company's Form 10-K for the year ended March 30, 2010 and 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10AH*†</w:t>
            </w:r>
          </w:p>
        </w:tc>
        <w:tc>
          <w:tcPr>
            <w:tcW w:w="10140" w:type="dxa"/>
            <w:vAlign w:val="bottom"/>
          </w:tcPr>
          <w:p>
            <w:pPr>
              <w:spacing w:after="0"/>
              <w:rPr>
                <w:sz w:val="20"/>
                <w:szCs w:val="20"/>
                <w:color w:val="auto"/>
              </w:rPr>
            </w:pPr>
            <w:r>
              <w:rPr>
                <w:rFonts w:ascii="Arial" w:cs="Arial" w:eastAsia="Arial" w:hAnsi="Arial"/>
                <w:sz w:val="18"/>
                <w:szCs w:val="18"/>
                <w:color w:val="auto"/>
                <w:w w:val="93"/>
              </w:rPr>
              <w:t>Form of Option Agreement for Non-Qualified stock options for the 2005 Long-Term Incentive Compensation Plan for the Chief Executive</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4"/>
              </w:rPr>
              <w:t>Officer (filed as Exhibit 10.3 to the Company's Form 10-Q for the quarter ended October 1, 2005 and 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10AI*</w:t>
            </w:r>
          </w:p>
        </w:tc>
        <w:tc>
          <w:tcPr>
            <w:tcW w:w="10140" w:type="dxa"/>
            <w:vAlign w:val="bottom"/>
          </w:tcPr>
          <w:p>
            <w:pPr>
              <w:spacing w:after="0"/>
              <w:rPr>
                <w:sz w:val="20"/>
                <w:szCs w:val="20"/>
                <w:color w:val="auto"/>
              </w:rPr>
            </w:pPr>
            <w:r>
              <w:rPr>
                <w:rFonts w:ascii="Arial" w:cs="Arial" w:eastAsia="Arial" w:hAnsi="Arial"/>
                <w:sz w:val="18"/>
                <w:szCs w:val="18"/>
                <w:color w:val="auto"/>
                <w:w w:val="94"/>
              </w:rPr>
              <w:t>Form of Restricted Stock Agreement with Employees under 2005 Long-Term Incentive Compensation Plan. (filed as Exhibit 10U to the</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Company's Form 10-K for the year ended April 3, 20`0 and 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10AJ*†</w:t>
            </w:r>
          </w:p>
        </w:tc>
        <w:tc>
          <w:tcPr>
            <w:tcW w:w="10140" w:type="dxa"/>
            <w:vAlign w:val="bottom"/>
          </w:tcPr>
          <w:p>
            <w:pPr>
              <w:spacing w:after="0"/>
              <w:rPr>
                <w:sz w:val="20"/>
                <w:szCs w:val="20"/>
                <w:color w:val="auto"/>
              </w:rPr>
            </w:pPr>
            <w:r>
              <w:rPr>
                <w:rFonts w:ascii="Arial" w:cs="Arial" w:eastAsia="Arial" w:hAnsi="Arial"/>
                <w:sz w:val="18"/>
                <w:szCs w:val="18"/>
                <w:color w:val="auto"/>
                <w:w w:val="90"/>
              </w:rPr>
              <w:t>Form of Amended and Restated Change in Control Agreement made effective on April 2, 2009 between the Company and Brian Concannon</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(filed as Exhibit 10Y to the Company's Form 10-Q for the quarter ended June 27, 2009 and 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10AL*†</w:t>
            </w:r>
          </w:p>
        </w:tc>
        <w:tc>
          <w:tcPr>
            <w:tcW w:w="10140" w:type="dxa"/>
            <w:vAlign w:val="bottom"/>
          </w:tcPr>
          <w:p>
            <w:pPr>
              <w:spacing w:after="0"/>
              <w:rPr>
                <w:sz w:val="20"/>
                <w:szCs w:val="20"/>
                <w:color w:val="auto"/>
              </w:rPr>
            </w:pPr>
            <w:r>
              <w:rPr>
                <w:rFonts w:ascii="Arial" w:cs="Arial" w:eastAsia="Arial" w:hAnsi="Arial"/>
                <w:sz w:val="18"/>
                <w:szCs w:val="18"/>
                <w:color w:val="auto"/>
                <w:w w:val="93"/>
              </w:rPr>
              <w:t>Form of Market Stock Unit Agreement for the 2005 Long-Term Incentive Compensation Plan (filed as Exhibit 10.3 to the Company's 8-K,</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dated July 26, 2013 and 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10AK*†</w:t>
            </w:r>
          </w:p>
        </w:tc>
        <w:tc>
          <w:tcPr>
            <w:tcW w:w="10140" w:type="dxa"/>
            <w:vAlign w:val="bottom"/>
          </w:tcPr>
          <w:p>
            <w:pPr>
              <w:spacing w:after="0"/>
              <w:rPr>
                <w:sz w:val="20"/>
                <w:szCs w:val="20"/>
                <w:color w:val="auto"/>
              </w:rPr>
            </w:pPr>
            <w:r>
              <w:rPr>
                <w:rFonts w:ascii="Arial" w:cs="Arial" w:eastAsia="Arial" w:hAnsi="Arial"/>
                <w:sz w:val="18"/>
                <w:szCs w:val="18"/>
                <w:color w:val="auto"/>
                <w:w w:val="95"/>
              </w:rPr>
              <w:t>Form of Amended and Restated Change in Control Agreement (filed as exhibit 10AK to the Company's Form 10-K, for the year-ended</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March 31, 2013 and 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10AM*†</w:t>
            </w:r>
          </w:p>
        </w:tc>
        <w:tc>
          <w:tcPr>
            <w:tcW w:w="10140" w:type="dxa"/>
            <w:vAlign w:val="bottom"/>
          </w:tcPr>
          <w:p>
            <w:pPr>
              <w:spacing w:after="0"/>
              <w:rPr>
                <w:sz w:val="20"/>
                <w:szCs w:val="20"/>
                <w:color w:val="auto"/>
              </w:rPr>
            </w:pPr>
            <w:r>
              <w:rPr>
                <w:rFonts w:ascii="Arial" w:cs="Arial" w:eastAsia="Arial" w:hAnsi="Arial"/>
                <w:sz w:val="18"/>
                <w:szCs w:val="18"/>
                <w:color w:val="auto"/>
                <w:w w:val="98"/>
              </w:rPr>
              <w:t>2007 Employee Stock Purchase Plan (filed as Exhibit 10AS to the Company's Form 10-K for the year ended March 29, 2008 and</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10AN*†</w:t>
            </w:r>
          </w:p>
        </w:tc>
        <w:tc>
          <w:tcPr>
            <w:tcW w:w="10140" w:type="dxa"/>
            <w:vAlign w:val="bottom"/>
          </w:tcPr>
          <w:p>
            <w:pPr>
              <w:spacing w:after="0"/>
              <w:rPr>
                <w:sz w:val="20"/>
                <w:szCs w:val="20"/>
                <w:color w:val="auto"/>
              </w:rPr>
            </w:pPr>
            <w:r>
              <w:rPr>
                <w:rFonts w:ascii="Arial" w:cs="Arial" w:eastAsia="Arial" w:hAnsi="Arial"/>
                <w:sz w:val="18"/>
                <w:szCs w:val="18"/>
                <w:color w:val="auto"/>
                <w:w w:val="93"/>
              </w:rPr>
              <w:t>Non-Qualified Deferred Compensation Plan made effective on July 27, 2012 (filed as exhibit 10AM to the Company's Form 10-K, for the</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year-ended March 31, 2013 and 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10AO*</w:t>
            </w:r>
          </w:p>
        </w:tc>
        <w:tc>
          <w:tcPr>
            <w:tcW w:w="10140" w:type="dxa"/>
            <w:vAlign w:val="bottom"/>
          </w:tcPr>
          <w:p>
            <w:pPr>
              <w:spacing w:after="0"/>
              <w:rPr>
                <w:sz w:val="20"/>
                <w:szCs w:val="20"/>
                <w:color w:val="auto"/>
              </w:rPr>
            </w:pPr>
            <w:r>
              <w:rPr>
                <w:rFonts w:ascii="Arial" w:cs="Arial" w:eastAsia="Arial" w:hAnsi="Arial"/>
                <w:sz w:val="18"/>
                <w:szCs w:val="18"/>
                <w:color w:val="auto"/>
                <w:w w:val="90"/>
              </w:rPr>
              <w:t>Asset Purchase Agreement, dated as of April 28, 2012, by and between Haemonetics Corporation and Pall Corporation (filed as Exhibit 10Z</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to the Company's Form 10-K for the fiscal year ended March 31, 2012 and incorporated herein by reference).</w:t>
            </w:r>
          </w:p>
        </w:tc>
      </w:tr>
      <w:tr>
        <w:trPr>
          <w:trHeight w:val="945"/>
        </w:trPr>
        <w:tc>
          <w:tcPr>
            <w:tcW w:w="11320" w:type="dxa"/>
            <w:vAlign w:val="bottom"/>
            <w:gridSpan w:val="3"/>
          </w:tcPr>
          <w:p>
            <w:pPr>
              <w:ind w:left="40"/>
              <w:spacing w:after="0"/>
              <w:rPr>
                <w:sz w:val="20"/>
                <w:szCs w:val="20"/>
                <w:color w:val="auto"/>
              </w:rPr>
            </w:pPr>
            <w:r>
              <w:rPr>
                <w:rFonts w:ascii="Arial" w:cs="Arial" w:eastAsia="Arial" w:hAnsi="Arial"/>
                <w:sz w:val="18"/>
                <w:szCs w:val="18"/>
                <w:b w:val="1"/>
                <w:bCs w:val="1"/>
                <w:color w:val="auto"/>
              </w:rPr>
              <w:t>4. Subsidiary Certifications and Consents</w:t>
            </w:r>
          </w:p>
        </w:tc>
      </w:tr>
      <w:tr>
        <w:trPr>
          <w:trHeight w:val="270"/>
        </w:trPr>
        <w:tc>
          <w:tcPr>
            <w:tcW w:w="1160" w:type="dxa"/>
            <w:vAlign w:val="bottom"/>
          </w:tcPr>
          <w:p>
            <w:pPr>
              <w:ind w:left="40"/>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23"/>
                <w:szCs w:val="23"/>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Subsidiaries of the Company.</w:t>
            </w:r>
          </w:p>
        </w:tc>
      </w:tr>
      <w:tr>
        <w:trPr>
          <w:trHeight w:val="270"/>
        </w:trPr>
        <w:tc>
          <w:tcPr>
            <w:tcW w:w="1160" w:type="dxa"/>
            <w:vAlign w:val="bottom"/>
          </w:tcPr>
          <w:p>
            <w:pPr>
              <w:ind w:left="40"/>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23"/>
                <w:szCs w:val="23"/>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Consent of the Independent Registered Public Accounting Firm.</w:t>
            </w: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22"/>
                <w:szCs w:val="22"/>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4"/>
              </w:rPr>
              <w:t>Certification pursuant to Section 302 of Sarbanes-Oxley Act of 2002, of Brian Concannon, President and Chief Executive Officer of the</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Company.</w:t>
            </w: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22"/>
                <w:szCs w:val="22"/>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5"/>
              </w:rPr>
              <w:t>Certification pursuant to Section 302 of Sarbanes-Oxley of 2002, of Christopher Lindop, Executive Vice President and Chief Financial</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Officer of the Company.</w:t>
            </w: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22"/>
                <w:szCs w:val="22"/>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2"/>
              </w:rPr>
              <w:t>Certification Pursuant to 18 United States Code Section 1350, as adopted Pursuant to Section 906 of the Sarbanes-Oxley Act of 2002, of</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Brian Concannon, President and Chief Executive Officer of the Company</w:t>
            </w: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22"/>
                <w:szCs w:val="22"/>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2"/>
              </w:rPr>
              <w:t>Certification Pursuant to 18 United States Code Section 1350, as adopted Pursuant to Section 906 of the Sarbanes-Oxley Act of 2002, of</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Christopher Lindop, Chief Financial Officer and Executive Vice President Business Development of the Company</w:t>
            </w:r>
          </w:p>
        </w:tc>
      </w:tr>
      <w:tr>
        <w:trPr>
          <w:trHeight w:val="486"/>
        </w:trPr>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tcPr>
          <w:p>
            <w:pPr>
              <w:ind w:left="4440"/>
              <w:spacing w:after="0"/>
              <w:rPr>
                <w:sz w:val="20"/>
                <w:szCs w:val="20"/>
                <w:color w:val="auto"/>
              </w:rPr>
            </w:pPr>
            <w:r>
              <w:rPr>
                <w:rFonts w:ascii="Arial" w:cs="Arial" w:eastAsia="Arial" w:hAnsi="Arial"/>
                <w:sz w:val="18"/>
                <w:szCs w:val="18"/>
                <w:color w:val="auto"/>
              </w:rPr>
              <w:t>92</w:t>
            </w:r>
          </w:p>
        </w:tc>
      </w:tr>
    </w:tbl>
    <w:p>
      <w:pPr>
        <w:sectPr>
          <w:pgSz w:w="11900" w:h="16838" w:orient="portrait"/>
          <w:cols w:equalWidth="0" w:num="1">
            <w:col w:w="11320"/>
          </w:cols>
          <w:pgMar w:left="240" w:top="118" w:right="339" w:bottom="1440" w:gutter="0" w:footer="0" w:header="0"/>
        </w:sectPr>
      </w:pPr>
    </w:p>
    <w:bookmarkStart w:id="94" w:name="page95"/>
    <w:bookmarkEnd w:id="9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101ˆ</w:t>
            </w:r>
          </w:p>
        </w:tc>
        <w:tc>
          <w:tcPr>
            <w:tcW w:w="10440" w:type="dxa"/>
            <w:vAlign w:val="bottom"/>
          </w:tcPr>
          <w:p>
            <w:pPr>
              <w:ind w:left="400"/>
              <w:spacing w:after="0"/>
              <w:rPr>
                <w:sz w:val="20"/>
                <w:szCs w:val="20"/>
                <w:color w:val="auto"/>
              </w:rPr>
            </w:pPr>
            <w:r>
              <w:rPr>
                <w:rFonts w:ascii="Arial" w:cs="Arial" w:eastAsia="Arial" w:hAnsi="Arial"/>
                <w:sz w:val="18"/>
                <w:szCs w:val="18"/>
                <w:color w:val="auto"/>
                <w:w w:val="91"/>
              </w:rPr>
              <w:t>The following materials from Haemonetics Corporation on Form 10-K for the year ended March 30, 2013, formatted in Extensive Business</w:t>
            </w:r>
          </w:p>
        </w:tc>
      </w:tr>
      <w:tr>
        <w:trPr>
          <w:trHeight w:val="216"/>
        </w:trPr>
        <w:tc>
          <w:tcPr>
            <w:tcW w:w="720" w:type="dxa"/>
            <w:vAlign w:val="bottom"/>
          </w:tcPr>
          <w:p>
            <w:pPr>
              <w:spacing w:after="0"/>
              <w:rPr>
                <w:sz w:val="18"/>
                <w:szCs w:val="18"/>
                <w:color w:val="auto"/>
              </w:rPr>
            </w:pPr>
          </w:p>
        </w:tc>
        <w:tc>
          <w:tcPr>
            <w:tcW w:w="10440" w:type="dxa"/>
            <w:vAlign w:val="bottom"/>
          </w:tcPr>
          <w:p>
            <w:pPr>
              <w:ind w:left="400"/>
              <w:spacing w:after="0"/>
              <w:rPr>
                <w:sz w:val="20"/>
                <w:szCs w:val="20"/>
                <w:color w:val="auto"/>
              </w:rPr>
            </w:pPr>
            <w:r>
              <w:rPr>
                <w:rFonts w:ascii="Arial" w:cs="Arial" w:eastAsia="Arial" w:hAnsi="Arial"/>
                <w:sz w:val="18"/>
                <w:szCs w:val="18"/>
                <w:color w:val="auto"/>
                <w:w w:val="97"/>
              </w:rPr>
              <w:t>Reporting Language (XBRL): (i) Consolidated Statements of Income, (ii) Consolidated Statements of Comprehensive Income (iii)</w:t>
            </w:r>
          </w:p>
        </w:tc>
      </w:tr>
      <w:tr>
        <w:trPr>
          <w:trHeight w:val="216"/>
        </w:trPr>
        <w:tc>
          <w:tcPr>
            <w:tcW w:w="720" w:type="dxa"/>
            <w:vAlign w:val="bottom"/>
          </w:tcPr>
          <w:p>
            <w:pPr>
              <w:spacing w:after="0"/>
              <w:rPr>
                <w:sz w:val="18"/>
                <w:szCs w:val="18"/>
                <w:color w:val="auto"/>
              </w:rPr>
            </w:pPr>
          </w:p>
        </w:tc>
        <w:tc>
          <w:tcPr>
            <w:tcW w:w="10440" w:type="dxa"/>
            <w:vAlign w:val="bottom"/>
          </w:tcPr>
          <w:p>
            <w:pPr>
              <w:ind w:left="400"/>
              <w:spacing w:after="0"/>
              <w:rPr>
                <w:sz w:val="20"/>
                <w:szCs w:val="20"/>
                <w:color w:val="auto"/>
              </w:rPr>
            </w:pPr>
            <w:r>
              <w:rPr>
                <w:rFonts w:ascii="Arial" w:cs="Arial" w:eastAsia="Arial" w:hAnsi="Arial"/>
                <w:sz w:val="18"/>
                <w:szCs w:val="18"/>
                <w:color w:val="auto"/>
                <w:w w:val="93"/>
              </w:rPr>
              <w:t>Consolidated Balance Sheets, (iv) Consolidated Statement of Stockholders' Equity and Other Comprehensive Income, (v) Consolidated</w:t>
            </w:r>
          </w:p>
        </w:tc>
      </w:tr>
      <w:tr>
        <w:trPr>
          <w:trHeight w:val="230"/>
        </w:trPr>
        <w:tc>
          <w:tcPr>
            <w:tcW w:w="720" w:type="dxa"/>
            <w:vAlign w:val="bottom"/>
          </w:tcPr>
          <w:p>
            <w:pPr>
              <w:spacing w:after="0"/>
              <w:rPr>
                <w:sz w:val="20"/>
                <w:szCs w:val="20"/>
                <w:color w:val="auto"/>
              </w:rPr>
            </w:pPr>
          </w:p>
        </w:tc>
        <w:tc>
          <w:tcPr>
            <w:tcW w:w="10440" w:type="dxa"/>
            <w:vAlign w:val="bottom"/>
          </w:tcPr>
          <w:p>
            <w:pPr>
              <w:ind w:left="400"/>
              <w:spacing w:after="0"/>
              <w:rPr>
                <w:sz w:val="20"/>
                <w:szCs w:val="20"/>
                <w:color w:val="auto"/>
              </w:rPr>
            </w:pPr>
            <w:r>
              <w:rPr>
                <w:rFonts w:ascii="Arial" w:cs="Arial" w:eastAsia="Arial" w:hAnsi="Arial"/>
                <w:sz w:val="18"/>
                <w:szCs w:val="18"/>
                <w:color w:val="auto"/>
              </w:rPr>
              <w:t>Statements of Cash Flows, and (vi) Notes to Consolidated Financial Statements, tagged as blocks of text.</w:t>
            </w:r>
          </w:p>
        </w:tc>
      </w:tr>
    </w:tbl>
    <w:p>
      <w:pPr>
        <w:spacing w:after="0" w:line="175" w:lineRule="exact"/>
        <w:rPr>
          <w:sz w:val="20"/>
          <w:szCs w:val="20"/>
          <w:color w:val="auto"/>
        </w:rPr>
      </w:pPr>
    </w:p>
    <w:p>
      <w:pPr>
        <w:ind w:left="380" w:hanging="345"/>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w:t>
      </w:r>
    </w:p>
    <w:p>
      <w:pPr>
        <w:spacing w:after="0" w:line="63" w:lineRule="exact"/>
        <w:rPr>
          <w:sz w:val="20"/>
          <w:szCs w:val="20"/>
          <w:color w:val="auto"/>
        </w:rPr>
      </w:pPr>
    </w:p>
    <w:p>
      <w:pPr>
        <w:ind w:left="380" w:hanging="345"/>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Agreement, plan, or arrangement related to the compensation of officers or directors</w:t>
      </w:r>
    </w:p>
    <w:p>
      <w:pPr>
        <w:spacing w:after="0" w:line="63" w:lineRule="exact"/>
        <w:rPr>
          <w:sz w:val="20"/>
          <w:szCs w:val="20"/>
          <w:color w:val="auto"/>
        </w:rPr>
      </w:pPr>
    </w:p>
    <w:p>
      <w:pPr>
        <w:ind w:left="380" w:right="340" w:hanging="345"/>
        <w:spacing w:after="0" w:line="264" w:lineRule="auto"/>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accordance with Rule 406T of Regulation S-T, the XBRL-related information in Exhibit 101 to this Form 10-K is deemed not filed or part of a registration statement or prospectus for purposes of sections 11 or 12 of the Securities Act, is deemed not filed for purposes of section 18 of the Exchange Act, and otherwise is not subject to liability under these sections.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00"/>
          </w:cols>
          <w:pgMar w:left="240" w:top="130" w:right="459" w:bottom="1440" w:gutter="0" w:footer="0" w:header="0"/>
        </w:sectPr>
      </w:pPr>
    </w:p>
    <w:bookmarkStart w:id="95" w:name="page96"/>
    <w:bookmarkEnd w:id="9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SCHEDULE II</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HAEMONETICS CORPORATION</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VALUATION AND QUALIFYING ACCOUNTS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Charged to</w:t>
            </w:r>
          </w:p>
        </w:tc>
        <w:tc>
          <w:tcPr>
            <w:tcW w:w="160" w:type="dxa"/>
            <w:vAlign w:val="bottom"/>
          </w:tcPr>
          <w:p>
            <w:pPr>
              <w:spacing w:after="0"/>
              <w:rPr>
                <w:sz w:val="14"/>
                <w:szCs w:val="14"/>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Write-Offs</w:t>
            </w:r>
          </w:p>
        </w:tc>
        <w:tc>
          <w:tcPr>
            <w:tcW w:w="160" w:type="dxa"/>
            <w:vAlign w:val="bottom"/>
          </w:tcPr>
          <w:p>
            <w:pPr>
              <w:spacing w:after="0"/>
              <w:rPr>
                <w:sz w:val="14"/>
                <w:szCs w:val="14"/>
                <w:color w:val="auto"/>
              </w:rPr>
            </w:pPr>
          </w:p>
        </w:tc>
        <w:tc>
          <w:tcPr>
            <w:tcW w:w="120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w w:val="97"/>
              </w:rPr>
              <w:t>Balance at End</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Costs and</w:t>
            </w:r>
          </w:p>
        </w:tc>
        <w:tc>
          <w:tcPr>
            <w:tcW w:w="1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36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Fiscal Year</w:t>
            </w: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Expenses</w:t>
            </w:r>
          </w:p>
        </w:tc>
        <w:tc>
          <w:tcPr>
            <w:tcW w:w="16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(Net of Recoveries)</w:t>
            </w:r>
          </w:p>
        </w:tc>
        <w:tc>
          <w:tcPr>
            <w:tcW w:w="160" w:type="dxa"/>
            <w:vAlign w:val="bottom"/>
          </w:tcPr>
          <w:p>
            <w:pPr>
              <w:spacing w:after="0"/>
              <w:rPr>
                <w:sz w:val="16"/>
                <w:szCs w:val="16"/>
                <w:color w:val="auto"/>
              </w:rPr>
            </w:pPr>
          </w:p>
        </w:tc>
        <w:tc>
          <w:tcPr>
            <w:tcW w:w="1200" w:type="dxa"/>
            <w:vAlign w:val="bottom"/>
          </w:tcPr>
          <w:p>
            <w:pPr>
              <w:jc w:val="right"/>
              <w:ind w:right="177"/>
              <w:spacing w:after="0"/>
              <w:rPr>
                <w:sz w:val="20"/>
                <w:szCs w:val="20"/>
                <w:color w:val="auto"/>
              </w:rPr>
            </w:pPr>
            <w:r>
              <w:rPr>
                <w:rFonts w:ascii="Arial" w:cs="Arial" w:eastAsia="Arial" w:hAnsi="Arial"/>
                <w:sz w:val="14"/>
                <w:szCs w:val="14"/>
                <w:b w:val="1"/>
                <w:bCs w:val="1"/>
                <w:color w:val="auto"/>
              </w:rPr>
              <w:t>of Fiscal Year</w:t>
            </w:r>
          </w:p>
        </w:tc>
        <w:tc>
          <w:tcPr>
            <w:tcW w:w="0" w:type="dxa"/>
            <w:vAlign w:val="bottom"/>
          </w:tcPr>
          <w:p>
            <w:pPr>
              <w:spacing w:after="0"/>
              <w:rPr>
                <w:sz w:val="1"/>
                <w:szCs w:val="1"/>
                <w:color w:val="auto"/>
              </w:rPr>
            </w:pPr>
          </w:p>
        </w:tc>
      </w:tr>
      <w:tr>
        <w:trPr>
          <w:trHeight w:val="250"/>
        </w:trPr>
        <w:tc>
          <w:tcPr>
            <w:tcW w:w="5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Year Ended March 29, 2014</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9"/>
              <w:spacing w:after="0"/>
              <w:rPr>
                <w:sz w:val="20"/>
                <w:szCs w:val="20"/>
                <w:color w:val="auto"/>
              </w:rPr>
            </w:pPr>
            <w:r>
              <w:rPr>
                <w:rFonts w:ascii="Arial" w:cs="Arial" w:eastAsia="Arial" w:hAnsi="Arial"/>
                <w:sz w:val="18"/>
                <w:szCs w:val="18"/>
                <w:color w:val="auto"/>
              </w:rPr>
              <w:t>1,727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Year Ended March 30, 2013</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9"/>
              <w:spacing w:after="0"/>
              <w:rPr>
                <w:sz w:val="20"/>
                <w:szCs w:val="20"/>
                <w:color w:val="auto"/>
              </w:rPr>
            </w:pPr>
            <w:r>
              <w:rPr>
                <w:rFonts w:ascii="Arial" w:cs="Arial" w:eastAsia="Arial" w:hAnsi="Arial"/>
                <w:sz w:val="18"/>
                <w:szCs w:val="18"/>
                <w:color w:val="auto"/>
              </w:rPr>
              <w:t>1,480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1,727</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Year Ended March 31, 2012</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9"/>
              <w:spacing w:after="0"/>
              <w:rPr>
                <w:sz w:val="20"/>
                <w:szCs w:val="20"/>
                <w:color w:val="auto"/>
              </w:rPr>
            </w:pPr>
            <w:r>
              <w:rPr>
                <w:rFonts w:ascii="Arial" w:cs="Arial" w:eastAsia="Arial" w:hAnsi="Arial"/>
                <w:sz w:val="18"/>
                <w:szCs w:val="18"/>
                <w:color w:val="auto"/>
              </w:rPr>
              <w:t>1,799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60"/>
          </w:cols>
          <w:pgMar w:left="240" w:top="130" w:right="299" w:bottom="1440" w:gutter="0" w:footer="0" w:header="0"/>
        </w:sectPr>
      </w:pPr>
    </w:p>
    <w:bookmarkStart w:id="96" w:name="page97"/>
    <w:bookmarkEnd w:id="96"/>
    <w:p>
      <w:pPr>
        <w:jc w:val="right"/>
        <w:spacing w:after="0"/>
        <w:rPr>
          <w:sz w:val="20"/>
          <w:szCs w:val="20"/>
          <w:color w:val="auto"/>
        </w:rPr>
      </w:pPr>
      <w:r>
        <w:rPr>
          <w:rFonts w:ascii="Arial" w:cs="Arial" w:eastAsia="Arial" w:hAnsi="Arial"/>
          <w:sz w:val="21"/>
          <w:szCs w:val="21"/>
          <w:color w:val="auto"/>
        </w:rPr>
        <w:t>Exhibit 10AE</w:t>
      </w:r>
    </w:p>
    <w:p>
      <w:pPr>
        <w:spacing w:after="0" w:line="397" w:lineRule="exact"/>
        <w:rPr>
          <w:sz w:val="20"/>
          <w:szCs w:val="20"/>
          <w:color w:val="auto"/>
        </w:rPr>
      </w:pPr>
    </w:p>
    <w:p>
      <w:pPr>
        <w:ind w:left="3160"/>
        <w:spacing w:after="0"/>
        <w:rPr>
          <w:sz w:val="20"/>
          <w:szCs w:val="20"/>
          <w:color w:val="auto"/>
        </w:rPr>
      </w:pPr>
      <w:r>
        <w:rPr>
          <w:rFonts w:ascii="Arial" w:cs="Arial" w:eastAsia="Arial" w:hAnsi="Arial"/>
          <w:sz w:val="25"/>
          <w:szCs w:val="25"/>
          <w:b w:val="1"/>
          <w:bCs w:val="1"/>
          <w:color w:val="auto"/>
        </w:rPr>
        <w:t>Haemonetics Corporation</w:t>
      </w:r>
    </w:p>
    <w:p>
      <w:pPr>
        <w:spacing w:after="0" w:line="38" w:lineRule="exact"/>
        <w:rPr>
          <w:sz w:val="20"/>
          <w:szCs w:val="20"/>
          <w:color w:val="auto"/>
        </w:rPr>
      </w:pPr>
    </w:p>
    <w:p>
      <w:pPr>
        <w:ind w:left="3100"/>
        <w:spacing w:after="0"/>
        <w:rPr>
          <w:sz w:val="20"/>
          <w:szCs w:val="20"/>
          <w:color w:val="auto"/>
        </w:rPr>
      </w:pPr>
      <w:r>
        <w:rPr>
          <w:rFonts w:ascii="Arial" w:cs="Arial" w:eastAsia="Arial" w:hAnsi="Arial"/>
          <w:sz w:val="25"/>
          <w:szCs w:val="25"/>
          <w:b w:val="1"/>
          <w:bCs w:val="1"/>
          <w:color w:val="auto"/>
        </w:rPr>
        <w:t>2005 Long-Term Incentive</w:t>
      </w:r>
    </w:p>
    <w:p>
      <w:pPr>
        <w:spacing w:after="0" w:line="10" w:lineRule="exact"/>
        <w:rPr>
          <w:sz w:val="20"/>
          <w:szCs w:val="20"/>
          <w:color w:val="auto"/>
        </w:rPr>
      </w:pPr>
    </w:p>
    <w:p>
      <w:pPr>
        <w:ind w:left="3500"/>
        <w:spacing w:after="0"/>
        <w:rPr>
          <w:sz w:val="20"/>
          <w:szCs w:val="20"/>
          <w:color w:val="auto"/>
        </w:rPr>
      </w:pPr>
      <w:r>
        <w:rPr>
          <w:rFonts w:ascii="Arial" w:cs="Arial" w:eastAsia="Arial" w:hAnsi="Arial"/>
          <w:sz w:val="25"/>
          <w:szCs w:val="25"/>
          <w:b w:val="1"/>
          <w:bCs w:val="1"/>
          <w:color w:val="auto"/>
        </w:rPr>
        <w:t>Compensation Plan</w:t>
      </w:r>
    </w:p>
    <w:p>
      <w:pPr>
        <w:spacing w:after="0" w:line="312" w:lineRule="exact"/>
        <w:rPr>
          <w:sz w:val="20"/>
          <w:szCs w:val="20"/>
          <w:color w:val="auto"/>
        </w:rPr>
      </w:pPr>
    </w:p>
    <w:p>
      <w:pPr>
        <w:jc w:val="center"/>
        <w:ind w:right="1120"/>
        <w:spacing w:after="0"/>
        <w:rPr>
          <w:sz w:val="20"/>
          <w:szCs w:val="20"/>
          <w:color w:val="auto"/>
        </w:rPr>
      </w:pPr>
      <w:r>
        <w:rPr>
          <w:rFonts w:ascii="Arial" w:cs="Arial" w:eastAsia="Arial" w:hAnsi="Arial"/>
          <w:sz w:val="25"/>
          <w:szCs w:val="25"/>
          <w:color w:val="auto"/>
        </w:rPr>
        <w:t>Effective July 27, 2005</w:t>
      </w:r>
    </w:p>
    <w:p>
      <w:pPr>
        <w:spacing w:after="0" w:line="239" w:lineRule="exact"/>
        <w:rPr>
          <w:sz w:val="20"/>
          <w:szCs w:val="20"/>
          <w:color w:val="auto"/>
        </w:rPr>
      </w:pPr>
    </w:p>
    <w:p>
      <w:pPr>
        <w:jc w:val="center"/>
        <w:ind w:right="1120"/>
        <w:spacing w:after="0"/>
        <w:rPr>
          <w:sz w:val="20"/>
          <w:szCs w:val="20"/>
          <w:color w:val="auto"/>
        </w:rPr>
      </w:pPr>
      <w:r>
        <w:rPr>
          <w:rFonts w:ascii="Arial" w:cs="Arial" w:eastAsia="Arial" w:hAnsi="Arial"/>
          <w:sz w:val="25"/>
          <w:szCs w:val="25"/>
          <w:color w:val="auto"/>
        </w:rPr>
        <w:t>As Amended:</w:t>
      </w:r>
    </w:p>
    <w:p>
      <w:pPr>
        <w:spacing w:after="0" w:line="239" w:lineRule="exact"/>
        <w:rPr>
          <w:sz w:val="20"/>
          <w:szCs w:val="20"/>
          <w:color w:val="auto"/>
        </w:rPr>
      </w:pPr>
    </w:p>
    <w:p>
      <w:pPr>
        <w:jc w:val="center"/>
        <w:ind w:right="1120"/>
        <w:spacing w:after="0"/>
        <w:rPr>
          <w:sz w:val="20"/>
          <w:szCs w:val="20"/>
          <w:color w:val="auto"/>
        </w:rPr>
      </w:pPr>
      <w:r>
        <w:rPr>
          <w:rFonts w:ascii="Arial" w:cs="Arial" w:eastAsia="Arial" w:hAnsi="Arial"/>
          <w:sz w:val="25"/>
          <w:szCs w:val="25"/>
          <w:color w:val="auto"/>
        </w:rPr>
        <w:t>July 31, 2008</w:t>
      </w:r>
    </w:p>
    <w:p>
      <w:pPr>
        <w:spacing w:after="0" w:line="239" w:lineRule="exact"/>
        <w:rPr>
          <w:sz w:val="20"/>
          <w:szCs w:val="20"/>
          <w:color w:val="auto"/>
        </w:rPr>
      </w:pPr>
    </w:p>
    <w:p>
      <w:pPr>
        <w:jc w:val="center"/>
        <w:ind w:right="1120"/>
        <w:spacing w:after="0"/>
        <w:rPr>
          <w:sz w:val="20"/>
          <w:szCs w:val="20"/>
          <w:color w:val="auto"/>
        </w:rPr>
      </w:pPr>
      <w:r>
        <w:rPr>
          <w:rFonts w:ascii="Arial" w:cs="Arial" w:eastAsia="Arial" w:hAnsi="Arial"/>
          <w:sz w:val="25"/>
          <w:szCs w:val="25"/>
          <w:color w:val="auto"/>
        </w:rPr>
        <w:t>July 29, 2009</w:t>
      </w:r>
    </w:p>
    <w:p>
      <w:pPr>
        <w:spacing w:after="0" w:line="239" w:lineRule="exact"/>
        <w:rPr>
          <w:sz w:val="20"/>
          <w:szCs w:val="20"/>
          <w:color w:val="auto"/>
        </w:rPr>
      </w:pPr>
    </w:p>
    <w:p>
      <w:pPr>
        <w:jc w:val="center"/>
        <w:ind w:right="1120"/>
        <w:spacing w:after="0"/>
        <w:rPr>
          <w:sz w:val="20"/>
          <w:szCs w:val="20"/>
          <w:color w:val="auto"/>
        </w:rPr>
      </w:pPr>
      <w:r>
        <w:rPr>
          <w:rFonts w:ascii="Arial" w:cs="Arial" w:eastAsia="Arial" w:hAnsi="Arial"/>
          <w:sz w:val="25"/>
          <w:szCs w:val="25"/>
          <w:color w:val="auto"/>
        </w:rPr>
        <w:t>July 21, 2011</w:t>
      </w:r>
    </w:p>
    <w:p>
      <w:pPr>
        <w:spacing w:after="0" w:line="239" w:lineRule="exact"/>
        <w:rPr>
          <w:sz w:val="20"/>
          <w:szCs w:val="20"/>
          <w:color w:val="auto"/>
        </w:rPr>
      </w:pPr>
    </w:p>
    <w:p>
      <w:pPr>
        <w:jc w:val="center"/>
        <w:ind w:right="1120"/>
        <w:spacing w:after="0"/>
        <w:rPr>
          <w:sz w:val="20"/>
          <w:szCs w:val="20"/>
          <w:color w:val="auto"/>
        </w:rPr>
      </w:pPr>
      <w:r>
        <w:rPr>
          <w:rFonts w:ascii="Arial" w:cs="Arial" w:eastAsia="Arial" w:hAnsi="Arial"/>
          <w:sz w:val="25"/>
          <w:szCs w:val="25"/>
          <w:color w:val="auto"/>
        </w:rPr>
        <w:t>November 30, 2012</w:t>
      </w:r>
    </w:p>
    <w:p>
      <w:pPr>
        <w:spacing w:after="0" w:line="239" w:lineRule="exact"/>
        <w:rPr>
          <w:sz w:val="20"/>
          <w:szCs w:val="20"/>
          <w:color w:val="auto"/>
        </w:rPr>
      </w:pPr>
    </w:p>
    <w:p>
      <w:pPr>
        <w:jc w:val="center"/>
        <w:ind w:right="1120"/>
        <w:spacing w:after="0"/>
        <w:rPr>
          <w:sz w:val="20"/>
          <w:szCs w:val="20"/>
          <w:color w:val="auto"/>
        </w:rPr>
      </w:pPr>
      <w:r>
        <w:rPr>
          <w:rFonts w:ascii="Arial" w:cs="Arial" w:eastAsia="Arial" w:hAnsi="Arial"/>
          <w:sz w:val="25"/>
          <w:szCs w:val="25"/>
          <w:color w:val="auto"/>
        </w:rPr>
        <w:t>July 24, 2013</w:t>
      </w:r>
    </w:p>
    <w:p>
      <w:pPr>
        <w:spacing w:after="0" w:line="239" w:lineRule="exact"/>
        <w:rPr>
          <w:sz w:val="20"/>
          <w:szCs w:val="20"/>
          <w:color w:val="auto"/>
        </w:rPr>
      </w:pPr>
    </w:p>
    <w:p>
      <w:pPr>
        <w:jc w:val="center"/>
        <w:ind w:right="1120"/>
        <w:spacing w:after="0"/>
        <w:rPr>
          <w:sz w:val="20"/>
          <w:szCs w:val="20"/>
          <w:color w:val="auto"/>
        </w:rPr>
      </w:pPr>
      <w:r>
        <w:rPr>
          <w:rFonts w:ascii="Arial" w:cs="Arial" w:eastAsia="Arial" w:hAnsi="Arial"/>
          <w:sz w:val="25"/>
          <w:szCs w:val="25"/>
          <w:color w:val="auto"/>
        </w:rPr>
        <w:t>January 21, 2014</w:t>
      </w:r>
    </w:p>
    <w:p>
      <w:pPr>
        <w:sectPr>
          <w:pgSz w:w="11900" w:h="16838" w:orient="portrait"/>
          <w:cols w:equalWidth="0" w:num="1">
            <w:col w:w="10220"/>
          </w:cols>
          <w:pgMar w:left="1440" w:top="369" w:right="239" w:bottom="1440" w:gutter="0" w:footer="0" w:header="0"/>
        </w:sectPr>
      </w:pPr>
    </w:p>
    <w:bookmarkStart w:id="97" w:name="page98"/>
    <w:bookmarkEnd w:id="97"/>
    <w:p>
      <w:pPr>
        <w:ind w:left="4560"/>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ind w:right="1339"/>
        <w:spacing w:after="0"/>
        <w:rPr>
          <w:sz w:val="20"/>
          <w:szCs w:val="20"/>
          <w:color w:val="auto"/>
        </w:rPr>
      </w:pPr>
      <w:r>
        <w:rPr>
          <w:rFonts w:ascii="Arial" w:cs="Arial" w:eastAsia="Arial" w:hAnsi="Arial"/>
          <w:sz w:val="22"/>
          <w:szCs w:val="22"/>
          <w:b w:val="1"/>
          <w:bCs w:val="1"/>
          <w:i w:val="1"/>
          <w:iCs w:val="1"/>
          <w:color w:val="auto"/>
        </w:rPr>
        <w:t>Page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080" w:type="dxa"/>
            <w:vAlign w:val="bottom"/>
          </w:tcPr>
          <w:p>
            <w:pPr>
              <w:spacing w:after="0"/>
              <w:rPr>
                <w:sz w:val="20"/>
                <w:szCs w:val="20"/>
                <w:color w:val="auto"/>
              </w:rPr>
            </w:pPr>
            <w:r>
              <w:rPr>
                <w:rFonts w:ascii="Arial" w:cs="Arial" w:eastAsia="Arial" w:hAnsi="Arial"/>
                <w:sz w:val="22"/>
                <w:szCs w:val="22"/>
                <w:color w:val="auto"/>
              </w:rPr>
              <w:t>Article 1.</w:t>
            </w:r>
          </w:p>
        </w:tc>
        <w:tc>
          <w:tcPr>
            <w:tcW w:w="3780" w:type="dxa"/>
            <w:vAlign w:val="bottom"/>
            <w:gridSpan w:val="6"/>
          </w:tcPr>
          <w:p>
            <w:pPr>
              <w:ind w:left="140"/>
              <w:spacing w:after="0"/>
              <w:rPr>
                <w:sz w:val="20"/>
                <w:szCs w:val="20"/>
                <w:color w:val="auto"/>
              </w:rPr>
            </w:pPr>
            <w:r>
              <w:rPr>
                <w:rFonts w:ascii="Arial" w:cs="Arial" w:eastAsia="Arial" w:hAnsi="Arial"/>
                <w:sz w:val="22"/>
                <w:szCs w:val="22"/>
                <w:color w:val="auto"/>
                <w:w w:val="92"/>
              </w:rPr>
              <w:t>Establishment, Objectives, and Duration</w:t>
            </w:r>
          </w:p>
        </w:tc>
        <w:tc>
          <w:tcPr>
            <w:tcW w:w="960" w:type="dxa"/>
            <w:vAlign w:val="bottom"/>
          </w:tcPr>
          <w:p>
            <w:pPr>
              <w:jc w:val="right"/>
              <w:ind w:right="672"/>
              <w:spacing w:after="0"/>
              <w:rPr>
                <w:sz w:val="20"/>
                <w:szCs w:val="20"/>
                <w:color w:val="auto"/>
              </w:rPr>
            </w:pPr>
            <w:r>
              <w:rPr>
                <w:rFonts w:ascii="Arial" w:cs="Arial" w:eastAsia="Arial" w:hAnsi="Arial"/>
                <w:sz w:val="22"/>
                <w:szCs w:val="22"/>
                <w:color w:val="auto"/>
              </w:rPr>
              <w:t>1</w:t>
            </w:r>
          </w:p>
        </w:tc>
      </w:tr>
      <w:tr>
        <w:trPr>
          <w:trHeight w:val="486"/>
        </w:trPr>
        <w:tc>
          <w:tcPr>
            <w:tcW w:w="1080" w:type="dxa"/>
            <w:vAlign w:val="bottom"/>
          </w:tcPr>
          <w:p>
            <w:pPr>
              <w:spacing w:after="0"/>
              <w:rPr>
                <w:sz w:val="20"/>
                <w:szCs w:val="20"/>
                <w:color w:val="auto"/>
              </w:rPr>
            </w:pPr>
            <w:r>
              <w:rPr>
                <w:rFonts w:ascii="Arial" w:cs="Arial" w:eastAsia="Arial" w:hAnsi="Arial"/>
                <w:sz w:val="22"/>
                <w:szCs w:val="22"/>
                <w:color w:val="auto"/>
              </w:rPr>
              <w:t>Article 2.</w:t>
            </w:r>
          </w:p>
        </w:tc>
        <w:tc>
          <w:tcPr>
            <w:tcW w:w="1260" w:type="dxa"/>
            <w:vAlign w:val="bottom"/>
          </w:tcPr>
          <w:p>
            <w:pPr>
              <w:ind w:left="140"/>
              <w:spacing w:after="0"/>
              <w:rPr>
                <w:sz w:val="20"/>
                <w:szCs w:val="20"/>
                <w:color w:val="auto"/>
              </w:rPr>
            </w:pPr>
            <w:r>
              <w:rPr>
                <w:rFonts w:ascii="Arial" w:cs="Arial" w:eastAsia="Arial" w:hAnsi="Arial"/>
                <w:sz w:val="22"/>
                <w:szCs w:val="22"/>
                <w:color w:val="auto"/>
              </w:rPr>
              <w:t>Definitions</w:t>
            </w:r>
          </w:p>
        </w:tc>
        <w:tc>
          <w:tcPr>
            <w:tcW w:w="300" w:type="dxa"/>
            <w:vAlign w:val="bottom"/>
          </w:tcPr>
          <w:p>
            <w:pPr>
              <w:ind w:left="60"/>
              <w:spacing w:after="0"/>
              <w:rPr>
                <w:sz w:val="20"/>
                <w:szCs w:val="20"/>
                <w:color w:val="auto"/>
              </w:rPr>
            </w:pPr>
            <w:r>
              <w:rPr>
                <w:rFonts w:ascii="Arial" w:cs="Arial" w:eastAsia="Arial" w:hAnsi="Arial"/>
                <w:sz w:val="22"/>
                <w:szCs w:val="22"/>
                <w:color w:val="auto"/>
              </w:rPr>
              <w:t>1</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86"/>
        </w:trPr>
        <w:tc>
          <w:tcPr>
            <w:tcW w:w="1080" w:type="dxa"/>
            <w:vAlign w:val="bottom"/>
          </w:tcPr>
          <w:p>
            <w:pPr>
              <w:spacing w:after="0"/>
              <w:rPr>
                <w:sz w:val="20"/>
                <w:szCs w:val="20"/>
                <w:color w:val="auto"/>
              </w:rPr>
            </w:pPr>
            <w:r>
              <w:rPr>
                <w:rFonts w:ascii="Arial" w:cs="Arial" w:eastAsia="Arial" w:hAnsi="Arial"/>
                <w:sz w:val="22"/>
                <w:szCs w:val="22"/>
                <w:color w:val="auto"/>
              </w:rPr>
              <w:t>Article 3.</w:t>
            </w:r>
          </w:p>
        </w:tc>
        <w:tc>
          <w:tcPr>
            <w:tcW w:w="1560" w:type="dxa"/>
            <w:vAlign w:val="bottom"/>
            <w:gridSpan w:val="2"/>
          </w:tcPr>
          <w:p>
            <w:pPr>
              <w:ind w:left="140"/>
              <w:spacing w:after="0"/>
              <w:rPr>
                <w:sz w:val="20"/>
                <w:szCs w:val="20"/>
                <w:color w:val="auto"/>
              </w:rPr>
            </w:pPr>
            <w:r>
              <w:rPr>
                <w:rFonts w:ascii="Arial" w:cs="Arial" w:eastAsia="Arial" w:hAnsi="Arial"/>
                <w:sz w:val="22"/>
                <w:szCs w:val="22"/>
                <w:color w:val="auto"/>
              </w:rPr>
              <w:t>Administration</w:t>
            </w:r>
          </w:p>
        </w:tc>
        <w:tc>
          <w:tcPr>
            <w:tcW w:w="340" w:type="dxa"/>
            <w:vAlign w:val="bottom"/>
          </w:tcPr>
          <w:p>
            <w:pPr>
              <w:jc w:val="right"/>
              <w:ind w:right="32"/>
              <w:spacing w:after="0"/>
              <w:rPr>
                <w:sz w:val="20"/>
                <w:szCs w:val="20"/>
                <w:color w:val="auto"/>
              </w:rPr>
            </w:pPr>
            <w:r>
              <w:rPr>
                <w:rFonts w:ascii="Arial" w:cs="Arial" w:eastAsia="Arial" w:hAnsi="Arial"/>
                <w:sz w:val="22"/>
                <w:szCs w:val="22"/>
                <w:color w:val="auto"/>
              </w:rPr>
              <w:t>4</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86"/>
        </w:trPr>
        <w:tc>
          <w:tcPr>
            <w:tcW w:w="1080" w:type="dxa"/>
            <w:vAlign w:val="bottom"/>
          </w:tcPr>
          <w:p>
            <w:pPr>
              <w:spacing w:after="0"/>
              <w:rPr>
                <w:sz w:val="20"/>
                <w:szCs w:val="20"/>
                <w:color w:val="auto"/>
              </w:rPr>
            </w:pPr>
            <w:r>
              <w:rPr>
                <w:rFonts w:ascii="Arial" w:cs="Arial" w:eastAsia="Arial" w:hAnsi="Arial"/>
                <w:sz w:val="22"/>
                <w:szCs w:val="22"/>
                <w:color w:val="auto"/>
              </w:rPr>
              <w:t>Article 4.</w:t>
            </w:r>
          </w:p>
        </w:tc>
        <w:tc>
          <w:tcPr>
            <w:tcW w:w="4740" w:type="dxa"/>
            <w:vAlign w:val="bottom"/>
            <w:gridSpan w:val="7"/>
          </w:tcPr>
          <w:p>
            <w:pPr>
              <w:ind w:left="140"/>
              <w:spacing w:after="0"/>
              <w:rPr>
                <w:sz w:val="20"/>
                <w:szCs w:val="20"/>
                <w:color w:val="auto"/>
              </w:rPr>
            </w:pPr>
            <w:r>
              <w:rPr>
                <w:rFonts w:ascii="Arial" w:cs="Arial" w:eastAsia="Arial" w:hAnsi="Arial"/>
                <w:sz w:val="22"/>
                <w:szCs w:val="22"/>
                <w:color w:val="auto"/>
                <w:w w:val="88"/>
              </w:rPr>
              <w:t>Shares Subject to the Plan and Maximum Awards   5</w:t>
            </w:r>
          </w:p>
        </w:tc>
      </w:tr>
      <w:tr>
        <w:trPr>
          <w:trHeight w:val="486"/>
        </w:trPr>
        <w:tc>
          <w:tcPr>
            <w:tcW w:w="1080" w:type="dxa"/>
            <w:vAlign w:val="bottom"/>
          </w:tcPr>
          <w:p>
            <w:pPr>
              <w:spacing w:after="0"/>
              <w:rPr>
                <w:sz w:val="20"/>
                <w:szCs w:val="20"/>
                <w:color w:val="auto"/>
              </w:rPr>
            </w:pPr>
            <w:r>
              <w:rPr>
                <w:rFonts w:ascii="Arial" w:cs="Arial" w:eastAsia="Arial" w:hAnsi="Arial"/>
                <w:sz w:val="22"/>
                <w:szCs w:val="22"/>
                <w:color w:val="auto"/>
              </w:rPr>
              <w:t>Article 5.</w:t>
            </w:r>
          </w:p>
        </w:tc>
        <w:tc>
          <w:tcPr>
            <w:tcW w:w="2580" w:type="dxa"/>
            <w:vAlign w:val="bottom"/>
            <w:gridSpan w:val="5"/>
          </w:tcPr>
          <w:p>
            <w:pPr>
              <w:ind w:left="140"/>
              <w:spacing w:after="0"/>
              <w:rPr>
                <w:sz w:val="20"/>
                <w:szCs w:val="20"/>
                <w:color w:val="auto"/>
              </w:rPr>
            </w:pPr>
            <w:r>
              <w:rPr>
                <w:rFonts w:ascii="Arial" w:cs="Arial" w:eastAsia="Arial" w:hAnsi="Arial"/>
                <w:sz w:val="22"/>
                <w:szCs w:val="22"/>
                <w:color w:val="auto"/>
                <w:w w:val="94"/>
              </w:rPr>
              <w:t>Eligibility and Participation</w:t>
            </w:r>
          </w:p>
        </w:tc>
        <w:tc>
          <w:tcPr>
            <w:tcW w:w="1200" w:type="dxa"/>
            <w:vAlign w:val="bottom"/>
          </w:tcPr>
          <w:p>
            <w:pPr>
              <w:jc w:val="right"/>
              <w:ind w:right="812"/>
              <w:spacing w:after="0"/>
              <w:rPr>
                <w:sz w:val="20"/>
                <w:szCs w:val="20"/>
                <w:color w:val="auto"/>
              </w:rPr>
            </w:pPr>
            <w:r>
              <w:rPr>
                <w:rFonts w:ascii="Arial" w:cs="Arial" w:eastAsia="Arial" w:hAnsi="Arial"/>
                <w:sz w:val="22"/>
                <w:szCs w:val="22"/>
                <w:color w:val="auto"/>
              </w:rPr>
              <w:t>6</w:t>
            </w:r>
          </w:p>
        </w:tc>
        <w:tc>
          <w:tcPr>
            <w:tcW w:w="960" w:type="dxa"/>
            <w:vAlign w:val="bottom"/>
          </w:tcPr>
          <w:p>
            <w:pPr>
              <w:spacing w:after="0"/>
              <w:rPr>
                <w:sz w:val="24"/>
                <w:szCs w:val="24"/>
                <w:color w:val="auto"/>
              </w:rPr>
            </w:pPr>
          </w:p>
        </w:tc>
      </w:tr>
      <w:tr>
        <w:trPr>
          <w:trHeight w:val="486"/>
        </w:trPr>
        <w:tc>
          <w:tcPr>
            <w:tcW w:w="1080" w:type="dxa"/>
            <w:vAlign w:val="bottom"/>
          </w:tcPr>
          <w:p>
            <w:pPr>
              <w:spacing w:after="0"/>
              <w:rPr>
                <w:sz w:val="20"/>
                <w:szCs w:val="20"/>
                <w:color w:val="auto"/>
              </w:rPr>
            </w:pPr>
            <w:r>
              <w:rPr>
                <w:rFonts w:ascii="Arial" w:cs="Arial" w:eastAsia="Arial" w:hAnsi="Arial"/>
                <w:sz w:val="22"/>
                <w:szCs w:val="22"/>
                <w:color w:val="auto"/>
              </w:rPr>
              <w:t>Article 6.</w:t>
            </w:r>
          </w:p>
        </w:tc>
        <w:tc>
          <w:tcPr>
            <w:tcW w:w="1560" w:type="dxa"/>
            <w:vAlign w:val="bottom"/>
            <w:gridSpan w:val="2"/>
          </w:tcPr>
          <w:p>
            <w:pPr>
              <w:ind w:left="140"/>
              <w:spacing w:after="0"/>
              <w:rPr>
                <w:sz w:val="20"/>
                <w:szCs w:val="20"/>
                <w:color w:val="auto"/>
              </w:rPr>
            </w:pPr>
            <w:r>
              <w:rPr>
                <w:rFonts w:ascii="Arial" w:cs="Arial" w:eastAsia="Arial" w:hAnsi="Arial"/>
                <w:sz w:val="22"/>
                <w:szCs w:val="22"/>
                <w:color w:val="auto"/>
              </w:rPr>
              <w:t>Stock Options</w:t>
            </w:r>
          </w:p>
        </w:tc>
        <w:tc>
          <w:tcPr>
            <w:tcW w:w="340" w:type="dxa"/>
            <w:vAlign w:val="bottom"/>
          </w:tcPr>
          <w:p>
            <w:pPr>
              <w:jc w:val="right"/>
              <w:ind w:right="112"/>
              <w:spacing w:after="0"/>
              <w:rPr>
                <w:sz w:val="20"/>
                <w:szCs w:val="20"/>
                <w:color w:val="auto"/>
              </w:rPr>
            </w:pPr>
            <w:r>
              <w:rPr>
                <w:rFonts w:ascii="Arial" w:cs="Arial" w:eastAsia="Arial" w:hAnsi="Arial"/>
                <w:sz w:val="22"/>
                <w:szCs w:val="22"/>
                <w:color w:val="auto"/>
                <w:w w:val="81"/>
              </w:rPr>
              <w:t>7</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86"/>
        </w:trPr>
        <w:tc>
          <w:tcPr>
            <w:tcW w:w="1080" w:type="dxa"/>
            <w:vAlign w:val="bottom"/>
          </w:tcPr>
          <w:p>
            <w:pPr>
              <w:spacing w:after="0"/>
              <w:rPr>
                <w:sz w:val="20"/>
                <w:szCs w:val="20"/>
                <w:color w:val="auto"/>
              </w:rPr>
            </w:pPr>
            <w:r>
              <w:rPr>
                <w:rFonts w:ascii="Arial" w:cs="Arial" w:eastAsia="Arial" w:hAnsi="Arial"/>
                <w:sz w:val="22"/>
                <w:szCs w:val="22"/>
                <w:color w:val="auto"/>
              </w:rPr>
              <w:t>Article 7.</w:t>
            </w:r>
          </w:p>
        </w:tc>
        <w:tc>
          <w:tcPr>
            <w:tcW w:w="2580" w:type="dxa"/>
            <w:vAlign w:val="bottom"/>
            <w:gridSpan w:val="5"/>
          </w:tcPr>
          <w:p>
            <w:pPr>
              <w:ind w:left="140"/>
              <w:spacing w:after="0"/>
              <w:rPr>
                <w:sz w:val="20"/>
                <w:szCs w:val="20"/>
                <w:color w:val="auto"/>
              </w:rPr>
            </w:pPr>
            <w:r>
              <w:rPr>
                <w:rFonts w:ascii="Arial" w:cs="Arial" w:eastAsia="Arial" w:hAnsi="Arial"/>
                <w:sz w:val="22"/>
                <w:szCs w:val="22"/>
                <w:color w:val="auto"/>
                <w:w w:val="96"/>
              </w:rPr>
              <w:t>Stock Appreciation Rights</w:t>
            </w:r>
          </w:p>
        </w:tc>
        <w:tc>
          <w:tcPr>
            <w:tcW w:w="1200" w:type="dxa"/>
            <w:vAlign w:val="bottom"/>
          </w:tcPr>
          <w:p>
            <w:pPr>
              <w:jc w:val="right"/>
              <w:ind w:right="932"/>
              <w:spacing w:after="0"/>
              <w:rPr>
                <w:sz w:val="20"/>
                <w:szCs w:val="20"/>
                <w:color w:val="auto"/>
              </w:rPr>
            </w:pPr>
            <w:r>
              <w:rPr>
                <w:rFonts w:ascii="Arial" w:cs="Arial" w:eastAsia="Arial" w:hAnsi="Arial"/>
                <w:sz w:val="22"/>
                <w:szCs w:val="22"/>
                <w:color w:val="auto"/>
              </w:rPr>
              <w:t>8</w:t>
            </w:r>
          </w:p>
        </w:tc>
        <w:tc>
          <w:tcPr>
            <w:tcW w:w="960" w:type="dxa"/>
            <w:vAlign w:val="bottom"/>
          </w:tcPr>
          <w:p>
            <w:pPr>
              <w:spacing w:after="0"/>
              <w:rPr>
                <w:sz w:val="24"/>
                <w:szCs w:val="24"/>
                <w:color w:val="auto"/>
              </w:rPr>
            </w:pPr>
          </w:p>
        </w:tc>
      </w:tr>
      <w:tr>
        <w:trPr>
          <w:trHeight w:val="486"/>
        </w:trPr>
        <w:tc>
          <w:tcPr>
            <w:tcW w:w="1080" w:type="dxa"/>
            <w:vAlign w:val="bottom"/>
          </w:tcPr>
          <w:p>
            <w:pPr>
              <w:spacing w:after="0"/>
              <w:rPr>
                <w:sz w:val="20"/>
                <w:szCs w:val="20"/>
                <w:color w:val="auto"/>
              </w:rPr>
            </w:pPr>
            <w:r>
              <w:rPr>
                <w:rFonts w:ascii="Arial" w:cs="Arial" w:eastAsia="Arial" w:hAnsi="Arial"/>
                <w:sz w:val="22"/>
                <w:szCs w:val="22"/>
                <w:color w:val="auto"/>
              </w:rPr>
              <w:t>Article 8.</w:t>
            </w:r>
          </w:p>
        </w:tc>
        <w:tc>
          <w:tcPr>
            <w:tcW w:w="1560" w:type="dxa"/>
            <w:vAlign w:val="bottom"/>
            <w:gridSpan w:val="2"/>
          </w:tcPr>
          <w:p>
            <w:pPr>
              <w:ind w:left="140"/>
              <w:spacing w:after="0"/>
              <w:rPr>
                <w:sz w:val="20"/>
                <w:szCs w:val="20"/>
                <w:color w:val="auto"/>
              </w:rPr>
            </w:pPr>
            <w:r>
              <w:rPr>
                <w:rFonts w:ascii="Arial" w:cs="Arial" w:eastAsia="Arial" w:hAnsi="Arial"/>
                <w:sz w:val="22"/>
                <w:szCs w:val="22"/>
                <w:color w:val="auto"/>
                <w:w w:val="87"/>
              </w:rPr>
              <w:t>Restricted Stock</w:t>
            </w:r>
          </w:p>
        </w:tc>
        <w:tc>
          <w:tcPr>
            <w:tcW w:w="340" w:type="dxa"/>
            <w:vAlign w:val="bottom"/>
          </w:tcPr>
          <w:p>
            <w:pPr>
              <w:jc w:val="right"/>
              <w:spacing w:after="0"/>
              <w:rPr>
                <w:sz w:val="20"/>
                <w:szCs w:val="20"/>
                <w:color w:val="auto"/>
              </w:rPr>
            </w:pPr>
            <w:r>
              <w:rPr>
                <w:rFonts w:ascii="Arial" w:cs="Arial" w:eastAsia="Arial" w:hAnsi="Arial"/>
                <w:sz w:val="22"/>
                <w:szCs w:val="22"/>
                <w:color w:val="auto"/>
              </w:rPr>
              <w:t>9</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86"/>
        </w:trPr>
        <w:tc>
          <w:tcPr>
            <w:tcW w:w="1080" w:type="dxa"/>
            <w:vAlign w:val="bottom"/>
          </w:tcPr>
          <w:p>
            <w:pPr>
              <w:spacing w:after="0"/>
              <w:rPr>
                <w:sz w:val="20"/>
                <w:szCs w:val="20"/>
                <w:color w:val="auto"/>
              </w:rPr>
            </w:pPr>
            <w:r>
              <w:rPr>
                <w:rFonts w:ascii="Arial" w:cs="Arial" w:eastAsia="Arial" w:hAnsi="Arial"/>
                <w:sz w:val="22"/>
                <w:szCs w:val="22"/>
                <w:color w:val="auto"/>
              </w:rPr>
              <w:t>Article 9.</w:t>
            </w:r>
          </w:p>
        </w:tc>
        <w:tc>
          <w:tcPr>
            <w:tcW w:w="4740" w:type="dxa"/>
            <w:vAlign w:val="bottom"/>
            <w:gridSpan w:val="7"/>
          </w:tcPr>
          <w:p>
            <w:pPr>
              <w:ind w:left="140"/>
              <w:spacing w:after="0"/>
              <w:rPr>
                <w:sz w:val="20"/>
                <w:szCs w:val="20"/>
                <w:color w:val="auto"/>
              </w:rPr>
            </w:pPr>
            <w:r>
              <w:rPr>
                <w:rFonts w:ascii="Arial" w:cs="Arial" w:eastAsia="Arial" w:hAnsi="Arial"/>
                <w:sz w:val="22"/>
                <w:szCs w:val="22"/>
                <w:color w:val="auto"/>
              </w:rPr>
              <w:t>Deferred Stock/Restricted Stock Units   10</w:t>
            </w:r>
          </w:p>
        </w:tc>
      </w:tr>
      <w:tr>
        <w:trPr>
          <w:trHeight w:val="486"/>
        </w:trPr>
        <w:tc>
          <w:tcPr>
            <w:tcW w:w="1080" w:type="dxa"/>
            <w:vAlign w:val="bottom"/>
          </w:tcPr>
          <w:p>
            <w:pPr>
              <w:spacing w:after="0"/>
              <w:rPr>
                <w:sz w:val="20"/>
                <w:szCs w:val="20"/>
                <w:color w:val="auto"/>
              </w:rPr>
            </w:pPr>
            <w:r>
              <w:rPr>
                <w:rFonts w:ascii="Arial" w:cs="Arial" w:eastAsia="Arial" w:hAnsi="Arial"/>
                <w:sz w:val="22"/>
                <w:szCs w:val="22"/>
                <w:color w:val="auto"/>
              </w:rPr>
              <w:t>Article 10.</w:t>
            </w:r>
          </w:p>
        </w:tc>
        <w:tc>
          <w:tcPr>
            <w:tcW w:w="3780" w:type="dxa"/>
            <w:vAlign w:val="bottom"/>
            <w:gridSpan w:val="6"/>
          </w:tcPr>
          <w:p>
            <w:pPr>
              <w:ind w:left="140"/>
              <w:spacing w:after="0"/>
              <w:rPr>
                <w:sz w:val="20"/>
                <w:szCs w:val="20"/>
                <w:color w:val="auto"/>
              </w:rPr>
            </w:pPr>
            <w:r>
              <w:rPr>
                <w:rFonts w:ascii="Arial" w:cs="Arial" w:eastAsia="Arial" w:hAnsi="Arial"/>
                <w:sz w:val="22"/>
                <w:szCs w:val="22"/>
                <w:color w:val="auto"/>
              </w:rPr>
              <w:t>Other Stock Unit Awards   11</w:t>
            </w:r>
          </w:p>
        </w:tc>
        <w:tc>
          <w:tcPr>
            <w:tcW w:w="960" w:type="dxa"/>
            <w:vAlign w:val="bottom"/>
          </w:tcPr>
          <w:p>
            <w:pPr>
              <w:spacing w:after="0"/>
              <w:rPr>
                <w:sz w:val="24"/>
                <w:szCs w:val="24"/>
                <w:color w:val="auto"/>
              </w:rPr>
            </w:pPr>
          </w:p>
        </w:tc>
      </w:tr>
      <w:tr>
        <w:trPr>
          <w:trHeight w:val="486"/>
        </w:trPr>
        <w:tc>
          <w:tcPr>
            <w:tcW w:w="1080" w:type="dxa"/>
            <w:vAlign w:val="bottom"/>
          </w:tcPr>
          <w:p>
            <w:pPr>
              <w:spacing w:after="0"/>
              <w:rPr>
                <w:sz w:val="20"/>
                <w:szCs w:val="20"/>
                <w:color w:val="auto"/>
              </w:rPr>
            </w:pPr>
            <w:r>
              <w:rPr>
                <w:rFonts w:ascii="Arial" w:cs="Arial" w:eastAsia="Arial" w:hAnsi="Arial"/>
                <w:sz w:val="22"/>
                <w:szCs w:val="22"/>
                <w:color w:val="auto"/>
              </w:rPr>
              <w:t>Article 11.</w:t>
            </w:r>
          </w:p>
        </w:tc>
        <w:tc>
          <w:tcPr>
            <w:tcW w:w="1900" w:type="dxa"/>
            <w:vAlign w:val="bottom"/>
            <w:gridSpan w:val="3"/>
          </w:tcPr>
          <w:p>
            <w:pPr>
              <w:ind w:left="140"/>
              <w:spacing w:after="0"/>
              <w:rPr>
                <w:sz w:val="20"/>
                <w:szCs w:val="20"/>
                <w:color w:val="auto"/>
              </w:rPr>
            </w:pPr>
            <w:r>
              <w:rPr>
                <w:rFonts w:ascii="Arial" w:cs="Arial" w:eastAsia="Arial" w:hAnsi="Arial"/>
                <w:sz w:val="22"/>
                <w:szCs w:val="22"/>
                <w:color w:val="auto"/>
                <w:w w:val="86"/>
              </w:rPr>
              <w:t>Performance Shares</w:t>
            </w:r>
          </w:p>
        </w:tc>
        <w:tc>
          <w:tcPr>
            <w:tcW w:w="140" w:type="dxa"/>
            <w:vAlign w:val="bottom"/>
          </w:tcPr>
          <w:p>
            <w:pPr>
              <w:spacing w:after="0"/>
              <w:rPr>
                <w:sz w:val="24"/>
                <w:szCs w:val="24"/>
                <w:color w:val="auto"/>
              </w:rPr>
            </w:pPr>
          </w:p>
        </w:tc>
        <w:tc>
          <w:tcPr>
            <w:tcW w:w="540" w:type="dxa"/>
            <w:vAlign w:val="bottom"/>
          </w:tcPr>
          <w:p>
            <w:pPr>
              <w:jc w:val="right"/>
              <w:ind w:right="192"/>
              <w:spacing w:after="0"/>
              <w:rPr>
                <w:sz w:val="20"/>
                <w:szCs w:val="20"/>
                <w:color w:val="auto"/>
              </w:rPr>
            </w:pPr>
            <w:r>
              <w:rPr>
                <w:rFonts w:ascii="Arial" w:cs="Arial" w:eastAsia="Arial" w:hAnsi="Arial"/>
                <w:sz w:val="22"/>
                <w:szCs w:val="22"/>
                <w:color w:val="auto"/>
                <w:w w:val="89"/>
              </w:rPr>
              <w:t>11</w:t>
            </w: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86"/>
        </w:trPr>
        <w:tc>
          <w:tcPr>
            <w:tcW w:w="1080" w:type="dxa"/>
            <w:vAlign w:val="bottom"/>
          </w:tcPr>
          <w:p>
            <w:pPr>
              <w:spacing w:after="0"/>
              <w:rPr>
                <w:sz w:val="20"/>
                <w:szCs w:val="20"/>
                <w:color w:val="auto"/>
              </w:rPr>
            </w:pPr>
            <w:r>
              <w:rPr>
                <w:rFonts w:ascii="Arial" w:cs="Arial" w:eastAsia="Arial" w:hAnsi="Arial"/>
                <w:sz w:val="22"/>
                <w:szCs w:val="22"/>
                <w:color w:val="auto"/>
              </w:rPr>
              <w:t>Article 12.</w:t>
            </w:r>
          </w:p>
        </w:tc>
        <w:tc>
          <w:tcPr>
            <w:tcW w:w="2040" w:type="dxa"/>
            <w:vAlign w:val="bottom"/>
            <w:gridSpan w:val="4"/>
          </w:tcPr>
          <w:p>
            <w:pPr>
              <w:ind w:left="140"/>
              <w:spacing w:after="0"/>
              <w:rPr>
                <w:sz w:val="20"/>
                <w:szCs w:val="20"/>
                <w:color w:val="auto"/>
              </w:rPr>
            </w:pPr>
            <w:r>
              <w:rPr>
                <w:rFonts w:ascii="Arial" w:cs="Arial" w:eastAsia="Arial" w:hAnsi="Arial"/>
                <w:sz w:val="22"/>
                <w:szCs w:val="22"/>
                <w:color w:val="auto"/>
                <w:w w:val="92"/>
              </w:rPr>
              <w:t>Performance Criteria</w:t>
            </w:r>
          </w:p>
        </w:tc>
        <w:tc>
          <w:tcPr>
            <w:tcW w:w="540" w:type="dxa"/>
            <w:vAlign w:val="bottom"/>
          </w:tcPr>
          <w:p>
            <w:pPr>
              <w:jc w:val="right"/>
              <w:ind w:right="92"/>
              <w:spacing w:after="0"/>
              <w:rPr>
                <w:sz w:val="20"/>
                <w:szCs w:val="20"/>
                <w:color w:val="auto"/>
              </w:rPr>
            </w:pPr>
            <w:r>
              <w:rPr>
                <w:rFonts w:ascii="Arial" w:cs="Arial" w:eastAsia="Arial" w:hAnsi="Arial"/>
                <w:sz w:val="22"/>
                <w:szCs w:val="22"/>
                <w:color w:val="auto"/>
              </w:rPr>
              <w:t>12</w:t>
            </w: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86"/>
        </w:trPr>
        <w:tc>
          <w:tcPr>
            <w:tcW w:w="1080" w:type="dxa"/>
            <w:vAlign w:val="bottom"/>
          </w:tcPr>
          <w:p>
            <w:pPr>
              <w:spacing w:after="0"/>
              <w:rPr>
                <w:sz w:val="20"/>
                <w:szCs w:val="20"/>
                <w:color w:val="auto"/>
              </w:rPr>
            </w:pPr>
            <w:r>
              <w:rPr>
                <w:rFonts w:ascii="Arial" w:cs="Arial" w:eastAsia="Arial" w:hAnsi="Arial"/>
                <w:sz w:val="22"/>
                <w:szCs w:val="22"/>
                <w:color w:val="auto"/>
              </w:rPr>
              <w:t>Article 13.</w:t>
            </w:r>
          </w:p>
        </w:tc>
        <w:tc>
          <w:tcPr>
            <w:tcW w:w="2040" w:type="dxa"/>
            <w:vAlign w:val="bottom"/>
            <w:gridSpan w:val="4"/>
          </w:tcPr>
          <w:p>
            <w:pPr>
              <w:ind w:left="140"/>
              <w:spacing w:after="0"/>
              <w:rPr>
                <w:sz w:val="20"/>
                <w:szCs w:val="20"/>
                <w:color w:val="auto"/>
              </w:rPr>
            </w:pPr>
            <w:r>
              <w:rPr>
                <w:rFonts w:ascii="Arial" w:cs="Arial" w:eastAsia="Arial" w:hAnsi="Arial"/>
                <w:sz w:val="22"/>
                <w:szCs w:val="22"/>
                <w:color w:val="auto"/>
                <w:w w:val="90"/>
              </w:rPr>
              <w:t>Rights of Participants</w:t>
            </w:r>
          </w:p>
        </w:tc>
        <w:tc>
          <w:tcPr>
            <w:tcW w:w="540" w:type="dxa"/>
            <w:vAlign w:val="bottom"/>
          </w:tcPr>
          <w:p>
            <w:pPr>
              <w:jc w:val="right"/>
              <w:ind w:right="32"/>
              <w:spacing w:after="0"/>
              <w:rPr>
                <w:sz w:val="20"/>
                <w:szCs w:val="20"/>
                <w:color w:val="auto"/>
              </w:rPr>
            </w:pPr>
            <w:r>
              <w:rPr>
                <w:rFonts w:ascii="Arial" w:cs="Arial" w:eastAsia="Arial" w:hAnsi="Arial"/>
                <w:sz w:val="22"/>
                <w:szCs w:val="22"/>
                <w:color w:val="auto"/>
              </w:rPr>
              <w:t>13</w:t>
            </w: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86"/>
        </w:trPr>
        <w:tc>
          <w:tcPr>
            <w:tcW w:w="1080" w:type="dxa"/>
            <w:vAlign w:val="bottom"/>
          </w:tcPr>
          <w:p>
            <w:pPr>
              <w:spacing w:after="0"/>
              <w:rPr>
                <w:sz w:val="20"/>
                <w:szCs w:val="20"/>
                <w:color w:val="auto"/>
              </w:rPr>
            </w:pPr>
            <w:r>
              <w:rPr>
                <w:rFonts w:ascii="Arial" w:cs="Arial" w:eastAsia="Arial" w:hAnsi="Arial"/>
                <w:sz w:val="22"/>
                <w:szCs w:val="22"/>
                <w:color w:val="auto"/>
              </w:rPr>
              <w:t>Article 14.</w:t>
            </w:r>
          </w:p>
        </w:tc>
        <w:tc>
          <w:tcPr>
            <w:tcW w:w="3780" w:type="dxa"/>
            <w:vAlign w:val="bottom"/>
            <w:gridSpan w:val="6"/>
          </w:tcPr>
          <w:p>
            <w:pPr>
              <w:ind w:left="140"/>
              <w:spacing w:after="0"/>
              <w:rPr>
                <w:sz w:val="20"/>
                <w:szCs w:val="20"/>
                <w:color w:val="auto"/>
              </w:rPr>
            </w:pPr>
            <w:r>
              <w:rPr>
                <w:rFonts w:ascii="Arial" w:cs="Arial" w:eastAsia="Arial" w:hAnsi="Arial"/>
                <w:sz w:val="22"/>
                <w:szCs w:val="22"/>
                <w:color w:val="auto"/>
                <w:w w:val="92"/>
              </w:rPr>
              <w:t>Termination of Employment/Directorship</w:t>
            </w:r>
          </w:p>
        </w:tc>
        <w:tc>
          <w:tcPr>
            <w:tcW w:w="960" w:type="dxa"/>
            <w:vAlign w:val="bottom"/>
          </w:tcPr>
          <w:p>
            <w:pPr>
              <w:jc w:val="right"/>
              <w:ind w:right="472"/>
              <w:spacing w:after="0"/>
              <w:rPr>
                <w:sz w:val="20"/>
                <w:szCs w:val="20"/>
                <w:color w:val="auto"/>
              </w:rPr>
            </w:pPr>
            <w:r>
              <w:rPr>
                <w:rFonts w:ascii="Arial" w:cs="Arial" w:eastAsia="Arial" w:hAnsi="Arial"/>
                <w:sz w:val="22"/>
                <w:szCs w:val="22"/>
                <w:color w:val="auto"/>
              </w:rPr>
              <w:t>13</w:t>
            </w:r>
          </w:p>
        </w:tc>
      </w:tr>
      <w:tr>
        <w:trPr>
          <w:trHeight w:val="486"/>
        </w:trPr>
        <w:tc>
          <w:tcPr>
            <w:tcW w:w="1080" w:type="dxa"/>
            <w:vAlign w:val="bottom"/>
          </w:tcPr>
          <w:p>
            <w:pPr>
              <w:spacing w:after="0"/>
              <w:rPr>
                <w:sz w:val="20"/>
                <w:szCs w:val="20"/>
                <w:color w:val="auto"/>
              </w:rPr>
            </w:pPr>
            <w:r>
              <w:rPr>
                <w:rFonts w:ascii="Arial" w:cs="Arial" w:eastAsia="Arial" w:hAnsi="Arial"/>
                <w:sz w:val="22"/>
                <w:szCs w:val="22"/>
                <w:color w:val="auto"/>
              </w:rPr>
              <w:t>Article 15.</w:t>
            </w:r>
          </w:p>
        </w:tc>
        <w:tc>
          <w:tcPr>
            <w:tcW w:w="1900" w:type="dxa"/>
            <w:vAlign w:val="bottom"/>
            <w:gridSpan w:val="3"/>
          </w:tcPr>
          <w:p>
            <w:pPr>
              <w:ind w:left="140"/>
              <w:spacing w:after="0"/>
              <w:rPr>
                <w:sz w:val="20"/>
                <w:szCs w:val="20"/>
                <w:color w:val="auto"/>
              </w:rPr>
            </w:pPr>
            <w:r>
              <w:rPr>
                <w:rFonts w:ascii="Arial" w:cs="Arial" w:eastAsia="Arial" w:hAnsi="Arial"/>
                <w:sz w:val="22"/>
                <w:szCs w:val="22"/>
                <w:color w:val="auto"/>
                <w:w w:val="98"/>
              </w:rPr>
              <w:t>Change in Control</w:t>
            </w:r>
          </w:p>
        </w:tc>
        <w:tc>
          <w:tcPr>
            <w:tcW w:w="680" w:type="dxa"/>
            <w:vAlign w:val="bottom"/>
            <w:gridSpan w:val="2"/>
          </w:tcPr>
          <w:p>
            <w:pPr>
              <w:jc w:val="right"/>
              <w:ind w:right="312"/>
              <w:spacing w:after="0"/>
              <w:rPr>
                <w:sz w:val="20"/>
                <w:szCs w:val="20"/>
                <w:color w:val="auto"/>
              </w:rPr>
            </w:pPr>
            <w:r>
              <w:rPr>
                <w:rFonts w:ascii="Arial" w:cs="Arial" w:eastAsia="Arial" w:hAnsi="Arial"/>
                <w:sz w:val="22"/>
                <w:szCs w:val="22"/>
                <w:color w:val="auto"/>
                <w:w w:val="97"/>
              </w:rPr>
              <w:t>14</w:t>
            </w: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86"/>
        </w:trPr>
        <w:tc>
          <w:tcPr>
            <w:tcW w:w="1080" w:type="dxa"/>
            <w:vAlign w:val="bottom"/>
          </w:tcPr>
          <w:p>
            <w:pPr>
              <w:spacing w:after="0"/>
              <w:rPr>
                <w:sz w:val="20"/>
                <w:szCs w:val="20"/>
                <w:color w:val="auto"/>
              </w:rPr>
            </w:pPr>
            <w:r>
              <w:rPr>
                <w:rFonts w:ascii="Arial" w:cs="Arial" w:eastAsia="Arial" w:hAnsi="Arial"/>
                <w:sz w:val="22"/>
                <w:szCs w:val="22"/>
                <w:color w:val="auto"/>
              </w:rPr>
              <w:t>Article 16.</w:t>
            </w:r>
          </w:p>
        </w:tc>
        <w:tc>
          <w:tcPr>
            <w:tcW w:w="4740" w:type="dxa"/>
            <w:vAlign w:val="bottom"/>
            <w:gridSpan w:val="7"/>
          </w:tcPr>
          <w:p>
            <w:pPr>
              <w:ind w:left="140"/>
              <w:spacing w:after="0"/>
              <w:rPr>
                <w:sz w:val="20"/>
                <w:szCs w:val="20"/>
                <w:color w:val="auto"/>
              </w:rPr>
            </w:pPr>
            <w:r>
              <w:rPr>
                <w:rFonts w:ascii="Arial" w:cs="Arial" w:eastAsia="Arial" w:hAnsi="Arial"/>
                <w:sz w:val="22"/>
                <w:szCs w:val="22"/>
                <w:color w:val="auto"/>
                <w:w w:val="99"/>
              </w:rPr>
              <w:t>Amendment, Modification, and Termination   15</w:t>
            </w:r>
          </w:p>
        </w:tc>
      </w:tr>
      <w:tr>
        <w:trPr>
          <w:trHeight w:val="486"/>
        </w:trPr>
        <w:tc>
          <w:tcPr>
            <w:tcW w:w="1080" w:type="dxa"/>
            <w:vAlign w:val="bottom"/>
          </w:tcPr>
          <w:p>
            <w:pPr>
              <w:spacing w:after="0"/>
              <w:rPr>
                <w:sz w:val="20"/>
                <w:szCs w:val="20"/>
                <w:color w:val="auto"/>
              </w:rPr>
            </w:pPr>
            <w:r>
              <w:rPr>
                <w:rFonts w:ascii="Arial" w:cs="Arial" w:eastAsia="Arial" w:hAnsi="Arial"/>
                <w:sz w:val="22"/>
                <w:szCs w:val="22"/>
                <w:color w:val="auto"/>
              </w:rPr>
              <w:t>Article 17.</w:t>
            </w:r>
          </w:p>
        </w:tc>
        <w:tc>
          <w:tcPr>
            <w:tcW w:w="1260" w:type="dxa"/>
            <w:vAlign w:val="bottom"/>
          </w:tcPr>
          <w:p>
            <w:pPr>
              <w:ind w:left="140"/>
              <w:spacing w:after="0"/>
              <w:rPr>
                <w:sz w:val="20"/>
                <w:szCs w:val="20"/>
                <w:color w:val="auto"/>
              </w:rPr>
            </w:pPr>
            <w:r>
              <w:rPr>
                <w:rFonts w:ascii="Arial" w:cs="Arial" w:eastAsia="Arial" w:hAnsi="Arial"/>
                <w:sz w:val="22"/>
                <w:szCs w:val="22"/>
                <w:color w:val="auto"/>
                <w:w w:val="95"/>
              </w:rPr>
              <w:t>Withholding</w:t>
            </w:r>
          </w:p>
        </w:tc>
        <w:tc>
          <w:tcPr>
            <w:tcW w:w="640" w:type="dxa"/>
            <w:vAlign w:val="bottom"/>
            <w:gridSpan w:val="2"/>
          </w:tcPr>
          <w:p>
            <w:pPr>
              <w:jc w:val="right"/>
              <w:ind w:right="152"/>
              <w:spacing w:after="0"/>
              <w:rPr>
                <w:sz w:val="20"/>
                <w:szCs w:val="20"/>
                <w:color w:val="auto"/>
              </w:rPr>
            </w:pPr>
            <w:r>
              <w:rPr>
                <w:rFonts w:ascii="Arial" w:cs="Arial" w:eastAsia="Arial" w:hAnsi="Arial"/>
                <w:sz w:val="22"/>
                <w:szCs w:val="22"/>
                <w:color w:val="auto"/>
              </w:rPr>
              <w:t>15</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86"/>
        </w:trPr>
        <w:tc>
          <w:tcPr>
            <w:tcW w:w="1080" w:type="dxa"/>
            <w:vAlign w:val="bottom"/>
          </w:tcPr>
          <w:p>
            <w:pPr>
              <w:spacing w:after="0"/>
              <w:rPr>
                <w:sz w:val="20"/>
                <w:szCs w:val="20"/>
                <w:color w:val="auto"/>
              </w:rPr>
            </w:pPr>
            <w:r>
              <w:rPr>
                <w:rFonts w:ascii="Arial" w:cs="Arial" w:eastAsia="Arial" w:hAnsi="Arial"/>
                <w:sz w:val="22"/>
                <w:szCs w:val="22"/>
                <w:color w:val="auto"/>
              </w:rPr>
              <w:t>Article 18.</w:t>
            </w:r>
          </w:p>
        </w:tc>
        <w:tc>
          <w:tcPr>
            <w:tcW w:w="1260" w:type="dxa"/>
            <w:vAlign w:val="bottom"/>
          </w:tcPr>
          <w:p>
            <w:pPr>
              <w:ind w:left="140"/>
              <w:spacing w:after="0"/>
              <w:rPr>
                <w:sz w:val="20"/>
                <w:szCs w:val="20"/>
                <w:color w:val="auto"/>
              </w:rPr>
            </w:pPr>
            <w:r>
              <w:rPr>
                <w:rFonts w:ascii="Arial" w:cs="Arial" w:eastAsia="Arial" w:hAnsi="Arial"/>
                <w:sz w:val="22"/>
                <w:szCs w:val="22"/>
                <w:color w:val="auto"/>
                <w:w w:val="96"/>
              </w:rPr>
              <w:t>Successors</w:t>
            </w:r>
          </w:p>
        </w:tc>
        <w:tc>
          <w:tcPr>
            <w:tcW w:w="300" w:type="dxa"/>
            <w:vAlign w:val="bottom"/>
          </w:tcPr>
          <w:p>
            <w:pPr>
              <w:ind w:left="40"/>
              <w:spacing w:after="0"/>
              <w:rPr>
                <w:sz w:val="20"/>
                <w:szCs w:val="20"/>
                <w:color w:val="auto"/>
              </w:rPr>
            </w:pPr>
            <w:r>
              <w:rPr>
                <w:rFonts w:ascii="Arial" w:cs="Arial" w:eastAsia="Arial" w:hAnsi="Arial"/>
                <w:sz w:val="22"/>
                <w:szCs w:val="22"/>
                <w:color w:val="auto"/>
                <w:w w:val="97"/>
              </w:rPr>
              <w:t>16</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86"/>
        </w:trPr>
        <w:tc>
          <w:tcPr>
            <w:tcW w:w="1080" w:type="dxa"/>
            <w:vAlign w:val="bottom"/>
          </w:tcPr>
          <w:p>
            <w:pPr>
              <w:spacing w:after="0"/>
              <w:rPr>
                <w:sz w:val="20"/>
                <w:szCs w:val="20"/>
                <w:color w:val="auto"/>
              </w:rPr>
            </w:pPr>
            <w:r>
              <w:rPr>
                <w:rFonts w:ascii="Arial" w:cs="Arial" w:eastAsia="Arial" w:hAnsi="Arial"/>
                <w:sz w:val="22"/>
                <w:szCs w:val="22"/>
                <w:color w:val="auto"/>
              </w:rPr>
              <w:t>Article 19.</w:t>
            </w:r>
          </w:p>
        </w:tc>
        <w:tc>
          <w:tcPr>
            <w:tcW w:w="1900" w:type="dxa"/>
            <w:vAlign w:val="bottom"/>
            <w:gridSpan w:val="3"/>
          </w:tcPr>
          <w:p>
            <w:pPr>
              <w:ind w:left="140"/>
              <w:spacing w:after="0"/>
              <w:rPr>
                <w:sz w:val="20"/>
                <w:szCs w:val="20"/>
                <w:color w:val="auto"/>
              </w:rPr>
            </w:pPr>
            <w:r>
              <w:rPr>
                <w:rFonts w:ascii="Arial" w:cs="Arial" w:eastAsia="Arial" w:hAnsi="Arial"/>
                <w:sz w:val="22"/>
                <w:szCs w:val="22"/>
                <w:color w:val="auto"/>
                <w:w w:val="93"/>
              </w:rPr>
              <w:t>General Provisions</w:t>
            </w:r>
          </w:p>
        </w:tc>
        <w:tc>
          <w:tcPr>
            <w:tcW w:w="680" w:type="dxa"/>
            <w:vAlign w:val="bottom"/>
            <w:gridSpan w:val="2"/>
          </w:tcPr>
          <w:p>
            <w:pPr>
              <w:jc w:val="right"/>
              <w:ind w:right="252"/>
              <w:spacing w:after="0"/>
              <w:rPr>
                <w:sz w:val="20"/>
                <w:szCs w:val="20"/>
                <w:color w:val="auto"/>
              </w:rPr>
            </w:pPr>
            <w:r>
              <w:rPr>
                <w:rFonts w:ascii="Arial" w:cs="Arial" w:eastAsia="Arial" w:hAnsi="Arial"/>
                <w:sz w:val="22"/>
                <w:szCs w:val="22"/>
                <w:color w:val="auto"/>
              </w:rPr>
              <w:t>16</w:t>
            </w: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color w:val="auto"/>
        </w:rPr>
        <w:t>BOS1472419.8</w:t>
      </w:r>
      <w:r>
        <w:rPr>
          <w:sz w:val="20"/>
          <w:szCs w:val="20"/>
          <w:color w:val="auto"/>
        </w:rPr>
        <w:tab/>
      </w:r>
      <w:r>
        <w:rPr>
          <w:rFonts w:ascii="Arial" w:cs="Arial" w:eastAsia="Arial" w:hAnsi="Arial"/>
          <w:sz w:val="18"/>
          <w:szCs w:val="18"/>
          <w:color w:val="auto"/>
        </w:rPr>
        <w:t>-i-</w:t>
      </w:r>
    </w:p>
    <w:p>
      <w:pPr>
        <w:sectPr>
          <w:pgSz w:w="11900" w:h="16838" w:orient="portrait"/>
          <w:cols w:equalWidth="0" w:num="1">
            <w:col w:w="10219"/>
          </w:cols>
          <w:pgMar w:left="240" w:top="612" w:right="1440"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22"/>
          <w:szCs w:val="22"/>
          <w:b w:val="1"/>
          <w:bCs w:val="1"/>
          <w:color w:val="auto"/>
        </w:rPr>
        <w:t>Article 1. Establishment, Objectives, and Duration</w:t>
      </w:r>
    </w:p>
    <w:p>
      <w:pPr>
        <w:spacing w:after="0" w:line="220" w:lineRule="exact"/>
        <w:rPr>
          <w:sz w:val="20"/>
          <w:szCs w:val="20"/>
          <w:color w:val="auto"/>
        </w:rPr>
      </w:pPr>
    </w:p>
    <w:p>
      <w:pPr>
        <w:ind w:right="220" w:firstLine="392"/>
        <w:spacing w:after="0" w:line="304" w:lineRule="auto"/>
        <w:rPr>
          <w:sz w:val="20"/>
          <w:szCs w:val="20"/>
          <w:color w:val="auto"/>
        </w:rPr>
      </w:pPr>
      <w:r>
        <w:rPr>
          <w:rFonts w:ascii="Arial" w:cs="Arial" w:eastAsia="Arial" w:hAnsi="Arial"/>
          <w:sz w:val="19"/>
          <w:szCs w:val="19"/>
          <w:b w:val="1"/>
          <w:bCs w:val="1"/>
          <w:color w:val="auto"/>
        </w:rPr>
        <w:t>1.1 Establishment of the Plan</w:t>
      </w:r>
      <w:r>
        <w:rPr>
          <w:rFonts w:ascii="Arial" w:cs="Arial" w:eastAsia="Arial" w:hAnsi="Arial"/>
          <w:sz w:val="19"/>
          <w:szCs w:val="19"/>
          <w:color w:val="auto"/>
        </w:rPr>
        <w:t>. Haemonetics Corporation, a Massachusetts corporation, hereby adopts the “Haemonetics</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Corporation 2005 Long-Term Incentive Compensation Plan” (hereinafter referred to as the “Plan”), as set forth in this document. The Plan permits the grant of Nonqualified Stock Options, Incentive Stock Options, Stock Appreciation Rights, Restricted Stock, Deferred Stock/Restricted Stock Units, Other Stock Units and Performance Shares.</w:t>
      </w:r>
    </w:p>
    <w:p>
      <w:pPr>
        <w:spacing w:after="0" w:line="33" w:lineRule="exact"/>
        <w:rPr>
          <w:sz w:val="20"/>
          <w:szCs w:val="20"/>
          <w:color w:val="auto"/>
        </w:rPr>
      </w:pPr>
    </w:p>
    <w:p>
      <w:pPr>
        <w:ind w:right="20" w:firstLine="392"/>
        <w:spacing w:after="0" w:line="253" w:lineRule="auto"/>
        <w:rPr>
          <w:sz w:val="20"/>
          <w:szCs w:val="20"/>
          <w:color w:val="auto"/>
        </w:rPr>
      </w:pPr>
      <w:r>
        <w:rPr>
          <w:rFonts w:ascii="Arial" w:cs="Arial" w:eastAsia="Arial" w:hAnsi="Arial"/>
          <w:sz w:val="22"/>
          <w:szCs w:val="22"/>
          <w:color w:val="auto"/>
        </w:rPr>
        <w:t>Subject to approval by the Company’s stockholders, this Plan shall become effective as of July 27, 2005 (the “Effective Date”). Awards may be granted under this Plan prior to such stockholder approval; provided, the effectiveness of such Awards shall be contingent on such stockholder approval being obtained.</w:t>
      </w:r>
    </w:p>
    <w:p>
      <w:pPr>
        <w:spacing w:after="0" w:line="72" w:lineRule="exact"/>
        <w:rPr>
          <w:sz w:val="20"/>
          <w:szCs w:val="20"/>
          <w:color w:val="auto"/>
        </w:rPr>
      </w:pPr>
    </w:p>
    <w:p>
      <w:pPr>
        <w:ind w:right="180" w:firstLine="392"/>
        <w:spacing w:after="0" w:line="252" w:lineRule="auto"/>
        <w:rPr>
          <w:sz w:val="20"/>
          <w:szCs w:val="20"/>
          <w:color w:val="auto"/>
        </w:rPr>
      </w:pPr>
      <w:r>
        <w:rPr>
          <w:rFonts w:ascii="Arial" w:cs="Arial" w:eastAsia="Arial" w:hAnsi="Arial"/>
          <w:sz w:val="22"/>
          <w:szCs w:val="22"/>
          <w:b w:val="1"/>
          <w:bCs w:val="1"/>
          <w:color w:val="auto"/>
        </w:rPr>
        <w:t>1.2 Objectives of the Plan</w:t>
      </w:r>
      <w:r>
        <w:rPr>
          <w:rFonts w:ascii="Arial" w:cs="Arial" w:eastAsia="Arial" w:hAnsi="Arial"/>
          <w:sz w:val="22"/>
          <w:szCs w:val="22"/>
          <w:color w:val="auto"/>
        </w:rPr>
        <w:t>. The objectives of the Plan are to optimize the profitability and growth of the Company through</w:t>
      </w:r>
      <w:r>
        <w:rPr>
          <w:rFonts w:ascii="Arial" w:cs="Arial" w:eastAsia="Arial" w:hAnsi="Arial"/>
          <w:sz w:val="22"/>
          <w:szCs w:val="22"/>
          <w:b w:val="1"/>
          <w:bCs w:val="1"/>
          <w:color w:val="auto"/>
        </w:rPr>
        <w:t xml:space="preserve"> </w:t>
      </w:r>
      <w:r>
        <w:rPr>
          <w:rFonts w:ascii="Arial" w:cs="Arial" w:eastAsia="Arial" w:hAnsi="Arial"/>
          <w:sz w:val="22"/>
          <w:szCs w:val="22"/>
          <w:color w:val="auto"/>
        </w:rPr>
        <w:t>incentives that are consistent with the Company’s goals and that link the personal interests of Participants to those of the Company’s stockholders, to provide Participants with an incentive for excellence in individual performance, and to promote teamwork among Participants.</w:t>
      </w:r>
    </w:p>
    <w:p>
      <w:pPr>
        <w:spacing w:after="0" w:line="78" w:lineRule="exact"/>
        <w:rPr>
          <w:sz w:val="20"/>
          <w:szCs w:val="20"/>
          <w:color w:val="auto"/>
        </w:rPr>
      </w:pPr>
    </w:p>
    <w:p>
      <w:pPr>
        <w:ind w:firstLine="392"/>
        <w:spacing w:after="0" w:line="253" w:lineRule="auto"/>
        <w:rPr>
          <w:sz w:val="20"/>
          <w:szCs w:val="20"/>
          <w:color w:val="auto"/>
        </w:rPr>
      </w:pPr>
      <w:r>
        <w:rPr>
          <w:rFonts w:ascii="Arial" w:cs="Arial" w:eastAsia="Arial" w:hAnsi="Arial"/>
          <w:sz w:val="22"/>
          <w:szCs w:val="22"/>
          <w:color w:val="auto"/>
        </w:rPr>
        <w:t>The Plan is further intended to provide flexibility to the Company and its Subsidiaries in their ability to motivate, attract, and retain the services of Participants who make significant contributions to the Company’s success and to allow Participants to share in that success.</w:t>
      </w:r>
    </w:p>
    <w:p>
      <w:pPr>
        <w:spacing w:after="0" w:line="72" w:lineRule="exact"/>
        <w:rPr>
          <w:sz w:val="20"/>
          <w:szCs w:val="20"/>
          <w:color w:val="auto"/>
        </w:rPr>
      </w:pPr>
    </w:p>
    <w:p>
      <w:pPr>
        <w:ind w:right="20" w:firstLine="392"/>
        <w:spacing w:after="0" w:line="265" w:lineRule="auto"/>
        <w:rPr>
          <w:sz w:val="20"/>
          <w:szCs w:val="20"/>
          <w:color w:val="auto"/>
        </w:rPr>
      </w:pPr>
      <w:r>
        <w:rPr>
          <w:rFonts w:ascii="Arial" w:cs="Arial" w:eastAsia="Arial" w:hAnsi="Arial"/>
          <w:sz w:val="20"/>
          <w:szCs w:val="20"/>
          <w:b w:val="1"/>
          <w:bCs w:val="1"/>
          <w:color w:val="auto"/>
        </w:rPr>
        <w:t>1.3 Duration of the Plan</w:t>
      </w:r>
      <w:r>
        <w:rPr>
          <w:rFonts w:ascii="Arial" w:cs="Arial" w:eastAsia="Arial" w:hAnsi="Arial"/>
          <w:sz w:val="20"/>
          <w:szCs w:val="20"/>
          <w:color w:val="auto"/>
        </w:rPr>
        <w:t>. The Plan shall remain in effect, subject to the right of the Committee to amend or terminate the</w:t>
      </w:r>
      <w:r>
        <w:rPr>
          <w:rFonts w:ascii="Arial" w:cs="Arial" w:eastAsia="Arial" w:hAnsi="Arial"/>
          <w:sz w:val="20"/>
          <w:szCs w:val="20"/>
          <w:b w:val="1"/>
          <w:bCs w:val="1"/>
          <w:color w:val="auto"/>
        </w:rPr>
        <w:t xml:space="preserve"> </w:t>
      </w:r>
      <w:r>
        <w:rPr>
          <w:rFonts w:ascii="Arial" w:cs="Arial" w:eastAsia="Arial" w:hAnsi="Arial"/>
          <w:sz w:val="20"/>
          <w:szCs w:val="20"/>
          <w:color w:val="auto"/>
        </w:rPr>
        <w:t>Plan at any time pursuant to Article 16 hereof, until the earlier of when (a) all Shares subject to it shall have been purchased or acquired according to the Plan’s provisions or (b) the tenth (10</w:t>
      </w:r>
      <w:r>
        <w:rPr>
          <w:rFonts w:ascii="Arial" w:cs="Arial" w:eastAsia="Arial" w:hAnsi="Arial"/>
          <w:sz w:val="26"/>
          <w:szCs w:val="26"/>
          <w:color w:val="auto"/>
          <w:vertAlign w:val="superscript"/>
        </w:rPr>
        <w:t>th</w:t>
      </w:r>
      <w:r>
        <w:rPr>
          <w:rFonts w:ascii="Arial" w:cs="Arial" w:eastAsia="Arial" w:hAnsi="Arial"/>
          <w:sz w:val="20"/>
          <w:szCs w:val="20"/>
          <w:color w:val="auto"/>
        </w:rPr>
        <w:t>) anniversary of the Effective Date. In no event may an Award of an Incentive Stock Option be granted under the Plan on or after the tenth (10</w:t>
      </w:r>
      <w:r>
        <w:rPr>
          <w:rFonts w:ascii="Arial" w:cs="Arial" w:eastAsia="Arial" w:hAnsi="Arial"/>
          <w:sz w:val="26"/>
          <w:szCs w:val="26"/>
          <w:color w:val="auto"/>
          <w:vertAlign w:val="superscript"/>
        </w:rPr>
        <w:t>th</w:t>
      </w:r>
      <w:r>
        <w:rPr>
          <w:rFonts w:ascii="Arial" w:cs="Arial" w:eastAsia="Arial" w:hAnsi="Arial"/>
          <w:sz w:val="20"/>
          <w:szCs w:val="20"/>
          <w:color w:val="auto"/>
        </w:rPr>
        <w:t>) anniversary of the Effective Date.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2. Definitions</w:t>
      </w:r>
    </w:p>
    <w:p>
      <w:pPr>
        <w:spacing w:after="0" w:line="226" w:lineRule="exact"/>
        <w:rPr>
          <w:sz w:val="20"/>
          <w:szCs w:val="20"/>
          <w:color w:val="auto"/>
        </w:rPr>
      </w:pPr>
    </w:p>
    <w:p>
      <w:pPr>
        <w:ind w:right="280" w:firstLine="392"/>
        <w:spacing w:after="0" w:line="263" w:lineRule="auto"/>
        <w:rPr>
          <w:sz w:val="20"/>
          <w:szCs w:val="20"/>
          <w:color w:val="auto"/>
        </w:rPr>
      </w:pPr>
      <w:r>
        <w:rPr>
          <w:rFonts w:ascii="Arial" w:cs="Arial" w:eastAsia="Arial" w:hAnsi="Arial"/>
          <w:sz w:val="22"/>
          <w:szCs w:val="22"/>
          <w:color w:val="auto"/>
        </w:rPr>
        <w:t>Whenever used in this Plan, the following terms shall have the meanings set forth below, and when the meaning is intended, the initial letter of the word shall be capitalized:</w:t>
      </w:r>
    </w:p>
    <w:p>
      <w:pPr>
        <w:spacing w:after="0" w:line="61" w:lineRule="exact"/>
        <w:rPr>
          <w:sz w:val="20"/>
          <w:szCs w:val="20"/>
          <w:color w:val="auto"/>
        </w:rPr>
      </w:pPr>
    </w:p>
    <w:p>
      <w:pPr>
        <w:ind w:right="300" w:firstLine="392"/>
        <w:spacing w:after="0" w:line="256" w:lineRule="auto"/>
        <w:rPr>
          <w:sz w:val="20"/>
          <w:szCs w:val="20"/>
          <w:color w:val="auto"/>
        </w:rPr>
      </w:pPr>
      <w:r>
        <w:rPr>
          <w:rFonts w:ascii="Arial" w:cs="Arial" w:eastAsia="Arial" w:hAnsi="Arial"/>
          <w:sz w:val="22"/>
          <w:szCs w:val="22"/>
          <w:b w:val="1"/>
          <w:bCs w:val="1"/>
          <w:color w:val="auto"/>
        </w:rPr>
        <w:t xml:space="preserve">2.1 “Award” </w:t>
      </w:r>
      <w:r>
        <w:rPr>
          <w:rFonts w:ascii="Arial" w:cs="Arial" w:eastAsia="Arial" w:hAnsi="Arial"/>
          <w:sz w:val="22"/>
          <w:szCs w:val="22"/>
          <w:color w:val="auto"/>
        </w:rPr>
        <w:t>means, individually or collectively, a grant under this Plan of Nonqualified Stock Options, Incentive Stock</w:t>
      </w:r>
      <w:r>
        <w:rPr>
          <w:rFonts w:ascii="Arial" w:cs="Arial" w:eastAsia="Arial" w:hAnsi="Arial"/>
          <w:sz w:val="22"/>
          <w:szCs w:val="22"/>
          <w:b w:val="1"/>
          <w:bCs w:val="1"/>
          <w:color w:val="auto"/>
        </w:rPr>
        <w:t xml:space="preserve"> </w:t>
      </w:r>
      <w:r>
        <w:rPr>
          <w:rFonts w:ascii="Arial" w:cs="Arial" w:eastAsia="Arial" w:hAnsi="Arial"/>
          <w:sz w:val="22"/>
          <w:szCs w:val="22"/>
          <w:color w:val="auto"/>
        </w:rPr>
        <w:t>Options, Stock Appreciation Rights, Restricted Stock, Deferred Stock/Restricted Stock Units, Other Stock Units or Performance Shares.</w:t>
      </w:r>
    </w:p>
    <w:p>
      <w:pPr>
        <w:spacing w:after="0" w:line="68" w:lineRule="exact"/>
        <w:rPr>
          <w:sz w:val="20"/>
          <w:szCs w:val="20"/>
          <w:color w:val="auto"/>
        </w:rPr>
      </w:pPr>
    </w:p>
    <w:p>
      <w:pPr>
        <w:ind w:right="420" w:firstLine="392"/>
        <w:spacing w:after="0" w:line="269" w:lineRule="auto"/>
        <w:rPr>
          <w:sz w:val="20"/>
          <w:szCs w:val="20"/>
          <w:color w:val="auto"/>
        </w:rPr>
      </w:pPr>
      <w:r>
        <w:rPr>
          <w:rFonts w:ascii="Arial" w:cs="Arial" w:eastAsia="Arial" w:hAnsi="Arial"/>
          <w:sz w:val="22"/>
          <w:szCs w:val="22"/>
          <w:b w:val="1"/>
          <w:bCs w:val="1"/>
          <w:color w:val="auto"/>
        </w:rPr>
        <w:t xml:space="preserve">2.2 “Award Agreement” </w:t>
      </w:r>
      <w:r>
        <w:rPr>
          <w:rFonts w:ascii="Arial" w:cs="Arial" w:eastAsia="Arial" w:hAnsi="Arial"/>
          <w:sz w:val="22"/>
          <w:szCs w:val="22"/>
          <w:color w:val="auto"/>
        </w:rPr>
        <w:t>means a written or electronic agreement entered into by the Company and a Participant setting</w:t>
      </w:r>
      <w:r>
        <w:rPr>
          <w:rFonts w:ascii="Arial" w:cs="Arial" w:eastAsia="Arial" w:hAnsi="Arial"/>
          <w:sz w:val="22"/>
          <w:szCs w:val="22"/>
          <w:b w:val="1"/>
          <w:bCs w:val="1"/>
          <w:color w:val="auto"/>
        </w:rPr>
        <w:t xml:space="preserve"> </w:t>
      </w:r>
      <w:r>
        <w:rPr>
          <w:rFonts w:ascii="Arial" w:cs="Arial" w:eastAsia="Arial" w:hAnsi="Arial"/>
          <w:sz w:val="22"/>
          <w:szCs w:val="22"/>
          <w:color w:val="auto"/>
        </w:rPr>
        <w:t>forth the terms and provisions applicable to an Award granted under this Plan.</w:t>
      </w:r>
    </w:p>
    <w:p>
      <w:pPr>
        <w:spacing w:after="0" w:line="54" w:lineRule="exact"/>
        <w:rPr>
          <w:sz w:val="20"/>
          <w:szCs w:val="20"/>
          <w:color w:val="auto"/>
        </w:rPr>
      </w:pPr>
    </w:p>
    <w:p>
      <w:pPr>
        <w:ind w:right="500" w:firstLine="392"/>
        <w:spacing w:after="0" w:line="269" w:lineRule="auto"/>
        <w:rPr>
          <w:sz w:val="20"/>
          <w:szCs w:val="20"/>
          <w:color w:val="auto"/>
        </w:rPr>
      </w:pPr>
      <w:r>
        <w:rPr>
          <w:rFonts w:ascii="Arial" w:cs="Arial" w:eastAsia="Arial" w:hAnsi="Arial"/>
          <w:sz w:val="22"/>
          <w:szCs w:val="22"/>
          <w:b w:val="1"/>
          <w:bCs w:val="1"/>
          <w:color w:val="auto"/>
        </w:rPr>
        <w:t xml:space="preserve">2.3 “Beneficial Owner” </w:t>
      </w:r>
      <w:r>
        <w:rPr>
          <w:rFonts w:ascii="Arial" w:cs="Arial" w:eastAsia="Arial" w:hAnsi="Arial"/>
          <w:sz w:val="22"/>
          <w:szCs w:val="22"/>
          <w:color w:val="auto"/>
        </w:rPr>
        <w:t>or</w:t>
      </w:r>
      <w:r>
        <w:rPr>
          <w:rFonts w:ascii="Arial" w:cs="Arial" w:eastAsia="Arial" w:hAnsi="Arial"/>
          <w:sz w:val="22"/>
          <w:szCs w:val="22"/>
          <w:b w:val="1"/>
          <w:bCs w:val="1"/>
          <w:color w:val="auto"/>
        </w:rPr>
        <w:t xml:space="preserve"> “Beneficial Ownership” </w:t>
      </w:r>
      <w:r>
        <w:rPr>
          <w:rFonts w:ascii="Arial" w:cs="Arial" w:eastAsia="Arial" w:hAnsi="Arial"/>
          <w:sz w:val="22"/>
          <w:szCs w:val="22"/>
          <w:color w:val="auto"/>
        </w:rPr>
        <w:t>shall have the meaning ascribed to such term in Rule 13d-3 of the</w:t>
      </w:r>
      <w:r>
        <w:rPr>
          <w:rFonts w:ascii="Arial" w:cs="Arial" w:eastAsia="Arial" w:hAnsi="Arial"/>
          <w:sz w:val="22"/>
          <w:szCs w:val="22"/>
          <w:b w:val="1"/>
          <w:bCs w:val="1"/>
          <w:color w:val="auto"/>
        </w:rPr>
        <w:t xml:space="preserve"> </w:t>
      </w:r>
      <w:r>
        <w:rPr>
          <w:rFonts w:ascii="Arial" w:cs="Arial" w:eastAsia="Arial" w:hAnsi="Arial"/>
          <w:sz w:val="22"/>
          <w:szCs w:val="22"/>
          <w:color w:val="auto"/>
        </w:rPr>
        <w:t>General Rules and Regulations under the Exchange Act.</w:t>
      </w:r>
    </w:p>
    <w:p>
      <w:pPr>
        <w:spacing w:after="0" w:line="54" w:lineRule="exact"/>
        <w:rPr>
          <w:sz w:val="20"/>
          <w:szCs w:val="20"/>
          <w:color w:val="auto"/>
        </w:rPr>
      </w:pPr>
    </w:p>
    <w:p>
      <w:pPr>
        <w:ind w:left="400"/>
        <w:spacing w:after="0"/>
        <w:tabs>
          <w:tab w:leader="none" w:pos="860" w:val="left"/>
        </w:tabs>
        <w:rPr>
          <w:sz w:val="20"/>
          <w:szCs w:val="20"/>
          <w:color w:val="auto"/>
        </w:rPr>
      </w:pPr>
      <w:r>
        <w:rPr>
          <w:rFonts w:ascii="Arial" w:cs="Arial" w:eastAsia="Arial" w:hAnsi="Arial"/>
          <w:sz w:val="22"/>
          <w:szCs w:val="22"/>
          <w:b w:val="1"/>
          <w:bCs w:val="1"/>
          <w:color w:val="auto"/>
        </w:rPr>
        <w:t>2.4</w:t>
      </w:r>
      <w:r>
        <w:rPr>
          <w:sz w:val="20"/>
          <w:szCs w:val="20"/>
          <w:color w:val="auto"/>
        </w:rPr>
        <w:tab/>
      </w:r>
      <w:r>
        <w:rPr>
          <w:rFonts w:ascii="Arial" w:cs="Arial" w:eastAsia="Arial" w:hAnsi="Arial"/>
          <w:sz w:val="19"/>
          <w:szCs w:val="19"/>
          <w:b w:val="1"/>
          <w:bCs w:val="1"/>
          <w:color w:val="auto"/>
        </w:rPr>
        <w:t xml:space="preserve">“Board” </w:t>
      </w:r>
      <w:r>
        <w:rPr>
          <w:rFonts w:ascii="Arial" w:cs="Arial" w:eastAsia="Arial" w:hAnsi="Arial"/>
          <w:sz w:val="19"/>
          <w:szCs w:val="19"/>
          <w:color w:val="auto"/>
        </w:rPr>
        <w:t>or</w:t>
      </w:r>
      <w:r>
        <w:rPr>
          <w:rFonts w:ascii="Arial" w:cs="Arial" w:eastAsia="Arial" w:hAnsi="Arial"/>
          <w:sz w:val="19"/>
          <w:szCs w:val="19"/>
          <w:b w:val="1"/>
          <w:bCs w:val="1"/>
          <w:color w:val="auto"/>
        </w:rPr>
        <w:t xml:space="preserve"> “Board of Directors” </w:t>
      </w:r>
      <w:r>
        <w:rPr>
          <w:rFonts w:ascii="Arial" w:cs="Arial" w:eastAsia="Arial" w:hAnsi="Arial"/>
          <w:sz w:val="19"/>
          <w:szCs w:val="19"/>
          <w:color w:val="auto"/>
        </w:rPr>
        <w:t>means the Board of Directors of the Company.</w:t>
      </w:r>
    </w:p>
    <w:p>
      <w:pPr>
        <w:spacing w:after="0" w:line="354"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color w:val="auto"/>
        </w:rPr>
        <w:t>BOS1472419.8</w:t>
      </w:r>
      <w:r>
        <w:rPr>
          <w:sz w:val="20"/>
          <w:szCs w:val="20"/>
          <w:color w:val="auto"/>
        </w:rPr>
        <w:tab/>
      </w:r>
      <w:r>
        <w:rPr>
          <w:rFonts w:ascii="Arial" w:cs="Arial" w:eastAsia="Arial" w:hAnsi="Arial"/>
          <w:sz w:val="18"/>
          <w:szCs w:val="18"/>
          <w:color w:val="auto"/>
        </w:rPr>
        <w:t>-1-</w:t>
      </w:r>
    </w:p>
    <w:p>
      <w:pPr>
        <w:sectPr>
          <w:pgSz w:w="11900" w:h="16838" w:orient="portrait"/>
          <w:cols w:equalWidth="0" w:num="1">
            <w:col w:w="11420"/>
          </w:cols>
          <w:pgMar w:left="240" w:top="612" w:right="239" w:bottom="1440" w:gutter="0" w:footer="0" w:header="0"/>
        </w:sectPr>
      </w:pPr>
    </w:p>
    <w:bookmarkStart w:id="99" w:name="page100"/>
    <w:bookmarkEnd w:id="99"/>
    <w:p>
      <w:pPr>
        <w:ind w:firstLine="392"/>
        <w:spacing w:after="0" w:line="264" w:lineRule="auto"/>
        <w:rPr>
          <w:sz w:val="20"/>
          <w:szCs w:val="20"/>
          <w:color w:val="auto"/>
        </w:rPr>
      </w:pPr>
      <w:r>
        <w:rPr>
          <w:rFonts w:ascii="Arial" w:cs="Arial" w:eastAsia="Arial" w:hAnsi="Arial"/>
          <w:sz w:val="21"/>
          <w:szCs w:val="21"/>
          <w:b w:val="1"/>
          <w:bCs w:val="1"/>
          <w:color w:val="auto"/>
        </w:rPr>
        <w:t xml:space="preserve">2.5 “Change in Control” </w:t>
      </w:r>
      <w:r>
        <w:rPr>
          <w:rFonts w:ascii="Arial" w:cs="Arial" w:eastAsia="Arial" w:hAnsi="Arial"/>
          <w:sz w:val="21"/>
          <w:szCs w:val="21"/>
          <w:color w:val="auto"/>
        </w:rPr>
        <w:t>shall be deemed to have occurred if any person or any two or more persons acting as a group, and</w:t>
      </w:r>
      <w:r>
        <w:rPr>
          <w:rFonts w:ascii="Arial" w:cs="Arial" w:eastAsia="Arial" w:hAnsi="Arial"/>
          <w:sz w:val="21"/>
          <w:szCs w:val="21"/>
          <w:b w:val="1"/>
          <w:bCs w:val="1"/>
          <w:color w:val="auto"/>
        </w:rPr>
        <w:t xml:space="preserve"> </w:t>
      </w:r>
      <w:r>
        <w:rPr>
          <w:rFonts w:ascii="Arial" w:cs="Arial" w:eastAsia="Arial" w:hAnsi="Arial"/>
          <w:sz w:val="21"/>
          <w:szCs w:val="21"/>
          <w:color w:val="auto"/>
        </w:rPr>
        <w:t>all affiliates of such person or persons, who prior to such time owned less than thirty-five percent (35%) of the then outstanding common stock of the Company, shall acquire such additional shares of the Company’s common stock in one or more transactions, or series of transactions, such that following such transaction or transactions, such person or group and affiliates beneficially own thirty-five percent (35%) or more of the Company’s common stock outstanding.</w:t>
      </w:r>
    </w:p>
    <w:p>
      <w:pPr>
        <w:spacing w:after="0" w:line="63" w:lineRule="exact"/>
        <w:rPr>
          <w:sz w:val="20"/>
          <w:szCs w:val="20"/>
          <w:color w:val="auto"/>
        </w:rPr>
      </w:pPr>
    </w:p>
    <w:p>
      <w:pPr>
        <w:ind w:left="400"/>
        <w:spacing w:after="0"/>
        <w:tabs>
          <w:tab w:leader="none" w:pos="860" w:val="left"/>
        </w:tabs>
        <w:rPr>
          <w:sz w:val="20"/>
          <w:szCs w:val="20"/>
          <w:color w:val="auto"/>
        </w:rPr>
      </w:pPr>
      <w:r>
        <w:rPr>
          <w:rFonts w:ascii="Arial" w:cs="Arial" w:eastAsia="Arial" w:hAnsi="Arial"/>
          <w:sz w:val="22"/>
          <w:szCs w:val="22"/>
          <w:b w:val="1"/>
          <w:bCs w:val="1"/>
          <w:color w:val="auto"/>
        </w:rPr>
        <w:t>2.6</w:t>
      </w:r>
      <w:r>
        <w:rPr>
          <w:sz w:val="20"/>
          <w:szCs w:val="20"/>
          <w:color w:val="auto"/>
        </w:rPr>
        <w:tab/>
      </w:r>
      <w:r>
        <w:rPr>
          <w:rFonts w:ascii="Arial" w:cs="Arial" w:eastAsia="Arial" w:hAnsi="Arial"/>
          <w:sz w:val="19"/>
          <w:szCs w:val="19"/>
          <w:b w:val="1"/>
          <w:bCs w:val="1"/>
          <w:color w:val="auto"/>
        </w:rPr>
        <w:t xml:space="preserve">“Code” </w:t>
      </w:r>
      <w:r>
        <w:rPr>
          <w:rFonts w:ascii="Arial" w:cs="Arial" w:eastAsia="Arial" w:hAnsi="Arial"/>
          <w:sz w:val="19"/>
          <w:szCs w:val="19"/>
          <w:color w:val="auto"/>
        </w:rPr>
        <w:t>means the Internal Revenue Code of 1986, as amended from time to time.</w:t>
      </w:r>
    </w:p>
    <w:p>
      <w:pPr>
        <w:spacing w:after="0" w:line="112" w:lineRule="exact"/>
        <w:rPr>
          <w:sz w:val="20"/>
          <w:szCs w:val="20"/>
          <w:color w:val="auto"/>
        </w:rPr>
      </w:pPr>
    </w:p>
    <w:p>
      <w:pPr>
        <w:ind w:firstLine="392"/>
        <w:spacing w:after="0" w:line="291" w:lineRule="auto"/>
        <w:rPr>
          <w:sz w:val="20"/>
          <w:szCs w:val="20"/>
          <w:color w:val="auto"/>
        </w:rPr>
      </w:pPr>
      <w:r>
        <w:rPr>
          <w:rFonts w:ascii="Arial" w:cs="Arial" w:eastAsia="Arial" w:hAnsi="Arial"/>
          <w:sz w:val="19"/>
          <w:szCs w:val="19"/>
          <w:b w:val="1"/>
          <w:bCs w:val="1"/>
          <w:color w:val="auto"/>
        </w:rPr>
        <w:t xml:space="preserve">2.7 “Committee” </w:t>
      </w:r>
      <w:r>
        <w:rPr>
          <w:rFonts w:ascii="Arial" w:cs="Arial" w:eastAsia="Arial" w:hAnsi="Arial"/>
          <w:sz w:val="19"/>
          <w:szCs w:val="19"/>
          <w:color w:val="auto"/>
        </w:rPr>
        <w:t>means the committee appointed from time to time by the Company's Board of Directors to administer the</w:t>
      </w:r>
      <w:r>
        <w:rPr>
          <w:rFonts w:ascii="Arial" w:cs="Arial" w:eastAsia="Arial" w:hAnsi="Arial"/>
          <w:sz w:val="19"/>
          <w:szCs w:val="19"/>
          <w:b w:val="1"/>
          <w:bCs w:val="1"/>
          <w:color w:val="auto"/>
        </w:rPr>
        <w:t xml:space="preserve"> </w:t>
      </w:r>
      <w:r>
        <w:rPr>
          <w:rFonts w:ascii="Arial" w:cs="Arial" w:eastAsia="Arial" w:hAnsi="Arial"/>
          <w:sz w:val="19"/>
          <w:szCs w:val="19"/>
          <w:color w:val="auto"/>
        </w:rPr>
        <w:t>Plan. The full Board of Directors, in its discretion, may act as the Committee under the Plan, whether or not a Committee has been appointed, and shall do so with respect to grants of Awards to non-employee Directors. The Committee may delegate to one or more members of the Committee or officers of the Company, individually or acting as a committee, any portion of its authority, except as otherwise expressly provided in the Plan. In the event of a delegation to a member of the Committee, officer or a committee thereof, the term "Committee" as used herein shall include the member of the Committee, officer or committee with respect to the delegated authority. Notwithstanding any such delegation of authority, the Committee comprised of members of the Board of Directors and appointed by the Board of Directors shall retain overall responsibility for the operation of the Plan.</w:t>
      </w:r>
    </w:p>
    <w:p>
      <w:pPr>
        <w:spacing w:after="0" w:line="42" w:lineRule="exact"/>
        <w:rPr>
          <w:sz w:val="20"/>
          <w:szCs w:val="20"/>
          <w:color w:val="auto"/>
        </w:rPr>
      </w:pPr>
    </w:p>
    <w:p>
      <w:pPr>
        <w:ind w:right="260" w:firstLine="392"/>
        <w:spacing w:after="0" w:line="269" w:lineRule="auto"/>
        <w:rPr>
          <w:sz w:val="20"/>
          <w:szCs w:val="20"/>
          <w:color w:val="auto"/>
        </w:rPr>
      </w:pPr>
      <w:r>
        <w:rPr>
          <w:rFonts w:ascii="Arial" w:cs="Arial" w:eastAsia="Arial" w:hAnsi="Arial"/>
          <w:sz w:val="22"/>
          <w:szCs w:val="22"/>
          <w:b w:val="1"/>
          <w:bCs w:val="1"/>
          <w:color w:val="auto"/>
        </w:rPr>
        <w:t xml:space="preserve">2.8 “Company” </w:t>
      </w:r>
      <w:r>
        <w:rPr>
          <w:rFonts w:ascii="Arial" w:cs="Arial" w:eastAsia="Arial" w:hAnsi="Arial"/>
          <w:sz w:val="22"/>
          <w:szCs w:val="22"/>
          <w:color w:val="auto"/>
        </w:rPr>
        <w:t>means Haemonetics Corporation, a Massachusetts corporation, and any successor thereto as provided in</w:t>
      </w:r>
      <w:r>
        <w:rPr>
          <w:rFonts w:ascii="Arial" w:cs="Arial" w:eastAsia="Arial" w:hAnsi="Arial"/>
          <w:sz w:val="22"/>
          <w:szCs w:val="22"/>
          <w:b w:val="1"/>
          <w:bCs w:val="1"/>
          <w:color w:val="auto"/>
        </w:rPr>
        <w:t xml:space="preserve"> </w:t>
      </w:r>
      <w:r>
        <w:rPr>
          <w:rFonts w:ascii="Arial" w:cs="Arial" w:eastAsia="Arial" w:hAnsi="Arial"/>
          <w:sz w:val="22"/>
          <w:szCs w:val="22"/>
          <w:color w:val="auto"/>
        </w:rPr>
        <w:t>Article 18 hereof.</w:t>
      </w:r>
    </w:p>
    <w:p>
      <w:pPr>
        <w:spacing w:after="0" w:line="54" w:lineRule="exact"/>
        <w:rPr>
          <w:sz w:val="20"/>
          <w:szCs w:val="20"/>
          <w:color w:val="auto"/>
        </w:rPr>
      </w:pPr>
    </w:p>
    <w:p>
      <w:pPr>
        <w:jc w:val="both"/>
        <w:ind w:right="420" w:firstLine="392"/>
        <w:spacing w:after="0" w:line="315" w:lineRule="auto"/>
        <w:rPr>
          <w:sz w:val="20"/>
          <w:szCs w:val="20"/>
          <w:color w:val="auto"/>
        </w:rPr>
      </w:pPr>
      <w:r>
        <w:rPr>
          <w:rFonts w:ascii="Arial" w:cs="Arial" w:eastAsia="Arial" w:hAnsi="Arial"/>
          <w:sz w:val="19"/>
          <w:szCs w:val="19"/>
          <w:b w:val="1"/>
          <w:bCs w:val="1"/>
          <w:color w:val="auto"/>
        </w:rPr>
        <w:t xml:space="preserve">2.9 “Covered Employee” </w:t>
      </w:r>
      <w:r>
        <w:rPr>
          <w:rFonts w:ascii="Arial" w:cs="Arial" w:eastAsia="Arial" w:hAnsi="Arial"/>
          <w:sz w:val="19"/>
          <w:szCs w:val="19"/>
          <w:color w:val="auto"/>
        </w:rPr>
        <w:t>means a Participant who, as of the date of vesting and/or payout of an Award, or the date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or any of its Subsidiaries is entitled to a tax deduction as a result of the Award, as applicable, is one of the group of “covered employees,” as defined in the regulations promulgated under Code Section 162(m), or any successor statute.</w:t>
      </w:r>
    </w:p>
    <w:p>
      <w:pPr>
        <w:spacing w:after="0" w:line="18" w:lineRule="exact"/>
        <w:rPr>
          <w:sz w:val="20"/>
          <w:szCs w:val="20"/>
          <w:color w:val="auto"/>
        </w:rPr>
      </w:pPr>
    </w:p>
    <w:p>
      <w:pPr>
        <w:ind w:left="400"/>
        <w:spacing w:after="0"/>
        <w:tabs>
          <w:tab w:leader="none" w:pos="980" w:val="left"/>
        </w:tabs>
        <w:rPr>
          <w:sz w:val="20"/>
          <w:szCs w:val="20"/>
          <w:color w:val="auto"/>
        </w:rPr>
      </w:pPr>
      <w:r>
        <w:rPr>
          <w:rFonts w:ascii="Arial" w:cs="Arial" w:eastAsia="Arial" w:hAnsi="Arial"/>
          <w:sz w:val="22"/>
          <w:szCs w:val="22"/>
          <w:b w:val="1"/>
          <w:bCs w:val="1"/>
          <w:color w:val="auto"/>
        </w:rPr>
        <w:t>2.10</w:t>
      </w:r>
      <w:r>
        <w:rPr>
          <w:sz w:val="20"/>
          <w:szCs w:val="20"/>
          <w:color w:val="auto"/>
        </w:rPr>
        <w:tab/>
      </w:r>
      <w:r>
        <w:rPr>
          <w:rFonts w:ascii="Arial" w:cs="Arial" w:eastAsia="Arial" w:hAnsi="Arial"/>
          <w:sz w:val="19"/>
          <w:szCs w:val="19"/>
          <w:b w:val="1"/>
          <w:bCs w:val="1"/>
          <w:color w:val="auto"/>
        </w:rPr>
        <w:t xml:space="preserve">“Deferred Stock Unit” </w:t>
      </w:r>
      <w:r>
        <w:rPr>
          <w:rFonts w:ascii="Arial" w:cs="Arial" w:eastAsia="Arial" w:hAnsi="Arial"/>
          <w:sz w:val="19"/>
          <w:szCs w:val="19"/>
          <w:color w:val="auto"/>
        </w:rPr>
        <w:t>means an Award granted to a Participant pursuant to Article 9 hereof.</w:t>
      </w:r>
    </w:p>
    <w:p>
      <w:pPr>
        <w:spacing w:after="0" w:line="112" w:lineRule="exact"/>
        <w:rPr>
          <w:sz w:val="20"/>
          <w:szCs w:val="20"/>
          <w:color w:val="auto"/>
        </w:rPr>
      </w:pPr>
    </w:p>
    <w:p>
      <w:pPr>
        <w:ind w:right="60" w:firstLine="392"/>
        <w:spacing w:after="0" w:line="269" w:lineRule="auto"/>
        <w:rPr>
          <w:sz w:val="20"/>
          <w:szCs w:val="20"/>
          <w:color w:val="auto"/>
        </w:rPr>
      </w:pPr>
      <w:r>
        <w:rPr>
          <w:rFonts w:ascii="Arial" w:cs="Arial" w:eastAsia="Arial" w:hAnsi="Arial"/>
          <w:sz w:val="22"/>
          <w:szCs w:val="22"/>
          <w:b w:val="1"/>
          <w:bCs w:val="1"/>
          <w:color w:val="auto"/>
        </w:rPr>
        <w:t xml:space="preserve">2.11 “Director” </w:t>
      </w:r>
      <w:r>
        <w:rPr>
          <w:rFonts w:ascii="Arial" w:cs="Arial" w:eastAsia="Arial" w:hAnsi="Arial"/>
          <w:sz w:val="22"/>
          <w:szCs w:val="22"/>
          <w:color w:val="auto"/>
        </w:rPr>
        <w:t>means any individual who is a member of the Board of Directors of the Company; provided, however, that</w:t>
      </w:r>
      <w:r>
        <w:rPr>
          <w:rFonts w:ascii="Arial" w:cs="Arial" w:eastAsia="Arial" w:hAnsi="Arial"/>
          <w:sz w:val="22"/>
          <w:szCs w:val="22"/>
          <w:b w:val="1"/>
          <w:bCs w:val="1"/>
          <w:color w:val="auto"/>
        </w:rPr>
        <w:t xml:space="preserve"> </w:t>
      </w:r>
      <w:r>
        <w:rPr>
          <w:rFonts w:ascii="Arial" w:cs="Arial" w:eastAsia="Arial" w:hAnsi="Arial"/>
          <w:sz w:val="22"/>
          <w:szCs w:val="22"/>
          <w:color w:val="auto"/>
        </w:rPr>
        <w:t>any Director who is employed by the Company shall be treated as an Employee under the Plan.</w:t>
      </w:r>
    </w:p>
    <w:p>
      <w:pPr>
        <w:spacing w:after="0" w:line="54" w:lineRule="exact"/>
        <w:rPr>
          <w:sz w:val="20"/>
          <w:szCs w:val="20"/>
          <w:color w:val="auto"/>
        </w:rPr>
      </w:pPr>
    </w:p>
    <w:p>
      <w:pPr>
        <w:ind w:right="20" w:firstLine="392"/>
        <w:spacing w:after="0" w:line="252" w:lineRule="auto"/>
        <w:rPr>
          <w:sz w:val="20"/>
          <w:szCs w:val="20"/>
          <w:color w:val="auto"/>
        </w:rPr>
      </w:pPr>
      <w:r>
        <w:rPr>
          <w:rFonts w:ascii="Arial" w:cs="Arial" w:eastAsia="Arial" w:hAnsi="Arial"/>
          <w:sz w:val="22"/>
          <w:szCs w:val="22"/>
          <w:b w:val="1"/>
          <w:bCs w:val="1"/>
          <w:color w:val="auto"/>
        </w:rPr>
        <w:t xml:space="preserve">2.12 “Disability” </w:t>
      </w:r>
      <w:r>
        <w:rPr>
          <w:rFonts w:ascii="Arial" w:cs="Arial" w:eastAsia="Arial" w:hAnsi="Arial"/>
          <w:sz w:val="22"/>
          <w:szCs w:val="22"/>
          <w:color w:val="auto"/>
        </w:rPr>
        <w:t>shall mean a condition whereby the Participant is unable to engage in any substantial gainful activity by</w:t>
      </w:r>
      <w:r>
        <w:rPr>
          <w:rFonts w:ascii="Arial" w:cs="Arial" w:eastAsia="Arial" w:hAnsi="Arial"/>
          <w:sz w:val="22"/>
          <w:szCs w:val="22"/>
          <w:b w:val="1"/>
          <w:bCs w:val="1"/>
          <w:color w:val="auto"/>
        </w:rPr>
        <w:t xml:space="preserve"> </w:t>
      </w:r>
      <w:r>
        <w:rPr>
          <w:rFonts w:ascii="Arial" w:cs="Arial" w:eastAsia="Arial" w:hAnsi="Arial"/>
          <w:sz w:val="22"/>
          <w:szCs w:val="22"/>
          <w:color w:val="auto"/>
        </w:rPr>
        <w:t>reason of any medically determinable physical impairment which can be expected to result in death or which is or can be expected to last for a continuous period of not less than twelve months, all as verified by a physician acceptable to, or selected by, the Company.</w:t>
      </w:r>
    </w:p>
    <w:p>
      <w:pPr>
        <w:spacing w:after="0" w:line="72" w:lineRule="exact"/>
        <w:rPr>
          <w:sz w:val="20"/>
          <w:szCs w:val="20"/>
          <w:color w:val="auto"/>
        </w:rPr>
      </w:pPr>
    </w:p>
    <w:p>
      <w:pPr>
        <w:ind w:left="400"/>
        <w:spacing w:after="0"/>
        <w:tabs>
          <w:tab w:leader="none" w:pos="980" w:val="left"/>
        </w:tabs>
        <w:rPr>
          <w:sz w:val="20"/>
          <w:szCs w:val="20"/>
          <w:color w:val="auto"/>
        </w:rPr>
      </w:pPr>
      <w:r>
        <w:rPr>
          <w:rFonts w:ascii="Arial" w:cs="Arial" w:eastAsia="Arial" w:hAnsi="Arial"/>
          <w:sz w:val="22"/>
          <w:szCs w:val="22"/>
          <w:b w:val="1"/>
          <w:bCs w:val="1"/>
          <w:color w:val="auto"/>
        </w:rPr>
        <w:t>2.13</w:t>
      </w:r>
      <w:r>
        <w:rPr>
          <w:sz w:val="20"/>
          <w:szCs w:val="20"/>
          <w:color w:val="auto"/>
        </w:rPr>
        <w:tab/>
      </w:r>
      <w:r>
        <w:rPr>
          <w:rFonts w:ascii="Arial" w:cs="Arial" w:eastAsia="Arial" w:hAnsi="Arial"/>
          <w:sz w:val="19"/>
          <w:szCs w:val="19"/>
          <w:b w:val="1"/>
          <w:bCs w:val="1"/>
          <w:color w:val="auto"/>
        </w:rPr>
        <w:t xml:space="preserve">“Effective Date” </w:t>
      </w:r>
      <w:r>
        <w:rPr>
          <w:rFonts w:ascii="Arial" w:cs="Arial" w:eastAsia="Arial" w:hAnsi="Arial"/>
          <w:sz w:val="19"/>
          <w:szCs w:val="19"/>
          <w:color w:val="auto"/>
        </w:rPr>
        <w:t>shall have the meaning ascribed to such term in Section 1.1 hereof.</w:t>
      </w:r>
    </w:p>
    <w:p>
      <w:pPr>
        <w:spacing w:after="0" w:line="112" w:lineRule="exact"/>
        <w:rPr>
          <w:sz w:val="20"/>
          <w:szCs w:val="20"/>
          <w:color w:val="auto"/>
        </w:rPr>
      </w:pPr>
    </w:p>
    <w:p>
      <w:pPr>
        <w:ind w:left="400"/>
        <w:spacing w:after="0"/>
        <w:tabs>
          <w:tab w:leader="none" w:pos="980" w:val="left"/>
        </w:tabs>
        <w:rPr>
          <w:sz w:val="20"/>
          <w:szCs w:val="20"/>
          <w:color w:val="auto"/>
        </w:rPr>
      </w:pPr>
      <w:r>
        <w:rPr>
          <w:rFonts w:ascii="Arial" w:cs="Arial" w:eastAsia="Arial" w:hAnsi="Arial"/>
          <w:sz w:val="22"/>
          <w:szCs w:val="22"/>
          <w:b w:val="1"/>
          <w:bCs w:val="1"/>
          <w:color w:val="auto"/>
        </w:rPr>
        <w:t>2.14</w:t>
      </w:r>
      <w:r>
        <w:rPr>
          <w:sz w:val="20"/>
          <w:szCs w:val="20"/>
          <w:color w:val="auto"/>
        </w:rPr>
        <w:tab/>
      </w:r>
      <w:r>
        <w:rPr>
          <w:rFonts w:ascii="Arial" w:cs="Arial" w:eastAsia="Arial" w:hAnsi="Arial"/>
          <w:sz w:val="19"/>
          <w:szCs w:val="19"/>
          <w:b w:val="1"/>
          <w:bCs w:val="1"/>
          <w:color w:val="auto"/>
        </w:rPr>
        <w:t xml:space="preserve">“Employee” </w:t>
      </w:r>
      <w:r>
        <w:rPr>
          <w:rFonts w:ascii="Arial" w:cs="Arial" w:eastAsia="Arial" w:hAnsi="Arial"/>
          <w:sz w:val="19"/>
          <w:szCs w:val="19"/>
          <w:color w:val="auto"/>
        </w:rPr>
        <w:t>means any employee of the Company or its Subsidiaries.</w:t>
      </w:r>
    </w:p>
    <w:p>
      <w:pPr>
        <w:spacing w:after="0" w:line="112" w:lineRule="exact"/>
        <w:rPr>
          <w:sz w:val="20"/>
          <w:szCs w:val="20"/>
          <w:color w:val="auto"/>
        </w:rPr>
      </w:pPr>
    </w:p>
    <w:p>
      <w:pPr>
        <w:ind w:right="460" w:firstLine="392"/>
        <w:spacing w:after="0" w:line="269" w:lineRule="auto"/>
        <w:rPr>
          <w:sz w:val="20"/>
          <w:szCs w:val="20"/>
          <w:color w:val="auto"/>
        </w:rPr>
      </w:pPr>
      <w:r>
        <w:rPr>
          <w:rFonts w:ascii="Arial" w:cs="Arial" w:eastAsia="Arial" w:hAnsi="Arial"/>
          <w:sz w:val="22"/>
          <w:szCs w:val="22"/>
          <w:b w:val="1"/>
          <w:bCs w:val="1"/>
          <w:color w:val="auto"/>
        </w:rPr>
        <w:t xml:space="preserve">2.15 “Exchange Act” </w:t>
      </w:r>
      <w:r>
        <w:rPr>
          <w:rFonts w:ascii="Arial" w:cs="Arial" w:eastAsia="Arial" w:hAnsi="Arial"/>
          <w:sz w:val="22"/>
          <w:szCs w:val="22"/>
          <w:color w:val="auto"/>
        </w:rPr>
        <w:t>means the Securities Exchange Act of 1934, as amended from time to time, or any successor act</w:t>
      </w:r>
      <w:r>
        <w:rPr>
          <w:rFonts w:ascii="Arial" w:cs="Arial" w:eastAsia="Arial" w:hAnsi="Arial"/>
          <w:sz w:val="22"/>
          <w:szCs w:val="22"/>
          <w:b w:val="1"/>
          <w:bCs w:val="1"/>
          <w:color w:val="auto"/>
        </w:rPr>
        <w:t xml:space="preserve"> </w:t>
      </w:r>
      <w:r>
        <w:rPr>
          <w:rFonts w:ascii="Arial" w:cs="Arial" w:eastAsia="Arial" w:hAnsi="Arial"/>
          <w:sz w:val="22"/>
          <w:szCs w:val="22"/>
          <w:color w:val="auto"/>
        </w:rPr>
        <w:t>thereto.</w:t>
      </w:r>
    </w:p>
    <w:p>
      <w:pPr>
        <w:spacing w:after="0" w:line="297"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color w:val="auto"/>
        </w:rPr>
        <w:t>BOS1472419.8</w:t>
      </w:r>
      <w:r>
        <w:rPr>
          <w:sz w:val="20"/>
          <w:szCs w:val="20"/>
          <w:color w:val="auto"/>
        </w:rPr>
        <w:tab/>
      </w:r>
      <w:r>
        <w:rPr>
          <w:rFonts w:ascii="Arial" w:cs="Arial" w:eastAsia="Arial" w:hAnsi="Arial"/>
          <w:sz w:val="18"/>
          <w:szCs w:val="18"/>
          <w:color w:val="auto"/>
        </w:rPr>
        <w:t>-2-</w:t>
      </w:r>
    </w:p>
    <w:p>
      <w:pPr>
        <w:sectPr>
          <w:pgSz w:w="11900" w:h="16838" w:orient="portrait"/>
          <w:cols w:equalWidth="0" w:num="1">
            <w:col w:w="11300"/>
          </w:cols>
          <w:pgMar w:left="240" w:top="612" w:right="359" w:bottom="1440" w:gutter="0" w:footer="0" w:header="0"/>
        </w:sectPr>
      </w:pPr>
    </w:p>
    <w:bookmarkStart w:id="100" w:name="page101"/>
    <w:bookmarkEnd w:id="100"/>
    <w:p>
      <w:pPr>
        <w:ind w:firstLine="392"/>
        <w:spacing w:after="0" w:line="304" w:lineRule="auto"/>
        <w:rPr>
          <w:sz w:val="20"/>
          <w:szCs w:val="20"/>
          <w:color w:val="auto"/>
        </w:rPr>
      </w:pPr>
      <w:r>
        <w:rPr>
          <w:rFonts w:ascii="Arial" w:cs="Arial" w:eastAsia="Arial" w:hAnsi="Arial"/>
          <w:sz w:val="19"/>
          <w:szCs w:val="19"/>
          <w:b w:val="1"/>
          <w:bCs w:val="1"/>
          <w:color w:val="auto"/>
        </w:rPr>
        <w:t xml:space="preserve">2.16 “Fair Market Value” </w:t>
      </w:r>
      <w:r>
        <w:rPr>
          <w:rFonts w:ascii="Arial" w:cs="Arial" w:eastAsia="Arial" w:hAnsi="Arial"/>
          <w:sz w:val="19"/>
          <w:szCs w:val="19"/>
          <w:color w:val="auto"/>
        </w:rPr>
        <w:t>as of any date and in respect of any Share means the average of the high and low trading prices</w:t>
      </w:r>
      <w:r>
        <w:rPr>
          <w:rFonts w:ascii="Arial" w:cs="Arial" w:eastAsia="Arial" w:hAnsi="Arial"/>
          <w:sz w:val="19"/>
          <w:szCs w:val="19"/>
          <w:b w:val="1"/>
          <w:bCs w:val="1"/>
          <w:color w:val="auto"/>
        </w:rPr>
        <w:t xml:space="preserve"> </w:t>
      </w:r>
      <w:r>
        <w:rPr>
          <w:rFonts w:ascii="Arial" w:cs="Arial" w:eastAsia="Arial" w:hAnsi="Arial"/>
          <w:sz w:val="19"/>
          <w:szCs w:val="19"/>
          <w:color w:val="auto"/>
        </w:rPr>
        <w:t>for the Shares as reported on the New York Stock Exchange for that date, or if no such prices are reported for that date, the average of the high and low trading prices on the next preceding date for which such prices were reported, unless otherwise determined by the Committee. In no event shall the fair market value of any Share be less than its par value.</w:t>
      </w:r>
    </w:p>
    <w:p>
      <w:pPr>
        <w:spacing w:after="0" w:line="27" w:lineRule="exact"/>
        <w:rPr>
          <w:sz w:val="20"/>
          <w:szCs w:val="20"/>
          <w:color w:val="auto"/>
        </w:rPr>
      </w:pPr>
    </w:p>
    <w:p>
      <w:pPr>
        <w:ind w:right="380" w:firstLine="392"/>
        <w:spacing w:after="0" w:line="293" w:lineRule="auto"/>
        <w:rPr>
          <w:sz w:val="20"/>
          <w:szCs w:val="20"/>
          <w:color w:val="auto"/>
        </w:rPr>
      </w:pPr>
      <w:r>
        <w:rPr>
          <w:rFonts w:ascii="Arial" w:cs="Arial" w:eastAsia="Arial" w:hAnsi="Arial"/>
          <w:sz w:val="21"/>
          <w:szCs w:val="21"/>
          <w:b w:val="1"/>
          <w:bCs w:val="1"/>
          <w:color w:val="auto"/>
        </w:rPr>
        <w:t xml:space="preserve">2.17 “Incentive Stock Option” </w:t>
      </w:r>
      <w:r>
        <w:rPr>
          <w:rFonts w:ascii="Arial" w:cs="Arial" w:eastAsia="Arial" w:hAnsi="Arial"/>
          <w:sz w:val="21"/>
          <w:szCs w:val="21"/>
          <w:color w:val="auto"/>
        </w:rPr>
        <w:t>or</w:t>
      </w:r>
      <w:r>
        <w:rPr>
          <w:rFonts w:ascii="Arial" w:cs="Arial" w:eastAsia="Arial" w:hAnsi="Arial"/>
          <w:sz w:val="21"/>
          <w:szCs w:val="21"/>
          <w:b w:val="1"/>
          <w:bCs w:val="1"/>
          <w:color w:val="auto"/>
        </w:rPr>
        <w:t xml:space="preserve"> “ISO” </w:t>
      </w:r>
      <w:r>
        <w:rPr>
          <w:rFonts w:ascii="Arial" w:cs="Arial" w:eastAsia="Arial" w:hAnsi="Arial"/>
          <w:sz w:val="21"/>
          <w:szCs w:val="21"/>
          <w:color w:val="auto"/>
        </w:rPr>
        <w:t>means an option to purchase Shares granted under Article 6 hereof and that is</w:t>
      </w:r>
      <w:r>
        <w:rPr>
          <w:rFonts w:ascii="Arial" w:cs="Arial" w:eastAsia="Arial" w:hAnsi="Arial"/>
          <w:sz w:val="21"/>
          <w:szCs w:val="21"/>
          <w:b w:val="1"/>
          <w:bCs w:val="1"/>
          <w:color w:val="auto"/>
        </w:rPr>
        <w:t xml:space="preserve"> </w:t>
      </w:r>
      <w:r>
        <w:rPr>
          <w:rFonts w:ascii="Arial" w:cs="Arial" w:eastAsia="Arial" w:hAnsi="Arial"/>
          <w:sz w:val="21"/>
          <w:szCs w:val="21"/>
          <w:color w:val="auto"/>
        </w:rPr>
        <w:t>designated as an Incentive Stock Option and that is intended to meet the requirements of Code Section 422.</w:t>
      </w:r>
    </w:p>
    <w:p>
      <w:pPr>
        <w:spacing w:after="0" w:line="32" w:lineRule="exact"/>
        <w:rPr>
          <w:sz w:val="20"/>
          <w:szCs w:val="20"/>
          <w:color w:val="auto"/>
        </w:rPr>
      </w:pPr>
    </w:p>
    <w:p>
      <w:pPr>
        <w:ind w:right="140" w:firstLine="392"/>
        <w:spacing w:after="0" w:line="256" w:lineRule="auto"/>
        <w:rPr>
          <w:sz w:val="20"/>
          <w:szCs w:val="20"/>
          <w:color w:val="auto"/>
        </w:rPr>
      </w:pPr>
      <w:r>
        <w:rPr>
          <w:rFonts w:ascii="Arial" w:cs="Arial" w:eastAsia="Arial" w:hAnsi="Arial"/>
          <w:sz w:val="22"/>
          <w:szCs w:val="22"/>
          <w:b w:val="1"/>
          <w:bCs w:val="1"/>
          <w:color w:val="auto"/>
        </w:rPr>
        <w:t xml:space="preserve">2.18 “Insider” </w:t>
      </w:r>
      <w:r>
        <w:rPr>
          <w:rFonts w:ascii="Arial" w:cs="Arial" w:eastAsia="Arial" w:hAnsi="Arial"/>
          <w:sz w:val="22"/>
          <w:szCs w:val="22"/>
          <w:color w:val="auto"/>
        </w:rPr>
        <w:t>shall mean an individual who is, on the relevant date, an executive officer, director or ten percent (10%)</w:t>
      </w:r>
      <w:r>
        <w:rPr>
          <w:rFonts w:ascii="Arial" w:cs="Arial" w:eastAsia="Arial" w:hAnsi="Arial"/>
          <w:sz w:val="22"/>
          <w:szCs w:val="22"/>
          <w:b w:val="1"/>
          <w:bCs w:val="1"/>
          <w:color w:val="auto"/>
        </w:rPr>
        <w:t xml:space="preserve"> </w:t>
      </w:r>
      <w:r>
        <w:rPr>
          <w:rFonts w:ascii="Arial" w:cs="Arial" w:eastAsia="Arial" w:hAnsi="Arial"/>
          <w:sz w:val="22"/>
          <w:szCs w:val="22"/>
          <w:color w:val="auto"/>
        </w:rPr>
        <w:t>beneficial owner of any class of the Company’s equity securities that is registered pursuant to Section 12 of the Exchange Act, all as defined under Section 16 of the Exchange Act.</w:t>
      </w:r>
    </w:p>
    <w:p>
      <w:pPr>
        <w:spacing w:after="0" w:line="68" w:lineRule="exact"/>
        <w:rPr>
          <w:sz w:val="20"/>
          <w:szCs w:val="20"/>
          <w:color w:val="auto"/>
        </w:rPr>
      </w:pPr>
    </w:p>
    <w:p>
      <w:pPr>
        <w:ind w:right="460" w:firstLine="392"/>
        <w:spacing w:after="0" w:line="269" w:lineRule="auto"/>
        <w:rPr>
          <w:sz w:val="20"/>
          <w:szCs w:val="20"/>
          <w:color w:val="auto"/>
        </w:rPr>
      </w:pPr>
      <w:r>
        <w:rPr>
          <w:rFonts w:ascii="Arial" w:cs="Arial" w:eastAsia="Arial" w:hAnsi="Arial"/>
          <w:sz w:val="22"/>
          <w:szCs w:val="22"/>
          <w:b w:val="1"/>
          <w:bCs w:val="1"/>
          <w:color w:val="auto"/>
        </w:rPr>
        <w:t xml:space="preserve">2.19 “Key Employee” </w:t>
      </w:r>
      <w:r>
        <w:rPr>
          <w:rFonts w:ascii="Arial" w:cs="Arial" w:eastAsia="Arial" w:hAnsi="Arial"/>
          <w:sz w:val="22"/>
          <w:szCs w:val="22"/>
          <w:color w:val="auto"/>
        </w:rPr>
        <w:t>shall mean an employee (as defined in Code Section 416(i) (but without regard to paragraph (5)</w:t>
      </w:r>
      <w:r>
        <w:rPr>
          <w:rFonts w:ascii="Arial" w:cs="Arial" w:eastAsia="Arial" w:hAnsi="Arial"/>
          <w:sz w:val="22"/>
          <w:szCs w:val="22"/>
          <w:b w:val="1"/>
          <w:bCs w:val="1"/>
          <w:color w:val="auto"/>
        </w:rPr>
        <w:t xml:space="preserve"> </w:t>
      </w:r>
      <w:r>
        <w:rPr>
          <w:rFonts w:ascii="Arial" w:cs="Arial" w:eastAsia="Arial" w:hAnsi="Arial"/>
          <w:sz w:val="22"/>
          <w:szCs w:val="22"/>
          <w:color w:val="auto"/>
        </w:rPr>
        <w:t>thereof)) of the Company.</w:t>
      </w:r>
    </w:p>
    <w:p>
      <w:pPr>
        <w:spacing w:after="0" w:line="54" w:lineRule="exact"/>
        <w:rPr>
          <w:sz w:val="20"/>
          <w:szCs w:val="20"/>
          <w:color w:val="auto"/>
        </w:rPr>
      </w:pPr>
    </w:p>
    <w:p>
      <w:pPr>
        <w:ind w:right="140" w:firstLine="392"/>
        <w:spacing w:after="0" w:line="293" w:lineRule="auto"/>
        <w:rPr>
          <w:sz w:val="20"/>
          <w:szCs w:val="20"/>
          <w:color w:val="auto"/>
        </w:rPr>
      </w:pPr>
      <w:r>
        <w:rPr>
          <w:rFonts w:ascii="Arial" w:cs="Arial" w:eastAsia="Arial" w:hAnsi="Arial"/>
          <w:sz w:val="21"/>
          <w:szCs w:val="21"/>
          <w:b w:val="1"/>
          <w:bCs w:val="1"/>
          <w:color w:val="auto"/>
        </w:rPr>
        <w:t xml:space="preserve">2.20 “Nonqualified Stock Option” </w:t>
      </w:r>
      <w:r>
        <w:rPr>
          <w:rFonts w:ascii="Arial" w:cs="Arial" w:eastAsia="Arial" w:hAnsi="Arial"/>
          <w:sz w:val="21"/>
          <w:szCs w:val="21"/>
          <w:color w:val="auto"/>
        </w:rPr>
        <w:t>or</w:t>
      </w:r>
      <w:r>
        <w:rPr>
          <w:rFonts w:ascii="Arial" w:cs="Arial" w:eastAsia="Arial" w:hAnsi="Arial"/>
          <w:sz w:val="21"/>
          <w:szCs w:val="21"/>
          <w:b w:val="1"/>
          <w:bCs w:val="1"/>
          <w:color w:val="auto"/>
        </w:rPr>
        <w:t xml:space="preserve"> “NQSO” </w:t>
      </w:r>
      <w:r>
        <w:rPr>
          <w:rFonts w:ascii="Arial" w:cs="Arial" w:eastAsia="Arial" w:hAnsi="Arial"/>
          <w:sz w:val="21"/>
          <w:szCs w:val="21"/>
          <w:color w:val="auto"/>
        </w:rPr>
        <w:t>means an option to purchase Shares granted under Article 6 hereof that is</w:t>
      </w:r>
      <w:r>
        <w:rPr>
          <w:rFonts w:ascii="Arial" w:cs="Arial" w:eastAsia="Arial" w:hAnsi="Arial"/>
          <w:sz w:val="21"/>
          <w:szCs w:val="21"/>
          <w:b w:val="1"/>
          <w:bCs w:val="1"/>
          <w:color w:val="auto"/>
        </w:rPr>
        <w:t xml:space="preserve"> </w:t>
      </w:r>
      <w:r>
        <w:rPr>
          <w:rFonts w:ascii="Arial" w:cs="Arial" w:eastAsia="Arial" w:hAnsi="Arial"/>
          <w:sz w:val="21"/>
          <w:szCs w:val="21"/>
          <w:color w:val="auto"/>
        </w:rPr>
        <w:t>not intended to meet the requirements of Code Section 422, or that otherwise does not meet such requirements.</w:t>
      </w:r>
    </w:p>
    <w:p>
      <w:pPr>
        <w:spacing w:after="0" w:line="32" w:lineRule="exact"/>
        <w:rPr>
          <w:sz w:val="20"/>
          <w:szCs w:val="20"/>
          <w:color w:val="auto"/>
        </w:rPr>
      </w:pPr>
    </w:p>
    <w:p>
      <w:pPr>
        <w:ind w:left="400"/>
        <w:spacing w:after="0"/>
        <w:tabs>
          <w:tab w:leader="none" w:pos="980" w:val="left"/>
        </w:tabs>
        <w:rPr>
          <w:sz w:val="20"/>
          <w:szCs w:val="20"/>
          <w:color w:val="auto"/>
        </w:rPr>
      </w:pPr>
      <w:r>
        <w:rPr>
          <w:rFonts w:ascii="Arial" w:cs="Arial" w:eastAsia="Arial" w:hAnsi="Arial"/>
          <w:sz w:val="22"/>
          <w:szCs w:val="22"/>
          <w:b w:val="1"/>
          <w:bCs w:val="1"/>
          <w:color w:val="auto"/>
        </w:rPr>
        <w:t>2.21</w:t>
      </w:r>
      <w:r>
        <w:rPr>
          <w:sz w:val="20"/>
          <w:szCs w:val="20"/>
          <w:color w:val="auto"/>
        </w:rPr>
        <w:tab/>
      </w:r>
      <w:r>
        <w:rPr>
          <w:rFonts w:ascii="Arial" w:cs="Arial" w:eastAsia="Arial" w:hAnsi="Arial"/>
          <w:sz w:val="19"/>
          <w:szCs w:val="19"/>
          <w:b w:val="1"/>
          <w:bCs w:val="1"/>
          <w:color w:val="auto"/>
        </w:rPr>
        <w:t xml:space="preserve">“Option” </w:t>
      </w:r>
      <w:r>
        <w:rPr>
          <w:rFonts w:ascii="Arial" w:cs="Arial" w:eastAsia="Arial" w:hAnsi="Arial"/>
          <w:sz w:val="19"/>
          <w:szCs w:val="19"/>
          <w:color w:val="auto"/>
        </w:rPr>
        <w:t>means an Incentive Stock Option or a Nonqualified Stock Option.</w:t>
      </w:r>
    </w:p>
    <w:p>
      <w:pPr>
        <w:spacing w:after="0" w:line="112" w:lineRule="exact"/>
        <w:rPr>
          <w:sz w:val="20"/>
          <w:szCs w:val="20"/>
          <w:color w:val="auto"/>
        </w:rPr>
      </w:pPr>
    </w:p>
    <w:p>
      <w:pPr>
        <w:ind w:left="400"/>
        <w:spacing w:after="0"/>
        <w:tabs>
          <w:tab w:leader="none" w:pos="980" w:val="left"/>
        </w:tabs>
        <w:rPr>
          <w:sz w:val="20"/>
          <w:szCs w:val="20"/>
          <w:color w:val="auto"/>
        </w:rPr>
      </w:pPr>
      <w:r>
        <w:rPr>
          <w:rFonts w:ascii="Arial" w:cs="Arial" w:eastAsia="Arial" w:hAnsi="Arial"/>
          <w:sz w:val="22"/>
          <w:szCs w:val="22"/>
          <w:b w:val="1"/>
          <w:bCs w:val="1"/>
          <w:color w:val="auto"/>
        </w:rPr>
        <w:t>2.22</w:t>
      </w:r>
      <w:r>
        <w:rPr>
          <w:sz w:val="20"/>
          <w:szCs w:val="20"/>
          <w:color w:val="auto"/>
        </w:rPr>
        <w:tab/>
      </w:r>
      <w:r>
        <w:rPr>
          <w:rFonts w:ascii="Arial" w:cs="Arial" w:eastAsia="Arial" w:hAnsi="Arial"/>
          <w:sz w:val="19"/>
          <w:szCs w:val="19"/>
          <w:b w:val="1"/>
          <w:bCs w:val="1"/>
          <w:color w:val="auto"/>
        </w:rPr>
        <w:t xml:space="preserve">“Option Price” </w:t>
      </w:r>
      <w:r>
        <w:rPr>
          <w:rFonts w:ascii="Arial" w:cs="Arial" w:eastAsia="Arial" w:hAnsi="Arial"/>
          <w:sz w:val="19"/>
          <w:szCs w:val="19"/>
          <w:color w:val="auto"/>
        </w:rPr>
        <w:t>means the price at which a Share may be purchased by a Participant pursuant to an Option.</w:t>
      </w:r>
    </w:p>
    <w:p>
      <w:pPr>
        <w:spacing w:after="0" w:line="112" w:lineRule="exact"/>
        <w:rPr>
          <w:sz w:val="20"/>
          <w:szCs w:val="20"/>
          <w:color w:val="auto"/>
        </w:rPr>
      </w:pPr>
    </w:p>
    <w:p>
      <w:pPr>
        <w:ind w:left="400"/>
        <w:spacing w:after="0"/>
        <w:tabs>
          <w:tab w:leader="none" w:pos="980" w:val="left"/>
        </w:tabs>
        <w:rPr>
          <w:sz w:val="20"/>
          <w:szCs w:val="20"/>
          <w:color w:val="auto"/>
        </w:rPr>
      </w:pPr>
      <w:r>
        <w:rPr>
          <w:rFonts w:ascii="Arial" w:cs="Arial" w:eastAsia="Arial" w:hAnsi="Arial"/>
          <w:sz w:val="22"/>
          <w:szCs w:val="22"/>
          <w:b w:val="1"/>
          <w:bCs w:val="1"/>
          <w:color w:val="auto"/>
        </w:rPr>
        <w:t>2.23</w:t>
      </w:r>
      <w:r>
        <w:rPr>
          <w:sz w:val="20"/>
          <w:szCs w:val="20"/>
          <w:color w:val="auto"/>
        </w:rPr>
        <w:tab/>
      </w:r>
      <w:r>
        <w:rPr>
          <w:rFonts w:ascii="Arial" w:cs="Arial" w:eastAsia="Arial" w:hAnsi="Arial"/>
          <w:sz w:val="19"/>
          <w:szCs w:val="19"/>
          <w:b w:val="1"/>
          <w:bCs w:val="1"/>
          <w:color w:val="auto"/>
        </w:rPr>
        <w:t xml:space="preserve">“Other Stock Unit Award” </w:t>
      </w:r>
      <w:r>
        <w:rPr>
          <w:rFonts w:ascii="Arial" w:cs="Arial" w:eastAsia="Arial" w:hAnsi="Arial"/>
          <w:sz w:val="19"/>
          <w:szCs w:val="19"/>
          <w:color w:val="auto"/>
        </w:rPr>
        <w:t>means an Award granted to a Participant, as described in Article 10 hereof.</w:t>
      </w:r>
    </w:p>
    <w:p>
      <w:pPr>
        <w:spacing w:after="0" w:line="112" w:lineRule="exact"/>
        <w:rPr>
          <w:sz w:val="20"/>
          <w:szCs w:val="20"/>
          <w:color w:val="auto"/>
        </w:rPr>
      </w:pPr>
    </w:p>
    <w:p>
      <w:pPr>
        <w:ind w:right="200" w:firstLine="392"/>
        <w:spacing w:after="0" w:line="269" w:lineRule="auto"/>
        <w:rPr>
          <w:sz w:val="20"/>
          <w:szCs w:val="20"/>
          <w:color w:val="auto"/>
        </w:rPr>
      </w:pPr>
      <w:r>
        <w:rPr>
          <w:rFonts w:ascii="Arial" w:cs="Arial" w:eastAsia="Arial" w:hAnsi="Arial"/>
          <w:sz w:val="22"/>
          <w:szCs w:val="22"/>
          <w:b w:val="1"/>
          <w:bCs w:val="1"/>
          <w:color w:val="auto"/>
        </w:rPr>
        <w:t xml:space="preserve">2.24 “Participant” </w:t>
      </w:r>
      <w:r>
        <w:rPr>
          <w:rFonts w:ascii="Arial" w:cs="Arial" w:eastAsia="Arial" w:hAnsi="Arial"/>
          <w:sz w:val="22"/>
          <w:szCs w:val="22"/>
          <w:color w:val="auto"/>
        </w:rPr>
        <w:t>means an Employee or Director who has been selected to receive an Award or who has an outstanding</w:t>
      </w:r>
      <w:r>
        <w:rPr>
          <w:rFonts w:ascii="Arial" w:cs="Arial" w:eastAsia="Arial" w:hAnsi="Arial"/>
          <w:sz w:val="22"/>
          <w:szCs w:val="22"/>
          <w:b w:val="1"/>
          <w:bCs w:val="1"/>
          <w:color w:val="auto"/>
        </w:rPr>
        <w:t xml:space="preserve"> </w:t>
      </w:r>
      <w:r>
        <w:rPr>
          <w:rFonts w:ascii="Arial" w:cs="Arial" w:eastAsia="Arial" w:hAnsi="Arial"/>
          <w:sz w:val="22"/>
          <w:szCs w:val="22"/>
          <w:color w:val="auto"/>
        </w:rPr>
        <w:t>Award granted under the Plan.</w:t>
      </w:r>
    </w:p>
    <w:p>
      <w:pPr>
        <w:spacing w:after="0" w:line="54" w:lineRule="exact"/>
        <w:rPr>
          <w:sz w:val="20"/>
          <w:szCs w:val="20"/>
          <w:color w:val="auto"/>
        </w:rPr>
      </w:pPr>
    </w:p>
    <w:p>
      <w:pPr>
        <w:ind w:right="320" w:firstLine="392"/>
        <w:spacing w:after="0" w:line="269" w:lineRule="auto"/>
        <w:rPr>
          <w:sz w:val="20"/>
          <w:szCs w:val="20"/>
          <w:color w:val="auto"/>
        </w:rPr>
      </w:pPr>
      <w:r>
        <w:rPr>
          <w:rFonts w:ascii="Arial" w:cs="Arial" w:eastAsia="Arial" w:hAnsi="Arial"/>
          <w:sz w:val="22"/>
          <w:szCs w:val="22"/>
          <w:b w:val="1"/>
          <w:bCs w:val="1"/>
          <w:color w:val="auto"/>
        </w:rPr>
        <w:t xml:space="preserve">2.25 “Performance-Based Exception” </w:t>
      </w:r>
      <w:r>
        <w:rPr>
          <w:rFonts w:ascii="Arial" w:cs="Arial" w:eastAsia="Arial" w:hAnsi="Arial"/>
          <w:sz w:val="22"/>
          <w:szCs w:val="22"/>
          <w:color w:val="auto"/>
        </w:rPr>
        <w:t>means the performance-based exception from the tax deductibility limitations of</w:t>
      </w:r>
      <w:r>
        <w:rPr>
          <w:rFonts w:ascii="Arial" w:cs="Arial" w:eastAsia="Arial" w:hAnsi="Arial"/>
          <w:sz w:val="22"/>
          <w:szCs w:val="22"/>
          <w:b w:val="1"/>
          <w:bCs w:val="1"/>
          <w:color w:val="auto"/>
        </w:rPr>
        <w:t xml:space="preserve"> </w:t>
      </w:r>
      <w:r>
        <w:rPr>
          <w:rFonts w:ascii="Arial" w:cs="Arial" w:eastAsia="Arial" w:hAnsi="Arial"/>
          <w:sz w:val="22"/>
          <w:szCs w:val="22"/>
          <w:color w:val="auto"/>
        </w:rPr>
        <w:t>Code Section 162(m).</w:t>
      </w:r>
    </w:p>
    <w:p>
      <w:pPr>
        <w:spacing w:after="0" w:line="54" w:lineRule="exact"/>
        <w:rPr>
          <w:sz w:val="20"/>
          <w:szCs w:val="20"/>
          <w:color w:val="auto"/>
        </w:rPr>
      </w:pPr>
    </w:p>
    <w:p>
      <w:pPr>
        <w:ind w:left="400"/>
        <w:spacing w:after="0"/>
        <w:tabs>
          <w:tab w:leader="none" w:pos="980" w:val="left"/>
        </w:tabs>
        <w:rPr>
          <w:sz w:val="20"/>
          <w:szCs w:val="20"/>
          <w:color w:val="auto"/>
        </w:rPr>
      </w:pPr>
      <w:r>
        <w:rPr>
          <w:rFonts w:ascii="Arial" w:cs="Arial" w:eastAsia="Arial" w:hAnsi="Arial"/>
          <w:sz w:val="22"/>
          <w:szCs w:val="22"/>
          <w:b w:val="1"/>
          <w:bCs w:val="1"/>
          <w:color w:val="auto"/>
        </w:rPr>
        <w:t>2.26</w:t>
      </w:r>
      <w:r>
        <w:rPr>
          <w:sz w:val="20"/>
          <w:szCs w:val="20"/>
          <w:color w:val="auto"/>
        </w:rPr>
        <w:tab/>
      </w:r>
      <w:r>
        <w:rPr>
          <w:rFonts w:ascii="Arial" w:cs="Arial" w:eastAsia="Arial" w:hAnsi="Arial"/>
          <w:sz w:val="19"/>
          <w:szCs w:val="19"/>
          <w:b w:val="1"/>
          <w:bCs w:val="1"/>
          <w:color w:val="auto"/>
        </w:rPr>
        <w:t xml:space="preserve">“Performance Share” </w:t>
      </w:r>
      <w:r>
        <w:rPr>
          <w:rFonts w:ascii="Arial" w:cs="Arial" w:eastAsia="Arial" w:hAnsi="Arial"/>
          <w:sz w:val="19"/>
          <w:szCs w:val="19"/>
          <w:color w:val="auto"/>
        </w:rPr>
        <w:t>means an Award granted to a Participant, as described in Article 11 hereof.</w:t>
      </w:r>
    </w:p>
    <w:p>
      <w:pPr>
        <w:spacing w:after="0" w:line="112" w:lineRule="exact"/>
        <w:rPr>
          <w:sz w:val="20"/>
          <w:szCs w:val="20"/>
          <w:color w:val="auto"/>
        </w:rPr>
      </w:pPr>
    </w:p>
    <w:p>
      <w:pPr>
        <w:ind w:firstLine="392"/>
        <w:spacing w:after="0" w:line="252" w:lineRule="auto"/>
        <w:rPr>
          <w:sz w:val="20"/>
          <w:szCs w:val="20"/>
          <w:color w:val="auto"/>
        </w:rPr>
      </w:pPr>
      <w:r>
        <w:rPr>
          <w:rFonts w:ascii="Arial" w:cs="Arial" w:eastAsia="Arial" w:hAnsi="Arial"/>
          <w:sz w:val="22"/>
          <w:szCs w:val="22"/>
          <w:b w:val="1"/>
          <w:bCs w:val="1"/>
          <w:color w:val="auto"/>
        </w:rPr>
        <w:t xml:space="preserve">2.27 “Period of Restriction” </w:t>
      </w:r>
      <w:r>
        <w:rPr>
          <w:rFonts w:ascii="Arial" w:cs="Arial" w:eastAsia="Arial" w:hAnsi="Arial"/>
          <w:sz w:val="22"/>
          <w:szCs w:val="22"/>
          <w:color w:val="auto"/>
        </w:rPr>
        <w:t>means the period during which the transfer of Shares of Restricted Stock is limited in some</w:t>
      </w:r>
      <w:r>
        <w:rPr>
          <w:rFonts w:ascii="Arial" w:cs="Arial" w:eastAsia="Arial" w:hAnsi="Arial"/>
          <w:sz w:val="22"/>
          <w:szCs w:val="22"/>
          <w:b w:val="1"/>
          <w:bCs w:val="1"/>
          <w:color w:val="auto"/>
        </w:rPr>
        <w:t xml:space="preserve"> </w:t>
      </w:r>
      <w:r>
        <w:rPr>
          <w:rFonts w:ascii="Arial" w:cs="Arial" w:eastAsia="Arial" w:hAnsi="Arial"/>
          <w:sz w:val="22"/>
          <w:szCs w:val="22"/>
          <w:color w:val="auto"/>
        </w:rPr>
        <w:t>way (based on the passage of time, the achievement of performance goals, or upon the occurrence of other events as determined by the Committee, at its discretion), and the Shares are subject to a substantial risk of forfeiture, pursuant to the Restricted Stock Award Agreement, as provided in Article 8 hereof.</w:t>
      </w:r>
    </w:p>
    <w:p>
      <w:pPr>
        <w:spacing w:after="0" w:line="72" w:lineRule="exact"/>
        <w:rPr>
          <w:sz w:val="20"/>
          <w:szCs w:val="20"/>
          <w:color w:val="auto"/>
        </w:rPr>
      </w:pPr>
    </w:p>
    <w:p>
      <w:pPr>
        <w:ind w:left="400"/>
        <w:spacing w:after="0"/>
        <w:tabs>
          <w:tab w:leader="none" w:pos="980" w:val="left"/>
        </w:tabs>
        <w:rPr>
          <w:sz w:val="20"/>
          <w:szCs w:val="20"/>
          <w:color w:val="auto"/>
        </w:rPr>
      </w:pPr>
      <w:r>
        <w:rPr>
          <w:rFonts w:ascii="Arial" w:cs="Arial" w:eastAsia="Arial" w:hAnsi="Arial"/>
          <w:sz w:val="22"/>
          <w:szCs w:val="22"/>
          <w:b w:val="1"/>
          <w:bCs w:val="1"/>
          <w:color w:val="auto"/>
        </w:rPr>
        <w:t>2.28</w:t>
      </w:r>
      <w:r>
        <w:rPr>
          <w:sz w:val="20"/>
          <w:szCs w:val="20"/>
          <w:color w:val="auto"/>
        </w:rPr>
        <w:tab/>
      </w:r>
      <w:r>
        <w:rPr>
          <w:rFonts w:ascii="Arial" w:cs="Arial" w:eastAsia="Arial" w:hAnsi="Arial"/>
          <w:sz w:val="19"/>
          <w:szCs w:val="19"/>
          <w:b w:val="1"/>
          <w:bCs w:val="1"/>
          <w:color w:val="auto"/>
        </w:rPr>
        <w:t xml:space="preserve">“Person” </w:t>
      </w:r>
      <w:r>
        <w:rPr>
          <w:rFonts w:ascii="Arial" w:cs="Arial" w:eastAsia="Arial" w:hAnsi="Arial"/>
          <w:sz w:val="19"/>
          <w:szCs w:val="19"/>
          <w:color w:val="auto"/>
        </w:rPr>
        <w:t>shall have the meaning ascribed to such term in Section 3(a)(9) of the Exchange Act and used in</w:t>
      </w:r>
    </w:p>
    <w:p>
      <w:pPr>
        <w:spacing w:after="0" w:line="28" w:lineRule="exact"/>
        <w:rPr>
          <w:sz w:val="20"/>
          <w:szCs w:val="20"/>
          <w:color w:val="auto"/>
        </w:rPr>
      </w:pPr>
    </w:p>
    <w:p>
      <w:pPr>
        <w:ind w:right="20"/>
        <w:spacing w:after="0" w:line="246" w:lineRule="auto"/>
        <w:rPr>
          <w:sz w:val="20"/>
          <w:szCs w:val="20"/>
          <w:color w:val="auto"/>
        </w:rPr>
      </w:pPr>
      <w:r>
        <w:rPr>
          <w:rFonts w:ascii="Arial" w:cs="Arial" w:eastAsia="Arial" w:hAnsi="Arial"/>
          <w:sz w:val="22"/>
          <w:szCs w:val="22"/>
          <w:color w:val="auto"/>
        </w:rPr>
        <w:t>Sections 13(d) and 14(d) thereof and the rules promulgated thereunder, including a “group” as defined in Section 13(d) thereof and the rules promulgated.</w:t>
      </w:r>
    </w:p>
    <w:p>
      <w:pPr>
        <w:spacing w:after="0" w:line="321"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color w:val="auto"/>
        </w:rPr>
        <w:t>BOS1472419.8</w:t>
      </w:r>
      <w:r>
        <w:rPr>
          <w:sz w:val="20"/>
          <w:szCs w:val="20"/>
          <w:color w:val="auto"/>
        </w:rPr>
        <w:tab/>
      </w:r>
      <w:r>
        <w:rPr>
          <w:rFonts w:ascii="Arial" w:cs="Arial" w:eastAsia="Arial" w:hAnsi="Arial"/>
          <w:sz w:val="18"/>
          <w:szCs w:val="18"/>
          <w:color w:val="auto"/>
        </w:rPr>
        <w:t>-3-</w:t>
      </w:r>
    </w:p>
    <w:p>
      <w:pPr>
        <w:sectPr>
          <w:pgSz w:w="11900" w:h="16838" w:orient="portrait"/>
          <w:cols w:equalWidth="0" w:num="1">
            <w:col w:w="11340"/>
          </w:cols>
          <w:pgMar w:left="240" w:top="612" w:right="319" w:bottom="1440" w:gutter="0" w:footer="0" w:header="0"/>
        </w:sectPr>
      </w:pPr>
    </w:p>
    <w:bookmarkStart w:id="101" w:name="page102"/>
    <w:bookmarkEnd w:id="101"/>
    <w:p>
      <w:pPr>
        <w:ind w:left="400"/>
        <w:spacing w:after="0"/>
        <w:tabs>
          <w:tab w:leader="none" w:pos="980" w:val="left"/>
        </w:tabs>
        <w:rPr>
          <w:sz w:val="20"/>
          <w:szCs w:val="20"/>
          <w:color w:val="auto"/>
        </w:rPr>
      </w:pPr>
      <w:r>
        <w:rPr>
          <w:rFonts w:ascii="Arial" w:cs="Arial" w:eastAsia="Arial" w:hAnsi="Arial"/>
          <w:sz w:val="22"/>
          <w:szCs w:val="22"/>
          <w:b w:val="1"/>
          <w:bCs w:val="1"/>
          <w:color w:val="auto"/>
        </w:rPr>
        <w:t>2.29</w:t>
      </w:r>
      <w:r>
        <w:rPr>
          <w:sz w:val="20"/>
          <w:szCs w:val="20"/>
          <w:color w:val="auto"/>
        </w:rPr>
        <w:tab/>
      </w:r>
      <w:r>
        <w:rPr>
          <w:rFonts w:ascii="Arial" w:cs="Arial" w:eastAsia="Arial" w:hAnsi="Arial"/>
          <w:sz w:val="19"/>
          <w:szCs w:val="19"/>
          <w:b w:val="1"/>
          <w:bCs w:val="1"/>
          <w:color w:val="auto"/>
        </w:rPr>
        <w:t xml:space="preserve">“Restricted Stock” </w:t>
      </w:r>
      <w:r>
        <w:rPr>
          <w:rFonts w:ascii="Arial" w:cs="Arial" w:eastAsia="Arial" w:hAnsi="Arial"/>
          <w:sz w:val="19"/>
          <w:szCs w:val="19"/>
          <w:color w:val="auto"/>
        </w:rPr>
        <w:t>means an Award granted to a Participant pursuant to Article 8 hereof.</w:t>
      </w:r>
    </w:p>
    <w:p>
      <w:pPr>
        <w:spacing w:after="0" w:line="112" w:lineRule="exact"/>
        <w:rPr>
          <w:sz w:val="20"/>
          <w:szCs w:val="20"/>
          <w:color w:val="auto"/>
        </w:rPr>
      </w:pPr>
    </w:p>
    <w:p>
      <w:pPr>
        <w:ind w:left="400"/>
        <w:spacing w:after="0"/>
        <w:tabs>
          <w:tab w:leader="none" w:pos="980" w:val="left"/>
        </w:tabs>
        <w:rPr>
          <w:sz w:val="20"/>
          <w:szCs w:val="20"/>
          <w:color w:val="auto"/>
        </w:rPr>
      </w:pPr>
      <w:r>
        <w:rPr>
          <w:rFonts w:ascii="Arial" w:cs="Arial" w:eastAsia="Arial" w:hAnsi="Arial"/>
          <w:sz w:val="22"/>
          <w:szCs w:val="22"/>
          <w:b w:val="1"/>
          <w:bCs w:val="1"/>
          <w:color w:val="auto"/>
        </w:rPr>
        <w:t>2.30</w:t>
      </w:r>
      <w:r>
        <w:rPr>
          <w:sz w:val="20"/>
          <w:szCs w:val="20"/>
          <w:color w:val="auto"/>
        </w:rPr>
        <w:tab/>
      </w:r>
      <w:r>
        <w:rPr>
          <w:rFonts w:ascii="Arial" w:cs="Arial" w:eastAsia="Arial" w:hAnsi="Arial"/>
          <w:sz w:val="19"/>
          <w:szCs w:val="19"/>
          <w:b w:val="1"/>
          <w:bCs w:val="1"/>
          <w:color w:val="auto"/>
        </w:rPr>
        <w:t xml:space="preserve">“Restricted Stock Unit” </w:t>
      </w:r>
      <w:r>
        <w:rPr>
          <w:rFonts w:ascii="Arial" w:cs="Arial" w:eastAsia="Arial" w:hAnsi="Arial"/>
          <w:sz w:val="19"/>
          <w:szCs w:val="19"/>
          <w:color w:val="auto"/>
        </w:rPr>
        <w:t>means an Award granted to a Participant pursuant to Article 9 hereof.</w:t>
      </w:r>
    </w:p>
    <w:p>
      <w:pPr>
        <w:spacing w:after="0" w:line="112" w:lineRule="exact"/>
        <w:rPr>
          <w:sz w:val="20"/>
          <w:szCs w:val="20"/>
          <w:color w:val="auto"/>
        </w:rPr>
      </w:pPr>
    </w:p>
    <w:p>
      <w:pPr>
        <w:ind w:left="400"/>
        <w:spacing w:after="0"/>
        <w:tabs>
          <w:tab w:leader="none" w:pos="1020" w:val="left"/>
        </w:tabs>
        <w:rPr>
          <w:sz w:val="20"/>
          <w:szCs w:val="20"/>
          <w:color w:val="auto"/>
        </w:rPr>
      </w:pPr>
      <w:r>
        <w:rPr>
          <w:rFonts w:ascii="Arial" w:cs="Arial" w:eastAsia="Arial" w:hAnsi="Arial"/>
          <w:sz w:val="22"/>
          <w:szCs w:val="22"/>
          <w:b w:val="1"/>
          <w:bCs w:val="1"/>
          <w:color w:val="auto"/>
        </w:rPr>
        <w:t>2.31</w:t>
      </w:r>
      <w:r>
        <w:rPr>
          <w:sz w:val="20"/>
          <w:szCs w:val="20"/>
          <w:color w:val="auto"/>
        </w:rPr>
        <w:tab/>
      </w:r>
      <w:r>
        <w:rPr>
          <w:rFonts w:ascii="Arial" w:cs="Arial" w:eastAsia="Arial" w:hAnsi="Arial"/>
          <w:sz w:val="19"/>
          <w:szCs w:val="19"/>
          <w:b w:val="1"/>
          <w:bCs w:val="1"/>
          <w:color w:val="auto"/>
        </w:rPr>
        <w:t xml:space="preserve">“Shares” </w:t>
      </w:r>
      <w:r>
        <w:rPr>
          <w:rFonts w:ascii="Arial" w:cs="Arial" w:eastAsia="Arial" w:hAnsi="Arial"/>
          <w:sz w:val="19"/>
          <w:szCs w:val="19"/>
          <w:color w:val="auto"/>
        </w:rPr>
        <w:t>means shares of the Company’s common stock, par value $.01 per share.</w:t>
      </w:r>
    </w:p>
    <w:p>
      <w:pPr>
        <w:spacing w:after="0" w:line="112" w:lineRule="exact"/>
        <w:rPr>
          <w:sz w:val="20"/>
          <w:szCs w:val="20"/>
          <w:color w:val="auto"/>
        </w:rPr>
      </w:pPr>
    </w:p>
    <w:p>
      <w:pPr>
        <w:ind w:left="400"/>
        <w:spacing w:after="0"/>
        <w:tabs>
          <w:tab w:leader="none" w:pos="980" w:val="left"/>
        </w:tabs>
        <w:rPr>
          <w:sz w:val="20"/>
          <w:szCs w:val="20"/>
          <w:color w:val="auto"/>
        </w:rPr>
      </w:pPr>
      <w:r>
        <w:rPr>
          <w:rFonts w:ascii="Arial" w:cs="Arial" w:eastAsia="Arial" w:hAnsi="Arial"/>
          <w:sz w:val="22"/>
          <w:szCs w:val="22"/>
          <w:b w:val="1"/>
          <w:bCs w:val="1"/>
          <w:color w:val="auto"/>
        </w:rPr>
        <w:t>2.32</w:t>
      </w:r>
      <w:r>
        <w:rPr>
          <w:sz w:val="20"/>
          <w:szCs w:val="20"/>
          <w:color w:val="auto"/>
        </w:rPr>
        <w:tab/>
      </w:r>
      <w:r>
        <w:rPr>
          <w:rFonts w:ascii="Arial" w:cs="Arial" w:eastAsia="Arial" w:hAnsi="Arial"/>
          <w:sz w:val="19"/>
          <w:szCs w:val="19"/>
          <w:b w:val="1"/>
          <w:bCs w:val="1"/>
          <w:color w:val="auto"/>
        </w:rPr>
        <w:t xml:space="preserve">“Stock Appreciation Right” </w:t>
      </w:r>
      <w:r>
        <w:rPr>
          <w:rFonts w:ascii="Arial" w:cs="Arial" w:eastAsia="Arial" w:hAnsi="Arial"/>
          <w:sz w:val="19"/>
          <w:szCs w:val="19"/>
          <w:color w:val="auto"/>
        </w:rPr>
        <w:t>or</w:t>
      </w:r>
      <w:r>
        <w:rPr>
          <w:rFonts w:ascii="Arial" w:cs="Arial" w:eastAsia="Arial" w:hAnsi="Arial"/>
          <w:sz w:val="19"/>
          <w:szCs w:val="19"/>
          <w:b w:val="1"/>
          <w:bCs w:val="1"/>
          <w:color w:val="auto"/>
        </w:rPr>
        <w:t xml:space="preserve"> “SAR” </w:t>
      </w:r>
      <w:r>
        <w:rPr>
          <w:rFonts w:ascii="Arial" w:cs="Arial" w:eastAsia="Arial" w:hAnsi="Arial"/>
          <w:sz w:val="19"/>
          <w:szCs w:val="19"/>
          <w:color w:val="auto"/>
        </w:rPr>
        <w:t>means an Award granted pursuant to the terms of Article 7 hereof.</w:t>
      </w:r>
    </w:p>
    <w:p>
      <w:pPr>
        <w:spacing w:after="0" w:line="112" w:lineRule="exact"/>
        <w:rPr>
          <w:sz w:val="20"/>
          <w:szCs w:val="20"/>
          <w:color w:val="auto"/>
        </w:rPr>
      </w:pPr>
    </w:p>
    <w:p>
      <w:pPr>
        <w:ind w:right="400" w:firstLine="392"/>
        <w:spacing w:after="0" w:line="304" w:lineRule="auto"/>
        <w:rPr>
          <w:sz w:val="20"/>
          <w:szCs w:val="20"/>
          <w:color w:val="auto"/>
        </w:rPr>
      </w:pPr>
      <w:r>
        <w:rPr>
          <w:rFonts w:ascii="Arial" w:cs="Arial" w:eastAsia="Arial" w:hAnsi="Arial"/>
          <w:sz w:val="19"/>
          <w:szCs w:val="19"/>
          <w:b w:val="1"/>
          <w:bCs w:val="1"/>
          <w:color w:val="auto"/>
        </w:rPr>
        <w:t xml:space="preserve">2.33 “Subsidiary” </w:t>
      </w:r>
      <w:r>
        <w:rPr>
          <w:rFonts w:ascii="Arial" w:cs="Arial" w:eastAsia="Arial" w:hAnsi="Arial"/>
          <w:sz w:val="19"/>
          <w:szCs w:val="19"/>
          <w:color w:val="auto"/>
        </w:rPr>
        <w:t>means any corporation, partnership, joint venture, or other entity in which the Company, directly or</w:t>
      </w:r>
      <w:r>
        <w:rPr>
          <w:rFonts w:ascii="Arial" w:cs="Arial" w:eastAsia="Arial" w:hAnsi="Arial"/>
          <w:sz w:val="19"/>
          <w:szCs w:val="19"/>
          <w:b w:val="1"/>
          <w:bCs w:val="1"/>
          <w:color w:val="auto"/>
        </w:rPr>
        <w:t xml:space="preserve"> </w:t>
      </w:r>
      <w:r>
        <w:rPr>
          <w:rFonts w:ascii="Arial" w:cs="Arial" w:eastAsia="Arial" w:hAnsi="Arial"/>
          <w:sz w:val="19"/>
          <w:szCs w:val="19"/>
          <w:color w:val="auto"/>
        </w:rPr>
        <w:t>indirectly, has a majority voting interest. With respect to Incentive Stock Options, “Subsidiary” means any entity, domestic or foreign, whether or not such entity now exists or is hereafter organized or acquired by the Company or by a Subsidiary that is a “subsidiary corporation” within the meaning of Code Section 424(d) and the rules thereunder.</w:t>
      </w:r>
    </w:p>
    <w:p>
      <w:pPr>
        <w:spacing w:after="0" w:line="27" w:lineRule="exact"/>
        <w:rPr>
          <w:sz w:val="20"/>
          <w:szCs w:val="20"/>
          <w:color w:val="auto"/>
        </w:rPr>
      </w:pPr>
    </w:p>
    <w:p>
      <w:pPr>
        <w:ind w:right="140" w:firstLine="392"/>
        <w:spacing w:after="0" w:line="256" w:lineRule="auto"/>
        <w:rPr>
          <w:sz w:val="20"/>
          <w:szCs w:val="20"/>
          <w:color w:val="auto"/>
        </w:rPr>
      </w:pPr>
      <w:r>
        <w:rPr>
          <w:rFonts w:ascii="Arial" w:cs="Arial" w:eastAsia="Arial" w:hAnsi="Arial"/>
          <w:sz w:val="22"/>
          <w:szCs w:val="22"/>
          <w:b w:val="1"/>
          <w:bCs w:val="1"/>
          <w:color w:val="auto"/>
        </w:rPr>
        <w:t xml:space="preserve">2.34 “Ten Percent Shareholder” </w:t>
      </w:r>
      <w:r>
        <w:rPr>
          <w:rFonts w:ascii="Arial" w:cs="Arial" w:eastAsia="Arial" w:hAnsi="Arial"/>
          <w:sz w:val="22"/>
          <w:szCs w:val="22"/>
          <w:color w:val="auto"/>
        </w:rPr>
        <w:t>means an employee who at the time an ISO is granted owns Shares possessing more than</w:t>
      </w:r>
      <w:r>
        <w:rPr>
          <w:rFonts w:ascii="Arial" w:cs="Arial" w:eastAsia="Arial" w:hAnsi="Arial"/>
          <w:sz w:val="22"/>
          <w:szCs w:val="22"/>
          <w:b w:val="1"/>
          <w:bCs w:val="1"/>
          <w:color w:val="auto"/>
        </w:rPr>
        <w:t xml:space="preserve"> </w:t>
      </w:r>
      <w:r>
        <w:rPr>
          <w:rFonts w:ascii="Arial" w:cs="Arial" w:eastAsia="Arial" w:hAnsi="Arial"/>
          <w:sz w:val="22"/>
          <w:szCs w:val="22"/>
          <w:color w:val="auto"/>
        </w:rPr>
        <w:t>ten percent of the total combined voting power of all classes of stock of the Company or any Subsidiary, within the meaning of Code Section 422.</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3. Administration</w:t>
      </w:r>
    </w:p>
    <w:p>
      <w:pPr>
        <w:spacing w:after="0" w:line="220" w:lineRule="exact"/>
        <w:rPr>
          <w:sz w:val="20"/>
          <w:szCs w:val="20"/>
          <w:color w:val="auto"/>
        </w:rPr>
      </w:pPr>
    </w:p>
    <w:p>
      <w:pPr>
        <w:ind w:right="40" w:firstLine="392"/>
        <w:spacing w:after="0" w:line="262" w:lineRule="auto"/>
        <w:rPr>
          <w:sz w:val="20"/>
          <w:szCs w:val="20"/>
          <w:color w:val="auto"/>
        </w:rPr>
      </w:pPr>
      <w:r>
        <w:rPr>
          <w:rFonts w:ascii="Arial" w:cs="Arial" w:eastAsia="Arial" w:hAnsi="Arial"/>
          <w:sz w:val="21"/>
          <w:szCs w:val="21"/>
          <w:b w:val="1"/>
          <w:bCs w:val="1"/>
          <w:color w:val="auto"/>
        </w:rPr>
        <w:t>3.1 General</w:t>
      </w:r>
      <w:r>
        <w:rPr>
          <w:rFonts w:ascii="Arial" w:cs="Arial" w:eastAsia="Arial" w:hAnsi="Arial"/>
          <w:sz w:val="21"/>
          <w:szCs w:val="21"/>
          <w:color w:val="auto"/>
        </w:rPr>
        <w:t>. Subject to the terms and conditions of the Plan, the Plan shall be administered by the Committee. The members</w:t>
      </w:r>
      <w:r>
        <w:rPr>
          <w:rFonts w:ascii="Arial" w:cs="Arial" w:eastAsia="Arial" w:hAnsi="Arial"/>
          <w:sz w:val="21"/>
          <w:szCs w:val="21"/>
          <w:b w:val="1"/>
          <w:bCs w:val="1"/>
          <w:color w:val="auto"/>
        </w:rPr>
        <w:t xml:space="preserve"> </w:t>
      </w:r>
      <w:r>
        <w:rPr>
          <w:rFonts w:ascii="Arial" w:cs="Arial" w:eastAsia="Arial" w:hAnsi="Arial"/>
          <w:sz w:val="21"/>
          <w:szCs w:val="21"/>
          <w:color w:val="auto"/>
        </w:rPr>
        <w:t>of the Committee shall be appointed from time to time by, and shall serve at the discretion of, the Board of Directors. The Committee shall have the authority to delegate administrative duties to officers of the Company. For purposes of making Awards intended to qualify for the Performance Based Exception under Code Section 162(m), to the extent required under such Code Section, the Committee shall be comprised solely of two or more individuals who are “outside directors”, as that term is defined in Code Section 162(m) and the regulations thereunder.</w:t>
      </w:r>
    </w:p>
    <w:p>
      <w:pPr>
        <w:spacing w:after="0" w:line="66" w:lineRule="exact"/>
        <w:rPr>
          <w:sz w:val="20"/>
          <w:szCs w:val="20"/>
          <w:color w:val="auto"/>
        </w:rPr>
      </w:pPr>
    </w:p>
    <w:p>
      <w:pPr>
        <w:ind w:firstLine="972"/>
        <w:spacing w:after="0" w:line="290" w:lineRule="auto"/>
        <w:rPr>
          <w:sz w:val="20"/>
          <w:szCs w:val="20"/>
          <w:color w:val="auto"/>
        </w:rPr>
      </w:pPr>
      <w:r>
        <w:rPr>
          <w:rFonts w:ascii="Arial" w:cs="Arial" w:eastAsia="Arial" w:hAnsi="Arial"/>
          <w:sz w:val="19"/>
          <w:szCs w:val="19"/>
          <w:b w:val="1"/>
          <w:bCs w:val="1"/>
          <w:color w:val="auto"/>
        </w:rPr>
        <w:t>3.2 Authority of the Committee</w:t>
      </w:r>
      <w:r>
        <w:rPr>
          <w:rFonts w:ascii="Arial" w:cs="Arial" w:eastAsia="Arial" w:hAnsi="Arial"/>
          <w:sz w:val="19"/>
          <w:szCs w:val="19"/>
          <w:color w:val="auto"/>
        </w:rPr>
        <w:t>. Except as limited by law or by the Certificate of Incorporation or Bylaws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and subject to the provisions hereof, the Committee shall have full power to select Employees and Directors who shall be offered the opportunity to participate in the Plan; determine the sizes and types of Awards; determine the terms and conditions of Awards in a manner consistent with the Plan (including, but not limited to, termination provisions); construe and interpret the Plan and any agreement or instrument entered into under the Plan; establish, amend, or waive rules and regulations for the Plan’s administration; and amend the terms and conditions of any outstanding Award as provided in the Plan. Further, the Committee shall make all other determinations that it deems necessary or advisable for the administration of the Plan. As permitted by law and the terms of the Plan, the Committee may delegate its authority herein. No member of the Committee shall be liable for any action taken or decision made in good faith relating to the Plan or any Award granted hereunder.</w:t>
      </w:r>
    </w:p>
    <w:p>
      <w:pPr>
        <w:spacing w:after="0" w:line="284"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color w:val="auto"/>
        </w:rPr>
        <w:t>BOS1472419.8</w:t>
      </w:r>
      <w:r>
        <w:rPr>
          <w:sz w:val="20"/>
          <w:szCs w:val="20"/>
          <w:color w:val="auto"/>
        </w:rPr>
        <w:tab/>
      </w:r>
      <w:r>
        <w:rPr>
          <w:rFonts w:ascii="Arial" w:cs="Arial" w:eastAsia="Arial" w:hAnsi="Arial"/>
          <w:sz w:val="18"/>
          <w:szCs w:val="18"/>
          <w:color w:val="auto"/>
        </w:rPr>
        <w:t>-4-</w:t>
      </w:r>
    </w:p>
    <w:p>
      <w:pPr>
        <w:sectPr>
          <w:pgSz w:w="11900" w:h="16838" w:orient="portrait"/>
          <w:cols w:equalWidth="0" w:num="1">
            <w:col w:w="11400"/>
          </w:cols>
          <w:pgMar w:left="240" w:top="612" w:right="259" w:bottom="1440" w:gutter="0" w:footer="0" w:header="0"/>
        </w:sectPr>
      </w:pPr>
    </w:p>
    <w:bookmarkStart w:id="102" w:name="page103"/>
    <w:bookmarkEnd w:id="102"/>
    <w:p>
      <w:pPr>
        <w:ind w:firstLine="392"/>
        <w:spacing w:after="0" w:line="315" w:lineRule="auto"/>
        <w:rPr>
          <w:sz w:val="20"/>
          <w:szCs w:val="20"/>
          <w:color w:val="auto"/>
        </w:rPr>
      </w:pPr>
      <w:r>
        <w:rPr>
          <w:rFonts w:ascii="Arial" w:cs="Arial" w:eastAsia="Arial" w:hAnsi="Arial"/>
          <w:sz w:val="19"/>
          <w:szCs w:val="19"/>
          <w:b w:val="1"/>
          <w:bCs w:val="1"/>
          <w:color w:val="auto"/>
        </w:rPr>
        <w:t>3.3 Decisions Binding</w:t>
      </w:r>
      <w:r>
        <w:rPr>
          <w:rFonts w:ascii="Arial" w:cs="Arial" w:eastAsia="Arial" w:hAnsi="Arial"/>
          <w:sz w:val="19"/>
          <w:szCs w:val="19"/>
          <w:color w:val="auto"/>
        </w:rPr>
        <w:t>. All determinations and decisions made by the Committee pursuant to the provisions of the Plan and</w:t>
      </w:r>
      <w:r>
        <w:rPr>
          <w:rFonts w:ascii="Arial" w:cs="Arial" w:eastAsia="Arial" w:hAnsi="Arial"/>
          <w:sz w:val="19"/>
          <w:szCs w:val="19"/>
          <w:b w:val="1"/>
          <w:bCs w:val="1"/>
          <w:color w:val="auto"/>
        </w:rPr>
        <w:t xml:space="preserve"> </w:t>
      </w:r>
      <w:r>
        <w:rPr>
          <w:rFonts w:ascii="Arial" w:cs="Arial" w:eastAsia="Arial" w:hAnsi="Arial"/>
          <w:sz w:val="19"/>
          <w:szCs w:val="19"/>
          <w:color w:val="auto"/>
        </w:rPr>
        <w:t>all related orders and resolutions of the Committee shall be final, conclusive, and binding on all persons, including the Company, its stockholders, Directors, Employees, Participants, and their estates and beneficiaries, unless changed by the Board.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4. Shares Subject to the Plan and Maximum Awards</w:t>
      </w:r>
    </w:p>
    <w:p>
      <w:pPr>
        <w:spacing w:after="0" w:line="220" w:lineRule="exact"/>
        <w:rPr>
          <w:sz w:val="20"/>
          <w:szCs w:val="20"/>
          <w:color w:val="auto"/>
        </w:rPr>
      </w:pPr>
    </w:p>
    <w:p>
      <w:pPr>
        <w:ind w:right="60" w:firstLine="392"/>
        <w:spacing w:after="0" w:line="295" w:lineRule="auto"/>
        <w:rPr>
          <w:sz w:val="20"/>
          <w:szCs w:val="20"/>
          <w:color w:val="auto"/>
        </w:rPr>
      </w:pPr>
      <w:r>
        <w:rPr>
          <w:rFonts w:ascii="Arial" w:cs="Arial" w:eastAsia="Arial" w:hAnsi="Arial"/>
          <w:sz w:val="19"/>
          <w:szCs w:val="19"/>
          <w:b w:val="1"/>
          <w:bCs w:val="1"/>
          <w:color w:val="auto"/>
        </w:rPr>
        <w:t>4.1 Number of Shares Available for Grants</w:t>
      </w:r>
      <w:r>
        <w:rPr>
          <w:rFonts w:ascii="Arial" w:cs="Arial" w:eastAsia="Arial" w:hAnsi="Arial"/>
          <w:sz w:val="19"/>
          <w:szCs w:val="19"/>
          <w:color w:val="auto"/>
        </w:rPr>
        <w:t>. Subject to adjustment as provided in Section 4.4 hereof, the number of Shares</w:t>
      </w:r>
      <w:r>
        <w:rPr>
          <w:rFonts w:ascii="Arial" w:cs="Arial" w:eastAsia="Arial" w:hAnsi="Arial"/>
          <w:sz w:val="19"/>
          <w:szCs w:val="19"/>
          <w:b w:val="1"/>
          <w:bCs w:val="1"/>
          <w:color w:val="auto"/>
        </w:rPr>
        <w:t xml:space="preserve"> </w:t>
      </w:r>
      <w:r>
        <w:rPr>
          <w:rFonts w:ascii="Arial" w:cs="Arial" w:eastAsia="Arial" w:hAnsi="Arial"/>
          <w:sz w:val="19"/>
          <w:szCs w:val="19"/>
          <w:color w:val="auto"/>
        </w:rPr>
        <w:t>hereby reserved for issuance on or after July 31, 2011 to Participants under the Plan shall equal 7,529,672. Subject to adjustment as provided in Section 4.4 hereof, the maximum number of Shares that may be issued pursuant to Incentive Stock Options shall not exceed 500,000. Any Shares that are subject to Award of Stock Options or Stock Appreciation Rights shall be counted against this limit as one (1) Share for every one (1) Share issued. Any Shares that are subject to Awards other than Stock Options or Stock Appreciation Rights shall be counted against this limit as 3.26 Shares for every one (1) Share granted on or after July 31, 2008.</w:t>
      </w:r>
    </w:p>
    <w:p>
      <w:pPr>
        <w:spacing w:after="0" w:line="36" w:lineRule="exact"/>
        <w:rPr>
          <w:sz w:val="20"/>
          <w:szCs w:val="20"/>
          <w:color w:val="auto"/>
        </w:rPr>
      </w:pPr>
    </w:p>
    <w:p>
      <w:pPr>
        <w:ind w:right="20" w:firstLine="392"/>
        <w:spacing w:after="0" w:line="288" w:lineRule="auto"/>
        <w:rPr>
          <w:sz w:val="20"/>
          <w:szCs w:val="20"/>
          <w:color w:val="auto"/>
        </w:rPr>
      </w:pPr>
      <w:r>
        <w:rPr>
          <w:rFonts w:ascii="Arial" w:cs="Arial" w:eastAsia="Arial" w:hAnsi="Arial"/>
          <w:sz w:val="19"/>
          <w:szCs w:val="19"/>
          <w:b w:val="1"/>
          <w:bCs w:val="1"/>
          <w:color w:val="auto"/>
        </w:rPr>
        <w:t>4.2 Calculation of Remaining Shares</w:t>
      </w:r>
      <w:r>
        <w:rPr>
          <w:rFonts w:ascii="Arial" w:cs="Arial" w:eastAsia="Arial" w:hAnsi="Arial"/>
          <w:sz w:val="19"/>
          <w:szCs w:val="19"/>
          <w:color w:val="auto"/>
        </w:rPr>
        <w:t>. Shares may be authorized or unissued shares. Except as otherwise provided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Article 4, the Committee shall determine the appropriate methodology for calculating the number of Shares issued pursuant to the Plan. Any Shares covered by an Award (or portion of an Award) granted under the Plan which is settled in cash in lieu of Shares, forfeited, terminated or otherwise canceled or expires shall be deemed not to have been delivered for purposes of determining the maximum number of Shares available for delivery under the Plan. If a Participant tenders shares (either actually, by attestation or otherwise) to pay all or any part of the Option Price or purchase price on an Award or if any shares payable with respect to any Award are retained by the Company in satisfaction of the Participant’s obligation for taxes, the number of shares actually tendered or retained shall not become or again be, as the case may be, included in the Share limit described in this Section 4.1. Following the exercise of a SARs Award, the difference between the number of Shares subject to such Award and the number of Shares issued in such exercise shall not be included in the maximum number of Shares available for delivery under the Plan. The Company shall not use cash proceeds from the excise of an Option by a Participant to repurchase Shares for the purpose of increasing the maximum number of Shares available for delivery under the Plan.</w:t>
      </w:r>
    </w:p>
    <w:p>
      <w:pPr>
        <w:spacing w:after="0" w:line="200" w:lineRule="exact"/>
        <w:rPr>
          <w:sz w:val="20"/>
          <w:szCs w:val="20"/>
          <w:color w:val="auto"/>
        </w:rPr>
      </w:pPr>
    </w:p>
    <w:p>
      <w:pPr>
        <w:spacing w:after="0" w:line="206" w:lineRule="exact"/>
        <w:rPr>
          <w:sz w:val="20"/>
          <w:szCs w:val="20"/>
          <w:color w:val="auto"/>
        </w:rPr>
      </w:pPr>
    </w:p>
    <w:p>
      <w:pPr>
        <w:ind w:left="400"/>
        <w:spacing w:after="0"/>
        <w:tabs>
          <w:tab w:leader="none" w:pos="860" w:val="left"/>
        </w:tabs>
        <w:rPr>
          <w:sz w:val="20"/>
          <w:szCs w:val="20"/>
          <w:color w:val="auto"/>
        </w:rPr>
      </w:pPr>
      <w:r>
        <w:rPr>
          <w:rFonts w:ascii="Arial" w:cs="Arial" w:eastAsia="Arial" w:hAnsi="Arial"/>
          <w:sz w:val="22"/>
          <w:szCs w:val="22"/>
          <w:b w:val="1"/>
          <w:bCs w:val="1"/>
          <w:color w:val="auto"/>
        </w:rPr>
        <w:t>4.3</w:t>
      </w:r>
      <w:r>
        <w:rPr>
          <w:sz w:val="20"/>
          <w:szCs w:val="20"/>
          <w:color w:val="auto"/>
        </w:rPr>
        <w:tab/>
      </w:r>
      <w:r>
        <w:rPr>
          <w:rFonts w:ascii="Arial" w:cs="Arial" w:eastAsia="Arial" w:hAnsi="Arial"/>
          <w:sz w:val="19"/>
          <w:szCs w:val="19"/>
          <w:b w:val="1"/>
          <w:bCs w:val="1"/>
          <w:color w:val="auto"/>
        </w:rPr>
        <w:t>Limitations on Awards</w:t>
      </w:r>
      <w:r>
        <w:rPr>
          <w:rFonts w:ascii="Arial" w:cs="Arial" w:eastAsia="Arial" w:hAnsi="Arial"/>
          <w:sz w:val="19"/>
          <w:szCs w:val="19"/>
          <w:color w:val="auto"/>
        </w:rPr>
        <w:t>. The following limitations shall apply to the grant of any Award to a Participant in a fiscal year:</w:t>
      </w:r>
    </w:p>
    <w:p>
      <w:pPr>
        <w:spacing w:after="0" w:line="112" w:lineRule="exact"/>
        <w:rPr>
          <w:sz w:val="20"/>
          <w:szCs w:val="20"/>
          <w:color w:val="auto"/>
        </w:rPr>
      </w:pPr>
    </w:p>
    <w:p>
      <w:pPr>
        <w:ind w:left="1540" w:right="320" w:firstLine="399"/>
        <w:spacing w:after="0" w:line="341" w:lineRule="auto"/>
        <w:tabs>
          <w:tab w:leader="none" w:pos="2387" w:val="left"/>
        </w:tabs>
        <w:numPr>
          <w:ilvl w:val="0"/>
          <w:numId w:val="38"/>
        </w:numPr>
        <w:rPr>
          <w:rFonts w:ascii="Arial" w:cs="Arial" w:eastAsia="Arial" w:hAnsi="Arial"/>
          <w:sz w:val="19"/>
          <w:szCs w:val="19"/>
          <w:color w:val="auto"/>
        </w:rPr>
      </w:pPr>
      <w:r>
        <w:rPr>
          <w:rFonts w:ascii="Arial" w:cs="Arial" w:eastAsia="Arial" w:hAnsi="Arial"/>
          <w:sz w:val="19"/>
          <w:szCs w:val="19"/>
          <w:b w:val="1"/>
          <w:bCs w:val="1"/>
          <w:color w:val="auto"/>
        </w:rPr>
        <w:t>Stock Options</w:t>
      </w:r>
      <w:r>
        <w:rPr>
          <w:rFonts w:ascii="Arial" w:cs="Arial" w:eastAsia="Arial" w:hAnsi="Arial"/>
          <w:sz w:val="19"/>
          <w:szCs w:val="19"/>
          <w:color w:val="auto"/>
        </w:rPr>
        <w:t>: The maximum aggregate number of Shares that may be granted in the form of Stock</w:t>
      </w:r>
      <w:r>
        <w:rPr>
          <w:rFonts w:ascii="Arial" w:cs="Arial" w:eastAsia="Arial" w:hAnsi="Arial"/>
          <w:sz w:val="19"/>
          <w:szCs w:val="19"/>
          <w:b w:val="1"/>
          <w:bCs w:val="1"/>
          <w:color w:val="auto"/>
        </w:rPr>
        <w:t xml:space="preserve"> </w:t>
      </w:r>
      <w:r>
        <w:rPr>
          <w:rFonts w:ascii="Arial" w:cs="Arial" w:eastAsia="Arial" w:hAnsi="Arial"/>
          <w:sz w:val="19"/>
          <w:szCs w:val="19"/>
          <w:color w:val="auto"/>
        </w:rPr>
        <w:t>Options pursuant to Awards granted in any one fiscal year to any one Participant shall be 1,200,000.</w:t>
      </w:r>
    </w:p>
    <w:p>
      <w:pPr>
        <w:ind w:left="1540" w:right="320" w:firstLine="399"/>
        <w:spacing w:after="0" w:line="350" w:lineRule="auto"/>
        <w:tabs>
          <w:tab w:leader="none" w:pos="2400" w:val="left"/>
        </w:tabs>
        <w:numPr>
          <w:ilvl w:val="0"/>
          <w:numId w:val="38"/>
        </w:numPr>
        <w:rPr>
          <w:rFonts w:ascii="Arial" w:cs="Arial" w:eastAsia="Arial" w:hAnsi="Arial"/>
          <w:sz w:val="19"/>
          <w:szCs w:val="19"/>
          <w:color w:val="auto"/>
        </w:rPr>
      </w:pPr>
      <w:r>
        <w:rPr>
          <w:rFonts w:ascii="Arial" w:cs="Arial" w:eastAsia="Arial" w:hAnsi="Arial"/>
          <w:sz w:val="19"/>
          <w:szCs w:val="19"/>
          <w:b w:val="1"/>
          <w:bCs w:val="1"/>
          <w:color w:val="auto"/>
        </w:rPr>
        <w:t>SARs</w:t>
      </w:r>
      <w:r>
        <w:rPr>
          <w:rFonts w:ascii="Arial" w:cs="Arial" w:eastAsia="Arial" w:hAnsi="Arial"/>
          <w:sz w:val="19"/>
          <w:szCs w:val="19"/>
          <w:color w:val="auto"/>
        </w:rPr>
        <w:t>: The maximum aggregate number of Shares that may be granted in the form of Stock</w:t>
      </w:r>
      <w:r>
        <w:rPr>
          <w:rFonts w:ascii="Arial" w:cs="Arial" w:eastAsia="Arial" w:hAnsi="Arial"/>
          <w:sz w:val="19"/>
          <w:szCs w:val="19"/>
          <w:b w:val="1"/>
          <w:bCs w:val="1"/>
          <w:color w:val="auto"/>
        </w:rPr>
        <w:t xml:space="preserve"> </w:t>
      </w:r>
      <w:r>
        <w:rPr>
          <w:rFonts w:ascii="Arial" w:cs="Arial" w:eastAsia="Arial" w:hAnsi="Arial"/>
          <w:sz w:val="19"/>
          <w:szCs w:val="19"/>
          <w:color w:val="auto"/>
        </w:rPr>
        <w:t>Appreciation Rights pursuant to Awards granted in any one fiscal year to any one Participant shall be 500,000.</w:t>
      </w:r>
    </w:p>
    <w:p>
      <w:pPr>
        <w:spacing w:after="0" w:line="227"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color w:val="auto"/>
        </w:rPr>
        <w:t>BOS1472419.8</w:t>
      </w:r>
      <w:r>
        <w:rPr>
          <w:sz w:val="20"/>
          <w:szCs w:val="20"/>
          <w:color w:val="auto"/>
        </w:rPr>
        <w:tab/>
      </w:r>
      <w:r>
        <w:rPr>
          <w:rFonts w:ascii="Arial" w:cs="Arial" w:eastAsia="Arial" w:hAnsi="Arial"/>
          <w:sz w:val="18"/>
          <w:szCs w:val="18"/>
          <w:color w:val="auto"/>
        </w:rPr>
        <w:t>-5-</w:t>
      </w:r>
    </w:p>
    <w:p>
      <w:pPr>
        <w:sectPr>
          <w:pgSz w:w="11900" w:h="16838" w:orient="portrait"/>
          <w:cols w:equalWidth="0" w:num="1">
            <w:col w:w="11420"/>
          </w:cols>
          <w:pgMar w:left="240" w:top="612" w:right="239" w:bottom="1440" w:gutter="0" w:footer="0" w:header="0"/>
        </w:sectPr>
      </w:pPr>
    </w:p>
    <w:bookmarkStart w:id="103" w:name="page104"/>
    <w:bookmarkEnd w:id="103"/>
    <w:p>
      <w:pPr>
        <w:ind w:left="1540" w:right="540" w:firstLine="399"/>
        <w:spacing w:after="0" w:line="341" w:lineRule="auto"/>
        <w:tabs>
          <w:tab w:leader="none" w:pos="2387" w:val="left"/>
        </w:tabs>
        <w:numPr>
          <w:ilvl w:val="0"/>
          <w:numId w:val="39"/>
        </w:numPr>
        <w:rPr>
          <w:rFonts w:ascii="Arial" w:cs="Arial" w:eastAsia="Arial" w:hAnsi="Arial"/>
          <w:sz w:val="19"/>
          <w:szCs w:val="19"/>
          <w:color w:val="auto"/>
        </w:rPr>
      </w:pPr>
      <w:r>
        <w:rPr>
          <w:rFonts w:ascii="Arial" w:cs="Arial" w:eastAsia="Arial" w:hAnsi="Arial"/>
          <w:sz w:val="19"/>
          <w:szCs w:val="19"/>
          <w:b w:val="1"/>
          <w:bCs w:val="1"/>
          <w:color w:val="auto"/>
        </w:rPr>
        <w:t>Restricted Stock</w:t>
      </w:r>
      <w:r>
        <w:rPr>
          <w:rFonts w:ascii="Arial" w:cs="Arial" w:eastAsia="Arial" w:hAnsi="Arial"/>
          <w:sz w:val="19"/>
          <w:szCs w:val="19"/>
          <w:color w:val="auto"/>
        </w:rPr>
        <w:t>: The maximum aggregate number of Shares that may be granted with respect to</w:t>
      </w:r>
      <w:r>
        <w:rPr>
          <w:rFonts w:ascii="Arial" w:cs="Arial" w:eastAsia="Arial" w:hAnsi="Arial"/>
          <w:sz w:val="19"/>
          <w:szCs w:val="19"/>
          <w:b w:val="1"/>
          <w:bCs w:val="1"/>
          <w:color w:val="auto"/>
        </w:rPr>
        <w:t xml:space="preserve"> </w:t>
      </w:r>
      <w:r>
        <w:rPr>
          <w:rFonts w:ascii="Arial" w:cs="Arial" w:eastAsia="Arial" w:hAnsi="Arial"/>
          <w:sz w:val="19"/>
          <w:szCs w:val="19"/>
          <w:color w:val="auto"/>
        </w:rPr>
        <w:t>Awards of Restricted Stock granted in any one fiscal year to any one Participant shall be 500,000.</w:t>
      </w:r>
    </w:p>
    <w:p>
      <w:pPr>
        <w:ind w:left="1540" w:firstLine="399"/>
        <w:spacing w:after="0" w:line="252" w:lineRule="auto"/>
        <w:tabs>
          <w:tab w:leader="none" w:pos="2400" w:val="left"/>
        </w:tabs>
        <w:numPr>
          <w:ilvl w:val="0"/>
          <w:numId w:val="39"/>
        </w:numPr>
        <w:rPr>
          <w:rFonts w:ascii="Arial" w:cs="Arial" w:eastAsia="Arial" w:hAnsi="Arial"/>
          <w:sz w:val="22"/>
          <w:szCs w:val="22"/>
          <w:color w:val="auto"/>
        </w:rPr>
      </w:pPr>
      <w:r>
        <w:rPr>
          <w:rFonts w:ascii="Arial" w:cs="Arial" w:eastAsia="Arial" w:hAnsi="Arial"/>
          <w:sz w:val="22"/>
          <w:szCs w:val="22"/>
          <w:b w:val="1"/>
          <w:bCs w:val="1"/>
          <w:color w:val="auto"/>
        </w:rPr>
        <w:t xml:space="preserve">Deferred Stock/Restricted Stock Unit Awards: </w:t>
      </w:r>
      <w:r>
        <w:rPr>
          <w:rFonts w:ascii="Arial" w:cs="Arial" w:eastAsia="Arial" w:hAnsi="Arial"/>
          <w:sz w:val="22"/>
          <w:szCs w:val="22"/>
          <w:color w:val="auto"/>
        </w:rPr>
        <w:t>The maximum aggregate grant or award with respect</w:t>
      </w:r>
      <w:r>
        <w:rPr>
          <w:rFonts w:ascii="Arial" w:cs="Arial" w:eastAsia="Arial" w:hAnsi="Arial"/>
          <w:sz w:val="22"/>
          <w:szCs w:val="22"/>
          <w:b w:val="1"/>
          <w:bCs w:val="1"/>
          <w:color w:val="auto"/>
        </w:rPr>
        <w:t xml:space="preserve"> </w:t>
      </w:r>
      <w:r>
        <w:rPr>
          <w:rFonts w:ascii="Arial" w:cs="Arial" w:eastAsia="Arial" w:hAnsi="Arial"/>
          <w:sz w:val="22"/>
          <w:szCs w:val="22"/>
          <w:color w:val="auto"/>
        </w:rPr>
        <w:t>to Awards of Deferred Stock Units made in any one fiscal year to any one Participant may not exceed $7,000,000. The maximum aggregate grant with respect to Awards of Restricted Stock Units made in any one fiscal year to any one Participant may not exceed $7,000,000.</w:t>
      </w:r>
    </w:p>
    <w:p>
      <w:pPr>
        <w:spacing w:after="0" w:line="71" w:lineRule="exact"/>
        <w:rPr>
          <w:rFonts w:ascii="Arial" w:cs="Arial" w:eastAsia="Arial" w:hAnsi="Arial"/>
          <w:sz w:val="22"/>
          <w:szCs w:val="22"/>
          <w:color w:val="auto"/>
        </w:rPr>
      </w:pPr>
    </w:p>
    <w:p>
      <w:pPr>
        <w:ind w:left="1540" w:firstLine="399"/>
        <w:spacing w:after="0" w:line="269" w:lineRule="auto"/>
        <w:tabs>
          <w:tab w:leader="none" w:pos="2387" w:val="left"/>
        </w:tabs>
        <w:numPr>
          <w:ilvl w:val="0"/>
          <w:numId w:val="39"/>
        </w:numPr>
        <w:rPr>
          <w:rFonts w:ascii="Arial" w:cs="Arial" w:eastAsia="Arial" w:hAnsi="Arial"/>
          <w:sz w:val="22"/>
          <w:szCs w:val="22"/>
          <w:color w:val="auto"/>
        </w:rPr>
      </w:pPr>
      <w:r>
        <w:rPr>
          <w:rFonts w:ascii="Arial" w:cs="Arial" w:eastAsia="Arial" w:hAnsi="Arial"/>
          <w:sz w:val="22"/>
          <w:szCs w:val="22"/>
          <w:b w:val="1"/>
          <w:bCs w:val="1"/>
          <w:color w:val="auto"/>
        </w:rPr>
        <w:t xml:space="preserve">Other Stock Unit Awards: </w:t>
      </w:r>
      <w:r>
        <w:rPr>
          <w:rFonts w:ascii="Arial" w:cs="Arial" w:eastAsia="Arial" w:hAnsi="Arial"/>
          <w:sz w:val="22"/>
          <w:szCs w:val="22"/>
          <w:color w:val="auto"/>
        </w:rPr>
        <w:t>The maximum aggregate grant with respect to Awards of Other Stock Units</w:t>
      </w:r>
      <w:r>
        <w:rPr>
          <w:rFonts w:ascii="Arial" w:cs="Arial" w:eastAsia="Arial" w:hAnsi="Arial"/>
          <w:sz w:val="22"/>
          <w:szCs w:val="22"/>
          <w:b w:val="1"/>
          <w:bCs w:val="1"/>
          <w:color w:val="auto"/>
        </w:rPr>
        <w:t xml:space="preserve"> </w:t>
      </w:r>
      <w:r>
        <w:rPr>
          <w:rFonts w:ascii="Arial" w:cs="Arial" w:eastAsia="Arial" w:hAnsi="Arial"/>
          <w:sz w:val="22"/>
          <w:szCs w:val="22"/>
          <w:color w:val="auto"/>
        </w:rPr>
        <w:t>made in any one fiscal year to any one Participant may not exceed $10,000,000.</w:t>
      </w:r>
    </w:p>
    <w:p>
      <w:pPr>
        <w:spacing w:after="0" w:line="54" w:lineRule="exact"/>
        <w:rPr>
          <w:rFonts w:ascii="Arial" w:cs="Arial" w:eastAsia="Arial" w:hAnsi="Arial"/>
          <w:sz w:val="22"/>
          <w:szCs w:val="22"/>
          <w:color w:val="auto"/>
        </w:rPr>
      </w:pPr>
    </w:p>
    <w:p>
      <w:pPr>
        <w:ind w:left="1540" w:right="180" w:firstLine="399"/>
        <w:spacing w:after="0" w:line="256" w:lineRule="auto"/>
        <w:tabs>
          <w:tab w:leader="none" w:pos="2364" w:val="left"/>
        </w:tabs>
        <w:numPr>
          <w:ilvl w:val="0"/>
          <w:numId w:val="39"/>
        </w:numPr>
        <w:rPr>
          <w:rFonts w:ascii="Arial" w:cs="Arial" w:eastAsia="Arial" w:hAnsi="Arial"/>
          <w:sz w:val="22"/>
          <w:szCs w:val="22"/>
          <w:color w:val="auto"/>
        </w:rPr>
      </w:pPr>
      <w:r>
        <w:rPr>
          <w:rFonts w:ascii="Arial" w:cs="Arial" w:eastAsia="Arial" w:hAnsi="Arial"/>
          <w:sz w:val="22"/>
          <w:szCs w:val="22"/>
          <w:b w:val="1"/>
          <w:bCs w:val="1"/>
          <w:color w:val="auto"/>
        </w:rPr>
        <w:t xml:space="preserve">Performance Shares Awards: </w:t>
      </w:r>
      <w:r>
        <w:rPr>
          <w:rFonts w:ascii="Arial" w:cs="Arial" w:eastAsia="Arial" w:hAnsi="Arial"/>
          <w:sz w:val="22"/>
          <w:szCs w:val="22"/>
          <w:color w:val="auto"/>
        </w:rPr>
        <w:t>The maximum aggregate grant with respect to Awards of Performance</w:t>
      </w:r>
      <w:r>
        <w:rPr>
          <w:rFonts w:ascii="Arial" w:cs="Arial" w:eastAsia="Arial" w:hAnsi="Arial"/>
          <w:sz w:val="22"/>
          <w:szCs w:val="22"/>
          <w:b w:val="1"/>
          <w:bCs w:val="1"/>
          <w:color w:val="auto"/>
        </w:rPr>
        <w:t xml:space="preserve"> </w:t>
      </w:r>
      <w:r>
        <w:rPr>
          <w:rFonts w:ascii="Arial" w:cs="Arial" w:eastAsia="Arial" w:hAnsi="Arial"/>
          <w:sz w:val="22"/>
          <w:szCs w:val="22"/>
          <w:color w:val="auto"/>
        </w:rPr>
        <w:t>Shares made in any one fiscal year to any one Participant shall be equal to the Fair Market Value of 500,000 Shares (measured on the date of grant).</w:t>
      </w:r>
    </w:p>
    <w:p>
      <w:pPr>
        <w:spacing w:after="0" w:line="196" w:lineRule="exact"/>
        <w:rPr>
          <w:sz w:val="20"/>
          <w:szCs w:val="20"/>
          <w:color w:val="auto"/>
        </w:rPr>
      </w:pPr>
    </w:p>
    <w:p>
      <w:pPr>
        <w:ind w:right="360" w:firstLine="392"/>
        <w:spacing w:after="0" w:line="250" w:lineRule="auto"/>
        <w:rPr>
          <w:sz w:val="20"/>
          <w:szCs w:val="20"/>
          <w:color w:val="auto"/>
        </w:rPr>
      </w:pPr>
      <w:r>
        <w:rPr>
          <w:rFonts w:ascii="Arial" w:cs="Arial" w:eastAsia="Arial" w:hAnsi="Arial"/>
          <w:sz w:val="22"/>
          <w:szCs w:val="22"/>
          <w:color w:val="auto"/>
        </w:rPr>
        <w:t>Notwithstanding anything in the Plan to the contrary and subject to adjustment as provided in Section 4.4, the maximum aggregate number of Shares that may be granted as Awards in any one fiscal year to a Director shall be equal to the Fair Market Value of 20,000 Shares (measured on the date of grant) and the maximum aggregate number of Shares that may be granted as Awards to any Director cumulatively under this Plan is 700,000.</w:t>
      </w:r>
    </w:p>
    <w:p>
      <w:pPr>
        <w:spacing w:after="0" w:line="80" w:lineRule="exact"/>
        <w:rPr>
          <w:sz w:val="20"/>
          <w:szCs w:val="20"/>
          <w:color w:val="auto"/>
        </w:rPr>
      </w:pPr>
    </w:p>
    <w:p>
      <w:pPr>
        <w:ind w:right="60" w:firstLine="392"/>
        <w:spacing w:after="0" w:line="263" w:lineRule="auto"/>
        <w:rPr>
          <w:sz w:val="20"/>
          <w:szCs w:val="20"/>
          <w:color w:val="auto"/>
        </w:rPr>
      </w:pPr>
      <w:r>
        <w:rPr>
          <w:rFonts w:ascii="Arial" w:cs="Arial" w:eastAsia="Arial" w:hAnsi="Arial"/>
          <w:sz w:val="22"/>
          <w:szCs w:val="22"/>
          <w:color w:val="auto"/>
        </w:rPr>
        <w:t>The maximum amount that may be paid under the Annual Target Bonus Plan in any one fiscal year to a participant in that plan shall be $2 million.</w:t>
      </w:r>
    </w:p>
    <w:p>
      <w:pPr>
        <w:spacing w:after="0" w:line="61" w:lineRule="exact"/>
        <w:rPr>
          <w:sz w:val="20"/>
          <w:szCs w:val="20"/>
          <w:color w:val="auto"/>
        </w:rPr>
      </w:pPr>
    </w:p>
    <w:p>
      <w:pPr>
        <w:ind w:right="40" w:firstLine="392"/>
        <w:spacing w:after="0" w:line="293" w:lineRule="auto"/>
        <w:rPr>
          <w:sz w:val="20"/>
          <w:szCs w:val="20"/>
          <w:color w:val="auto"/>
        </w:rPr>
      </w:pPr>
      <w:r>
        <w:rPr>
          <w:rFonts w:ascii="Arial" w:cs="Arial" w:eastAsia="Arial" w:hAnsi="Arial"/>
          <w:sz w:val="19"/>
          <w:szCs w:val="19"/>
          <w:b w:val="1"/>
          <w:bCs w:val="1"/>
          <w:color w:val="auto"/>
        </w:rPr>
        <w:t>4.4 Adjustments in Authorized Shares</w:t>
      </w:r>
      <w:r>
        <w:rPr>
          <w:rFonts w:ascii="Arial" w:cs="Arial" w:eastAsia="Arial" w:hAnsi="Arial"/>
          <w:sz w:val="19"/>
          <w:szCs w:val="19"/>
          <w:color w:val="auto"/>
        </w:rPr>
        <w:t>. Upon a change in corporate capitalization, such as a stock split, stock dividend or a</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corporate transaction, such as any merger, consolidation, combination, exchange of shares or the like, separation, including a spin-off, or other distribution of stock or property of the Company, any reorganization (whether or not such reorganization comes within the definition of such term in Code Section 368) or any partial or complete liquidation of the Company, such adjustment shall be made in the number and class of Shares that may be delivered under Section 4.1, in the number and class of and/or price of Shares subject to outstanding Awards granted under the Plan, and in the Award limits set forth in Section 4.1, as may be determined to be appropriate and equitable by the Committee, in its sole discretion, to prevent dilution or enlargement of rights.</w:t>
      </w:r>
    </w:p>
    <w:p>
      <w:pPr>
        <w:spacing w:after="0" w:line="37" w:lineRule="exact"/>
        <w:rPr>
          <w:sz w:val="20"/>
          <w:szCs w:val="20"/>
          <w:color w:val="auto"/>
        </w:rPr>
      </w:pPr>
    </w:p>
    <w:p>
      <w:pPr>
        <w:ind w:right="80" w:firstLine="392"/>
        <w:spacing w:after="0" w:line="295" w:lineRule="auto"/>
        <w:rPr>
          <w:sz w:val="20"/>
          <w:szCs w:val="20"/>
          <w:color w:val="auto"/>
        </w:rPr>
      </w:pPr>
      <w:r>
        <w:rPr>
          <w:rFonts w:ascii="Arial" w:cs="Arial" w:eastAsia="Arial" w:hAnsi="Arial"/>
          <w:sz w:val="19"/>
          <w:szCs w:val="19"/>
          <w:b w:val="1"/>
          <w:bCs w:val="1"/>
          <w:color w:val="auto"/>
        </w:rPr>
        <w:t>4.5 Adjustment of Awards Upon the Occurrence of Certain Unusual or Nonrecurring Events</w:t>
      </w:r>
      <w:r>
        <w:rPr>
          <w:rFonts w:ascii="Arial" w:cs="Arial" w:eastAsia="Arial" w:hAnsi="Arial"/>
          <w:sz w:val="19"/>
          <w:szCs w:val="19"/>
          <w:color w:val="auto"/>
        </w:rPr>
        <w:t>. The Committee may</w:t>
      </w:r>
      <w:r>
        <w:rPr>
          <w:rFonts w:ascii="Arial" w:cs="Arial" w:eastAsia="Arial" w:hAnsi="Arial"/>
          <w:sz w:val="19"/>
          <w:szCs w:val="19"/>
          <w:b w:val="1"/>
          <w:bCs w:val="1"/>
          <w:color w:val="auto"/>
        </w:rPr>
        <w:t xml:space="preserve"> </w:t>
      </w:r>
      <w:r>
        <w:rPr>
          <w:rFonts w:ascii="Arial" w:cs="Arial" w:eastAsia="Arial" w:hAnsi="Arial"/>
          <w:sz w:val="19"/>
          <w:szCs w:val="19"/>
          <w:color w:val="auto"/>
        </w:rPr>
        <w:t>make adjustments in the terms and conditions of, and the criteria included in, Awards in recognition of unusual or nonrecurring events (including, without limitation, the events described in Section 4.4 hereof) affecting the Company or the financial statements of the Company or of changes in applicable laws, regulations, or accounting principles, whenever the Committee determines that such adjustments are appropriate in order to prevent dilution or enlargement of the benefits or potential benefits intended to be made available under the Plan; provided that, unless the Committee determines otherwise at the time</w:t>
      </w:r>
    </w:p>
    <w:p>
      <w:pPr>
        <w:spacing w:after="0" w:line="279"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color w:val="auto"/>
        </w:rPr>
        <w:t>BOS1472419.8</w:t>
      </w:r>
      <w:r>
        <w:rPr>
          <w:sz w:val="20"/>
          <w:szCs w:val="20"/>
          <w:color w:val="auto"/>
        </w:rPr>
        <w:tab/>
      </w:r>
      <w:r>
        <w:rPr>
          <w:rFonts w:ascii="Arial" w:cs="Arial" w:eastAsia="Arial" w:hAnsi="Arial"/>
          <w:sz w:val="18"/>
          <w:szCs w:val="18"/>
          <w:color w:val="auto"/>
        </w:rPr>
        <w:t>-6-</w:t>
      </w:r>
    </w:p>
    <w:p>
      <w:pPr>
        <w:sectPr>
          <w:pgSz w:w="11900" w:h="16838" w:orient="portrait"/>
          <w:cols w:equalWidth="0" w:num="1">
            <w:col w:w="11400"/>
          </w:cols>
          <w:pgMar w:left="240" w:top="612" w:right="259" w:bottom="1440" w:gutter="0" w:footer="0" w:header="0"/>
        </w:sectPr>
      </w:pPr>
    </w:p>
    <w:bookmarkStart w:id="104" w:name="page105"/>
    <w:bookmarkEnd w:id="104"/>
    <w:p>
      <w:pPr>
        <w:ind w:right="180"/>
        <w:spacing w:after="0" w:line="343" w:lineRule="auto"/>
        <w:rPr>
          <w:sz w:val="20"/>
          <w:szCs w:val="20"/>
          <w:color w:val="auto"/>
        </w:rPr>
      </w:pPr>
      <w:r>
        <w:rPr>
          <w:rFonts w:ascii="Arial" w:cs="Arial" w:eastAsia="Arial" w:hAnsi="Arial"/>
          <w:sz w:val="19"/>
          <w:szCs w:val="19"/>
          <w:color w:val="auto"/>
        </w:rPr>
        <w:t>such adjustment is considered, no such adjustment shall be authorized to the extent that such authority would be inconsistent with the Plan’s or any Award’s meeting the requirements of Section 162(m) of the Code, as from time to time amended.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5. Eligibility and Participation</w:t>
      </w:r>
    </w:p>
    <w:p>
      <w:pPr>
        <w:spacing w:after="0" w:line="220" w:lineRule="exact"/>
        <w:rPr>
          <w:sz w:val="20"/>
          <w:szCs w:val="20"/>
          <w:color w:val="auto"/>
        </w:rPr>
      </w:pPr>
    </w:p>
    <w:p>
      <w:pPr>
        <w:ind w:right="640" w:firstLine="392"/>
        <w:spacing w:after="0" w:line="269" w:lineRule="auto"/>
        <w:rPr>
          <w:sz w:val="20"/>
          <w:szCs w:val="20"/>
          <w:color w:val="auto"/>
        </w:rPr>
      </w:pPr>
      <w:r>
        <w:rPr>
          <w:rFonts w:ascii="Arial" w:cs="Arial" w:eastAsia="Arial" w:hAnsi="Arial"/>
          <w:sz w:val="22"/>
          <w:szCs w:val="22"/>
          <w:b w:val="1"/>
          <w:bCs w:val="1"/>
          <w:color w:val="auto"/>
        </w:rPr>
        <w:t>5.1 Eligibility</w:t>
      </w:r>
      <w:r>
        <w:rPr>
          <w:rFonts w:ascii="Arial" w:cs="Arial" w:eastAsia="Arial" w:hAnsi="Arial"/>
          <w:sz w:val="22"/>
          <w:szCs w:val="22"/>
          <w:color w:val="auto"/>
        </w:rPr>
        <w:t>. Persons eligible to participate in this Plan include all Employees and Directors of the Company and its</w:t>
      </w:r>
      <w:r>
        <w:rPr>
          <w:rFonts w:ascii="Arial" w:cs="Arial" w:eastAsia="Arial" w:hAnsi="Arial"/>
          <w:sz w:val="22"/>
          <w:szCs w:val="22"/>
          <w:b w:val="1"/>
          <w:bCs w:val="1"/>
          <w:color w:val="auto"/>
        </w:rPr>
        <w:t xml:space="preserve"> </w:t>
      </w:r>
      <w:r>
        <w:rPr>
          <w:rFonts w:ascii="Arial" w:cs="Arial" w:eastAsia="Arial" w:hAnsi="Arial"/>
          <w:sz w:val="22"/>
          <w:szCs w:val="22"/>
          <w:color w:val="auto"/>
        </w:rPr>
        <w:t>Subsidiaries.</w:t>
      </w:r>
    </w:p>
    <w:p>
      <w:pPr>
        <w:spacing w:after="0" w:line="54" w:lineRule="exact"/>
        <w:rPr>
          <w:sz w:val="20"/>
          <w:szCs w:val="20"/>
          <w:color w:val="auto"/>
        </w:rPr>
      </w:pPr>
    </w:p>
    <w:p>
      <w:pPr>
        <w:jc w:val="both"/>
        <w:ind w:right="580" w:firstLine="392"/>
        <w:spacing w:after="0" w:line="315" w:lineRule="auto"/>
        <w:rPr>
          <w:sz w:val="20"/>
          <w:szCs w:val="20"/>
          <w:color w:val="auto"/>
        </w:rPr>
      </w:pPr>
      <w:r>
        <w:rPr>
          <w:rFonts w:ascii="Arial" w:cs="Arial" w:eastAsia="Arial" w:hAnsi="Arial"/>
          <w:sz w:val="19"/>
          <w:szCs w:val="19"/>
          <w:b w:val="1"/>
          <w:bCs w:val="1"/>
          <w:color w:val="auto"/>
        </w:rPr>
        <w:t>5.2 Actual Participation</w:t>
      </w:r>
      <w:r>
        <w:rPr>
          <w:rFonts w:ascii="Arial" w:cs="Arial" w:eastAsia="Arial" w:hAnsi="Arial"/>
          <w:sz w:val="19"/>
          <w:szCs w:val="19"/>
          <w:color w:val="auto"/>
        </w:rPr>
        <w:t>. Subject to the provisions of the Plan, the Committee may, from time to time, select from all</w:t>
      </w:r>
      <w:r>
        <w:rPr>
          <w:rFonts w:ascii="Arial" w:cs="Arial" w:eastAsia="Arial" w:hAnsi="Arial"/>
          <w:sz w:val="19"/>
          <w:szCs w:val="19"/>
          <w:b w:val="1"/>
          <w:bCs w:val="1"/>
          <w:color w:val="auto"/>
        </w:rPr>
        <w:t xml:space="preserve"> </w:t>
      </w:r>
      <w:r>
        <w:rPr>
          <w:rFonts w:ascii="Arial" w:cs="Arial" w:eastAsia="Arial" w:hAnsi="Arial"/>
          <w:sz w:val="19"/>
          <w:szCs w:val="19"/>
          <w:color w:val="auto"/>
        </w:rPr>
        <w:t>eligible Employees and Directors, those to whom Awards shall be granted and shall determine the nature and amount of each Award, provided that Incentive Stock Options shall only be awarded to Employees of the Company or its Subsidiaries.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6. Stock Options</w:t>
      </w:r>
    </w:p>
    <w:p>
      <w:pPr>
        <w:spacing w:after="0" w:line="220" w:lineRule="exact"/>
        <w:rPr>
          <w:sz w:val="20"/>
          <w:szCs w:val="20"/>
          <w:color w:val="auto"/>
        </w:rPr>
      </w:pPr>
    </w:p>
    <w:p>
      <w:pPr>
        <w:ind w:right="640" w:firstLine="392"/>
        <w:spacing w:after="0" w:line="341" w:lineRule="auto"/>
        <w:rPr>
          <w:sz w:val="20"/>
          <w:szCs w:val="20"/>
          <w:color w:val="auto"/>
        </w:rPr>
      </w:pPr>
      <w:r>
        <w:rPr>
          <w:rFonts w:ascii="Arial" w:cs="Arial" w:eastAsia="Arial" w:hAnsi="Arial"/>
          <w:sz w:val="19"/>
          <w:szCs w:val="19"/>
          <w:b w:val="1"/>
          <w:bCs w:val="1"/>
          <w:color w:val="auto"/>
        </w:rPr>
        <w:t>6.1 Grant of Options</w:t>
      </w:r>
      <w:r>
        <w:rPr>
          <w:rFonts w:ascii="Arial" w:cs="Arial" w:eastAsia="Arial" w:hAnsi="Arial"/>
          <w:sz w:val="19"/>
          <w:szCs w:val="19"/>
          <w:color w:val="auto"/>
        </w:rPr>
        <w:t>. Subject to the terms and provisions of the Plan, Options may be granted to Participants in such</w:t>
      </w:r>
      <w:r>
        <w:rPr>
          <w:rFonts w:ascii="Arial" w:cs="Arial" w:eastAsia="Arial" w:hAnsi="Arial"/>
          <w:sz w:val="19"/>
          <w:szCs w:val="19"/>
          <w:b w:val="1"/>
          <w:bCs w:val="1"/>
          <w:color w:val="auto"/>
        </w:rPr>
        <w:t xml:space="preserve"> </w:t>
      </w:r>
      <w:r>
        <w:rPr>
          <w:rFonts w:ascii="Arial" w:cs="Arial" w:eastAsia="Arial" w:hAnsi="Arial"/>
          <w:sz w:val="19"/>
          <w:szCs w:val="19"/>
          <w:color w:val="auto"/>
        </w:rPr>
        <w:t>number, and upon such terms, and at any time and from time to time as shall be determined by the Committee.</w:t>
      </w:r>
    </w:p>
    <w:p>
      <w:pPr>
        <w:jc w:val="both"/>
        <w:ind w:right="280" w:firstLine="392"/>
        <w:spacing w:after="0" w:line="256" w:lineRule="auto"/>
        <w:rPr>
          <w:sz w:val="20"/>
          <w:szCs w:val="20"/>
          <w:color w:val="auto"/>
        </w:rPr>
      </w:pPr>
      <w:r>
        <w:rPr>
          <w:rFonts w:ascii="Arial" w:cs="Arial" w:eastAsia="Arial" w:hAnsi="Arial"/>
          <w:sz w:val="22"/>
          <w:szCs w:val="22"/>
          <w:b w:val="1"/>
          <w:bCs w:val="1"/>
          <w:color w:val="auto"/>
        </w:rPr>
        <w:t>6.2 Award Agreement</w:t>
      </w:r>
      <w:r>
        <w:rPr>
          <w:rFonts w:ascii="Arial" w:cs="Arial" w:eastAsia="Arial" w:hAnsi="Arial"/>
          <w:sz w:val="22"/>
          <w:szCs w:val="22"/>
          <w:color w:val="auto"/>
        </w:rPr>
        <w:t>. Each Option grant shall be evidenced by an Award Agreement that shall specify the Option Price,</w:t>
      </w:r>
      <w:r>
        <w:rPr>
          <w:rFonts w:ascii="Arial" w:cs="Arial" w:eastAsia="Arial" w:hAnsi="Arial"/>
          <w:sz w:val="22"/>
          <w:szCs w:val="22"/>
          <w:b w:val="1"/>
          <w:bCs w:val="1"/>
          <w:color w:val="auto"/>
        </w:rPr>
        <w:t xml:space="preserve"> </w:t>
      </w:r>
      <w:r>
        <w:rPr>
          <w:rFonts w:ascii="Arial" w:cs="Arial" w:eastAsia="Arial" w:hAnsi="Arial"/>
          <w:sz w:val="22"/>
          <w:szCs w:val="22"/>
          <w:color w:val="auto"/>
        </w:rPr>
        <w:t>the duration of the Option, the number of Shares to which the Option pertains, and such other provisions as the Committee shall determine which are not inconsistent with the terms of the Plan.</w:t>
      </w:r>
    </w:p>
    <w:p>
      <w:pPr>
        <w:spacing w:after="0" w:line="68" w:lineRule="exact"/>
        <w:rPr>
          <w:sz w:val="20"/>
          <w:szCs w:val="20"/>
          <w:color w:val="auto"/>
        </w:rPr>
      </w:pPr>
    </w:p>
    <w:p>
      <w:pPr>
        <w:ind w:firstLine="392"/>
        <w:spacing w:after="0" w:line="315" w:lineRule="auto"/>
        <w:rPr>
          <w:sz w:val="20"/>
          <w:szCs w:val="20"/>
          <w:color w:val="auto"/>
        </w:rPr>
      </w:pPr>
      <w:r>
        <w:rPr>
          <w:rFonts w:ascii="Arial" w:cs="Arial" w:eastAsia="Arial" w:hAnsi="Arial"/>
          <w:sz w:val="19"/>
          <w:szCs w:val="19"/>
          <w:b w:val="1"/>
          <w:bCs w:val="1"/>
          <w:color w:val="auto"/>
        </w:rPr>
        <w:t>6.3 Option Price</w:t>
      </w:r>
      <w:r>
        <w:rPr>
          <w:rFonts w:ascii="Arial" w:cs="Arial" w:eastAsia="Arial" w:hAnsi="Arial"/>
          <w:sz w:val="19"/>
          <w:szCs w:val="19"/>
          <w:color w:val="auto"/>
        </w:rPr>
        <w:t>. The Option Price for each Option shall equal the Fair Market Value of the Shares at the time such option is</w:t>
      </w:r>
      <w:r>
        <w:rPr>
          <w:rFonts w:ascii="Arial" w:cs="Arial" w:eastAsia="Arial" w:hAnsi="Arial"/>
          <w:sz w:val="19"/>
          <w:szCs w:val="19"/>
          <w:b w:val="1"/>
          <w:bCs w:val="1"/>
          <w:color w:val="auto"/>
        </w:rPr>
        <w:t xml:space="preserve"> </w:t>
      </w:r>
      <w:r>
        <w:rPr>
          <w:rFonts w:ascii="Arial" w:cs="Arial" w:eastAsia="Arial" w:hAnsi="Arial"/>
          <w:sz w:val="19"/>
          <w:szCs w:val="19"/>
          <w:color w:val="auto"/>
        </w:rPr>
        <w:t>granted. No ISOs will be granted to a Ten Percent Shareholder. The Option Price may not be decreased with respect to an outstanding Option following the date of grant and no Option will be replaced with another Option with a lower Option Price.</w:t>
      </w:r>
    </w:p>
    <w:p>
      <w:pPr>
        <w:spacing w:after="0" w:line="18" w:lineRule="exact"/>
        <w:rPr>
          <w:sz w:val="20"/>
          <w:szCs w:val="20"/>
          <w:color w:val="auto"/>
        </w:rPr>
      </w:pPr>
    </w:p>
    <w:p>
      <w:pPr>
        <w:ind w:right="80" w:firstLine="392"/>
        <w:spacing w:after="0" w:line="256" w:lineRule="auto"/>
        <w:rPr>
          <w:sz w:val="20"/>
          <w:szCs w:val="20"/>
          <w:color w:val="auto"/>
        </w:rPr>
      </w:pPr>
      <w:r>
        <w:rPr>
          <w:rFonts w:ascii="Arial" w:cs="Arial" w:eastAsia="Arial" w:hAnsi="Arial"/>
          <w:sz w:val="22"/>
          <w:szCs w:val="22"/>
          <w:b w:val="1"/>
          <w:bCs w:val="1"/>
          <w:color w:val="auto"/>
        </w:rPr>
        <w:t>6.4 Duration of Options</w:t>
      </w:r>
      <w:r>
        <w:rPr>
          <w:rFonts w:ascii="Arial" w:cs="Arial" w:eastAsia="Arial" w:hAnsi="Arial"/>
          <w:sz w:val="22"/>
          <w:szCs w:val="22"/>
          <w:color w:val="auto"/>
        </w:rPr>
        <w:t>. Each Option granted to a Participant shall expire at such time as the Committee shall determine at</w:t>
      </w:r>
      <w:r>
        <w:rPr>
          <w:rFonts w:ascii="Arial" w:cs="Arial" w:eastAsia="Arial" w:hAnsi="Arial"/>
          <w:sz w:val="22"/>
          <w:szCs w:val="22"/>
          <w:b w:val="1"/>
          <w:bCs w:val="1"/>
          <w:color w:val="auto"/>
        </w:rPr>
        <w:t xml:space="preserve"> </w:t>
      </w:r>
      <w:r>
        <w:rPr>
          <w:rFonts w:ascii="Arial" w:cs="Arial" w:eastAsia="Arial" w:hAnsi="Arial"/>
          <w:sz w:val="22"/>
          <w:szCs w:val="22"/>
          <w:color w:val="auto"/>
        </w:rPr>
        <w:t>the time of grant, provided that an Option must expire no later than the seventh (7th) anniversary of the date the Option was granted.</w:t>
      </w:r>
    </w:p>
    <w:p>
      <w:pPr>
        <w:spacing w:after="0" w:line="68" w:lineRule="exact"/>
        <w:rPr>
          <w:sz w:val="20"/>
          <w:szCs w:val="20"/>
          <w:color w:val="auto"/>
        </w:rPr>
      </w:pPr>
    </w:p>
    <w:p>
      <w:pPr>
        <w:ind w:right="140" w:firstLine="392"/>
        <w:spacing w:after="0" w:line="341" w:lineRule="auto"/>
        <w:rPr>
          <w:sz w:val="20"/>
          <w:szCs w:val="20"/>
          <w:color w:val="auto"/>
        </w:rPr>
      </w:pPr>
      <w:r>
        <w:rPr>
          <w:rFonts w:ascii="Arial" w:cs="Arial" w:eastAsia="Arial" w:hAnsi="Arial"/>
          <w:sz w:val="19"/>
          <w:szCs w:val="19"/>
          <w:b w:val="1"/>
          <w:bCs w:val="1"/>
          <w:color w:val="auto"/>
        </w:rPr>
        <w:t>6.5 Exercise of Options</w:t>
      </w:r>
      <w:r>
        <w:rPr>
          <w:rFonts w:ascii="Arial" w:cs="Arial" w:eastAsia="Arial" w:hAnsi="Arial"/>
          <w:sz w:val="19"/>
          <w:szCs w:val="19"/>
          <w:color w:val="auto"/>
        </w:rPr>
        <w:t>. Options shall be exercisable at such times and be subject to such restrictions and conditions as the</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shall in each instance approve, which need not be the same for each grant or for each Participant.</w:t>
      </w:r>
    </w:p>
    <w:p>
      <w:pPr>
        <w:ind w:right="640" w:firstLine="392"/>
        <w:spacing w:after="0" w:line="256" w:lineRule="auto"/>
        <w:rPr>
          <w:sz w:val="20"/>
          <w:szCs w:val="20"/>
          <w:color w:val="auto"/>
        </w:rPr>
      </w:pPr>
      <w:r>
        <w:rPr>
          <w:rFonts w:ascii="Arial" w:cs="Arial" w:eastAsia="Arial" w:hAnsi="Arial"/>
          <w:sz w:val="22"/>
          <w:szCs w:val="22"/>
          <w:b w:val="1"/>
          <w:bCs w:val="1"/>
          <w:color w:val="auto"/>
        </w:rPr>
        <w:t>6.6 Payment</w:t>
      </w:r>
      <w:r>
        <w:rPr>
          <w:rFonts w:ascii="Arial" w:cs="Arial" w:eastAsia="Arial" w:hAnsi="Arial"/>
          <w:sz w:val="22"/>
          <w:szCs w:val="22"/>
          <w:color w:val="auto"/>
        </w:rPr>
        <w:t>. Options shall be exercised by the delivery of a written, electronic or telephonic notice of exercise to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or its designated agent, setting forth the number of Shares with respect to which the Option is to be exercised, accompanied by full payment of the Option Price for the Shares.</w:t>
      </w:r>
    </w:p>
    <w:p>
      <w:pPr>
        <w:spacing w:after="0" w:line="74" w:lineRule="exact"/>
        <w:rPr>
          <w:sz w:val="20"/>
          <w:szCs w:val="20"/>
          <w:color w:val="auto"/>
        </w:rPr>
      </w:pPr>
    </w:p>
    <w:p>
      <w:pPr>
        <w:ind w:right="20" w:firstLine="392"/>
        <w:spacing w:after="0" w:line="265" w:lineRule="auto"/>
        <w:rPr>
          <w:sz w:val="20"/>
          <w:szCs w:val="20"/>
          <w:color w:val="auto"/>
        </w:rPr>
      </w:pPr>
      <w:r>
        <w:rPr>
          <w:rFonts w:ascii="Arial" w:cs="Arial" w:eastAsia="Arial" w:hAnsi="Arial"/>
          <w:sz w:val="21"/>
          <w:szCs w:val="21"/>
          <w:color w:val="auto"/>
        </w:rPr>
        <w:t>Upon the exercise of any Option, the Option Price for the Shares being purchased pursuant to the Option shall be payable to the Company in full either: (a) in cash or its equivalent; (b) subject to the Committee’s approval, by delivery of previously acquired Shares having an aggregate Fair Market Value at the time of exercise equal to the total Option Price (provided that the Shares that are delivered must have been held by the Participant for at least six (6) months</w:t>
      </w:r>
    </w:p>
    <w:p>
      <w:pPr>
        <w:spacing w:after="0" w:line="305"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color w:val="auto"/>
        </w:rPr>
        <w:t>BOS1472419.8</w:t>
      </w:r>
      <w:r>
        <w:rPr>
          <w:sz w:val="20"/>
          <w:szCs w:val="20"/>
          <w:color w:val="auto"/>
        </w:rPr>
        <w:tab/>
      </w:r>
      <w:r>
        <w:rPr>
          <w:rFonts w:ascii="Arial" w:cs="Arial" w:eastAsia="Arial" w:hAnsi="Arial"/>
          <w:sz w:val="18"/>
          <w:szCs w:val="18"/>
          <w:color w:val="auto"/>
        </w:rPr>
        <w:t>-7-</w:t>
      </w:r>
    </w:p>
    <w:p>
      <w:pPr>
        <w:sectPr>
          <w:pgSz w:w="11900" w:h="16838" w:orient="portrait"/>
          <w:cols w:equalWidth="0" w:num="1">
            <w:col w:w="11400"/>
          </w:cols>
          <w:pgMar w:left="240" w:top="618" w:right="259" w:bottom="1440" w:gutter="0" w:footer="0" w:header="0"/>
        </w:sectPr>
      </w:pPr>
    </w:p>
    <w:bookmarkStart w:id="105" w:name="page106"/>
    <w:bookmarkEnd w:id="105"/>
    <w:p>
      <w:pPr>
        <w:ind w:right="200"/>
        <w:spacing w:after="0" w:line="247" w:lineRule="auto"/>
        <w:rPr>
          <w:sz w:val="20"/>
          <w:szCs w:val="20"/>
          <w:color w:val="auto"/>
        </w:rPr>
      </w:pPr>
      <w:r>
        <w:rPr>
          <w:rFonts w:ascii="Arial" w:cs="Arial" w:eastAsia="Arial" w:hAnsi="Arial"/>
          <w:sz w:val="22"/>
          <w:szCs w:val="22"/>
          <w:color w:val="auto"/>
        </w:rPr>
        <w:t>prior to their delivery to satisfy the Option Price); (c) subject to the Committee’s approval, by authorizing a third party to sell Shares (or a sufficient portion of the Shares) acquired upon exercise of the Option and remitting to the Company a sufficient portion of the sales proceeds to pay the Option Price; (d) subject to the Committee’s approval, by a combination of (a), (b), or (c); or (e) by any other method approved by the Committee in its sole discretion. Unless otherwise determined by the Committee, the delivery of previously acquired Shares may be done through attestation. No fractional shares may be tendered or accepted in payment of the Option Price.</w:t>
      </w:r>
    </w:p>
    <w:p>
      <w:pPr>
        <w:spacing w:after="0" w:line="86" w:lineRule="exact"/>
        <w:rPr>
          <w:sz w:val="20"/>
          <w:szCs w:val="20"/>
          <w:color w:val="auto"/>
        </w:rPr>
      </w:pPr>
    </w:p>
    <w:p>
      <w:pPr>
        <w:ind w:right="740" w:firstLine="392"/>
        <w:spacing w:after="0" w:line="253" w:lineRule="auto"/>
        <w:rPr>
          <w:sz w:val="20"/>
          <w:szCs w:val="20"/>
          <w:color w:val="auto"/>
        </w:rPr>
      </w:pPr>
      <w:r>
        <w:rPr>
          <w:rFonts w:ascii="Arial" w:cs="Arial" w:eastAsia="Arial" w:hAnsi="Arial"/>
          <w:sz w:val="22"/>
          <w:szCs w:val="22"/>
          <w:color w:val="auto"/>
        </w:rPr>
        <w:t>Unless otherwise determined by the Committee, cashless exercises are permitted pursuant to Federal Reserve Board’s Regulation T, subject to applicable securities law restrictions, or by any other means which the Committee determines to be consistent with the Plan’s purpose and applicable law.</w:t>
      </w:r>
    </w:p>
    <w:p>
      <w:pPr>
        <w:spacing w:after="0" w:line="78" w:lineRule="exact"/>
        <w:rPr>
          <w:sz w:val="20"/>
          <w:szCs w:val="20"/>
          <w:color w:val="auto"/>
        </w:rPr>
      </w:pPr>
    </w:p>
    <w:p>
      <w:pPr>
        <w:jc w:val="both"/>
        <w:ind w:right="180" w:firstLine="392"/>
        <w:spacing w:after="0" w:line="253" w:lineRule="auto"/>
        <w:rPr>
          <w:sz w:val="20"/>
          <w:szCs w:val="20"/>
          <w:color w:val="auto"/>
        </w:rPr>
      </w:pPr>
      <w:r>
        <w:rPr>
          <w:rFonts w:ascii="Arial" w:cs="Arial" w:eastAsia="Arial" w:hAnsi="Arial"/>
          <w:sz w:val="22"/>
          <w:szCs w:val="22"/>
          <w:color w:val="auto"/>
        </w:rPr>
        <w:t>Subject to any governing rules or regulations, as soon as practicable after receipt of notification of exercise and full payment, the Company shall deliver to the Participant, in the Participant’s name, Share certificates in an appropriate amount based upon the number of Shares purchased pursuant to the Option(s).</w:t>
      </w:r>
    </w:p>
    <w:p>
      <w:pPr>
        <w:spacing w:after="0" w:line="78" w:lineRule="exact"/>
        <w:rPr>
          <w:sz w:val="20"/>
          <w:szCs w:val="20"/>
          <w:color w:val="auto"/>
        </w:rPr>
      </w:pPr>
    </w:p>
    <w:p>
      <w:pPr>
        <w:ind w:right="120" w:firstLine="392"/>
        <w:spacing w:after="0" w:line="263" w:lineRule="auto"/>
        <w:rPr>
          <w:sz w:val="20"/>
          <w:szCs w:val="20"/>
          <w:color w:val="auto"/>
        </w:rPr>
      </w:pPr>
      <w:r>
        <w:rPr>
          <w:rFonts w:ascii="Arial" w:cs="Arial" w:eastAsia="Arial" w:hAnsi="Arial"/>
          <w:sz w:val="22"/>
          <w:szCs w:val="22"/>
          <w:color w:val="auto"/>
        </w:rPr>
        <w:t>Unless otherwise determined by the Committee, all payments under all of the methods indicated above shall be paid in United States dollars.</w:t>
      </w:r>
    </w:p>
    <w:p>
      <w:pPr>
        <w:spacing w:after="0" w:line="182" w:lineRule="exact"/>
        <w:rPr>
          <w:sz w:val="20"/>
          <w:szCs w:val="20"/>
          <w:color w:val="auto"/>
        </w:rPr>
      </w:pPr>
    </w:p>
    <w:p>
      <w:pPr>
        <w:ind w:firstLine="392"/>
        <w:spacing w:after="0" w:line="267" w:lineRule="auto"/>
        <w:rPr>
          <w:sz w:val="20"/>
          <w:szCs w:val="20"/>
          <w:color w:val="auto"/>
        </w:rPr>
      </w:pPr>
      <w:r>
        <w:rPr>
          <w:rFonts w:ascii="Arial" w:cs="Arial" w:eastAsia="Arial" w:hAnsi="Arial"/>
          <w:sz w:val="21"/>
          <w:szCs w:val="21"/>
          <w:b w:val="1"/>
          <w:bCs w:val="1"/>
          <w:color w:val="auto"/>
        </w:rPr>
        <w:t>6.7 Restrictions on Share Transferability</w:t>
      </w:r>
      <w:r>
        <w:rPr>
          <w:rFonts w:ascii="Arial" w:cs="Arial" w:eastAsia="Arial" w:hAnsi="Arial"/>
          <w:sz w:val="21"/>
          <w:szCs w:val="21"/>
          <w:color w:val="auto"/>
        </w:rPr>
        <w:t>. The Committee may impose such restrictions on any Shares acquired pursuant to</w:t>
      </w:r>
      <w:r>
        <w:rPr>
          <w:rFonts w:ascii="Arial" w:cs="Arial" w:eastAsia="Arial" w:hAnsi="Arial"/>
          <w:sz w:val="21"/>
          <w:szCs w:val="21"/>
          <w:b w:val="1"/>
          <w:bCs w:val="1"/>
          <w:color w:val="auto"/>
        </w:rPr>
        <w:t xml:space="preserve"> </w:t>
      </w:r>
      <w:r>
        <w:rPr>
          <w:rFonts w:ascii="Arial" w:cs="Arial" w:eastAsia="Arial" w:hAnsi="Arial"/>
          <w:sz w:val="21"/>
          <w:szCs w:val="21"/>
          <w:color w:val="auto"/>
        </w:rPr>
        <w:t>the exercise of an Option granted under this Article 6 as it may deem advisable, including, without limitation, restrictions under applicable federal securities laws, under the requirements of any stock exchange or market upon which such Shares are then listed and/or traded, or under any blue sky or state securities laws applicable to such Shares.</w:t>
      </w:r>
    </w:p>
    <w:p>
      <w:pPr>
        <w:spacing w:after="0" w:line="54" w:lineRule="exact"/>
        <w:rPr>
          <w:sz w:val="20"/>
          <w:szCs w:val="20"/>
          <w:color w:val="auto"/>
        </w:rPr>
      </w:pPr>
    </w:p>
    <w:p>
      <w:pPr>
        <w:ind w:right="160" w:firstLine="392"/>
        <w:spacing w:after="0" w:line="281" w:lineRule="auto"/>
        <w:rPr>
          <w:sz w:val="20"/>
          <w:szCs w:val="20"/>
          <w:color w:val="auto"/>
        </w:rPr>
      </w:pPr>
      <w:r>
        <w:rPr>
          <w:rFonts w:ascii="Arial" w:cs="Arial" w:eastAsia="Arial" w:hAnsi="Arial"/>
          <w:sz w:val="19"/>
          <w:szCs w:val="19"/>
          <w:b w:val="1"/>
          <w:bCs w:val="1"/>
          <w:color w:val="auto"/>
        </w:rPr>
        <w:t xml:space="preserve">6.9 Special Limitation on Grants of Incentive Stock Options. </w:t>
      </w:r>
      <w:r>
        <w:rPr>
          <w:rFonts w:ascii="Arial" w:cs="Arial" w:eastAsia="Arial" w:hAnsi="Arial"/>
          <w:sz w:val="19"/>
          <w:szCs w:val="19"/>
          <w:color w:val="auto"/>
        </w:rPr>
        <w:t>No ISO shall be granted to an Employee under the Plan or any</w:t>
      </w:r>
      <w:r>
        <w:rPr>
          <w:rFonts w:ascii="Arial" w:cs="Arial" w:eastAsia="Arial" w:hAnsi="Arial"/>
          <w:sz w:val="19"/>
          <w:szCs w:val="19"/>
          <w:b w:val="1"/>
          <w:bCs w:val="1"/>
          <w:color w:val="auto"/>
        </w:rPr>
        <w:t xml:space="preserve"> </w:t>
      </w:r>
      <w:r>
        <w:rPr>
          <w:rFonts w:ascii="Arial" w:cs="Arial" w:eastAsia="Arial" w:hAnsi="Arial"/>
          <w:sz w:val="19"/>
          <w:szCs w:val="19"/>
          <w:color w:val="auto"/>
        </w:rPr>
        <w:t>other ISO plan of the Company or its Subsidiaries to purchase Shares as to which the aggregate Fair Market Value (determined as of the date of grant) of the Shares which first become exercisable by the Employee in any calendar year exceeds $100,000. To the extent an Option initially designated as an ISO exceeds the value limit of this Section 6.9 or otherwise fails to satisfy the requirements applicable to ISOs, it shall be deemed a NQSO and shall otherwise remain in full force and effect.</w:t>
      </w:r>
    </w:p>
    <w:p>
      <w:pPr>
        <w:spacing w:after="0" w:line="44" w:lineRule="exact"/>
        <w:rPr>
          <w:sz w:val="20"/>
          <w:szCs w:val="20"/>
          <w:color w:val="auto"/>
        </w:rPr>
      </w:pPr>
    </w:p>
    <w:p>
      <w:pPr>
        <w:ind w:right="420" w:firstLine="392"/>
        <w:spacing w:after="0" w:line="270" w:lineRule="auto"/>
        <w:rPr>
          <w:sz w:val="20"/>
          <w:szCs w:val="20"/>
          <w:color w:val="auto"/>
        </w:rPr>
      </w:pPr>
      <w:r>
        <w:rPr>
          <w:rFonts w:ascii="Arial" w:cs="Arial" w:eastAsia="Arial" w:hAnsi="Arial"/>
          <w:sz w:val="21"/>
          <w:szCs w:val="21"/>
          <w:b w:val="1"/>
          <w:bCs w:val="1"/>
          <w:color w:val="auto"/>
        </w:rPr>
        <w:t>6.10 Dividends and Other Distributions</w:t>
      </w:r>
      <w:r>
        <w:rPr>
          <w:rFonts w:ascii="Arial" w:cs="Arial" w:eastAsia="Arial" w:hAnsi="Arial"/>
          <w:sz w:val="21"/>
          <w:szCs w:val="21"/>
          <w:color w:val="auto"/>
        </w:rPr>
        <w:t>. Participants holding Options shall not be credited with dividends or any equivalent</w:t>
      </w:r>
      <w:r>
        <w:rPr>
          <w:rFonts w:ascii="Arial" w:cs="Arial" w:eastAsia="Arial" w:hAnsi="Arial"/>
          <w:sz w:val="21"/>
          <w:szCs w:val="21"/>
          <w:b w:val="1"/>
          <w:bCs w:val="1"/>
          <w:color w:val="auto"/>
        </w:rPr>
        <w:t xml:space="preserve"> </w:t>
      </w:r>
      <w:r>
        <w:rPr>
          <w:rFonts w:ascii="Arial" w:cs="Arial" w:eastAsia="Arial" w:hAnsi="Arial"/>
          <w:sz w:val="21"/>
          <w:szCs w:val="21"/>
          <w:color w:val="auto"/>
        </w:rPr>
        <w:t>amount in lieu of dividends.</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7. Stock Appreciation Rights</w:t>
      </w:r>
    </w:p>
    <w:p>
      <w:pPr>
        <w:spacing w:after="0" w:line="220" w:lineRule="exact"/>
        <w:rPr>
          <w:sz w:val="20"/>
          <w:szCs w:val="20"/>
          <w:color w:val="auto"/>
        </w:rPr>
      </w:pPr>
    </w:p>
    <w:p>
      <w:pPr>
        <w:ind w:right="340" w:firstLine="392"/>
        <w:spacing w:after="0" w:line="269" w:lineRule="auto"/>
        <w:rPr>
          <w:sz w:val="20"/>
          <w:szCs w:val="20"/>
          <w:color w:val="auto"/>
        </w:rPr>
      </w:pPr>
      <w:r>
        <w:rPr>
          <w:rFonts w:ascii="Arial" w:cs="Arial" w:eastAsia="Arial" w:hAnsi="Arial"/>
          <w:sz w:val="22"/>
          <w:szCs w:val="22"/>
          <w:b w:val="1"/>
          <w:bCs w:val="1"/>
          <w:color w:val="auto"/>
        </w:rPr>
        <w:t>7.1 Grant of SARs</w:t>
      </w:r>
      <w:r>
        <w:rPr>
          <w:rFonts w:ascii="Arial" w:cs="Arial" w:eastAsia="Arial" w:hAnsi="Arial"/>
          <w:sz w:val="22"/>
          <w:szCs w:val="22"/>
          <w:color w:val="auto"/>
        </w:rPr>
        <w:t>. Subject to the terms and conditions of the Plan, SARs may be granted to Participants at any time and</w:t>
      </w:r>
      <w:r>
        <w:rPr>
          <w:rFonts w:ascii="Arial" w:cs="Arial" w:eastAsia="Arial" w:hAnsi="Arial"/>
          <w:sz w:val="22"/>
          <w:szCs w:val="22"/>
          <w:b w:val="1"/>
          <w:bCs w:val="1"/>
          <w:color w:val="auto"/>
        </w:rPr>
        <w:t xml:space="preserve"> </w:t>
      </w:r>
      <w:r>
        <w:rPr>
          <w:rFonts w:ascii="Arial" w:cs="Arial" w:eastAsia="Arial" w:hAnsi="Arial"/>
          <w:sz w:val="22"/>
          <w:szCs w:val="22"/>
          <w:color w:val="auto"/>
        </w:rPr>
        <w:t>from time to time as shall be determined by the Committee.</w:t>
      </w:r>
    </w:p>
    <w:p>
      <w:pPr>
        <w:spacing w:after="0" w:line="297"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color w:val="auto"/>
        </w:rPr>
        <w:t>BOS1472419.8</w:t>
      </w:r>
      <w:r>
        <w:rPr>
          <w:sz w:val="20"/>
          <w:szCs w:val="20"/>
          <w:color w:val="auto"/>
        </w:rPr>
        <w:tab/>
      </w:r>
      <w:r>
        <w:rPr>
          <w:rFonts w:ascii="Arial" w:cs="Arial" w:eastAsia="Arial" w:hAnsi="Arial"/>
          <w:sz w:val="18"/>
          <w:szCs w:val="18"/>
          <w:color w:val="auto"/>
        </w:rPr>
        <w:t>-8-</w:t>
      </w:r>
    </w:p>
    <w:p>
      <w:pPr>
        <w:sectPr>
          <w:pgSz w:w="11900" w:h="16838" w:orient="portrait"/>
          <w:cols w:equalWidth="0" w:num="1">
            <w:col w:w="11420"/>
          </w:cols>
          <w:pgMar w:left="240" w:top="618" w:right="239" w:bottom="1440" w:gutter="0" w:footer="0" w:header="0"/>
        </w:sectPr>
      </w:pPr>
    </w:p>
    <w:bookmarkStart w:id="106" w:name="page107"/>
    <w:bookmarkEnd w:id="106"/>
    <w:p>
      <w:pPr>
        <w:ind w:firstLine="392"/>
        <w:spacing w:after="0" w:line="253" w:lineRule="auto"/>
        <w:rPr>
          <w:sz w:val="20"/>
          <w:szCs w:val="20"/>
          <w:color w:val="auto"/>
        </w:rPr>
      </w:pPr>
      <w:r>
        <w:rPr>
          <w:rFonts w:ascii="Arial" w:cs="Arial" w:eastAsia="Arial" w:hAnsi="Arial"/>
          <w:sz w:val="22"/>
          <w:szCs w:val="22"/>
          <w:color w:val="auto"/>
        </w:rPr>
        <w:t>Subject to the terms and conditions of the Plan, the Committee shall have complete discretion in determining the number of SARs granted to each Participant and, consistent with the provisions of the Plan, in determining the terms and conditions pertaining to such SARs.</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22"/>
          <w:szCs w:val="22"/>
          <w:color w:val="auto"/>
        </w:rPr>
        <w:t>The grant price of a SAR shall equal the Fair Market Value of a Share on the date of grant.</w:t>
      </w:r>
    </w:p>
    <w:p>
      <w:pPr>
        <w:spacing w:after="0" w:line="227" w:lineRule="exact"/>
        <w:rPr>
          <w:sz w:val="20"/>
          <w:szCs w:val="20"/>
          <w:color w:val="auto"/>
        </w:rPr>
      </w:pPr>
    </w:p>
    <w:p>
      <w:pPr>
        <w:ind w:right="40" w:firstLine="392"/>
        <w:spacing w:after="0" w:line="269" w:lineRule="auto"/>
        <w:rPr>
          <w:sz w:val="20"/>
          <w:szCs w:val="20"/>
          <w:color w:val="auto"/>
        </w:rPr>
      </w:pPr>
      <w:r>
        <w:rPr>
          <w:rFonts w:ascii="Arial" w:cs="Arial" w:eastAsia="Arial" w:hAnsi="Arial"/>
          <w:sz w:val="22"/>
          <w:szCs w:val="22"/>
          <w:b w:val="1"/>
          <w:bCs w:val="1"/>
          <w:color w:val="auto"/>
        </w:rPr>
        <w:t>7.2 SAR Agreement</w:t>
      </w:r>
      <w:r>
        <w:rPr>
          <w:rFonts w:ascii="Arial" w:cs="Arial" w:eastAsia="Arial" w:hAnsi="Arial"/>
          <w:sz w:val="22"/>
          <w:szCs w:val="22"/>
          <w:color w:val="auto"/>
        </w:rPr>
        <w:t>. Each SAR grant shall be evidenced by an Award Agreement that shall specify the grant price, the term</w:t>
      </w:r>
      <w:r>
        <w:rPr>
          <w:rFonts w:ascii="Arial" w:cs="Arial" w:eastAsia="Arial" w:hAnsi="Arial"/>
          <w:sz w:val="22"/>
          <w:szCs w:val="22"/>
          <w:b w:val="1"/>
          <w:bCs w:val="1"/>
          <w:color w:val="auto"/>
        </w:rPr>
        <w:t xml:space="preserve"> </w:t>
      </w:r>
      <w:r>
        <w:rPr>
          <w:rFonts w:ascii="Arial" w:cs="Arial" w:eastAsia="Arial" w:hAnsi="Arial"/>
          <w:sz w:val="22"/>
          <w:szCs w:val="22"/>
          <w:color w:val="auto"/>
        </w:rPr>
        <w:t>of the SAR, and such other provisions as the Committee shall determine.</w:t>
      </w:r>
    </w:p>
    <w:p>
      <w:pPr>
        <w:spacing w:after="0" w:line="162" w:lineRule="exact"/>
        <w:rPr>
          <w:sz w:val="20"/>
          <w:szCs w:val="20"/>
          <w:color w:val="auto"/>
        </w:rPr>
      </w:pPr>
    </w:p>
    <w:p>
      <w:pPr>
        <w:ind w:right="100" w:firstLine="392"/>
        <w:spacing w:after="0" w:line="350" w:lineRule="auto"/>
        <w:rPr>
          <w:sz w:val="20"/>
          <w:szCs w:val="20"/>
          <w:color w:val="auto"/>
        </w:rPr>
      </w:pPr>
      <w:r>
        <w:rPr>
          <w:rFonts w:ascii="Arial" w:cs="Arial" w:eastAsia="Arial" w:hAnsi="Arial"/>
          <w:sz w:val="19"/>
          <w:szCs w:val="19"/>
          <w:b w:val="1"/>
          <w:bCs w:val="1"/>
          <w:color w:val="auto"/>
        </w:rPr>
        <w:t>7.3 Term of SARs</w:t>
      </w:r>
      <w:r>
        <w:rPr>
          <w:rFonts w:ascii="Arial" w:cs="Arial" w:eastAsia="Arial" w:hAnsi="Arial"/>
          <w:sz w:val="19"/>
          <w:szCs w:val="19"/>
          <w:color w:val="auto"/>
        </w:rPr>
        <w:t>. The term of an SAR granted under the Plan shall be determined by the Committee, in its sole discretion,</w:t>
      </w:r>
      <w:r>
        <w:rPr>
          <w:rFonts w:ascii="Arial" w:cs="Arial" w:eastAsia="Arial" w:hAnsi="Arial"/>
          <w:sz w:val="19"/>
          <w:szCs w:val="19"/>
          <w:b w:val="1"/>
          <w:bCs w:val="1"/>
          <w:color w:val="auto"/>
        </w:rPr>
        <w:t xml:space="preserve"> </w:t>
      </w:r>
      <w:r>
        <w:rPr>
          <w:rFonts w:ascii="Arial" w:cs="Arial" w:eastAsia="Arial" w:hAnsi="Arial"/>
          <w:sz w:val="19"/>
          <w:szCs w:val="19"/>
          <w:color w:val="auto"/>
        </w:rPr>
        <w:t>provided that an SAR must expire no later than the seventh (7th) anniversary of the date the SAR was granted.</w:t>
      </w:r>
    </w:p>
    <w:p>
      <w:pPr>
        <w:spacing w:after="0" w:line="92" w:lineRule="exact"/>
        <w:rPr>
          <w:sz w:val="20"/>
          <w:szCs w:val="20"/>
          <w:color w:val="auto"/>
        </w:rPr>
      </w:pPr>
    </w:p>
    <w:p>
      <w:pPr>
        <w:ind w:right="360" w:firstLine="392"/>
        <w:spacing w:after="0" w:line="269" w:lineRule="auto"/>
        <w:rPr>
          <w:sz w:val="20"/>
          <w:szCs w:val="20"/>
          <w:color w:val="auto"/>
        </w:rPr>
      </w:pPr>
      <w:r>
        <w:rPr>
          <w:rFonts w:ascii="Arial" w:cs="Arial" w:eastAsia="Arial" w:hAnsi="Arial"/>
          <w:sz w:val="22"/>
          <w:szCs w:val="22"/>
          <w:b w:val="1"/>
          <w:bCs w:val="1"/>
          <w:color w:val="auto"/>
        </w:rPr>
        <w:t>7.4 Exercise of SARs</w:t>
      </w:r>
      <w:r>
        <w:rPr>
          <w:rFonts w:ascii="Arial" w:cs="Arial" w:eastAsia="Arial" w:hAnsi="Arial"/>
          <w:sz w:val="22"/>
          <w:szCs w:val="22"/>
          <w:color w:val="auto"/>
        </w:rPr>
        <w:t>. SARs may be exercised upon whatever terms and conditions the Committee, in its sole discretion,</w:t>
      </w:r>
      <w:r>
        <w:rPr>
          <w:rFonts w:ascii="Arial" w:cs="Arial" w:eastAsia="Arial" w:hAnsi="Arial"/>
          <w:sz w:val="22"/>
          <w:szCs w:val="22"/>
          <w:b w:val="1"/>
          <w:bCs w:val="1"/>
          <w:color w:val="auto"/>
        </w:rPr>
        <w:t xml:space="preserve"> </w:t>
      </w:r>
      <w:r>
        <w:rPr>
          <w:rFonts w:ascii="Arial" w:cs="Arial" w:eastAsia="Arial" w:hAnsi="Arial"/>
          <w:sz w:val="22"/>
          <w:szCs w:val="22"/>
          <w:color w:val="auto"/>
        </w:rPr>
        <w:t>imposes upon them.</w:t>
      </w:r>
    </w:p>
    <w:p>
      <w:pPr>
        <w:spacing w:after="0" w:line="162" w:lineRule="exact"/>
        <w:rPr>
          <w:sz w:val="20"/>
          <w:szCs w:val="20"/>
          <w:color w:val="auto"/>
        </w:rPr>
      </w:pPr>
    </w:p>
    <w:p>
      <w:pPr>
        <w:ind w:left="400"/>
        <w:spacing w:after="0"/>
        <w:tabs>
          <w:tab w:leader="none" w:pos="860" w:val="left"/>
        </w:tabs>
        <w:rPr>
          <w:sz w:val="20"/>
          <w:szCs w:val="20"/>
          <w:color w:val="auto"/>
        </w:rPr>
      </w:pPr>
      <w:r>
        <w:rPr>
          <w:rFonts w:ascii="Arial" w:cs="Arial" w:eastAsia="Arial" w:hAnsi="Arial"/>
          <w:sz w:val="22"/>
          <w:szCs w:val="22"/>
          <w:b w:val="1"/>
          <w:bCs w:val="1"/>
          <w:color w:val="auto"/>
        </w:rPr>
        <w:t>7.6</w:t>
      </w:r>
      <w:r>
        <w:rPr>
          <w:sz w:val="20"/>
          <w:szCs w:val="20"/>
          <w:color w:val="auto"/>
        </w:rPr>
        <w:tab/>
      </w:r>
      <w:r>
        <w:rPr>
          <w:rFonts w:ascii="Arial" w:cs="Arial" w:eastAsia="Arial" w:hAnsi="Arial"/>
          <w:sz w:val="19"/>
          <w:szCs w:val="19"/>
          <w:b w:val="1"/>
          <w:bCs w:val="1"/>
          <w:color w:val="auto"/>
        </w:rPr>
        <w:t>Payment of SAR Amount</w:t>
      </w:r>
      <w:r>
        <w:rPr>
          <w:rFonts w:ascii="Arial" w:cs="Arial" w:eastAsia="Arial" w:hAnsi="Arial"/>
          <w:sz w:val="19"/>
          <w:szCs w:val="19"/>
          <w:color w:val="auto"/>
        </w:rPr>
        <w:t>. Upon exercise of an SAR, a Participant shall be entitled to receive payment from the</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Company in an amount determined by multiplying:</w:t>
      </w:r>
    </w:p>
    <w:p>
      <w:pPr>
        <w:spacing w:after="0" w:line="94" w:lineRule="exact"/>
        <w:rPr>
          <w:sz w:val="20"/>
          <w:szCs w:val="20"/>
          <w:color w:val="auto"/>
        </w:rPr>
      </w:pPr>
    </w:p>
    <w:p>
      <w:pPr>
        <w:ind w:left="1540" w:right="200" w:firstLine="399"/>
        <w:spacing w:after="0" w:line="263" w:lineRule="auto"/>
        <w:tabs>
          <w:tab w:leader="none" w:pos="2384" w:val="left"/>
        </w:tabs>
        <w:numPr>
          <w:ilvl w:val="1"/>
          <w:numId w:val="40"/>
        </w:numPr>
        <w:rPr>
          <w:rFonts w:ascii="Arial" w:cs="Arial" w:eastAsia="Arial" w:hAnsi="Arial"/>
          <w:sz w:val="22"/>
          <w:szCs w:val="22"/>
          <w:color w:val="auto"/>
        </w:rPr>
      </w:pPr>
      <w:r>
        <w:rPr>
          <w:rFonts w:ascii="Arial" w:cs="Arial" w:eastAsia="Arial" w:hAnsi="Arial"/>
          <w:sz w:val="22"/>
          <w:szCs w:val="22"/>
          <w:color w:val="auto"/>
        </w:rPr>
        <w:t>The amount by which the Fair Market Value of a Share on the date of exercise exceeds the grant price of the SAR; by</w:t>
      </w:r>
    </w:p>
    <w:p>
      <w:pPr>
        <w:spacing w:after="0" w:line="66" w:lineRule="exact"/>
        <w:rPr>
          <w:rFonts w:ascii="Arial" w:cs="Arial" w:eastAsia="Arial" w:hAnsi="Arial"/>
          <w:sz w:val="22"/>
          <w:szCs w:val="22"/>
          <w:color w:val="auto"/>
        </w:rPr>
      </w:pPr>
    </w:p>
    <w:p>
      <w:pPr>
        <w:ind w:left="1540" w:hanging="560"/>
        <w:spacing w:after="0"/>
        <w:tabs>
          <w:tab w:leader="none" w:pos="1540"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number of Shares with respect to which the SAR is exercised.</w:t>
      </w:r>
    </w:p>
    <w:p>
      <w:pPr>
        <w:spacing w:after="0" w:line="112" w:lineRule="exact"/>
        <w:rPr>
          <w:sz w:val="20"/>
          <w:szCs w:val="20"/>
          <w:color w:val="auto"/>
        </w:rPr>
      </w:pPr>
    </w:p>
    <w:p>
      <w:pPr>
        <w:ind w:right="40" w:firstLine="392"/>
        <w:spacing w:after="0" w:line="263" w:lineRule="auto"/>
        <w:rPr>
          <w:sz w:val="20"/>
          <w:szCs w:val="20"/>
          <w:color w:val="auto"/>
        </w:rPr>
      </w:pPr>
      <w:r>
        <w:rPr>
          <w:rFonts w:ascii="Arial" w:cs="Arial" w:eastAsia="Arial" w:hAnsi="Arial"/>
          <w:sz w:val="22"/>
          <w:szCs w:val="22"/>
          <w:color w:val="auto"/>
        </w:rPr>
        <w:t>The payment upon SAR exercise shall be in Shares. Any Shares delivered in payment shall be deemed to have a value equal to the Fair Market Value on the date of exercise of the SAR.</w:t>
      </w:r>
    </w:p>
    <w:p>
      <w:pPr>
        <w:spacing w:after="0" w:line="177" w:lineRule="exact"/>
        <w:rPr>
          <w:sz w:val="20"/>
          <w:szCs w:val="20"/>
          <w:color w:val="auto"/>
        </w:rPr>
      </w:pPr>
    </w:p>
    <w:p>
      <w:pPr>
        <w:ind w:firstLine="392"/>
        <w:spacing w:after="0" w:line="270" w:lineRule="auto"/>
        <w:rPr>
          <w:sz w:val="20"/>
          <w:szCs w:val="20"/>
          <w:color w:val="auto"/>
        </w:rPr>
      </w:pPr>
      <w:r>
        <w:rPr>
          <w:rFonts w:ascii="Arial" w:cs="Arial" w:eastAsia="Arial" w:hAnsi="Arial"/>
          <w:sz w:val="21"/>
          <w:szCs w:val="21"/>
          <w:b w:val="1"/>
          <w:bCs w:val="1"/>
          <w:color w:val="auto"/>
        </w:rPr>
        <w:t>7.7 Dividends and Other Distributions</w:t>
      </w:r>
      <w:r>
        <w:rPr>
          <w:rFonts w:ascii="Arial" w:cs="Arial" w:eastAsia="Arial" w:hAnsi="Arial"/>
          <w:sz w:val="21"/>
          <w:szCs w:val="21"/>
          <w:color w:val="auto"/>
        </w:rPr>
        <w:t>. Participants holding SARs shall not be credited with dividends or any equivalent amount</w:t>
      </w:r>
      <w:r>
        <w:rPr>
          <w:rFonts w:ascii="Arial" w:cs="Arial" w:eastAsia="Arial" w:hAnsi="Arial"/>
          <w:sz w:val="21"/>
          <w:szCs w:val="21"/>
          <w:b w:val="1"/>
          <w:bCs w:val="1"/>
          <w:color w:val="auto"/>
        </w:rPr>
        <w:t xml:space="preserve"> </w:t>
      </w:r>
      <w:r>
        <w:rPr>
          <w:rFonts w:ascii="Arial" w:cs="Arial" w:eastAsia="Arial" w:hAnsi="Arial"/>
          <w:sz w:val="21"/>
          <w:szCs w:val="21"/>
          <w:color w:val="auto"/>
        </w:rPr>
        <w:t>in lieu of dividends.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8. Restricted Stock</w:t>
      </w:r>
    </w:p>
    <w:p>
      <w:pPr>
        <w:spacing w:after="0" w:line="220" w:lineRule="exact"/>
        <w:rPr>
          <w:sz w:val="20"/>
          <w:szCs w:val="20"/>
          <w:color w:val="auto"/>
        </w:rPr>
      </w:pPr>
    </w:p>
    <w:p>
      <w:pPr>
        <w:ind w:right="40" w:firstLine="392"/>
        <w:spacing w:after="0" w:line="293" w:lineRule="auto"/>
        <w:rPr>
          <w:sz w:val="20"/>
          <w:szCs w:val="20"/>
          <w:color w:val="auto"/>
        </w:rPr>
      </w:pPr>
      <w:r>
        <w:rPr>
          <w:rFonts w:ascii="Arial" w:cs="Arial" w:eastAsia="Arial" w:hAnsi="Arial"/>
          <w:sz w:val="21"/>
          <w:szCs w:val="21"/>
          <w:b w:val="1"/>
          <w:bCs w:val="1"/>
          <w:color w:val="auto"/>
        </w:rPr>
        <w:t>8.1 Grant of Restricted Stock</w:t>
      </w:r>
      <w:r>
        <w:rPr>
          <w:rFonts w:ascii="Arial" w:cs="Arial" w:eastAsia="Arial" w:hAnsi="Arial"/>
          <w:sz w:val="21"/>
          <w:szCs w:val="21"/>
          <w:color w:val="auto"/>
        </w:rPr>
        <w:t>. Subject to the terms and provisions of the Plan, the Committee, at any time and from time to</w:t>
      </w:r>
      <w:r>
        <w:rPr>
          <w:rFonts w:ascii="Arial" w:cs="Arial" w:eastAsia="Arial" w:hAnsi="Arial"/>
          <w:sz w:val="21"/>
          <w:szCs w:val="21"/>
          <w:b w:val="1"/>
          <w:bCs w:val="1"/>
          <w:color w:val="auto"/>
        </w:rPr>
        <w:t xml:space="preserve"> </w:t>
      </w:r>
      <w:r>
        <w:rPr>
          <w:rFonts w:ascii="Arial" w:cs="Arial" w:eastAsia="Arial" w:hAnsi="Arial"/>
          <w:sz w:val="21"/>
          <w:szCs w:val="21"/>
          <w:color w:val="auto"/>
        </w:rPr>
        <w:t>time, may grant Shares of Restricted Stock to Participants in such amounts as the Committee shall determine.</w:t>
      </w:r>
    </w:p>
    <w:p>
      <w:pPr>
        <w:spacing w:after="0" w:line="140" w:lineRule="exact"/>
        <w:rPr>
          <w:sz w:val="20"/>
          <w:szCs w:val="20"/>
          <w:color w:val="auto"/>
        </w:rPr>
      </w:pPr>
    </w:p>
    <w:p>
      <w:pPr>
        <w:jc w:val="both"/>
        <w:ind w:right="220" w:firstLine="392"/>
        <w:spacing w:after="0" w:line="256" w:lineRule="auto"/>
        <w:rPr>
          <w:sz w:val="20"/>
          <w:szCs w:val="20"/>
          <w:color w:val="auto"/>
        </w:rPr>
      </w:pPr>
      <w:r>
        <w:rPr>
          <w:rFonts w:ascii="Arial" w:cs="Arial" w:eastAsia="Arial" w:hAnsi="Arial"/>
          <w:sz w:val="22"/>
          <w:szCs w:val="22"/>
          <w:b w:val="1"/>
          <w:bCs w:val="1"/>
          <w:color w:val="auto"/>
        </w:rPr>
        <w:t>8.2 Restricted Stock Agreement</w:t>
      </w:r>
      <w:r>
        <w:rPr>
          <w:rFonts w:ascii="Arial" w:cs="Arial" w:eastAsia="Arial" w:hAnsi="Arial"/>
          <w:sz w:val="22"/>
          <w:szCs w:val="22"/>
          <w:color w:val="auto"/>
        </w:rPr>
        <w:t>. Each Restricted Stock grant shall be evidenced by a Restricted Stock Award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that shall specify the Period(s) of Restriction, the number of Shares of Restricted Stock granted, and such other provisions as the Committee shall determine which are not inconsistent with the terms of this Plan.</w:t>
      </w:r>
    </w:p>
    <w:p>
      <w:pPr>
        <w:spacing w:after="0" w:line="176" w:lineRule="exact"/>
        <w:rPr>
          <w:sz w:val="20"/>
          <w:szCs w:val="20"/>
          <w:color w:val="auto"/>
        </w:rPr>
      </w:pPr>
    </w:p>
    <w:p>
      <w:pPr>
        <w:ind w:right="280" w:firstLine="392"/>
        <w:spacing w:after="0" w:line="256" w:lineRule="auto"/>
        <w:rPr>
          <w:sz w:val="20"/>
          <w:szCs w:val="20"/>
          <w:color w:val="auto"/>
        </w:rPr>
      </w:pPr>
      <w:r>
        <w:rPr>
          <w:rFonts w:ascii="Arial" w:cs="Arial" w:eastAsia="Arial" w:hAnsi="Arial"/>
          <w:sz w:val="22"/>
          <w:szCs w:val="22"/>
          <w:b w:val="1"/>
          <w:bCs w:val="1"/>
          <w:color w:val="auto"/>
        </w:rPr>
        <w:t>8.3 Other Restrictions</w:t>
      </w:r>
      <w:r>
        <w:rPr>
          <w:rFonts w:ascii="Arial" w:cs="Arial" w:eastAsia="Arial" w:hAnsi="Arial"/>
          <w:sz w:val="22"/>
          <w:szCs w:val="22"/>
          <w:color w:val="auto"/>
        </w:rPr>
        <w:t>. The Committee may impose such other conditions and/or restrictions on any Shares of Restricted</w:t>
      </w:r>
      <w:r>
        <w:rPr>
          <w:rFonts w:ascii="Arial" w:cs="Arial" w:eastAsia="Arial" w:hAnsi="Arial"/>
          <w:sz w:val="22"/>
          <w:szCs w:val="22"/>
          <w:b w:val="1"/>
          <w:bCs w:val="1"/>
          <w:color w:val="auto"/>
        </w:rPr>
        <w:t xml:space="preserve"> </w:t>
      </w:r>
      <w:r>
        <w:rPr>
          <w:rFonts w:ascii="Arial" w:cs="Arial" w:eastAsia="Arial" w:hAnsi="Arial"/>
          <w:sz w:val="22"/>
          <w:szCs w:val="22"/>
          <w:color w:val="auto"/>
        </w:rPr>
        <w:t>Stock granted pursuant to the Plan as it may deem advisable including, without limitation, a requirement that Participants pay a stipulated purchase</w:t>
      </w:r>
    </w:p>
    <w:p>
      <w:pPr>
        <w:spacing w:after="0" w:line="311"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color w:val="auto"/>
        </w:rPr>
        <w:t>BOS1472419.8</w:t>
      </w:r>
      <w:r>
        <w:rPr>
          <w:sz w:val="20"/>
          <w:szCs w:val="20"/>
          <w:color w:val="auto"/>
        </w:rPr>
        <w:tab/>
      </w:r>
      <w:r>
        <w:rPr>
          <w:rFonts w:ascii="Arial" w:cs="Arial" w:eastAsia="Arial" w:hAnsi="Arial"/>
          <w:sz w:val="18"/>
          <w:szCs w:val="18"/>
          <w:color w:val="auto"/>
        </w:rPr>
        <w:t>-9-</w:t>
      </w:r>
    </w:p>
    <w:p>
      <w:pPr>
        <w:sectPr>
          <w:pgSz w:w="11900" w:h="16838" w:orient="portrait"/>
          <w:cols w:equalWidth="0" w:num="1">
            <w:col w:w="11400"/>
          </w:cols>
          <w:pgMar w:left="240" w:top="618" w:right="259" w:bottom="1440" w:gutter="0" w:footer="0" w:header="0"/>
        </w:sectPr>
      </w:pPr>
    </w:p>
    <w:bookmarkStart w:id="107" w:name="page108"/>
    <w:bookmarkEnd w:id="107"/>
    <w:p>
      <w:pPr>
        <w:ind w:right="740"/>
        <w:spacing w:after="0" w:line="253" w:lineRule="auto"/>
        <w:rPr>
          <w:sz w:val="20"/>
          <w:szCs w:val="20"/>
          <w:color w:val="auto"/>
        </w:rPr>
      </w:pPr>
      <w:r>
        <w:rPr>
          <w:rFonts w:ascii="Arial" w:cs="Arial" w:eastAsia="Arial" w:hAnsi="Arial"/>
          <w:sz w:val="22"/>
          <w:szCs w:val="22"/>
          <w:color w:val="auto"/>
        </w:rPr>
        <w:t>price for each Share of Restricted Stock, restrictions based upon the achievement of specific performance goals, time-based restrictions on vesting following the attainment of the performance goals, time-based restrictions, and/or restrictions under applicable federal or state securities laws.</w:t>
      </w:r>
    </w:p>
    <w:p>
      <w:pPr>
        <w:spacing w:after="0" w:line="78" w:lineRule="exact"/>
        <w:rPr>
          <w:sz w:val="20"/>
          <w:szCs w:val="20"/>
          <w:color w:val="auto"/>
        </w:rPr>
      </w:pPr>
    </w:p>
    <w:p>
      <w:pPr>
        <w:ind w:right="60" w:firstLine="392"/>
        <w:spacing w:after="0" w:line="253" w:lineRule="auto"/>
        <w:rPr>
          <w:sz w:val="20"/>
          <w:szCs w:val="20"/>
          <w:color w:val="auto"/>
        </w:rPr>
      </w:pPr>
      <w:r>
        <w:rPr>
          <w:rFonts w:ascii="Arial" w:cs="Arial" w:eastAsia="Arial" w:hAnsi="Arial"/>
          <w:sz w:val="22"/>
          <w:szCs w:val="22"/>
          <w:color w:val="auto"/>
        </w:rPr>
        <w:t>To the extent deemed appropriate by the Committee, the Company may retain the certificates representing Shares of Restricted Stock in the Company’s possession until such time as all conditions and/or restrictions applicable to such Shares have been satisfied.</w:t>
      </w:r>
    </w:p>
    <w:p>
      <w:pPr>
        <w:spacing w:after="0" w:line="78" w:lineRule="exact"/>
        <w:rPr>
          <w:sz w:val="20"/>
          <w:szCs w:val="20"/>
          <w:color w:val="auto"/>
        </w:rPr>
      </w:pPr>
    </w:p>
    <w:p>
      <w:pPr>
        <w:ind w:right="360" w:firstLine="392"/>
        <w:spacing w:after="0" w:line="343" w:lineRule="auto"/>
        <w:rPr>
          <w:sz w:val="20"/>
          <w:szCs w:val="20"/>
          <w:color w:val="auto"/>
        </w:rPr>
      </w:pPr>
      <w:r>
        <w:rPr>
          <w:rFonts w:ascii="Arial" w:cs="Arial" w:eastAsia="Arial" w:hAnsi="Arial"/>
          <w:sz w:val="19"/>
          <w:szCs w:val="19"/>
          <w:color w:val="auto"/>
        </w:rPr>
        <w:t>Except as otherwise provided in the Award Agreement, Shares of Restricted Stock covered by each Restricted Stock grant made under the Plan shall become freely transferable by the Participant after the last day of the applicable Period of Restriction.</w:t>
      </w:r>
    </w:p>
    <w:p>
      <w:pPr>
        <w:spacing w:after="0" w:line="112" w:lineRule="exact"/>
        <w:rPr>
          <w:sz w:val="20"/>
          <w:szCs w:val="20"/>
          <w:color w:val="auto"/>
        </w:rPr>
      </w:pPr>
    </w:p>
    <w:p>
      <w:pPr>
        <w:ind w:right="220" w:firstLine="392"/>
        <w:spacing w:after="0" w:line="350" w:lineRule="auto"/>
        <w:rPr>
          <w:sz w:val="20"/>
          <w:szCs w:val="20"/>
          <w:color w:val="auto"/>
        </w:rPr>
      </w:pPr>
      <w:r>
        <w:rPr>
          <w:rFonts w:ascii="Arial" w:cs="Arial" w:eastAsia="Arial" w:hAnsi="Arial"/>
          <w:sz w:val="19"/>
          <w:szCs w:val="19"/>
          <w:b w:val="1"/>
          <w:bCs w:val="1"/>
          <w:color w:val="auto"/>
        </w:rPr>
        <w:t>8.5 Voting Rights</w:t>
      </w:r>
      <w:r>
        <w:rPr>
          <w:rFonts w:ascii="Arial" w:cs="Arial" w:eastAsia="Arial" w:hAnsi="Arial"/>
          <w:sz w:val="19"/>
          <w:szCs w:val="19"/>
          <w:color w:val="auto"/>
        </w:rPr>
        <w:t>. If the Committee so determines, Participants holding Shares of Restricted Stock granted hereunder may</w:t>
      </w:r>
      <w:r>
        <w:rPr>
          <w:rFonts w:ascii="Arial" w:cs="Arial" w:eastAsia="Arial" w:hAnsi="Arial"/>
          <w:sz w:val="19"/>
          <w:szCs w:val="19"/>
          <w:b w:val="1"/>
          <w:bCs w:val="1"/>
          <w:color w:val="auto"/>
        </w:rPr>
        <w:t xml:space="preserve"> </w:t>
      </w:r>
      <w:r>
        <w:rPr>
          <w:rFonts w:ascii="Arial" w:cs="Arial" w:eastAsia="Arial" w:hAnsi="Arial"/>
          <w:sz w:val="19"/>
          <w:szCs w:val="19"/>
          <w:color w:val="auto"/>
        </w:rPr>
        <w:t>be granted the right to exercise full voting rights with respect to those Shares during the Period of Restriction.</w:t>
      </w:r>
    </w:p>
    <w:p>
      <w:pPr>
        <w:spacing w:after="0" w:line="92" w:lineRule="exact"/>
        <w:rPr>
          <w:sz w:val="20"/>
          <w:szCs w:val="20"/>
          <w:color w:val="auto"/>
        </w:rPr>
      </w:pPr>
    </w:p>
    <w:p>
      <w:pPr>
        <w:ind w:firstLine="392"/>
        <w:spacing w:after="0" w:line="260" w:lineRule="auto"/>
        <w:rPr>
          <w:sz w:val="20"/>
          <w:szCs w:val="20"/>
          <w:color w:val="auto"/>
        </w:rPr>
      </w:pPr>
      <w:r>
        <w:rPr>
          <w:rFonts w:ascii="Arial" w:cs="Arial" w:eastAsia="Arial" w:hAnsi="Arial"/>
          <w:sz w:val="21"/>
          <w:szCs w:val="21"/>
          <w:b w:val="1"/>
          <w:bCs w:val="1"/>
          <w:color w:val="auto"/>
        </w:rPr>
        <w:t>8.6 Dividends and Other Distributions</w:t>
      </w:r>
      <w:r>
        <w:rPr>
          <w:rFonts w:ascii="Arial" w:cs="Arial" w:eastAsia="Arial" w:hAnsi="Arial"/>
          <w:sz w:val="21"/>
          <w:szCs w:val="21"/>
          <w:color w:val="auto"/>
        </w:rPr>
        <w:t>. During the Period of Restriction, Participants holding Shares of Restricted Stock</w:t>
      </w:r>
      <w:r>
        <w:rPr>
          <w:rFonts w:ascii="Arial" w:cs="Arial" w:eastAsia="Arial" w:hAnsi="Arial"/>
          <w:sz w:val="21"/>
          <w:szCs w:val="21"/>
          <w:b w:val="1"/>
          <w:bCs w:val="1"/>
          <w:color w:val="auto"/>
        </w:rPr>
        <w:t xml:space="preserve"> </w:t>
      </w:r>
      <w:r>
        <w:rPr>
          <w:rFonts w:ascii="Arial" w:cs="Arial" w:eastAsia="Arial" w:hAnsi="Arial"/>
          <w:sz w:val="21"/>
          <w:szCs w:val="21"/>
          <w:color w:val="auto"/>
        </w:rPr>
        <w:t>granted hereunder (whether or not the Company holds the certificate(s) representing such Shares) may, if the Committee so determines, be credited with dividends paid with respect to the underlying Shares while they are so held. The Committee may apply any restrictions to the dividends that the Committee deems appropriate. Without limiting the generality of the preceding sentence, if the grant or vesting of Restricted Shares granted to a Covered Employee is designed to comply with the requirements of the Performance-Based Exception, the Committee may apply any restrictions it deems appropriate to the payment of dividends declared with respect to such Restricted Shares, such that the dividends and/or the Restricted Shares maintain eligibility for the Performance-Based Exception.</w:t>
      </w:r>
    </w:p>
    <w:p>
      <w:pPr>
        <w:spacing w:after="0" w:line="217" w:lineRule="exact"/>
        <w:rPr>
          <w:sz w:val="20"/>
          <w:szCs w:val="20"/>
          <w:color w:val="auto"/>
        </w:rPr>
      </w:pPr>
    </w:p>
    <w:p>
      <w:pPr>
        <w:jc w:val="center"/>
        <w:ind w:left="400"/>
        <w:spacing w:after="0"/>
        <w:rPr>
          <w:sz w:val="20"/>
          <w:szCs w:val="20"/>
          <w:color w:val="auto"/>
        </w:rPr>
      </w:pPr>
      <w:r>
        <w:rPr>
          <w:rFonts w:ascii="Arial" w:cs="Arial" w:eastAsia="Arial" w:hAnsi="Arial"/>
          <w:sz w:val="22"/>
          <w:szCs w:val="22"/>
          <w:b w:val="1"/>
          <w:bCs w:val="1"/>
          <w:color w:val="auto"/>
        </w:rPr>
        <w:t>Article 9. Deferred Stock and Restricted Stock Units</w:t>
      </w:r>
    </w:p>
    <w:p>
      <w:pPr>
        <w:spacing w:after="0" w:line="260" w:lineRule="exact"/>
        <w:rPr>
          <w:sz w:val="20"/>
          <w:szCs w:val="20"/>
          <w:color w:val="auto"/>
        </w:rPr>
      </w:pPr>
    </w:p>
    <w:p>
      <w:pPr>
        <w:ind w:right="240" w:firstLine="392"/>
        <w:spacing w:after="0" w:line="252" w:lineRule="auto"/>
        <w:rPr>
          <w:sz w:val="20"/>
          <w:szCs w:val="20"/>
          <w:color w:val="auto"/>
        </w:rPr>
      </w:pPr>
      <w:r>
        <w:rPr>
          <w:rFonts w:ascii="Arial" w:cs="Arial" w:eastAsia="Arial" w:hAnsi="Arial"/>
          <w:sz w:val="22"/>
          <w:szCs w:val="22"/>
          <w:b w:val="1"/>
          <w:bCs w:val="1"/>
          <w:color w:val="auto"/>
        </w:rPr>
        <w:t>9.1 Award of Deferred Stock Units</w:t>
      </w:r>
      <w:r>
        <w:rPr>
          <w:rFonts w:ascii="Arial" w:cs="Arial" w:eastAsia="Arial" w:hAnsi="Arial"/>
          <w:sz w:val="22"/>
          <w:szCs w:val="22"/>
          <w:color w:val="auto"/>
        </w:rPr>
        <w:t>. Subject to the terms and provisions of the Plan, the Committee, at any time and from</w:t>
      </w:r>
      <w:r>
        <w:rPr>
          <w:rFonts w:ascii="Arial" w:cs="Arial" w:eastAsia="Arial" w:hAnsi="Arial"/>
          <w:sz w:val="22"/>
          <w:szCs w:val="22"/>
          <w:b w:val="1"/>
          <w:bCs w:val="1"/>
          <w:color w:val="auto"/>
        </w:rPr>
        <w:t xml:space="preserve"> </w:t>
      </w:r>
      <w:r>
        <w:rPr>
          <w:rFonts w:ascii="Arial" w:cs="Arial" w:eastAsia="Arial" w:hAnsi="Arial"/>
          <w:sz w:val="22"/>
          <w:szCs w:val="22"/>
          <w:color w:val="auto"/>
        </w:rPr>
        <w:t>time to time, may award Deferred Stock Units to Participants in lieu of payment of a bonus or other Award if so elected by a Participant under such terms and conditions as the Committee shall determine, including terms that provide for the grant of Deferred Stock Units valued in excess of the bonus or Award deferred.</w:t>
      </w:r>
    </w:p>
    <w:p>
      <w:pPr>
        <w:spacing w:after="0" w:line="180" w:lineRule="exact"/>
        <w:rPr>
          <w:sz w:val="20"/>
          <w:szCs w:val="20"/>
          <w:color w:val="auto"/>
        </w:rPr>
      </w:pPr>
    </w:p>
    <w:p>
      <w:pPr>
        <w:ind w:right="60" w:firstLine="392"/>
        <w:spacing w:after="0" w:line="293" w:lineRule="auto"/>
        <w:rPr>
          <w:sz w:val="20"/>
          <w:szCs w:val="20"/>
          <w:color w:val="auto"/>
        </w:rPr>
      </w:pPr>
      <w:r>
        <w:rPr>
          <w:rFonts w:ascii="Arial" w:cs="Arial" w:eastAsia="Arial" w:hAnsi="Arial"/>
          <w:sz w:val="19"/>
          <w:szCs w:val="19"/>
          <w:b w:val="1"/>
          <w:bCs w:val="1"/>
          <w:color w:val="auto"/>
        </w:rPr>
        <w:t xml:space="preserve">9.2 Election to Receive Deferred Stock Units. </w:t>
      </w:r>
      <w:r>
        <w:rPr>
          <w:rFonts w:ascii="Arial" w:cs="Arial" w:eastAsia="Arial" w:hAnsi="Arial"/>
          <w:sz w:val="19"/>
          <w:szCs w:val="19"/>
          <w:color w:val="auto"/>
        </w:rPr>
        <w:t>A Participant must make an election to receive Deferred Stock Units in the</w:t>
      </w:r>
      <w:r>
        <w:rPr>
          <w:rFonts w:ascii="Arial" w:cs="Arial" w:eastAsia="Arial" w:hAnsi="Arial"/>
          <w:sz w:val="19"/>
          <w:szCs w:val="19"/>
          <w:b w:val="1"/>
          <w:bCs w:val="1"/>
          <w:color w:val="auto"/>
        </w:rPr>
        <w:t xml:space="preserve"> </w:t>
      </w:r>
      <w:r>
        <w:rPr>
          <w:rFonts w:ascii="Arial" w:cs="Arial" w:eastAsia="Arial" w:hAnsi="Arial"/>
          <w:sz w:val="19"/>
          <w:szCs w:val="19"/>
          <w:color w:val="auto"/>
        </w:rPr>
        <w:t>calendar year before the calendar year in which the services related to the Award are first performed. The Committee may require a Participant to defer, or permit (subject to any conditions as the Committee may from time to time establish) a Participant to elect to defer, receipt of all or any portion of any payment of cash or Shares that otherwise would be due to such Participant in payment or settlement of an Award under the Plan, to the extent consistent with Section 409A of the Code. (Such payments may include, without limitation, provisions for the payment or crediting of reasonable interest in respect of deferred payments credited in cash, and the payment or crediting of dividend equivalents in respect of</w:t>
      </w:r>
    </w:p>
    <w:p>
      <w:pPr>
        <w:spacing w:after="0" w:line="388"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color w:val="auto"/>
        </w:rPr>
        <w:t>BOS1472419.8</w:t>
      </w:r>
      <w:r>
        <w:rPr>
          <w:sz w:val="20"/>
          <w:szCs w:val="20"/>
          <w:color w:val="auto"/>
        </w:rPr>
        <w:tab/>
      </w:r>
      <w:r>
        <w:rPr>
          <w:rFonts w:ascii="Arial" w:cs="Arial" w:eastAsia="Arial" w:hAnsi="Arial"/>
          <w:sz w:val="18"/>
          <w:szCs w:val="18"/>
          <w:color w:val="auto"/>
        </w:rPr>
        <w:t>-10-</w:t>
      </w:r>
    </w:p>
    <w:p>
      <w:pPr>
        <w:sectPr>
          <w:pgSz w:w="11900" w:h="16838" w:orient="portrait"/>
          <w:cols w:equalWidth="0" w:num="1">
            <w:col w:w="11420"/>
          </w:cols>
          <w:pgMar w:left="240" w:top="618" w:right="239" w:bottom="1440" w:gutter="0" w:footer="0" w:header="0"/>
        </w:sectPr>
      </w:pPr>
    </w:p>
    <w:bookmarkStart w:id="108" w:name="page109"/>
    <w:bookmarkEnd w:id="108"/>
    <w:p>
      <w:pPr>
        <w:ind w:right="200"/>
        <w:spacing w:after="0" w:line="263" w:lineRule="auto"/>
        <w:rPr>
          <w:sz w:val="20"/>
          <w:szCs w:val="20"/>
          <w:color w:val="auto"/>
        </w:rPr>
      </w:pPr>
      <w:r>
        <w:rPr>
          <w:rFonts w:ascii="Arial" w:cs="Arial" w:eastAsia="Arial" w:hAnsi="Arial"/>
          <w:sz w:val="22"/>
          <w:szCs w:val="22"/>
          <w:color w:val="auto"/>
        </w:rPr>
        <w:t>deferred amounts credited in stock equivalents.) Settlement of any Deferred Stock Units shall be made in a single sum of cash or Shares.</w:t>
      </w:r>
    </w:p>
    <w:p>
      <w:pPr>
        <w:spacing w:after="0" w:line="169" w:lineRule="exact"/>
        <w:rPr>
          <w:sz w:val="20"/>
          <w:szCs w:val="20"/>
          <w:color w:val="auto"/>
        </w:rPr>
      </w:pPr>
    </w:p>
    <w:p>
      <w:pPr>
        <w:ind w:right="100" w:firstLine="392"/>
        <w:spacing w:after="0" w:line="350" w:lineRule="auto"/>
        <w:rPr>
          <w:sz w:val="20"/>
          <w:szCs w:val="20"/>
          <w:color w:val="auto"/>
        </w:rPr>
      </w:pPr>
      <w:r>
        <w:rPr>
          <w:rFonts w:ascii="Arial" w:cs="Arial" w:eastAsia="Arial" w:hAnsi="Arial"/>
          <w:sz w:val="19"/>
          <w:szCs w:val="19"/>
          <w:b w:val="1"/>
          <w:bCs w:val="1"/>
          <w:color w:val="auto"/>
        </w:rPr>
        <w:t xml:space="preserve">9.3 Grant of Restricted Stock Units. </w:t>
      </w:r>
      <w:r>
        <w:rPr>
          <w:rFonts w:ascii="Arial" w:cs="Arial" w:eastAsia="Arial" w:hAnsi="Arial"/>
          <w:sz w:val="19"/>
          <w:szCs w:val="19"/>
          <w:color w:val="auto"/>
        </w:rPr>
        <w:t>Subject to the terms and provisions of the Plan, the Committee, at any time and from</w:t>
      </w:r>
      <w:r>
        <w:rPr>
          <w:rFonts w:ascii="Arial" w:cs="Arial" w:eastAsia="Arial" w:hAnsi="Arial"/>
          <w:sz w:val="19"/>
          <w:szCs w:val="19"/>
          <w:b w:val="1"/>
          <w:bCs w:val="1"/>
          <w:color w:val="auto"/>
        </w:rPr>
        <w:t xml:space="preserve"> </w:t>
      </w:r>
      <w:r>
        <w:rPr>
          <w:rFonts w:ascii="Arial" w:cs="Arial" w:eastAsia="Arial" w:hAnsi="Arial"/>
          <w:sz w:val="19"/>
          <w:szCs w:val="19"/>
          <w:color w:val="auto"/>
        </w:rPr>
        <w:t>time to time, may grant Restricted Stock Units to Participants in such amounts as the Committee may determine.</w:t>
      </w:r>
    </w:p>
    <w:p>
      <w:pPr>
        <w:spacing w:after="0" w:line="133" w:lineRule="exact"/>
        <w:rPr>
          <w:sz w:val="20"/>
          <w:szCs w:val="20"/>
          <w:color w:val="auto"/>
        </w:rPr>
      </w:pPr>
    </w:p>
    <w:p>
      <w:pPr>
        <w:ind w:right="80" w:firstLine="392"/>
        <w:spacing w:after="0" w:line="274" w:lineRule="auto"/>
        <w:rPr>
          <w:sz w:val="20"/>
          <w:szCs w:val="20"/>
          <w:color w:val="auto"/>
        </w:rPr>
      </w:pPr>
      <w:r>
        <w:rPr>
          <w:rFonts w:ascii="Arial" w:cs="Arial" w:eastAsia="Arial" w:hAnsi="Arial"/>
          <w:sz w:val="21"/>
          <w:szCs w:val="21"/>
          <w:b w:val="1"/>
          <w:bCs w:val="1"/>
          <w:color w:val="auto"/>
        </w:rPr>
        <w:t>9.4 Restricted Stock Units Agreement</w:t>
      </w:r>
      <w:r>
        <w:rPr>
          <w:rFonts w:ascii="Arial" w:cs="Arial" w:eastAsia="Arial" w:hAnsi="Arial"/>
          <w:sz w:val="21"/>
          <w:szCs w:val="21"/>
          <w:color w:val="auto"/>
        </w:rPr>
        <w:t>. Each Restricted Stock Unit grant shall be evidenced by a Restricted Stock Unit</w:t>
      </w:r>
      <w:r>
        <w:rPr>
          <w:rFonts w:ascii="Arial" w:cs="Arial" w:eastAsia="Arial" w:hAnsi="Arial"/>
          <w:sz w:val="21"/>
          <w:szCs w:val="21"/>
          <w:b w:val="1"/>
          <w:bCs w:val="1"/>
          <w:color w:val="auto"/>
        </w:rPr>
        <w:t xml:space="preserve"> </w:t>
      </w:r>
      <w:r>
        <w:rPr>
          <w:rFonts w:ascii="Arial" w:cs="Arial" w:eastAsia="Arial" w:hAnsi="Arial"/>
          <w:sz w:val="21"/>
          <w:szCs w:val="21"/>
          <w:color w:val="auto"/>
        </w:rPr>
        <w:t>Award Agreement that shall specify the date or dates and any other terms and conditions on which the Restricted Stock Units may vest and such other terms and conditions of the grant as the Committee shall determine.</w:t>
      </w:r>
    </w:p>
    <w:p>
      <w:pPr>
        <w:spacing w:after="0" w:line="159" w:lineRule="exact"/>
        <w:rPr>
          <w:sz w:val="20"/>
          <w:szCs w:val="20"/>
          <w:color w:val="auto"/>
        </w:rPr>
      </w:pPr>
    </w:p>
    <w:p>
      <w:pPr>
        <w:ind w:right="20" w:firstLine="392"/>
        <w:spacing w:after="0" w:line="264" w:lineRule="auto"/>
        <w:rPr>
          <w:sz w:val="20"/>
          <w:szCs w:val="20"/>
          <w:color w:val="auto"/>
        </w:rPr>
      </w:pPr>
      <w:r>
        <w:rPr>
          <w:rFonts w:ascii="Arial" w:cs="Arial" w:eastAsia="Arial" w:hAnsi="Arial"/>
          <w:sz w:val="21"/>
          <w:szCs w:val="21"/>
          <w:b w:val="1"/>
          <w:bCs w:val="1"/>
          <w:color w:val="auto"/>
        </w:rPr>
        <w:t xml:space="preserve">9.5 Form and Timing of Payment of Restricted Stock Units. </w:t>
      </w:r>
      <w:r>
        <w:rPr>
          <w:rFonts w:ascii="Arial" w:cs="Arial" w:eastAsia="Arial" w:hAnsi="Arial"/>
          <w:sz w:val="21"/>
          <w:szCs w:val="21"/>
          <w:color w:val="auto"/>
        </w:rPr>
        <w:t>Payment of vested Restricted Stock Units, or, if a Restricted</w:t>
      </w:r>
      <w:r>
        <w:rPr>
          <w:rFonts w:ascii="Arial" w:cs="Arial" w:eastAsia="Arial" w:hAnsi="Arial"/>
          <w:sz w:val="21"/>
          <w:szCs w:val="21"/>
          <w:b w:val="1"/>
          <w:bCs w:val="1"/>
          <w:color w:val="auto"/>
        </w:rPr>
        <w:t xml:space="preserve"> </w:t>
      </w:r>
      <w:r>
        <w:rPr>
          <w:rFonts w:ascii="Arial" w:cs="Arial" w:eastAsia="Arial" w:hAnsi="Arial"/>
          <w:sz w:val="21"/>
          <w:szCs w:val="21"/>
          <w:color w:val="auto"/>
        </w:rPr>
        <w:t>Stock Unit Award is subject to partial vesting, the vested portion of such Award, shall be made in a single sum of cash or Shares or a combination thereof as soon as practicable after the Restricted Stock Units or portion of the Award vests, but in no event later than 2½ months after the calendar year in which vesting occurs. It is intended that a Restricted Stock Unit Award be exempt from the application of Section 409A of the Code as a “short-term deferral.”</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Article 10. Other Stock Unit Awards</w:t>
      </w:r>
    </w:p>
    <w:p>
      <w:pPr>
        <w:spacing w:after="0" w:line="220" w:lineRule="exact"/>
        <w:rPr>
          <w:sz w:val="20"/>
          <w:szCs w:val="20"/>
          <w:color w:val="auto"/>
        </w:rPr>
      </w:pPr>
    </w:p>
    <w:p>
      <w:pPr>
        <w:ind w:right="20" w:firstLine="392"/>
        <w:spacing w:after="0" w:line="249" w:lineRule="auto"/>
        <w:rPr>
          <w:sz w:val="20"/>
          <w:szCs w:val="20"/>
          <w:color w:val="auto"/>
        </w:rPr>
      </w:pPr>
      <w:r>
        <w:rPr>
          <w:rFonts w:ascii="Arial" w:cs="Arial" w:eastAsia="Arial" w:hAnsi="Arial"/>
          <w:sz w:val="22"/>
          <w:szCs w:val="22"/>
          <w:b w:val="1"/>
          <w:bCs w:val="1"/>
          <w:color w:val="auto"/>
        </w:rPr>
        <w:t>10.1 Grant of Other Stock Unit Awards</w:t>
      </w:r>
      <w:r>
        <w:rPr>
          <w:rFonts w:ascii="Arial" w:cs="Arial" w:eastAsia="Arial" w:hAnsi="Arial"/>
          <w:sz w:val="22"/>
          <w:szCs w:val="22"/>
          <w:color w:val="auto"/>
        </w:rPr>
        <w:t>. Subject to the terms of the Plan, Other Stock Unit Awards that are valued in</w:t>
      </w:r>
      <w:r>
        <w:rPr>
          <w:rFonts w:ascii="Arial" w:cs="Arial" w:eastAsia="Arial" w:hAnsi="Arial"/>
          <w:sz w:val="22"/>
          <w:szCs w:val="22"/>
          <w:b w:val="1"/>
          <w:bCs w:val="1"/>
          <w:color w:val="auto"/>
        </w:rPr>
        <w:t xml:space="preserve"> </w:t>
      </w:r>
      <w:r>
        <w:rPr>
          <w:rFonts w:ascii="Arial" w:cs="Arial" w:eastAsia="Arial" w:hAnsi="Arial"/>
          <w:sz w:val="22"/>
          <w:szCs w:val="22"/>
          <w:color w:val="auto"/>
        </w:rPr>
        <w:t>whole or in part by reference to, or are otherwise based on, Shares or other property, may be granted to Participants, either alone or in addition to other Awards granted under the Plan, and such Other Stock Units shall also be available as a form of payment in the settlement of other Awards granted under the Plan. Other Stock Units shall be granted upon such terms, and at any time and from time to time, as shall be determined by the Committee.</w:t>
      </w:r>
    </w:p>
    <w:p>
      <w:pPr>
        <w:spacing w:after="0" w:line="227" w:lineRule="exact"/>
        <w:rPr>
          <w:sz w:val="20"/>
          <w:szCs w:val="20"/>
          <w:color w:val="auto"/>
        </w:rPr>
      </w:pPr>
    </w:p>
    <w:p>
      <w:pPr>
        <w:ind w:right="40" w:firstLine="392"/>
        <w:spacing w:after="0" w:line="256" w:lineRule="auto"/>
        <w:rPr>
          <w:sz w:val="20"/>
          <w:szCs w:val="20"/>
          <w:color w:val="auto"/>
        </w:rPr>
      </w:pPr>
      <w:r>
        <w:rPr>
          <w:rFonts w:ascii="Arial" w:cs="Arial" w:eastAsia="Arial" w:hAnsi="Arial"/>
          <w:sz w:val="22"/>
          <w:szCs w:val="22"/>
          <w:b w:val="1"/>
          <w:bCs w:val="1"/>
          <w:color w:val="auto"/>
        </w:rPr>
        <w:t>10.2 Award Agreement</w:t>
      </w:r>
      <w:r>
        <w:rPr>
          <w:rFonts w:ascii="Arial" w:cs="Arial" w:eastAsia="Arial" w:hAnsi="Arial"/>
          <w:sz w:val="22"/>
          <w:szCs w:val="22"/>
          <w:color w:val="auto"/>
        </w:rPr>
        <w:t>. Each Other Stock Unit grant shall be evidenced by an Other Stock Unit Agreement that shall</w:t>
      </w:r>
      <w:r>
        <w:rPr>
          <w:rFonts w:ascii="Arial" w:cs="Arial" w:eastAsia="Arial" w:hAnsi="Arial"/>
          <w:sz w:val="22"/>
          <w:szCs w:val="22"/>
          <w:b w:val="1"/>
          <w:bCs w:val="1"/>
          <w:color w:val="auto"/>
        </w:rPr>
        <w:t xml:space="preserve"> </w:t>
      </w:r>
      <w:r>
        <w:rPr>
          <w:rFonts w:ascii="Arial" w:cs="Arial" w:eastAsia="Arial" w:hAnsi="Arial"/>
          <w:sz w:val="22"/>
          <w:szCs w:val="22"/>
          <w:color w:val="auto"/>
        </w:rPr>
        <w:t>specify the restrictions upon such Other Stock Units, if any, the number of Other Stock Units granted, and such other provisions as the Committee shall determine which are not inconsistent with the terms of this Plan.</w:t>
      </w:r>
    </w:p>
    <w:p>
      <w:pPr>
        <w:spacing w:after="0" w:line="392"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Article 11. Performance Shares</w:t>
      </w:r>
    </w:p>
    <w:p>
      <w:pPr>
        <w:spacing w:after="0" w:line="220" w:lineRule="exact"/>
        <w:rPr>
          <w:sz w:val="20"/>
          <w:szCs w:val="20"/>
          <w:color w:val="auto"/>
        </w:rPr>
      </w:pPr>
    </w:p>
    <w:p>
      <w:pPr>
        <w:ind w:right="120" w:firstLine="392"/>
        <w:spacing w:after="0" w:line="256" w:lineRule="auto"/>
        <w:rPr>
          <w:sz w:val="20"/>
          <w:szCs w:val="20"/>
          <w:color w:val="auto"/>
        </w:rPr>
      </w:pPr>
      <w:r>
        <w:rPr>
          <w:rFonts w:ascii="Arial" w:cs="Arial" w:eastAsia="Arial" w:hAnsi="Arial"/>
          <w:sz w:val="22"/>
          <w:szCs w:val="22"/>
          <w:b w:val="1"/>
          <w:bCs w:val="1"/>
          <w:color w:val="auto"/>
        </w:rPr>
        <w:t>11.1 Grant of Performance Shares Awards</w:t>
      </w:r>
      <w:r>
        <w:rPr>
          <w:rFonts w:ascii="Arial" w:cs="Arial" w:eastAsia="Arial" w:hAnsi="Arial"/>
          <w:sz w:val="22"/>
          <w:szCs w:val="22"/>
          <w:color w:val="auto"/>
        </w:rPr>
        <w:t>. Subject to the terms of the Plan, Performance Shares Awards may be granted</w:t>
      </w:r>
      <w:r>
        <w:rPr>
          <w:rFonts w:ascii="Arial" w:cs="Arial" w:eastAsia="Arial" w:hAnsi="Arial"/>
          <w:sz w:val="22"/>
          <w:szCs w:val="22"/>
          <w:b w:val="1"/>
          <w:bCs w:val="1"/>
          <w:color w:val="auto"/>
        </w:rPr>
        <w:t xml:space="preserve"> </w:t>
      </w:r>
      <w:r>
        <w:rPr>
          <w:rFonts w:ascii="Arial" w:cs="Arial" w:eastAsia="Arial" w:hAnsi="Arial"/>
          <w:sz w:val="22"/>
          <w:szCs w:val="22"/>
          <w:color w:val="auto"/>
        </w:rPr>
        <w:t>to Participants in such amounts and upon such terms, and at any time and from time to time, as shall be determined by the Committee.</w:t>
      </w:r>
    </w:p>
    <w:p>
      <w:pPr>
        <w:spacing w:after="0" w:line="176" w:lineRule="exact"/>
        <w:rPr>
          <w:sz w:val="20"/>
          <w:szCs w:val="20"/>
          <w:color w:val="auto"/>
        </w:rPr>
      </w:pPr>
    </w:p>
    <w:p>
      <w:pPr>
        <w:ind w:firstLine="392"/>
        <w:spacing w:after="0" w:line="256" w:lineRule="auto"/>
        <w:rPr>
          <w:sz w:val="20"/>
          <w:szCs w:val="20"/>
          <w:color w:val="auto"/>
        </w:rPr>
      </w:pPr>
      <w:r>
        <w:rPr>
          <w:rFonts w:ascii="Arial" w:cs="Arial" w:eastAsia="Arial" w:hAnsi="Arial"/>
          <w:sz w:val="22"/>
          <w:szCs w:val="22"/>
          <w:b w:val="1"/>
          <w:bCs w:val="1"/>
          <w:color w:val="auto"/>
        </w:rPr>
        <w:t>11.2 Award Agreement</w:t>
      </w:r>
      <w:r>
        <w:rPr>
          <w:rFonts w:ascii="Arial" w:cs="Arial" w:eastAsia="Arial" w:hAnsi="Arial"/>
          <w:sz w:val="22"/>
          <w:szCs w:val="22"/>
          <w:color w:val="auto"/>
        </w:rPr>
        <w:t>. At the Committee’s discretion, each grant of Performance Shares Awards may be evidenced by an</w:t>
      </w:r>
      <w:r>
        <w:rPr>
          <w:rFonts w:ascii="Arial" w:cs="Arial" w:eastAsia="Arial" w:hAnsi="Arial"/>
          <w:sz w:val="22"/>
          <w:szCs w:val="22"/>
          <w:b w:val="1"/>
          <w:bCs w:val="1"/>
          <w:color w:val="auto"/>
        </w:rPr>
        <w:t xml:space="preserve"> </w:t>
      </w:r>
      <w:r>
        <w:rPr>
          <w:rFonts w:ascii="Arial" w:cs="Arial" w:eastAsia="Arial" w:hAnsi="Arial"/>
          <w:sz w:val="22"/>
          <w:szCs w:val="22"/>
          <w:color w:val="auto"/>
        </w:rPr>
        <w:t>Award Agreement that shall specify the initial value, the duration of the Award, the performance measures, if any, applicable to the Award, and such other</w:t>
      </w:r>
    </w:p>
    <w:p>
      <w:pPr>
        <w:spacing w:after="0" w:line="200" w:lineRule="exact"/>
        <w:rPr>
          <w:sz w:val="20"/>
          <w:szCs w:val="20"/>
          <w:color w:val="auto"/>
        </w:rPr>
      </w:pPr>
    </w:p>
    <w:p>
      <w:pPr>
        <w:spacing w:after="0" w:line="219"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color w:val="auto"/>
        </w:rPr>
        <w:t>BOS1472419.8</w:t>
      </w:r>
      <w:r>
        <w:rPr>
          <w:sz w:val="20"/>
          <w:szCs w:val="20"/>
          <w:color w:val="auto"/>
        </w:rPr>
        <w:tab/>
      </w:r>
      <w:r>
        <w:rPr>
          <w:rFonts w:ascii="Arial" w:cs="Arial" w:eastAsia="Arial" w:hAnsi="Arial"/>
          <w:sz w:val="18"/>
          <w:szCs w:val="18"/>
          <w:color w:val="auto"/>
        </w:rPr>
        <w:t>-11-</w:t>
      </w:r>
    </w:p>
    <w:p>
      <w:pPr>
        <w:sectPr>
          <w:pgSz w:w="11900" w:h="16838" w:orient="portrait"/>
          <w:cols w:equalWidth="0" w:num="1">
            <w:col w:w="11340"/>
          </w:cols>
          <w:pgMar w:left="240" w:top="618" w:right="319" w:bottom="1440" w:gutter="0" w:footer="0" w:header="0"/>
        </w:sectPr>
      </w:pPr>
    </w:p>
    <w:bookmarkStart w:id="109" w:name="page110"/>
    <w:bookmarkEnd w:id="109"/>
    <w:p>
      <w:pPr>
        <w:spacing w:after="0"/>
        <w:rPr>
          <w:sz w:val="20"/>
          <w:szCs w:val="20"/>
          <w:color w:val="auto"/>
        </w:rPr>
      </w:pPr>
      <w:r>
        <w:rPr>
          <w:rFonts w:ascii="Arial" w:cs="Arial" w:eastAsia="Arial" w:hAnsi="Arial"/>
          <w:sz w:val="22"/>
          <w:szCs w:val="22"/>
          <w:color w:val="auto"/>
        </w:rPr>
        <w:t>provisions as the Committee shall determine which are not inconsistent with the terms of the Plan.</w:t>
      </w:r>
    </w:p>
    <w:p>
      <w:pPr>
        <w:spacing w:after="0" w:line="214" w:lineRule="exact"/>
        <w:rPr>
          <w:sz w:val="20"/>
          <w:szCs w:val="20"/>
          <w:color w:val="auto"/>
        </w:rPr>
      </w:pPr>
    </w:p>
    <w:p>
      <w:pPr>
        <w:ind w:right="20" w:firstLine="392"/>
        <w:spacing w:after="0" w:line="249" w:lineRule="auto"/>
        <w:rPr>
          <w:sz w:val="20"/>
          <w:szCs w:val="20"/>
          <w:color w:val="auto"/>
        </w:rPr>
      </w:pPr>
      <w:r>
        <w:rPr>
          <w:rFonts w:ascii="Arial" w:cs="Arial" w:eastAsia="Arial" w:hAnsi="Arial"/>
          <w:sz w:val="22"/>
          <w:szCs w:val="22"/>
          <w:b w:val="1"/>
          <w:bCs w:val="1"/>
          <w:color w:val="auto"/>
        </w:rPr>
        <w:t>11.3 Value of Performance Shares Awards</w:t>
      </w:r>
      <w:r>
        <w:rPr>
          <w:rFonts w:ascii="Arial" w:cs="Arial" w:eastAsia="Arial" w:hAnsi="Arial"/>
          <w:sz w:val="22"/>
          <w:szCs w:val="22"/>
          <w:color w:val="auto"/>
        </w:rPr>
        <w:t>. Each Performance Share shall have an initial value equal to the Fair Market</w:t>
      </w:r>
      <w:r>
        <w:rPr>
          <w:rFonts w:ascii="Arial" w:cs="Arial" w:eastAsia="Arial" w:hAnsi="Arial"/>
          <w:sz w:val="22"/>
          <w:szCs w:val="22"/>
          <w:b w:val="1"/>
          <w:bCs w:val="1"/>
          <w:color w:val="auto"/>
        </w:rPr>
        <w:t xml:space="preserve"> </w:t>
      </w:r>
      <w:r>
        <w:rPr>
          <w:rFonts w:ascii="Arial" w:cs="Arial" w:eastAsia="Arial" w:hAnsi="Arial"/>
          <w:sz w:val="22"/>
          <w:szCs w:val="22"/>
          <w:color w:val="auto"/>
        </w:rPr>
        <w:t>Value of a Share on the date of grant. The Committee shall set performance goals in its discretion which, depending on the extent to which they are met, will determine the number and/or value of Performance Shares Awards that will be paid out to the Participant. For purposes of this Article 11, the time period during which the performance goals must be met shall be called a “Performance Period.”</w:t>
      </w:r>
    </w:p>
    <w:p>
      <w:pPr>
        <w:spacing w:after="0" w:line="187" w:lineRule="exact"/>
        <w:rPr>
          <w:sz w:val="20"/>
          <w:szCs w:val="20"/>
          <w:color w:val="auto"/>
        </w:rPr>
      </w:pPr>
    </w:p>
    <w:p>
      <w:pPr>
        <w:ind w:firstLine="392"/>
        <w:spacing w:after="0" w:line="267" w:lineRule="auto"/>
        <w:rPr>
          <w:sz w:val="20"/>
          <w:szCs w:val="20"/>
          <w:color w:val="auto"/>
        </w:rPr>
      </w:pPr>
      <w:r>
        <w:rPr>
          <w:rFonts w:ascii="Arial" w:cs="Arial" w:eastAsia="Arial" w:hAnsi="Arial"/>
          <w:sz w:val="21"/>
          <w:szCs w:val="21"/>
          <w:b w:val="1"/>
          <w:bCs w:val="1"/>
          <w:color w:val="auto"/>
        </w:rPr>
        <w:t>11.4 Earning of Performance Shares Awards</w:t>
      </w:r>
      <w:r>
        <w:rPr>
          <w:rFonts w:ascii="Arial" w:cs="Arial" w:eastAsia="Arial" w:hAnsi="Arial"/>
          <w:sz w:val="21"/>
          <w:szCs w:val="21"/>
          <w:color w:val="auto"/>
        </w:rPr>
        <w:t>. Subject to the terms of this Plan, after the applicable Performance Period has</w:t>
      </w:r>
      <w:r>
        <w:rPr>
          <w:rFonts w:ascii="Arial" w:cs="Arial" w:eastAsia="Arial" w:hAnsi="Arial"/>
          <w:sz w:val="21"/>
          <w:szCs w:val="21"/>
          <w:b w:val="1"/>
          <w:bCs w:val="1"/>
          <w:color w:val="auto"/>
        </w:rPr>
        <w:t xml:space="preserve"> </w:t>
      </w:r>
      <w:r>
        <w:rPr>
          <w:rFonts w:ascii="Arial" w:cs="Arial" w:eastAsia="Arial" w:hAnsi="Arial"/>
          <w:sz w:val="21"/>
          <w:szCs w:val="21"/>
          <w:color w:val="auto"/>
        </w:rPr>
        <w:t>ended, the holder of Performance Shares Awards shall be entitled to receive a payout based on the number and value of Performance Shares Awards earned by the Participant over the Performance Period, to be determined as a function of the extent to which the corresponding performance goals have been achieved.</w:t>
      </w:r>
    </w:p>
    <w:p>
      <w:pPr>
        <w:spacing w:after="0" w:line="168" w:lineRule="exact"/>
        <w:rPr>
          <w:sz w:val="20"/>
          <w:szCs w:val="20"/>
          <w:color w:val="auto"/>
        </w:rPr>
      </w:pPr>
    </w:p>
    <w:p>
      <w:pPr>
        <w:ind w:right="80" w:firstLine="392"/>
        <w:spacing w:after="0" w:line="293" w:lineRule="auto"/>
        <w:rPr>
          <w:sz w:val="20"/>
          <w:szCs w:val="20"/>
          <w:color w:val="auto"/>
        </w:rPr>
      </w:pPr>
      <w:r>
        <w:rPr>
          <w:rFonts w:ascii="Arial" w:cs="Arial" w:eastAsia="Arial" w:hAnsi="Arial"/>
          <w:sz w:val="19"/>
          <w:szCs w:val="19"/>
          <w:b w:val="1"/>
          <w:bCs w:val="1"/>
          <w:color w:val="auto"/>
        </w:rPr>
        <w:t>11.5 Form and Timing of Payment of Performance Shares Awards</w:t>
      </w:r>
      <w:r>
        <w:rPr>
          <w:rFonts w:ascii="Arial" w:cs="Arial" w:eastAsia="Arial" w:hAnsi="Arial"/>
          <w:sz w:val="19"/>
          <w:szCs w:val="19"/>
          <w:color w:val="auto"/>
        </w:rPr>
        <w:t>. Payment of earned Performance Shares Awards shall</w:t>
      </w:r>
      <w:r>
        <w:rPr>
          <w:rFonts w:ascii="Arial" w:cs="Arial" w:eastAsia="Arial" w:hAnsi="Arial"/>
          <w:sz w:val="19"/>
          <w:szCs w:val="19"/>
          <w:b w:val="1"/>
          <w:bCs w:val="1"/>
          <w:color w:val="auto"/>
        </w:rPr>
        <w:t xml:space="preserve"> </w:t>
      </w:r>
      <w:r>
        <w:rPr>
          <w:rFonts w:ascii="Arial" w:cs="Arial" w:eastAsia="Arial" w:hAnsi="Arial"/>
          <w:sz w:val="19"/>
          <w:szCs w:val="19"/>
          <w:color w:val="auto"/>
        </w:rPr>
        <w:t>be as determined by the Committee and, if applicable, as evidenced in the related Award Agreement. Subject to the terms of the Plan, the Committee, in its sole discretion, may pay earned Performance Shares Awards in the form of cash or in Shares (or in a combination thereof) that have an aggregate Fair Market Value equal to the value of the earned Performance Shares Awards at the close of the applicable Performance Period. Such Shares may be delivered subject to any restrictions deemed appropriate by the Committee. No fractional shares will be issued. The determination of the Committee with respect to the form of payout of such Awards shall be set forth in the Award Agreement pertaining to the grant of the Award or the resolutions establishing the Award.</w:t>
      </w:r>
    </w:p>
    <w:p>
      <w:pPr>
        <w:spacing w:after="0" w:line="43" w:lineRule="exact"/>
        <w:rPr>
          <w:sz w:val="20"/>
          <w:szCs w:val="20"/>
          <w:color w:val="auto"/>
        </w:rPr>
      </w:pPr>
    </w:p>
    <w:p>
      <w:pPr>
        <w:ind w:right="340" w:firstLine="392"/>
        <w:spacing w:after="0" w:line="287" w:lineRule="auto"/>
        <w:rPr>
          <w:sz w:val="20"/>
          <w:szCs w:val="20"/>
          <w:color w:val="auto"/>
        </w:rPr>
      </w:pPr>
      <w:r>
        <w:rPr>
          <w:rFonts w:ascii="Arial" w:cs="Arial" w:eastAsia="Arial" w:hAnsi="Arial"/>
          <w:sz w:val="21"/>
          <w:szCs w:val="21"/>
          <w:color w:val="auto"/>
        </w:rPr>
        <w:t>Unless otherwise provided by the Committee, Participants holding Performance Shares shall be entitled to receive dividend units with respect to dividends declared with respect to the Shares represented by such Performance Shares.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12. Performance Criteria</w:t>
      </w:r>
    </w:p>
    <w:p>
      <w:pPr>
        <w:spacing w:after="0" w:line="200" w:lineRule="exact"/>
        <w:rPr>
          <w:sz w:val="20"/>
          <w:szCs w:val="20"/>
          <w:color w:val="auto"/>
        </w:rPr>
      </w:pPr>
    </w:p>
    <w:p>
      <w:pPr>
        <w:spacing w:after="0" w:line="390" w:lineRule="exact"/>
        <w:rPr>
          <w:sz w:val="20"/>
          <w:szCs w:val="20"/>
          <w:color w:val="auto"/>
        </w:rPr>
      </w:pPr>
    </w:p>
    <w:p>
      <w:pPr>
        <w:ind w:firstLine="392"/>
        <w:spacing w:after="0" w:line="259" w:lineRule="auto"/>
        <w:rPr>
          <w:sz w:val="20"/>
          <w:szCs w:val="20"/>
          <w:color w:val="auto"/>
        </w:rPr>
      </w:pPr>
      <w:r>
        <w:rPr>
          <w:rFonts w:ascii="Arial" w:cs="Arial" w:eastAsia="Arial" w:hAnsi="Arial"/>
          <w:sz w:val="21"/>
          <w:szCs w:val="21"/>
          <w:color w:val="auto"/>
        </w:rPr>
        <w:t>Unless and until the Committee proposes for shareholder vote and the Company’s shareholders approve a change in the general performance criteria set forth in this Article 12, the attainment of which may determine the degree of payout and/or vesting with respect to Awards to Covered Employees that are intended to qualify for the Performance-Based Exception, the performance criterion or criteria to be used for purposes of establishing the performance goals of such grants shall be chosen by the Committee from among: revenue; earnings per share; operating income; net income (before or after taxes); cash flow (including, but not limited to, operating cash flow and free cash flow); gross profit; growth in any of the preceding measures; gross profit return on investment; gross margin return on investment; working capital; gross margins; EBIT; EBITDA; return on equity; return on assets; return on capital; revenue growth;</w:t>
      </w:r>
    </w:p>
    <w:p>
      <w:pPr>
        <w:spacing w:after="0" w:line="313"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color w:val="auto"/>
        </w:rPr>
        <w:t>BOS1472419.8</w:t>
      </w:r>
      <w:r>
        <w:rPr>
          <w:sz w:val="20"/>
          <w:szCs w:val="20"/>
          <w:color w:val="auto"/>
        </w:rPr>
        <w:tab/>
      </w:r>
      <w:r>
        <w:rPr>
          <w:rFonts w:ascii="Arial" w:cs="Arial" w:eastAsia="Arial" w:hAnsi="Arial"/>
          <w:sz w:val="18"/>
          <w:szCs w:val="18"/>
          <w:color w:val="auto"/>
        </w:rPr>
        <w:t>-12-</w:t>
      </w:r>
    </w:p>
    <w:p>
      <w:pPr>
        <w:sectPr>
          <w:pgSz w:w="11900" w:h="16838" w:orient="portrait"/>
          <w:cols w:equalWidth="0" w:num="1">
            <w:col w:w="11420"/>
          </w:cols>
          <w:pgMar w:left="240" w:top="618" w:right="239" w:bottom="1440" w:gutter="0" w:footer="0" w:header="0"/>
        </w:sectPr>
      </w:pPr>
    </w:p>
    <w:bookmarkStart w:id="110" w:name="page111"/>
    <w:bookmarkEnd w:id="110"/>
    <w:p>
      <w:pPr>
        <w:spacing w:after="0" w:line="271" w:lineRule="auto"/>
        <w:rPr>
          <w:sz w:val="20"/>
          <w:szCs w:val="20"/>
          <w:color w:val="auto"/>
        </w:rPr>
      </w:pPr>
      <w:r>
        <w:rPr>
          <w:rFonts w:ascii="Arial" w:cs="Arial" w:eastAsia="Arial" w:hAnsi="Arial"/>
          <w:sz w:val="21"/>
          <w:szCs w:val="21"/>
          <w:color w:val="auto"/>
        </w:rPr>
        <w:t>total shareholder return; economic value added; customer satisfaction; technology leadership; number of new patents; employee retention; market share; market segment share; product release schedules; new product innovation; cost reduction through advanced technology; brand recognition/acceptance; product ship targets; and stock value.</w:t>
      </w:r>
    </w:p>
    <w:p>
      <w:pPr>
        <w:spacing w:after="0" w:line="60" w:lineRule="exact"/>
        <w:rPr>
          <w:sz w:val="20"/>
          <w:szCs w:val="20"/>
          <w:color w:val="auto"/>
        </w:rPr>
      </w:pPr>
    </w:p>
    <w:p>
      <w:pPr>
        <w:ind w:right="140" w:firstLine="392"/>
        <w:spacing w:after="0" w:line="265" w:lineRule="auto"/>
        <w:rPr>
          <w:sz w:val="20"/>
          <w:szCs w:val="20"/>
          <w:color w:val="auto"/>
        </w:rPr>
      </w:pPr>
      <w:r>
        <w:rPr>
          <w:rFonts w:ascii="Arial" w:cs="Arial" w:eastAsia="Arial" w:hAnsi="Arial"/>
          <w:sz w:val="21"/>
          <w:szCs w:val="21"/>
          <w:color w:val="auto"/>
        </w:rPr>
        <w:t>Performance criteria may be applied as follows: to either the Company as a whole or to a division, business unit, operating unit, platform, parent or subsidiary, or an individual; measured annually, cumulatively over a period of years, or otherwise; on an absolute basis or relative basis; to a pre-established target, to previous years’ results or to a designated comparison group or index; or on a GAAP or non-GAAP basis, in each case as specified by the Committee in the Award.</w:t>
      </w:r>
    </w:p>
    <w:p>
      <w:pPr>
        <w:spacing w:after="0" w:line="68" w:lineRule="exact"/>
        <w:rPr>
          <w:sz w:val="20"/>
          <w:szCs w:val="20"/>
          <w:color w:val="auto"/>
        </w:rPr>
      </w:pPr>
    </w:p>
    <w:p>
      <w:pPr>
        <w:ind w:right="120" w:firstLine="392"/>
        <w:spacing w:after="0" w:line="288" w:lineRule="auto"/>
        <w:rPr>
          <w:sz w:val="20"/>
          <w:szCs w:val="20"/>
          <w:color w:val="auto"/>
        </w:rPr>
      </w:pPr>
      <w:r>
        <w:rPr>
          <w:rFonts w:ascii="Arial" w:cs="Arial" w:eastAsia="Arial" w:hAnsi="Arial"/>
          <w:sz w:val="19"/>
          <w:szCs w:val="19"/>
          <w:color w:val="auto"/>
        </w:rPr>
        <w:t>The Committee shall determine the period for which performance goals are set and during which performance is to be measured. Performance periods may be of varying and overlapping durations. To the extent an Award is intended to qualify for the Performance-Based Exception, the performance goals must be established in writing by the Committee no later than the earlier of</w:t>
      </w:r>
    </w:p>
    <w:p>
      <w:pPr>
        <w:spacing w:after="0" w:line="1" w:lineRule="exact"/>
        <w:rPr>
          <w:sz w:val="20"/>
          <w:szCs w:val="20"/>
          <w:color w:val="auto"/>
        </w:rPr>
      </w:pPr>
    </w:p>
    <w:p>
      <w:pPr>
        <w:ind w:right="80" w:firstLine="8"/>
        <w:spacing w:after="0" w:line="323" w:lineRule="auto"/>
        <w:tabs>
          <w:tab w:leader="none" w:pos="294" w:val="left"/>
        </w:tabs>
        <w:numPr>
          <w:ilvl w:val="0"/>
          <w:numId w:val="42"/>
        </w:numPr>
        <w:rPr>
          <w:rFonts w:ascii="Arial" w:cs="Arial" w:eastAsia="Arial" w:hAnsi="Arial"/>
          <w:sz w:val="19"/>
          <w:szCs w:val="19"/>
          <w:color w:val="auto"/>
        </w:rPr>
      </w:pPr>
      <w:r>
        <w:rPr>
          <w:rFonts w:ascii="Arial" w:cs="Arial" w:eastAsia="Arial" w:hAnsi="Arial"/>
          <w:sz w:val="19"/>
          <w:szCs w:val="19"/>
          <w:color w:val="auto"/>
        </w:rPr>
        <w:t>90 days after the commencement of the applicable performance period, or (b) the date on which 25% of the performance period has elapsed, and in any event at a time when the outcome of the performance goals remains substantially uncertain.</w:t>
      </w:r>
    </w:p>
    <w:p>
      <w:pPr>
        <w:spacing w:after="0" w:line="15" w:lineRule="exact"/>
        <w:rPr>
          <w:sz w:val="20"/>
          <w:szCs w:val="20"/>
          <w:color w:val="auto"/>
        </w:rPr>
      </w:pPr>
    </w:p>
    <w:p>
      <w:pPr>
        <w:ind w:right="380" w:firstLine="392"/>
        <w:spacing w:after="0" w:line="263" w:lineRule="auto"/>
        <w:rPr>
          <w:sz w:val="20"/>
          <w:szCs w:val="20"/>
          <w:color w:val="auto"/>
        </w:rPr>
      </w:pPr>
      <w:r>
        <w:rPr>
          <w:rFonts w:ascii="Arial" w:cs="Arial" w:eastAsia="Arial" w:hAnsi="Arial"/>
          <w:sz w:val="22"/>
          <w:szCs w:val="22"/>
          <w:color w:val="auto"/>
        </w:rPr>
        <w:t>Awards may include minimum, maximum, target, and intermediate levels of performance with the final value of the Award determined by the Committee under the applicable formula.</w:t>
      </w:r>
    </w:p>
    <w:p>
      <w:pPr>
        <w:spacing w:after="0" w:line="67" w:lineRule="exact"/>
        <w:rPr>
          <w:sz w:val="20"/>
          <w:szCs w:val="20"/>
          <w:color w:val="auto"/>
        </w:rPr>
      </w:pPr>
    </w:p>
    <w:p>
      <w:pPr>
        <w:ind w:right="320" w:firstLine="392"/>
        <w:spacing w:after="0" w:line="341" w:lineRule="auto"/>
        <w:rPr>
          <w:sz w:val="20"/>
          <w:szCs w:val="20"/>
          <w:color w:val="auto"/>
        </w:rPr>
      </w:pPr>
      <w:r>
        <w:rPr>
          <w:rFonts w:ascii="Arial" w:cs="Arial" w:eastAsia="Arial" w:hAnsi="Arial"/>
          <w:sz w:val="19"/>
          <w:szCs w:val="19"/>
          <w:color w:val="auto"/>
        </w:rPr>
        <w:t>Awards that are intended to qualify for the Performance-Based Exception may not be adjusted upward (the Committee shall retain the discretion to adjust such Awards downward notwithstanding the attainment of the performance goals).</w:t>
      </w:r>
    </w:p>
    <w:p>
      <w:pPr>
        <w:ind w:right="100" w:firstLine="392"/>
        <w:spacing w:after="0" w:line="260" w:lineRule="auto"/>
        <w:rPr>
          <w:sz w:val="20"/>
          <w:szCs w:val="20"/>
          <w:color w:val="auto"/>
        </w:rPr>
      </w:pPr>
      <w:r>
        <w:rPr>
          <w:rFonts w:ascii="Arial" w:cs="Arial" w:eastAsia="Arial" w:hAnsi="Arial"/>
          <w:sz w:val="21"/>
          <w:szCs w:val="21"/>
          <w:color w:val="auto"/>
        </w:rPr>
        <w:t>If an Award so provides, the Committee may evaluate achievement against and make adjustments to the performance criterion or criteria to prevent dilution or enlargement of a Covered Employee’s rights by taking into account any of the following events that occur during a performance period: asset write-downs; litigation, judgments, or claim settlements; the effect of changes in the tax laws or rates, accounting principles, or other laws or provisions affecting reported results; accruals for reorganization and restructuring programs; currency exchange rate fluctuations; a change in the Company’s fiscal year; the impact of acquisitions, divestitures and joint ventures; the results of discontinued operations or products; and extraordinary gains or losses or other non-recurring charges or events.</w:t>
      </w:r>
    </w:p>
    <w:p>
      <w:pPr>
        <w:spacing w:after="0" w:line="73" w:lineRule="exact"/>
        <w:rPr>
          <w:sz w:val="20"/>
          <w:szCs w:val="20"/>
          <w:color w:val="auto"/>
        </w:rPr>
      </w:pPr>
    </w:p>
    <w:p>
      <w:pPr>
        <w:ind w:right="400" w:firstLine="392"/>
        <w:spacing w:after="0" w:line="253" w:lineRule="auto"/>
        <w:rPr>
          <w:sz w:val="20"/>
          <w:szCs w:val="20"/>
          <w:color w:val="auto"/>
        </w:rPr>
      </w:pPr>
      <w:r>
        <w:rPr>
          <w:rFonts w:ascii="Arial" w:cs="Arial" w:eastAsia="Arial" w:hAnsi="Arial"/>
          <w:sz w:val="22"/>
          <w:szCs w:val="22"/>
          <w:color w:val="auto"/>
        </w:rPr>
        <w:t>As soon as reasonably practicable following the completion of the performance period applicable to an Award intended to qualify for the Performance-Based Exception, the Committee shall certify the extent to which the applicable performance goals have been attained and the Covered Employee’s right to payment of the Award.</w:t>
      </w:r>
    </w:p>
    <w:p>
      <w:pPr>
        <w:spacing w:after="0" w:line="78" w:lineRule="exact"/>
        <w:rPr>
          <w:sz w:val="20"/>
          <w:szCs w:val="20"/>
          <w:color w:val="auto"/>
        </w:rPr>
      </w:pPr>
    </w:p>
    <w:p>
      <w:pPr>
        <w:ind w:right="300" w:firstLine="392"/>
        <w:spacing w:after="0" w:line="253" w:lineRule="auto"/>
        <w:rPr>
          <w:sz w:val="20"/>
          <w:szCs w:val="20"/>
          <w:color w:val="auto"/>
        </w:rPr>
      </w:pPr>
      <w:r>
        <w:rPr>
          <w:rFonts w:ascii="Arial" w:cs="Arial" w:eastAsia="Arial" w:hAnsi="Arial"/>
          <w:sz w:val="22"/>
          <w:szCs w:val="22"/>
          <w:color w:val="auto"/>
        </w:rPr>
        <w:t>If applicable tax and/or securities laws change to permit Committee discretion to alter the governing performance criteria without obtaining shareholder approval of such changes, the Committee shall have sole discretion to make such changes without obtaining shareholder approval.</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color w:val="auto"/>
        </w:rPr>
        <w:t>BOS1472419.8</w:t>
      </w:r>
      <w:r>
        <w:rPr>
          <w:sz w:val="20"/>
          <w:szCs w:val="20"/>
          <w:color w:val="auto"/>
        </w:rPr>
        <w:tab/>
      </w:r>
      <w:r>
        <w:rPr>
          <w:rFonts w:ascii="Arial" w:cs="Arial" w:eastAsia="Arial" w:hAnsi="Arial"/>
          <w:sz w:val="18"/>
          <w:szCs w:val="18"/>
          <w:color w:val="auto"/>
        </w:rPr>
        <w:t>-13-</w:t>
      </w:r>
    </w:p>
    <w:p>
      <w:pPr>
        <w:sectPr>
          <w:pgSz w:w="11900" w:h="16838" w:orient="portrait"/>
          <w:cols w:equalWidth="0" w:num="1">
            <w:col w:w="11420"/>
          </w:cols>
          <w:pgMar w:left="240" w:top="618" w:right="239" w:bottom="1440" w:gutter="0" w:footer="0" w:header="0"/>
        </w:sectPr>
      </w:pPr>
    </w:p>
    <w:bookmarkStart w:id="111" w:name="page112"/>
    <w:bookmarkEnd w:id="111"/>
    <w:p>
      <w:pPr>
        <w:jc w:val="center"/>
        <w:ind w:right="-39"/>
        <w:spacing w:after="0"/>
        <w:rPr>
          <w:sz w:val="20"/>
          <w:szCs w:val="20"/>
          <w:color w:val="auto"/>
        </w:rPr>
      </w:pPr>
      <w:r>
        <w:rPr>
          <w:rFonts w:ascii="Arial" w:cs="Arial" w:eastAsia="Arial" w:hAnsi="Arial"/>
          <w:sz w:val="22"/>
          <w:szCs w:val="22"/>
          <w:b w:val="1"/>
          <w:bCs w:val="1"/>
          <w:color w:val="auto"/>
        </w:rPr>
        <w:t>Article 13. Rights of Participants</w:t>
      </w:r>
    </w:p>
    <w:p>
      <w:pPr>
        <w:spacing w:after="0" w:line="220" w:lineRule="exact"/>
        <w:rPr>
          <w:sz w:val="20"/>
          <w:szCs w:val="20"/>
          <w:color w:val="auto"/>
        </w:rPr>
      </w:pPr>
    </w:p>
    <w:p>
      <w:pPr>
        <w:ind w:firstLine="392"/>
        <w:spacing w:after="0" w:line="256" w:lineRule="auto"/>
        <w:rPr>
          <w:sz w:val="20"/>
          <w:szCs w:val="20"/>
          <w:color w:val="auto"/>
        </w:rPr>
      </w:pPr>
      <w:r>
        <w:rPr>
          <w:rFonts w:ascii="Arial" w:cs="Arial" w:eastAsia="Arial" w:hAnsi="Arial"/>
          <w:sz w:val="22"/>
          <w:szCs w:val="22"/>
          <w:b w:val="1"/>
          <w:bCs w:val="1"/>
          <w:color w:val="auto"/>
        </w:rPr>
        <w:t>13.1 Employment</w:t>
      </w:r>
      <w:r>
        <w:rPr>
          <w:rFonts w:ascii="Arial" w:cs="Arial" w:eastAsia="Arial" w:hAnsi="Arial"/>
          <w:sz w:val="22"/>
          <w:szCs w:val="22"/>
          <w:color w:val="auto"/>
        </w:rPr>
        <w:t>. Nothing in the Plan shall confer upon any Participant any right to continue in the Company’s or its</w:t>
      </w:r>
      <w:r>
        <w:rPr>
          <w:rFonts w:ascii="Arial" w:cs="Arial" w:eastAsia="Arial" w:hAnsi="Arial"/>
          <w:sz w:val="22"/>
          <w:szCs w:val="22"/>
          <w:b w:val="1"/>
          <w:bCs w:val="1"/>
          <w:color w:val="auto"/>
        </w:rPr>
        <w:t xml:space="preserve"> </w:t>
      </w:r>
      <w:r>
        <w:rPr>
          <w:rFonts w:ascii="Arial" w:cs="Arial" w:eastAsia="Arial" w:hAnsi="Arial"/>
          <w:sz w:val="22"/>
          <w:szCs w:val="22"/>
          <w:color w:val="auto"/>
        </w:rPr>
        <w:t>Subsidiaries’ employ, or as a Director, or interfere with or limit in any way the right of the Company or its Subsidiaries to terminate any Participant’s employment or directorship at any time.</w:t>
      </w:r>
    </w:p>
    <w:p>
      <w:pPr>
        <w:spacing w:after="0" w:line="176" w:lineRule="exact"/>
        <w:rPr>
          <w:sz w:val="20"/>
          <w:szCs w:val="20"/>
          <w:color w:val="auto"/>
        </w:rPr>
      </w:pPr>
    </w:p>
    <w:p>
      <w:pPr>
        <w:ind w:right="480" w:firstLine="392"/>
        <w:spacing w:after="0" w:line="269" w:lineRule="auto"/>
        <w:rPr>
          <w:sz w:val="20"/>
          <w:szCs w:val="20"/>
          <w:color w:val="auto"/>
        </w:rPr>
      </w:pPr>
      <w:r>
        <w:rPr>
          <w:rFonts w:ascii="Arial" w:cs="Arial" w:eastAsia="Arial" w:hAnsi="Arial"/>
          <w:sz w:val="22"/>
          <w:szCs w:val="22"/>
          <w:b w:val="1"/>
          <w:bCs w:val="1"/>
          <w:color w:val="auto"/>
        </w:rPr>
        <w:t>13.2 Participation</w:t>
      </w:r>
      <w:r>
        <w:rPr>
          <w:rFonts w:ascii="Arial" w:cs="Arial" w:eastAsia="Arial" w:hAnsi="Arial"/>
          <w:sz w:val="22"/>
          <w:szCs w:val="22"/>
          <w:color w:val="auto"/>
        </w:rPr>
        <w:t>. No Employee or Director shall have the right to be selected to receive an Award under this Plan, or,</w:t>
      </w:r>
      <w:r>
        <w:rPr>
          <w:rFonts w:ascii="Arial" w:cs="Arial" w:eastAsia="Arial" w:hAnsi="Arial"/>
          <w:sz w:val="22"/>
          <w:szCs w:val="22"/>
          <w:b w:val="1"/>
          <w:bCs w:val="1"/>
          <w:color w:val="auto"/>
        </w:rPr>
        <w:t xml:space="preserve"> </w:t>
      </w:r>
      <w:r>
        <w:rPr>
          <w:rFonts w:ascii="Arial" w:cs="Arial" w:eastAsia="Arial" w:hAnsi="Arial"/>
          <w:sz w:val="22"/>
          <w:szCs w:val="22"/>
          <w:color w:val="auto"/>
        </w:rPr>
        <w:t>having been so selected, to be selected to receive a future Award.</w:t>
      </w:r>
    </w:p>
    <w:p>
      <w:pPr>
        <w:spacing w:after="0" w:line="162" w:lineRule="exact"/>
        <w:rPr>
          <w:sz w:val="20"/>
          <w:szCs w:val="20"/>
          <w:color w:val="auto"/>
        </w:rPr>
      </w:pPr>
    </w:p>
    <w:p>
      <w:pPr>
        <w:ind w:right="600" w:firstLine="392"/>
        <w:spacing w:after="0" w:line="315" w:lineRule="auto"/>
        <w:rPr>
          <w:sz w:val="20"/>
          <w:szCs w:val="20"/>
          <w:color w:val="auto"/>
        </w:rPr>
      </w:pPr>
      <w:r>
        <w:rPr>
          <w:rFonts w:ascii="Arial" w:cs="Arial" w:eastAsia="Arial" w:hAnsi="Arial"/>
          <w:sz w:val="19"/>
          <w:szCs w:val="19"/>
          <w:b w:val="1"/>
          <w:bCs w:val="1"/>
          <w:color w:val="auto"/>
        </w:rPr>
        <w:t>13.3 Rights as a Stockholder</w:t>
      </w:r>
      <w:r>
        <w:rPr>
          <w:rFonts w:ascii="Arial" w:cs="Arial" w:eastAsia="Arial" w:hAnsi="Arial"/>
          <w:sz w:val="19"/>
          <w:szCs w:val="19"/>
          <w:color w:val="auto"/>
        </w:rPr>
        <w:t>. Except as provided in Sections 8.5, 8.6 and 11.5 or in the applicable Award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consistent with Articles 8, 9, 10, or 11, a Participant shall have none of the rights of a shareholder with respect to shares of Company common stock covered by any Award until the Participant becomes the record holder of such Shares.</w:t>
      </w:r>
    </w:p>
    <w:p>
      <w:pPr>
        <w:spacing w:after="0" w:line="166" w:lineRule="exact"/>
        <w:rPr>
          <w:sz w:val="20"/>
          <w:szCs w:val="20"/>
          <w:color w:val="auto"/>
        </w:rPr>
      </w:pPr>
    </w:p>
    <w:p>
      <w:pPr>
        <w:ind w:right="40" w:firstLine="392"/>
        <w:spacing w:after="0" w:line="248" w:lineRule="auto"/>
        <w:rPr>
          <w:sz w:val="20"/>
          <w:szCs w:val="20"/>
          <w:color w:val="auto"/>
        </w:rPr>
      </w:pPr>
      <w:r>
        <w:rPr>
          <w:rFonts w:ascii="Arial" w:cs="Arial" w:eastAsia="Arial" w:hAnsi="Arial"/>
          <w:sz w:val="22"/>
          <w:szCs w:val="22"/>
          <w:b w:val="1"/>
          <w:bCs w:val="1"/>
          <w:color w:val="auto"/>
        </w:rPr>
        <w:t xml:space="preserve">13.4 Nontransferability. </w:t>
      </w:r>
      <w:r>
        <w:rPr>
          <w:rFonts w:ascii="Arial" w:cs="Arial" w:eastAsia="Arial" w:hAnsi="Arial"/>
          <w:sz w:val="22"/>
          <w:szCs w:val="22"/>
          <w:color w:val="auto"/>
        </w:rPr>
        <w:t>Unless otherwise set forth by the Committee in an Award Agreement, Awards (except for vested</w:t>
      </w:r>
      <w:r>
        <w:rPr>
          <w:rFonts w:ascii="Arial" w:cs="Arial" w:eastAsia="Arial" w:hAnsi="Arial"/>
          <w:sz w:val="22"/>
          <w:szCs w:val="22"/>
          <w:b w:val="1"/>
          <w:bCs w:val="1"/>
          <w:color w:val="auto"/>
        </w:rPr>
        <w:t xml:space="preserve"> </w:t>
      </w:r>
      <w:r>
        <w:rPr>
          <w:rFonts w:ascii="Arial" w:cs="Arial" w:eastAsia="Arial" w:hAnsi="Arial"/>
          <w:sz w:val="22"/>
          <w:szCs w:val="22"/>
          <w:color w:val="auto"/>
        </w:rPr>
        <w:t>shares) shall not be transferable by a Participant except by will or the laws of descent and distribution (except pursuant to a Beneficiary designation) and shall be exercisable during the lifetime of a Participant only by such Participant or his or her guardian or legal representative. Under no circumstances will an Award be transferable for value or consideration. A Participant’s rights under the Plan may not be pledged, mortgaged, hypothecated, or otherwise encumbered, and shall not be subject to claims of the Participant’s creditors.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14. Termination of Employment/Directorship</w:t>
      </w:r>
    </w:p>
    <w:p>
      <w:pPr>
        <w:spacing w:after="0" w:line="220" w:lineRule="exact"/>
        <w:rPr>
          <w:sz w:val="20"/>
          <w:szCs w:val="20"/>
          <w:color w:val="auto"/>
        </w:rPr>
      </w:pPr>
    </w:p>
    <w:p>
      <w:pPr>
        <w:ind w:right="160" w:firstLine="648"/>
        <w:spacing w:after="0" w:line="249" w:lineRule="auto"/>
        <w:rPr>
          <w:sz w:val="20"/>
          <w:szCs w:val="20"/>
          <w:color w:val="auto"/>
        </w:rPr>
      </w:pPr>
      <w:r>
        <w:rPr>
          <w:rFonts w:ascii="Arial" w:cs="Arial" w:eastAsia="Arial" w:hAnsi="Arial"/>
          <w:sz w:val="22"/>
          <w:szCs w:val="22"/>
          <w:b w:val="1"/>
          <w:bCs w:val="1"/>
          <w:color w:val="auto"/>
        </w:rPr>
        <w:t xml:space="preserve">14.1 Effect on Options. </w:t>
      </w:r>
      <w:r>
        <w:rPr>
          <w:rFonts w:ascii="Arial" w:cs="Arial" w:eastAsia="Arial" w:hAnsi="Arial"/>
          <w:sz w:val="22"/>
          <w:szCs w:val="22"/>
          <w:color w:val="auto"/>
        </w:rPr>
        <w:t>Upon termination of the Participant's employment or directorship for any reason other than</w:t>
      </w:r>
      <w:r>
        <w:rPr>
          <w:rFonts w:ascii="Arial" w:cs="Arial" w:eastAsia="Arial" w:hAnsi="Arial"/>
          <w:sz w:val="22"/>
          <w:szCs w:val="22"/>
          <w:b w:val="1"/>
          <w:bCs w:val="1"/>
          <w:color w:val="auto"/>
        </w:rPr>
        <w:t xml:space="preserve"> </w:t>
      </w:r>
      <w:r>
        <w:rPr>
          <w:rFonts w:ascii="Arial" w:cs="Arial" w:eastAsia="Arial" w:hAnsi="Arial"/>
          <w:sz w:val="22"/>
          <w:szCs w:val="22"/>
          <w:color w:val="auto"/>
        </w:rPr>
        <w:t>Disability, death, or, in the case of NQSOs, retirement, an Option granted to the Participant may be exercised by the Participant or permitted transferee at any time on or prior to the earlier of the expiration date of the Option or the expiration of three (3) months after the date of termination but only if, and to the extent that, the Participant was entitled to exercise the Option at the date of termination.</w:t>
      </w:r>
    </w:p>
    <w:p>
      <w:pPr>
        <w:spacing w:after="0" w:line="79" w:lineRule="exact"/>
        <w:rPr>
          <w:sz w:val="20"/>
          <w:szCs w:val="20"/>
          <w:color w:val="auto"/>
        </w:rPr>
      </w:pPr>
    </w:p>
    <w:p>
      <w:pPr>
        <w:ind w:right="80" w:firstLine="648"/>
        <w:spacing w:after="0" w:line="293" w:lineRule="auto"/>
        <w:rPr>
          <w:sz w:val="20"/>
          <w:szCs w:val="20"/>
          <w:color w:val="auto"/>
        </w:rPr>
      </w:pPr>
      <w:r>
        <w:rPr>
          <w:rFonts w:ascii="Arial" w:cs="Arial" w:eastAsia="Arial" w:hAnsi="Arial"/>
          <w:sz w:val="19"/>
          <w:szCs w:val="19"/>
          <w:b w:val="1"/>
          <w:bCs w:val="1"/>
          <w:color w:val="auto"/>
        </w:rPr>
        <w:t xml:space="preserve">14.2 Effect of Retirement on NQSOs. </w:t>
      </w:r>
      <w:r>
        <w:rPr>
          <w:rFonts w:ascii="Arial" w:cs="Arial" w:eastAsia="Arial" w:hAnsi="Arial"/>
          <w:sz w:val="19"/>
          <w:szCs w:val="19"/>
          <w:color w:val="auto"/>
        </w:rPr>
        <w:t>Upon termination of the Participant’s employment or directorship due to retirement</w:t>
      </w:r>
      <w:r>
        <w:rPr>
          <w:rFonts w:ascii="Arial" w:cs="Arial" w:eastAsia="Arial" w:hAnsi="Arial"/>
          <w:sz w:val="19"/>
          <w:szCs w:val="19"/>
          <w:b w:val="1"/>
          <w:bCs w:val="1"/>
          <w:color w:val="auto"/>
        </w:rPr>
        <w:t xml:space="preserve"> </w:t>
      </w:r>
      <w:r>
        <w:rPr>
          <w:rFonts w:ascii="Arial" w:cs="Arial" w:eastAsia="Arial" w:hAnsi="Arial"/>
          <w:sz w:val="19"/>
          <w:szCs w:val="19"/>
          <w:color w:val="auto"/>
        </w:rPr>
        <w:t>(as defined in the Award Agreement), a NQSO granted to the Participant may be exercised by the Participant or permitted transferee at any time on or prior to the earlier of the expiration date of the Option or one of the two following deadlines: (a) in the case of Options granted prior to July 29, 2009, the expiration of two (2) years after the date of termination due to retirement, or (b) in the case of Options granted after July 29, 2009, the expiration of five (5) years after the date of termination due to retirement. The term “retirement” has the meaning given to it in the Award Agreement. In either case, the Participant may only exercise the NQSO if, and to the extent that, the Participant was entitled to exercise the Nonqualified Stock Option at the date of termination.</w:t>
      </w:r>
    </w:p>
    <w:p>
      <w:pPr>
        <w:spacing w:after="0" w:line="37" w:lineRule="exact"/>
        <w:rPr>
          <w:sz w:val="20"/>
          <w:szCs w:val="20"/>
          <w:color w:val="auto"/>
        </w:rPr>
      </w:pPr>
    </w:p>
    <w:p>
      <w:pPr>
        <w:ind w:right="300" w:firstLine="648"/>
        <w:spacing w:after="0" w:line="269" w:lineRule="auto"/>
        <w:rPr>
          <w:sz w:val="20"/>
          <w:szCs w:val="20"/>
          <w:color w:val="auto"/>
        </w:rPr>
      </w:pPr>
      <w:r>
        <w:rPr>
          <w:rFonts w:ascii="Arial" w:cs="Arial" w:eastAsia="Arial" w:hAnsi="Arial"/>
          <w:sz w:val="22"/>
          <w:szCs w:val="22"/>
          <w:b w:val="1"/>
          <w:bCs w:val="1"/>
          <w:color w:val="auto"/>
        </w:rPr>
        <w:t xml:space="preserve">14.3 Effects on Other Awards. </w:t>
      </w:r>
      <w:r>
        <w:rPr>
          <w:rFonts w:ascii="Arial" w:cs="Arial" w:eastAsia="Arial" w:hAnsi="Arial"/>
          <w:sz w:val="22"/>
          <w:szCs w:val="22"/>
          <w:color w:val="auto"/>
        </w:rPr>
        <w:t>Upon termination of the Participant’s employment or directorship for any reason other</w:t>
      </w:r>
      <w:r>
        <w:rPr>
          <w:rFonts w:ascii="Arial" w:cs="Arial" w:eastAsia="Arial" w:hAnsi="Arial"/>
          <w:sz w:val="22"/>
          <w:szCs w:val="22"/>
          <w:b w:val="1"/>
          <w:bCs w:val="1"/>
          <w:color w:val="auto"/>
        </w:rPr>
        <w:t xml:space="preserve"> </w:t>
      </w:r>
      <w:r>
        <w:rPr>
          <w:rFonts w:ascii="Arial" w:cs="Arial" w:eastAsia="Arial" w:hAnsi="Arial"/>
          <w:sz w:val="22"/>
          <w:szCs w:val="22"/>
          <w:color w:val="auto"/>
        </w:rPr>
        <w:t>than Disability or death, all Awards other than Options shall be</w:t>
      </w:r>
    </w:p>
    <w:p>
      <w:pPr>
        <w:spacing w:after="0" w:line="297"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color w:val="auto"/>
        </w:rPr>
        <w:t>BOS1472419.8</w:t>
      </w:r>
      <w:r>
        <w:rPr>
          <w:sz w:val="20"/>
          <w:szCs w:val="20"/>
          <w:color w:val="auto"/>
        </w:rPr>
        <w:tab/>
      </w:r>
      <w:r>
        <w:rPr>
          <w:rFonts w:ascii="Arial" w:cs="Arial" w:eastAsia="Arial" w:hAnsi="Arial"/>
          <w:sz w:val="18"/>
          <w:szCs w:val="18"/>
          <w:color w:val="auto"/>
        </w:rPr>
        <w:t>-14-</w:t>
      </w:r>
    </w:p>
    <w:p>
      <w:pPr>
        <w:sectPr>
          <w:pgSz w:w="11900" w:h="16838" w:orient="portrait"/>
          <w:cols w:equalWidth="0" w:num="1">
            <w:col w:w="11400"/>
          </w:cols>
          <w:pgMar w:left="240" w:top="828" w:right="259" w:bottom="1440" w:gutter="0" w:footer="0" w:header="0"/>
        </w:sectPr>
      </w:pPr>
    </w:p>
    <w:bookmarkStart w:id="112" w:name="page113"/>
    <w:bookmarkEnd w:id="112"/>
    <w:p>
      <w:pPr>
        <w:ind w:right="180"/>
        <w:spacing w:after="0" w:line="337" w:lineRule="auto"/>
        <w:rPr>
          <w:sz w:val="20"/>
          <w:szCs w:val="20"/>
          <w:color w:val="auto"/>
        </w:rPr>
      </w:pPr>
      <w:r>
        <w:rPr>
          <w:rFonts w:ascii="Arial" w:cs="Arial" w:eastAsia="Arial" w:hAnsi="Arial"/>
          <w:sz w:val="19"/>
          <w:szCs w:val="19"/>
          <w:color w:val="auto"/>
        </w:rPr>
        <w:t>treated as set forth in the applicable Award Agreement. If the employment or directorship of a Participant terminates by reason of the Participant's Disability or death, all Awards shall be treated as set forth in the applicable Award Agreements.</w:t>
      </w:r>
    </w:p>
    <w:p>
      <w:pPr>
        <w:spacing w:after="0" w:line="2" w:lineRule="exact"/>
        <w:rPr>
          <w:sz w:val="20"/>
          <w:szCs w:val="20"/>
          <w:color w:val="auto"/>
        </w:rPr>
      </w:pPr>
    </w:p>
    <w:p>
      <w:pPr>
        <w:ind w:right="280" w:firstLine="648"/>
        <w:spacing w:after="0" w:line="267" w:lineRule="auto"/>
        <w:rPr>
          <w:sz w:val="20"/>
          <w:szCs w:val="20"/>
          <w:color w:val="auto"/>
        </w:rPr>
      </w:pPr>
      <w:r>
        <w:rPr>
          <w:rFonts w:ascii="Arial" w:cs="Arial" w:eastAsia="Arial" w:hAnsi="Arial"/>
          <w:sz w:val="21"/>
          <w:szCs w:val="21"/>
          <w:b w:val="1"/>
          <w:bCs w:val="1"/>
          <w:color w:val="auto"/>
        </w:rPr>
        <w:t xml:space="preserve">14.4 Leaves of Absence. </w:t>
      </w:r>
      <w:r>
        <w:rPr>
          <w:rFonts w:ascii="Arial" w:cs="Arial" w:eastAsia="Arial" w:hAnsi="Arial"/>
          <w:sz w:val="21"/>
          <w:szCs w:val="21"/>
          <w:color w:val="auto"/>
        </w:rPr>
        <w:t>Unless otherwise determined by the Committee, an authorized leave of absence pursuant to a</w:t>
      </w:r>
      <w:r>
        <w:rPr>
          <w:rFonts w:ascii="Arial" w:cs="Arial" w:eastAsia="Arial" w:hAnsi="Arial"/>
          <w:sz w:val="21"/>
          <w:szCs w:val="21"/>
          <w:b w:val="1"/>
          <w:bCs w:val="1"/>
          <w:color w:val="auto"/>
        </w:rPr>
        <w:t xml:space="preserve"> </w:t>
      </w:r>
      <w:r>
        <w:rPr>
          <w:rFonts w:ascii="Arial" w:cs="Arial" w:eastAsia="Arial" w:hAnsi="Arial"/>
          <w:sz w:val="21"/>
          <w:szCs w:val="21"/>
          <w:color w:val="auto"/>
        </w:rPr>
        <w:t>written agreement or other leave entitling an Employee to reemployment in a comparable position by law or rule shall not constitute a termination of employment for purposes of the Plan unless the Employee does not return at or before the end of the authorized leave or within the period for which re-employment is guaranteed by law or rule.</w:t>
      </w:r>
    </w:p>
    <w:p>
      <w:pPr>
        <w:spacing w:after="0" w:line="60" w:lineRule="exact"/>
        <w:rPr>
          <w:sz w:val="20"/>
          <w:szCs w:val="20"/>
          <w:color w:val="auto"/>
        </w:rPr>
      </w:pPr>
    </w:p>
    <w:p>
      <w:pPr>
        <w:ind w:firstLine="648"/>
        <w:spacing w:after="0" w:line="252" w:lineRule="auto"/>
        <w:rPr>
          <w:sz w:val="20"/>
          <w:szCs w:val="20"/>
          <w:color w:val="auto"/>
        </w:rPr>
      </w:pPr>
      <w:r>
        <w:rPr>
          <w:rFonts w:ascii="Arial" w:cs="Arial" w:eastAsia="Arial" w:hAnsi="Arial"/>
          <w:sz w:val="22"/>
          <w:szCs w:val="22"/>
          <w:b w:val="1"/>
          <w:bCs w:val="1"/>
          <w:color w:val="auto"/>
        </w:rPr>
        <w:t xml:space="preserve">14.5 Definition of Termination. </w:t>
      </w:r>
      <w:r>
        <w:rPr>
          <w:rFonts w:ascii="Arial" w:cs="Arial" w:eastAsia="Arial" w:hAnsi="Arial"/>
          <w:sz w:val="22"/>
          <w:szCs w:val="22"/>
          <w:color w:val="auto"/>
        </w:rPr>
        <w:t>For purposes of this Article, a “termination” includes an event which causes a</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to lose his eligibility to participate in the Plan (e.g., an individual is employed by a company that ceases to be a Subsidiary). In the case of a nonemployee director, the meaning of “termination” includes the date that the individual ceases to be a director of the Company or its Subsidiaries.</w:t>
      </w:r>
    </w:p>
    <w:p>
      <w:pPr>
        <w:spacing w:after="0" w:line="72" w:lineRule="exact"/>
        <w:rPr>
          <w:sz w:val="20"/>
          <w:szCs w:val="20"/>
          <w:color w:val="auto"/>
        </w:rPr>
      </w:pPr>
    </w:p>
    <w:p>
      <w:pPr>
        <w:ind w:right="400" w:firstLine="648"/>
        <w:spacing w:after="0" w:line="256" w:lineRule="auto"/>
        <w:rPr>
          <w:sz w:val="20"/>
          <w:szCs w:val="20"/>
          <w:color w:val="auto"/>
        </w:rPr>
      </w:pPr>
      <w:r>
        <w:rPr>
          <w:rFonts w:ascii="Arial" w:cs="Arial" w:eastAsia="Arial" w:hAnsi="Arial"/>
          <w:sz w:val="22"/>
          <w:szCs w:val="22"/>
          <w:b w:val="1"/>
          <w:bCs w:val="1"/>
          <w:color w:val="auto"/>
        </w:rPr>
        <w:t xml:space="preserve">14.6 Exceptions. </w:t>
      </w:r>
      <w:r>
        <w:rPr>
          <w:rFonts w:ascii="Arial" w:cs="Arial" w:eastAsia="Arial" w:hAnsi="Arial"/>
          <w:sz w:val="22"/>
          <w:szCs w:val="22"/>
          <w:color w:val="auto"/>
        </w:rPr>
        <w:t>Notwithstanding the foregoing, the Committee has the authority to prescribe different rules that apply</w:t>
      </w:r>
      <w:r>
        <w:rPr>
          <w:rFonts w:ascii="Arial" w:cs="Arial" w:eastAsia="Arial" w:hAnsi="Arial"/>
          <w:sz w:val="22"/>
          <w:szCs w:val="22"/>
          <w:b w:val="1"/>
          <w:bCs w:val="1"/>
          <w:color w:val="auto"/>
        </w:rPr>
        <w:t xml:space="preserve"> </w:t>
      </w:r>
      <w:r>
        <w:rPr>
          <w:rFonts w:ascii="Arial" w:cs="Arial" w:eastAsia="Arial" w:hAnsi="Arial"/>
          <w:sz w:val="22"/>
          <w:szCs w:val="22"/>
          <w:color w:val="auto"/>
        </w:rPr>
        <w:t>upon the termination of employment of a particular Participant, which shall be memorialized in the Participant’s original or amended Award Agreement or similar document.</w:t>
      </w:r>
    </w:p>
    <w:p>
      <w:pPr>
        <w:spacing w:after="0" w:line="68" w:lineRule="exact"/>
        <w:rPr>
          <w:sz w:val="20"/>
          <w:szCs w:val="20"/>
          <w:color w:val="auto"/>
        </w:rPr>
      </w:pPr>
    </w:p>
    <w:p>
      <w:pPr>
        <w:ind w:right="220" w:firstLine="648"/>
        <w:spacing w:after="0" w:line="269" w:lineRule="auto"/>
        <w:rPr>
          <w:sz w:val="20"/>
          <w:szCs w:val="20"/>
          <w:color w:val="auto"/>
        </w:rPr>
      </w:pPr>
      <w:r>
        <w:rPr>
          <w:rFonts w:ascii="Arial" w:cs="Arial" w:eastAsia="Arial" w:hAnsi="Arial"/>
          <w:sz w:val="22"/>
          <w:szCs w:val="22"/>
          <w:b w:val="1"/>
          <w:bCs w:val="1"/>
          <w:color w:val="auto"/>
        </w:rPr>
        <w:t xml:space="preserve">14.7 Termination of Awards. </w:t>
      </w:r>
      <w:r>
        <w:rPr>
          <w:rFonts w:ascii="Arial" w:cs="Arial" w:eastAsia="Arial" w:hAnsi="Arial"/>
          <w:sz w:val="22"/>
          <w:szCs w:val="22"/>
          <w:color w:val="auto"/>
        </w:rPr>
        <w:t>An Award that remains unexercised after the latest date it could have been exercised under</w:t>
      </w:r>
      <w:r>
        <w:rPr>
          <w:rFonts w:ascii="Arial" w:cs="Arial" w:eastAsia="Arial" w:hAnsi="Arial"/>
          <w:sz w:val="22"/>
          <w:szCs w:val="22"/>
          <w:b w:val="1"/>
          <w:bCs w:val="1"/>
          <w:color w:val="auto"/>
        </w:rPr>
        <w:t xml:space="preserve"> </w:t>
      </w:r>
      <w:r>
        <w:rPr>
          <w:rFonts w:ascii="Arial" w:cs="Arial" w:eastAsia="Arial" w:hAnsi="Arial"/>
          <w:sz w:val="22"/>
          <w:szCs w:val="22"/>
          <w:color w:val="auto"/>
        </w:rPr>
        <w:t>any of the foregoing provisions or under the terms of the Award shall be forfeited.</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15. Change in Control</w:t>
      </w:r>
    </w:p>
    <w:p>
      <w:pPr>
        <w:spacing w:after="0" w:line="226" w:lineRule="exact"/>
        <w:rPr>
          <w:sz w:val="20"/>
          <w:szCs w:val="20"/>
          <w:color w:val="auto"/>
        </w:rPr>
      </w:pPr>
    </w:p>
    <w:p>
      <w:pPr>
        <w:ind w:right="20" w:firstLine="392"/>
        <w:spacing w:after="0" w:line="250" w:lineRule="auto"/>
        <w:rPr>
          <w:sz w:val="20"/>
          <w:szCs w:val="20"/>
          <w:color w:val="auto"/>
        </w:rPr>
      </w:pPr>
      <w:r>
        <w:rPr>
          <w:rFonts w:ascii="Arial" w:cs="Arial" w:eastAsia="Arial" w:hAnsi="Arial"/>
          <w:sz w:val="22"/>
          <w:szCs w:val="22"/>
          <w:color w:val="auto"/>
        </w:rPr>
        <w:t>In the event of (1) any sale or conveyance to another entity of all or substantially all of the property and assets of the Company or (2) a Change in Control, unless otherwise specifically prohibited under applicable laws, or by the rules and regulations of any governing governmental agencies or national securities exchange or trading system, or unless the Committee shall otherwise specify in the Award Agreement, the Board, in its sole discretion, may:</w:t>
      </w:r>
    </w:p>
    <w:p>
      <w:pPr>
        <w:spacing w:after="0" w:line="80" w:lineRule="exact"/>
        <w:rPr>
          <w:sz w:val="20"/>
          <w:szCs w:val="20"/>
          <w:color w:val="auto"/>
        </w:rPr>
      </w:pPr>
    </w:p>
    <w:p>
      <w:pPr>
        <w:ind w:left="1380" w:firstLine="397"/>
        <w:spacing w:after="0" w:line="253" w:lineRule="auto"/>
        <w:tabs>
          <w:tab w:leader="none" w:pos="2228" w:val="left"/>
        </w:tabs>
        <w:numPr>
          <w:ilvl w:val="0"/>
          <w:numId w:val="43"/>
        </w:numPr>
        <w:rPr>
          <w:rFonts w:ascii="Arial" w:cs="Arial" w:eastAsia="Arial" w:hAnsi="Arial"/>
          <w:sz w:val="22"/>
          <w:szCs w:val="22"/>
          <w:color w:val="auto"/>
        </w:rPr>
      </w:pPr>
      <w:r>
        <w:rPr>
          <w:rFonts w:ascii="Arial" w:cs="Arial" w:eastAsia="Arial" w:hAnsi="Arial"/>
          <w:sz w:val="22"/>
          <w:szCs w:val="22"/>
          <w:color w:val="auto"/>
        </w:rPr>
        <w:t>elect to terminate Options or SARs in exchange for a cash payment equal to the amount by which the Fair Market Value of the Shares subject to such Option to the extent the Option or SAR has vested exceeds the exercise price with respect to such Shares;</w:t>
      </w:r>
    </w:p>
    <w:p>
      <w:pPr>
        <w:spacing w:after="0" w:line="77" w:lineRule="exact"/>
        <w:rPr>
          <w:rFonts w:ascii="Arial" w:cs="Arial" w:eastAsia="Arial" w:hAnsi="Arial"/>
          <w:sz w:val="22"/>
          <w:szCs w:val="22"/>
          <w:color w:val="auto"/>
        </w:rPr>
      </w:pPr>
    </w:p>
    <w:p>
      <w:pPr>
        <w:ind w:left="1380" w:firstLine="397"/>
        <w:spacing w:after="0" w:line="253" w:lineRule="auto"/>
        <w:tabs>
          <w:tab w:leader="none" w:pos="2240" w:val="left"/>
        </w:tabs>
        <w:numPr>
          <w:ilvl w:val="0"/>
          <w:numId w:val="43"/>
        </w:numPr>
        <w:rPr>
          <w:rFonts w:ascii="Arial" w:cs="Arial" w:eastAsia="Arial" w:hAnsi="Arial"/>
          <w:sz w:val="22"/>
          <w:szCs w:val="22"/>
          <w:color w:val="auto"/>
        </w:rPr>
      </w:pPr>
      <w:r>
        <w:rPr>
          <w:rFonts w:ascii="Arial" w:cs="Arial" w:eastAsia="Arial" w:hAnsi="Arial"/>
          <w:sz w:val="22"/>
          <w:szCs w:val="22"/>
          <w:color w:val="auto"/>
        </w:rPr>
        <w:t>elect to terminate Options or SARs provided that each Participant is first notified of and given the opportunity to exercise his/her vested Options for a specified period of time (of not less than 15 days) from the date of notification and before the Option or SAR is terminated;</w:t>
      </w:r>
    </w:p>
    <w:p>
      <w:pPr>
        <w:spacing w:after="0" w:line="77" w:lineRule="exact"/>
        <w:rPr>
          <w:rFonts w:ascii="Arial" w:cs="Arial" w:eastAsia="Arial" w:hAnsi="Arial"/>
          <w:sz w:val="22"/>
          <w:szCs w:val="22"/>
          <w:color w:val="auto"/>
        </w:rPr>
      </w:pPr>
    </w:p>
    <w:p>
      <w:pPr>
        <w:ind w:left="1380" w:right="200" w:firstLine="397"/>
        <w:spacing w:after="0" w:line="341" w:lineRule="auto"/>
        <w:tabs>
          <w:tab w:leader="none" w:pos="2228" w:val="left"/>
        </w:tabs>
        <w:numPr>
          <w:ilvl w:val="0"/>
          <w:numId w:val="43"/>
        </w:numPr>
        <w:rPr>
          <w:rFonts w:ascii="Arial" w:cs="Arial" w:eastAsia="Arial" w:hAnsi="Arial"/>
          <w:sz w:val="19"/>
          <w:szCs w:val="19"/>
          <w:color w:val="auto"/>
        </w:rPr>
      </w:pPr>
      <w:r>
        <w:rPr>
          <w:rFonts w:ascii="Arial" w:cs="Arial" w:eastAsia="Arial" w:hAnsi="Arial"/>
          <w:sz w:val="19"/>
          <w:szCs w:val="19"/>
          <w:color w:val="auto"/>
        </w:rPr>
        <w:t>permit Awards to be assumed by a new parent corporation or a successor corporation (or its parent) and replaced with a comparable Award of the parent corporation or successor corporation (or its parent);</w:t>
      </w:r>
    </w:p>
    <w:p>
      <w:pPr>
        <w:ind w:left="2240" w:hanging="463"/>
        <w:spacing w:after="0"/>
        <w:tabs>
          <w:tab w:leader="none" w:pos="2240" w:val="left"/>
        </w:tabs>
        <w:numPr>
          <w:ilvl w:val="0"/>
          <w:numId w:val="43"/>
        </w:numPr>
        <w:rPr>
          <w:rFonts w:ascii="Arial" w:cs="Arial" w:eastAsia="Arial" w:hAnsi="Arial"/>
          <w:sz w:val="19"/>
          <w:szCs w:val="19"/>
          <w:color w:val="auto"/>
        </w:rPr>
      </w:pPr>
      <w:r>
        <w:rPr>
          <w:rFonts w:ascii="Arial" w:cs="Arial" w:eastAsia="Arial" w:hAnsi="Arial"/>
          <w:sz w:val="19"/>
          <w:szCs w:val="19"/>
          <w:color w:val="auto"/>
        </w:rPr>
        <w:t>amend an Award Agreement or take such other action with respect to an Award that it deems appropriate;</w:t>
      </w:r>
    </w:p>
    <w:p>
      <w:pPr>
        <w:spacing w:after="0" w:line="56" w:lineRule="exact"/>
        <w:rPr>
          <w:rFonts w:ascii="Arial" w:cs="Arial" w:eastAsia="Arial" w:hAnsi="Arial"/>
          <w:sz w:val="19"/>
          <w:szCs w:val="19"/>
          <w:color w:val="auto"/>
        </w:rPr>
      </w:pPr>
    </w:p>
    <w:p>
      <w:pPr>
        <w:ind w:left="1380"/>
        <w:spacing w:after="0"/>
        <w:rPr>
          <w:rFonts w:ascii="Arial" w:cs="Arial" w:eastAsia="Arial" w:hAnsi="Arial"/>
          <w:sz w:val="19"/>
          <w:szCs w:val="19"/>
          <w:color w:val="auto"/>
        </w:rPr>
      </w:pPr>
      <w:r>
        <w:rPr>
          <w:rFonts w:ascii="Arial" w:cs="Arial" w:eastAsia="Arial" w:hAnsi="Arial"/>
          <w:sz w:val="22"/>
          <w:szCs w:val="22"/>
          <w:color w:val="auto"/>
        </w:rPr>
        <w:t>or</w:t>
      </w:r>
    </w:p>
    <w:p>
      <w:pPr>
        <w:spacing w:after="0" w:line="330"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color w:val="auto"/>
        </w:rPr>
        <w:t>BOS1472419.8</w:t>
      </w:r>
      <w:r>
        <w:rPr>
          <w:sz w:val="20"/>
          <w:szCs w:val="20"/>
          <w:color w:val="auto"/>
        </w:rPr>
        <w:tab/>
      </w:r>
      <w:r>
        <w:rPr>
          <w:rFonts w:ascii="Arial" w:cs="Arial" w:eastAsia="Arial" w:hAnsi="Arial"/>
          <w:sz w:val="18"/>
          <w:szCs w:val="18"/>
          <w:color w:val="auto"/>
        </w:rPr>
        <w:t>-15-</w:t>
      </w:r>
    </w:p>
    <w:p>
      <w:pPr>
        <w:sectPr>
          <w:pgSz w:w="11900" w:h="16838" w:orient="portrait"/>
          <w:cols w:equalWidth="0" w:num="1">
            <w:col w:w="11380"/>
          </w:cols>
          <w:pgMar w:left="240" w:top="618" w:right="279" w:bottom="1440" w:gutter="0" w:footer="0" w:header="0"/>
        </w:sectPr>
      </w:pPr>
    </w:p>
    <w:bookmarkStart w:id="113" w:name="page114"/>
    <w:bookmarkEnd w:id="113"/>
    <w:p>
      <w:pPr>
        <w:ind w:left="2240" w:hanging="463"/>
        <w:spacing w:after="0"/>
        <w:tabs>
          <w:tab w:leader="none" w:pos="2240" w:val="left"/>
        </w:tabs>
        <w:numPr>
          <w:ilvl w:val="0"/>
          <w:numId w:val="44"/>
        </w:numPr>
        <w:rPr>
          <w:rFonts w:ascii="Arial" w:cs="Arial" w:eastAsia="Arial" w:hAnsi="Arial"/>
          <w:sz w:val="22"/>
          <w:szCs w:val="22"/>
          <w:color w:val="auto"/>
        </w:rPr>
      </w:pPr>
      <w:r>
        <w:rPr>
          <w:rFonts w:ascii="Arial" w:cs="Arial" w:eastAsia="Arial" w:hAnsi="Arial"/>
          <w:sz w:val="22"/>
          <w:szCs w:val="22"/>
          <w:color w:val="auto"/>
        </w:rPr>
        <w:t>implement any combination of the foregoing.</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16. Amendment, Modification, and Termination</w:t>
      </w:r>
    </w:p>
    <w:p>
      <w:pPr>
        <w:spacing w:after="0" w:line="220" w:lineRule="exact"/>
        <w:rPr>
          <w:sz w:val="20"/>
          <w:szCs w:val="20"/>
          <w:color w:val="auto"/>
        </w:rPr>
      </w:pPr>
    </w:p>
    <w:p>
      <w:pPr>
        <w:ind w:right="300" w:firstLine="392"/>
        <w:spacing w:after="0" w:line="269" w:lineRule="auto"/>
        <w:rPr>
          <w:sz w:val="20"/>
          <w:szCs w:val="20"/>
          <w:color w:val="auto"/>
        </w:rPr>
      </w:pPr>
      <w:r>
        <w:rPr>
          <w:rFonts w:ascii="Arial" w:cs="Arial" w:eastAsia="Arial" w:hAnsi="Arial"/>
          <w:sz w:val="22"/>
          <w:szCs w:val="22"/>
          <w:b w:val="1"/>
          <w:bCs w:val="1"/>
          <w:color w:val="auto"/>
        </w:rPr>
        <w:t>16.1 Amendment, Modification, and Termination</w:t>
      </w:r>
      <w:r>
        <w:rPr>
          <w:rFonts w:ascii="Arial" w:cs="Arial" w:eastAsia="Arial" w:hAnsi="Arial"/>
          <w:sz w:val="22"/>
          <w:szCs w:val="22"/>
          <w:color w:val="auto"/>
        </w:rPr>
        <w:t>. Subject to the terms of the Plan, the Board may at any time and from</w:t>
      </w:r>
      <w:r>
        <w:rPr>
          <w:rFonts w:ascii="Arial" w:cs="Arial" w:eastAsia="Arial" w:hAnsi="Arial"/>
          <w:sz w:val="22"/>
          <w:szCs w:val="22"/>
          <w:b w:val="1"/>
          <w:bCs w:val="1"/>
          <w:color w:val="auto"/>
        </w:rPr>
        <w:t xml:space="preserve"> </w:t>
      </w:r>
      <w:r>
        <w:rPr>
          <w:rFonts w:ascii="Arial" w:cs="Arial" w:eastAsia="Arial" w:hAnsi="Arial"/>
          <w:sz w:val="22"/>
          <w:szCs w:val="22"/>
          <w:color w:val="auto"/>
        </w:rPr>
        <w:t>time to time, alter, amend, suspend, or terminate the Plan in whole or in part.</w:t>
      </w:r>
    </w:p>
    <w:p>
      <w:pPr>
        <w:spacing w:after="0" w:line="162" w:lineRule="exact"/>
        <w:rPr>
          <w:sz w:val="20"/>
          <w:szCs w:val="20"/>
          <w:color w:val="auto"/>
        </w:rPr>
      </w:pPr>
    </w:p>
    <w:p>
      <w:pPr>
        <w:ind w:right="40" w:firstLine="392"/>
        <w:spacing w:after="0" w:line="260" w:lineRule="auto"/>
        <w:rPr>
          <w:sz w:val="20"/>
          <w:szCs w:val="20"/>
          <w:color w:val="auto"/>
        </w:rPr>
      </w:pPr>
      <w:r>
        <w:rPr>
          <w:rFonts w:ascii="Arial" w:cs="Arial" w:eastAsia="Arial" w:hAnsi="Arial"/>
          <w:sz w:val="21"/>
          <w:szCs w:val="21"/>
          <w:b w:val="1"/>
          <w:bCs w:val="1"/>
          <w:color w:val="auto"/>
        </w:rPr>
        <w:t>16.2 Awards Previously Granted</w:t>
      </w:r>
      <w:r>
        <w:rPr>
          <w:rFonts w:ascii="Arial" w:cs="Arial" w:eastAsia="Arial" w:hAnsi="Arial"/>
          <w:sz w:val="21"/>
          <w:szCs w:val="21"/>
          <w:color w:val="auto"/>
        </w:rPr>
        <w:t>. Notwithstanding any other provision of the Plan to the contrary, no termination,</w:t>
      </w:r>
      <w:r>
        <w:rPr>
          <w:rFonts w:ascii="Arial" w:cs="Arial" w:eastAsia="Arial" w:hAnsi="Arial"/>
          <w:sz w:val="21"/>
          <w:szCs w:val="21"/>
          <w:b w:val="1"/>
          <w:bCs w:val="1"/>
          <w:color w:val="auto"/>
        </w:rPr>
        <w:t xml:space="preserve"> </w:t>
      </w:r>
      <w:r>
        <w:rPr>
          <w:rFonts w:ascii="Arial" w:cs="Arial" w:eastAsia="Arial" w:hAnsi="Arial"/>
          <w:sz w:val="21"/>
          <w:szCs w:val="21"/>
          <w:color w:val="auto"/>
        </w:rPr>
        <w:t>amendment, or modification of the Plan shall adversely affect in any material way any Award previously granted under the Plan, without the written consent of the Participant holding such Award. Except in connection with a corporate transaction involving the company (including, without limitation, any stock dividend, stock split, extraordinary cash dividend, recapitalization, reorganization, merger, consolidation, split-up, spin-off, combination, or exchange of shares), the terms of outstanding awards may not be amended to reduce the exercise price of outstanding Options or SARs or cancel outstanding Options or SARS in exchange for cash, other awards or Options or SARs with an exercise price that is less than the exercise price of the original Options or SARs without stockholder approval.</w:t>
      </w:r>
    </w:p>
    <w:p>
      <w:pPr>
        <w:spacing w:after="0" w:line="176" w:lineRule="exact"/>
        <w:rPr>
          <w:sz w:val="20"/>
          <w:szCs w:val="20"/>
          <w:color w:val="auto"/>
        </w:rPr>
      </w:pPr>
    </w:p>
    <w:p>
      <w:pPr>
        <w:ind w:right="200" w:firstLine="392"/>
        <w:spacing w:after="0" w:line="304" w:lineRule="auto"/>
        <w:rPr>
          <w:sz w:val="20"/>
          <w:szCs w:val="20"/>
          <w:color w:val="auto"/>
        </w:rPr>
      </w:pPr>
      <w:r>
        <w:rPr>
          <w:rFonts w:ascii="Arial" w:cs="Arial" w:eastAsia="Arial" w:hAnsi="Arial"/>
          <w:sz w:val="19"/>
          <w:szCs w:val="19"/>
          <w:b w:val="1"/>
          <w:bCs w:val="1"/>
          <w:color w:val="auto"/>
        </w:rPr>
        <w:t>16.3 Shareholder Approval Required for Certain Amendments</w:t>
      </w:r>
      <w:r>
        <w:rPr>
          <w:rFonts w:ascii="Arial" w:cs="Arial" w:eastAsia="Arial" w:hAnsi="Arial"/>
          <w:sz w:val="19"/>
          <w:szCs w:val="19"/>
          <w:color w:val="auto"/>
        </w:rPr>
        <w:t>. Shareholder approval will be required for any</w:t>
      </w:r>
      <w:r>
        <w:rPr>
          <w:rFonts w:ascii="Arial" w:cs="Arial" w:eastAsia="Arial" w:hAnsi="Arial"/>
          <w:sz w:val="19"/>
          <w:szCs w:val="19"/>
          <w:b w:val="1"/>
          <w:bCs w:val="1"/>
          <w:color w:val="auto"/>
        </w:rPr>
        <w:t xml:space="preserve"> </w:t>
      </w:r>
      <w:r>
        <w:rPr>
          <w:rFonts w:ascii="Arial" w:cs="Arial" w:eastAsia="Arial" w:hAnsi="Arial"/>
          <w:sz w:val="19"/>
          <w:szCs w:val="19"/>
          <w:color w:val="auto"/>
        </w:rPr>
        <w:t>amendment of the Plan that does any of the following: (a) increases the maximum number of Shares subject to the Plan; (b) changes the designation of the class of persons eligible to receive ISOs under the Plan; or (c) modifies the Plan in a manner that requires shareholder approval under applicable law or the rules of a stock exchange or trading system on which Shares are traded.</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17. Withholding</w:t>
      </w:r>
    </w:p>
    <w:p>
      <w:pPr>
        <w:spacing w:after="0" w:line="226"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Whenever Shares are to be issued in satisfaction of Awards granted under this Plan, the Company has the power to require the Participant to remit to the Company, or to the Subsidiary employing the Participant, an amount sufficient to satisfy applicable U.S. federal, state, local and international withholding tax requirements or any other tax liability legally due from the Participant prior to the delivery of Shares pursuant to exercise or settlement of any Award. Whenever payments in satisfaction of Awards granted under this Plan are to be made in cash, such payment will be net of an amount sufficient to satisfy applicable U.S. federal, state, local and international withholding tax requirements or any other tax liability legally due from the Participant. The Committee, in its sole discretion and pursuant to such procedures as it may specify from time to time and to limitations of local law, may require a Participant to satisfy such tax withholding obligation or any other tax liability legally due from the Participant, in whole or in part by (i) paying cash, (ii) having the Company withhold otherwise deliverable cash or Shares that have a Fair Market Value equal to the minimum statutory amount required to be withheld, (iii) having the Company withhold proceeds from the sale of Shares either through a voluntary sale or through a mandatory sale arranged by the Company which delivers proceeds to the Company equal to the minimum statutory amount required to be withheld, (iv) delivering to the</w:t>
      </w:r>
    </w:p>
    <w:p>
      <w:pPr>
        <w:spacing w:after="0" w:line="181"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color w:val="auto"/>
        </w:rPr>
        <w:t>BOS1472419.8</w:t>
      </w:r>
      <w:r>
        <w:rPr>
          <w:sz w:val="20"/>
          <w:szCs w:val="20"/>
          <w:color w:val="auto"/>
        </w:rPr>
        <w:tab/>
      </w:r>
      <w:r>
        <w:rPr>
          <w:rFonts w:ascii="Arial" w:cs="Arial" w:eastAsia="Arial" w:hAnsi="Arial"/>
          <w:sz w:val="18"/>
          <w:szCs w:val="18"/>
          <w:color w:val="auto"/>
        </w:rPr>
        <w:t>-16-</w:t>
      </w:r>
    </w:p>
    <w:p>
      <w:pPr>
        <w:sectPr>
          <w:pgSz w:w="11900" w:h="16838" w:orient="portrait"/>
          <w:cols w:equalWidth="0" w:num="1">
            <w:col w:w="11420"/>
          </w:cols>
          <w:pgMar w:left="240" w:top="618" w:right="239" w:bottom="1440" w:gutter="0" w:footer="0" w:header="0"/>
        </w:sectPr>
      </w:pPr>
    </w:p>
    <w:bookmarkStart w:id="114" w:name="page115"/>
    <w:bookmarkEnd w:id="114"/>
    <w:p>
      <w:pPr>
        <w:spacing w:after="0" w:line="263" w:lineRule="auto"/>
        <w:rPr>
          <w:sz w:val="20"/>
          <w:szCs w:val="20"/>
          <w:color w:val="auto"/>
        </w:rPr>
      </w:pPr>
      <w:r>
        <w:rPr>
          <w:rFonts w:ascii="Arial" w:cs="Arial" w:eastAsia="Arial" w:hAnsi="Arial"/>
          <w:sz w:val="22"/>
          <w:szCs w:val="22"/>
          <w:color w:val="auto"/>
        </w:rPr>
        <w:t>Company already-owned Shares having a Fair Market Value equal to the minimum amount required to be withheld, or (v) any other arrangement approved by the Committee.</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18. Successors</w:t>
      </w:r>
    </w:p>
    <w:p>
      <w:pPr>
        <w:spacing w:after="0" w:line="226" w:lineRule="exact"/>
        <w:rPr>
          <w:sz w:val="20"/>
          <w:szCs w:val="20"/>
          <w:color w:val="auto"/>
        </w:rPr>
      </w:pPr>
    </w:p>
    <w:p>
      <w:pPr>
        <w:jc w:val="both"/>
        <w:ind w:right="160" w:firstLine="392"/>
        <w:spacing w:after="0" w:line="271" w:lineRule="auto"/>
        <w:rPr>
          <w:sz w:val="20"/>
          <w:szCs w:val="20"/>
          <w:color w:val="auto"/>
        </w:rPr>
      </w:pPr>
      <w:r>
        <w:rPr>
          <w:rFonts w:ascii="Arial" w:cs="Arial" w:eastAsia="Arial" w:hAnsi="Arial"/>
          <w:sz w:val="21"/>
          <w:szCs w:val="21"/>
          <w:color w:val="auto"/>
        </w:rPr>
        <w:t>All obligations of the Company under the Plan with respect to Awards granted hereunder shall be binding on any successor to the Company, whether the existence of such successor is the result of a direct or indirect purchase, through merger, consolidation, or otherwise, of all or substantially all of the business, stock and/or assets of the Company.</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19. General Provisions</w:t>
      </w:r>
    </w:p>
    <w:p>
      <w:pPr>
        <w:spacing w:after="0" w:line="220" w:lineRule="exact"/>
        <w:rPr>
          <w:sz w:val="20"/>
          <w:szCs w:val="20"/>
          <w:color w:val="auto"/>
        </w:rPr>
      </w:pPr>
    </w:p>
    <w:p>
      <w:pPr>
        <w:ind w:right="480" w:firstLine="392"/>
        <w:spacing w:after="0" w:line="293" w:lineRule="auto"/>
        <w:rPr>
          <w:sz w:val="20"/>
          <w:szCs w:val="20"/>
          <w:color w:val="auto"/>
        </w:rPr>
      </w:pPr>
      <w:r>
        <w:rPr>
          <w:rFonts w:ascii="Arial" w:cs="Arial" w:eastAsia="Arial" w:hAnsi="Arial"/>
          <w:sz w:val="21"/>
          <w:szCs w:val="21"/>
          <w:b w:val="1"/>
          <w:bCs w:val="1"/>
          <w:color w:val="auto"/>
        </w:rPr>
        <w:t>19.1 Gender and Number</w:t>
      </w:r>
      <w:r>
        <w:rPr>
          <w:rFonts w:ascii="Arial" w:cs="Arial" w:eastAsia="Arial" w:hAnsi="Arial"/>
          <w:sz w:val="21"/>
          <w:szCs w:val="21"/>
          <w:color w:val="auto"/>
        </w:rPr>
        <w:t>. Except where otherwise indicated by the context, any masculine term used herein also shall</w:t>
      </w:r>
      <w:r>
        <w:rPr>
          <w:rFonts w:ascii="Arial" w:cs="Arial" w:eastAsia="Arial" w:hAnsi="Arial"/>
          <w:sz w:val="21"/>
          <w:szCs w:val="21"/>
          <w:b w:val="1"/>
          <w:bCs w:val="1"/>
          <w:color w:val="auto"/>
        </w:rPr>
        <w:t xml:space="preserve"> </w:t>
      </w:r>
      <w:r>
        <w:rPr>
          <w:rFonts w:ascii="Arial" w:cs="Arial" w:eastAsia="Arial" w:hAnsi="Arial"/>
          <w:sz w:val="21"/>
          <w:szCs w:val="21"/>
          <w:color w:val="auto"/>
        </w:rPr>
        <w:t>include the feminine; the plural shall include the singular and the singular shall include the plural.</w:t>
      </w:r>
    </w:p>
    <w:p>
      <w:pPr>
        <w:spacing w:after="0" w:line="140" w:lineRule="exact"/>
        <w:rPr>
          <w:sz w:val="20"/>
          <w:szCs w:val="20"/>
          <w:color w:val="auto"/>
        </w:rPr>
      </w:pPr>
    </w:p>
    <w:p>
      <w:pPr>
        <w:jc w:val="both"/>
        <w:ind w:right="120" w:firstLine="392"/>
        <w:spacing w:after="0" w:line="256" w:lineRule="auto"/>
        <w:rPr>
          <w:sz w:val="20"/>
          <w:szCs w:val="20"/>
          <w:color w:val="auto"/>
        </w:rPr>
      </w:pPr>
      <w:r>
        <w:rPr>
          <w:rFonts w:ascii="Arial" w:cs="Arial" w:eastAsia="Arial" w:hAnsi="Arial"/>
          <w:sz w:val="22"/>
          <w:szCs w:val="22"/>
          <w:b w:val="1"/>
          <w:bCs w:val="1"/>
          <w:color w:val="auto"/>
        </w:rPr>
        <w:t>19.2 Severability</w:t>
      </w:r>
      <w:r>
        <w:rPr>
          <w:rFonts w:ascii="Arial" w:cs="Arial" w:eastAsia="Arial" w:hAnsi="Arial"/>
          <w:sz w:val="22"/>
          <w:szCs w:val="22"/>
          <w:color w:val="auto"/>
        </w:rPr>
        <w:t>. If any provision of the Plan shall be held illegal or invalid for any reason, the illegality or invalidity shall</w:t>
      </w:r>
      <w:r>
        <w:rPr>
          <w:rFonts w:ascii="Arial" w:cs="Arial" w:eastAsia="Arial" w:hAnsi="Arial"/>
          <w:sz w:val="22"/>
          <w:szCs w:val="22"/>
          <w:b w:val="1"/>
          <w:bCs w:val="1"/>
          <w:color w:val="auto"/>
        </w:rPr>
        <w:t xml:space="preserve"> </w:t>
      </w:r>
      <w:r>
        <w:rPr>
          <w:rFonts w:ascii="Arial" w:cs="Arial" w:eastAsia="Arial" w:hAnsi="Arial"/>
          <w:sz w:val="22"/>
          <w:szCs w:val="22"/>
          <w:color w:val="auto"/>
        </w:rPr>
        <w:t>not affect the remaining parts of the Plan, and the Plan shall be construed and enforced as if the illegal or invalid provision had not been included.</w:t>
      </w:r>
    </w:p>
    <w:p>
      <w:pPr>
        <w:spacing w:after="0" w:line="176" w:lineRule="exact"/>
        <w:rPr>
          <w:sz w:val="20"/>
          <w:szCs w:val="20"/>
          <w:color w:val="auto"/>
        </w:rPr>
      </w:pPr>
    </w:p>
    <w:p>
      <w:pPr>
        <w:ind w:right="400" w:firstLine="392"/>
        <w:spacing w:after="0" w:line="256" w:lineRule="auto"/>
        <w:rPr>
          <w:sz w:val="20"/>
          <w:szCs w:val="20"/>
          <w:color w:val="auto"/>
        </w:rPr>
      </w:pPr>
      <w:r>
        <w:rPr>
          <w:rFonts w:ascii="Arial" w:cs="Arial" w:eastAsia="Arial" w:hAnsi="Arial"/>
          <w:sz w:val="22"/>
          <w:szCs w:val="22"/>
          <w:b w:val="1"/>
          <w:bCs w:val="1"/>
          <w:color w:val="auto"/>
        </w:rPr>
        <w:t>19.3 Requirements of Law</w:t>
      </w:r>
      <w:r>
        <w:rPr>
          <w:rFonts w:ascii="Arial" w:cs="Arial" w:eastAsia="Arial" w:hAnsi="Arial"/>
          <w:sz w:val="22"/>
          <w:szCs w:val="22"/>
          <w:color w:val="auto"/>
        </w:rPr>
        <w:t>. The granting of Awards and the issuance of Shares under the Plan shall be subject to all</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laws, rules, and regulations, and to such approvals by any governmental agencies or national securities exchanges as may be required.</w:t>
      </w:r>
    </w:p>
    <w:p>
      <w:pPr>
        <w:spacing w:after="0" w:line="176" w:lineRule="exact"/>
        <w:rPr>
          <w:sz w:val="20"/>
          <w:szCs w:val="20"/>
          <w:color w:val="auto"/>
        </w:rPr>
      </w:pPr>
    </w:p>
    <w:p>
      <w:pPr>
        <w:ind w:right="340" w:firstLine="392"/>
        <w:spacing w:after="0" w:line="263" w:lineRule="exact"/>
        <w:rPr>
          <w:sz w:val="20"/>
          <w:szCs w:val="20"/>
          <w:color w:val="auto"/>
        </w:rPr>
      </w:pPr>
      <w:r>
        <w:rPr>
          <w:rFonts w:ascii="Arial" w:cs="Arial" w:eastAsia="Arial" w:hAnsi="Arial"/>
          <w:sz w:val="22"/>
          <w:szCs w:val="22"/>
          <w:b w:val="1"/>
          <w:bCs w:val="1"/>
          <w:color w:val="auto"/>
        </w:rPr>
        <w:t>19.4 Securities Law Compliance</w:t>
      </w:r>
      <w:r>
        <w:rPr>
          <w:rFonts w:ascii="Arial" w:cs="Arial" w:eastAsia="Arial" w:hAnsi="Arial"/>
          <w:sz w:val="22"/>
          <w:szCs w:val="22"/>
          <w:color w:val="auto"/>
        </w:rPr>
        <w:t>. With respect to Insiders, transactions under this Plan are intended to comply with all</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conditions of Rule 16b</w:t>
      </w:r>
      <w:r>
        <w:rPr>
          <w:rFonts w:ascii="MS PGothic" w:cs="MS PGothic" w:eastAsia="MS PGothic" w:hAnsi="MS PGothic"/>
          <w:sz w:val="22"/>
          <w:szCs w:val="22"/>
          <w:color w:val="auto"/>
        </w:rPr>
        <w:t>‑</w:t>
      </w:r>
      <w:r>
        <w:rPr>
          <w:rFonts w:ascii="Arial" w:cs="Arial" w:eastAsia="Arial" w:hAnsi="Arial"/>
          <w:sz w:val="22"/>
          <w:szCs w:val="22"/>
          <w:color w:val="auto"/>
        </w:rPr>
        <w:t>3 or its successors under the Exchange Act, unless determined otherwise by the Board. To the extent any provision of the Plan or action by the Committee fails to so comply, it shall be deemed null and void, to the extent permitted by law and deemed advisable by the Board.</w:t>
      </w:r>
    </w:p>
    <w:p>
      <w:pPr>
        <w:spacing w:after="0" w:line="193" w:lineRule="exact"/>
        <w:rPr>
          <w:sz w:val="20"/>
          <w:szCs w:val="20"/>
          <w:color w:val="auto"/>
        </w:rPr>
      </w:pPr>
    </w:p>
    <w:p>
      <w:pPr>
        <w:ind w:right="100" w:firstLine="392"/>
        <w:spacing w:after="0" w:line="256" w:lineRule="auto"/>
        <w:rPr>
          <w:sz w:val="20"/>
          <w:szCs w:val="20"/>
          <w:color w:val="auto"/>
        </w:rPr>
      </w:pPr>
      <w:r>
        <w:rPr>
          <w:rFonts w:ascii="Arial" w:cs="Arial" w:eastAsia="Arial" w:hAnsi="Arial"/>
          <w:sz w:val="22"/>
          <w:szCs w:val="22"/>
          <w:b w:val="1"/>
          <w:bCs w:val="1"/>
          <w:color w:val="auto"/>
        </w:rPr>
        <w:t>19.5 Listing</w:t>
      </w:r>
      <w:r>
        <w:rPr>
          <w:rFonts w:ascii="Arial" w:cs="Arial" w:eastAsia="Arial" w:hAnsi="Arial"/>
          <w:sz w:val="22"/>
          <w:szCs w:val="22"/>
          <w:color w:val="auto"/>
        </w:rPr>
        <w:t>. The Company may use reasonable endeavors to register Shares issued pursuant to Awards with the United</w:t>
      </w:r>
      <w:r>
        <w:rPr>
          <w:rFonts w:ascii="Arial" w:cs="Arial" w:eastAsia="Arial" w:hAnsi="Arial"/>
          <w:sz w:val="22"/>
          <w:szCs w:val="22"/>
          <w:b w:val="1"/>
          <w:bCs w:val="1"/>
          <w:color w:val="auto"/>
        </w:rPr>
        <w:t xml:space="preserve"> </w:t>
      </w:r>
      <w:r>
        <w:rPr>
          <w:rFonts w:ascii="Arial" w:cs="Arial" w:eastAsia="Arial" w:hAnsi="Arial"/>
          <w:sz w:val="22"/>
          <w:szCs w:val="22"/>
          <w:color w:val="auto"/>
        </w:rPr>
        <w:t>States Securities and Exchange Commission or to effect compliance with the registration, qualification, and listing requirements of any state or foreign securities laws, stock exchange, or trading system.</w:t>
      </w:r>
    </w:p>
    <w:p>
      <w:pPr>
        <w:spacing w:after="0" w:line="176" w:lineRule="exact"/>
        <w:rPr>
          <w:sz w:val="20"/>
          <w:szCs w:val="20"/>
          <w:color w:val="auto"/>
        </w:rPr>
      </w:pPr>
    </w:p>
    <w:p>
      <w:pPr>
        <w:ind w:right="140" w:firstLine="392"/>
        <w:spacing w:after="0" w:line="252" w:lineRule="auto"/>
        <w:rPr>
          <w:sz w:val="20"/>
          <w:szCs w:val="20"/>
          <w:color w:val="auto"/>
        </w:rPr>
      </w:pPr>
      <w:r>
        <w:rPr>
          <w:rFonts w:ascii="Arial" w:cs="Arial" w:eastAsia="Arial" w:hAnsi="Arial"/>
          <w:sz w:val="22"/>
          <w:szCs w:val="22"/>
          <w:b w:val="1"/>
          <w:bCs w:val="1"/>
          <w:color w:val="auto"/>
        </w:rPr>
        <w:t>19.6 Inability to Obtain Authority</w:t>
      </w:r>
      <w:r>
        <w:rPr>
          <w:rFonts w:ascii="Arial" w:cs="Arial" w:eastAsia="Arial" w:hAnsi="Arial"/>
          <w:sz w:val="22"/>
          <w:szCs w:val="22"/>
          <w:color w:val="auto"/>
        </w:rPr>
        <w:t>. The inability of the Company to obtain authority from any regulatory body having</w:t>
      </w:r>
      <w:r>
        <w:rPr>
          <w:rFonts w:ascii="Arial" w:cs="Arial" w:eastAsia="Arial" w:hAnsi="Arial"/>
          <w:sz w:val="22"/>
          <w:szCs w:val="22"/>
          <w:b w:val="1"/>
          <w:bCs w:val="1"/>
          <w:color w:val="auto"/>
        </w:rPr>
        <w:t xml:space="preserve"> </w:t>
      </w:r>
      <w:r>
        <w:rPr>
          <w:rFonts w:ascii="Arial" w:cs="Arial" w:eastAsia="Arial" w:hAnsi="Arial"/>
          <w:sz w:val="22"/>
          <w:szCs w:val="22"/>
          <w:color w:val="auto"/>
        </w:rPr>
        <w:t>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80" w:lineRule="exact"/>
        <w:rPr>
          <w:sz w:val="20"/>
          <w:szCs w:val="20"/>
          <w:color w:val="auto"/>
        </w:rPr>
      </w:pPr>
    </w:p>
    <w:p>
      <w:pPr>
        <w:ind w:right="380" w:firstLine="392"/>
        <w:spacing w:after="0" w:line="256" w:lineRule="auto"/>
        <w:rPr>
          <w:sz w:val="20"/>
          <w:szCs w:val="20"/>
          <w:color w:val="auto"/>
        </w:rPr>
      </w:pPr>
      <w:r>
        <w:rPr>
          <w:rFonts w:ascii="Arial" w:cs="Arial" w:eastAsia="Arial" w:hAnsi="Arial"/>
          <w:sz w:val="22"/>
          <w:szCs w:val="22"/>
          <w:b w:val="1"/>
          <w:bCs w:val="1"/>
          <w:color w:val="auto"/>
        </w:rPr>
        <w:t>19.7 No Additional Rights</w:t>
      </w:r>
      <w:r>
        <w:rPr>
          <w:rFonts w:ascii="Arial" w:cs="Arial" w:eastAsia="Arial" w:hAnsi="Arial"/>
          <w:sz w:val="22"/>
          <w:szCs w:val="22"/>
          <w:color w:val="auto"/>
        </w:rPr>
        <w:t>. Neither the Award nor any benefits arising under this Plan shall constitute part of an</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contract between the Participant and the Company or any Subsidiary, and accordingly, subject to Section 16.2, this Plan and the benefits hereunder may be</w:t>
      </w:r>
    </w:p>
    <w:p>
      <w:pPr>
        <w:spacing w:after="0" w:line="200" w:lineRule="exact"/>
        <w:rPr>
          <w:sz w:val="20"/>
          <w:szCs w:val="20"/>
          <w:color w:val="auto"/>
        </w:rPr>
      </w:pPr>
    </w:p>
    <w:p>
      <w:pPr>
        <w:spacing w:after="0" w:line="219"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color w:val="auto"/>
        </w:rPr>
        <w:t>BOS1472419.8</w:t>
      </w:r>
      <w:r>
        <w:rPr>
          <w:sz w:val="20"/>
          <w:szCs w:val="20"/>
          <w:color w:val="auto"/>
        </w:rPr>
        <w:tab/>
      </w:r>
      <w:r>
        <w:rPr>
          <w:rFonts w:ascii="Arial" w:cs="Arial" w:eastAsia="Arial" w:hAnsi="Arial"/>
          <w:sz w:val="18"/>
          <w:szCs w:val="18"/>
          <w:color w:val="auto"/>
        </w:rPr>
        <w:t>-17-</w:t>
      </w:r>
    </w:p>
    <w:p>
      <w:pPr>
        <w:sectPr>
          <w:pgSz w:w="11900" w:h="16838" w:orient="portrait"/>
          <w:cols w:equalWidth="0" w:num="1">
            <w:col w:w="11420"/>
          </w:cols>
          <w:pgMar w:left="240" w:top="618" w:right="239" w:bottom="1440" w:gutter="0" w:footer="0" w:header="0"/>
        </w:sectPr>
      </w:pPr>
    </w:p>
    <w:bookmarkStart w:id="115" w:name="page116"/>
    <w:bookmarkEnd w:id="115"/>
    <w:p>
      <w:pPr>
        <w:ind w:right="620"/>
        <w:spacing w:after="0" w:line="263" w:lineRule="auto"/>
        <w:rPr>
          <w:sz w:val="20"/>
          <w:szCs w:val="20"/>
          <w:color w:val="auto"/>
        </w:rPr>
      </w:pPr>
      <w:r>
        <w:rPr>
          <w:rFonts w:ascii="Arial" w:cs="Arial" w:eastAsia="Arial" w:hAnsi="Arial"/>
          <w:sz w:val="22"/>
          <w:szCs w:val="22"/>
          <w:color w:val="auto"/>
        </w:rPr>
        <w:t>terminated at any time in the sole and exclusive discretion of the Committee without giving rise to liability on the part of the Company for severance payments.</w:t>
      </w:r>
    </w:p>
    <w:p>
      <w:pPr>
        <w:spacing w:after="0" w:line="169" w:lineRule="exact"/>
        <w:rPr>
          <w:sz w:val="20"/>
          <w:szCs w:val="20"/>
          <w:color w:val="auto"/>
        </w:rPr>
      </w:pPr>
    </w:p>
    <w:p>
      <w:pPr>
        <w:ind w:right="20" w:firstLine="392"/>
        <w:spacing w:after="0" w:line="256" w:lineRule="auto"/>
        <w:rPr>
          <w:sz w:val="20"/>
          <w:szCs w:val="20"/>
          <w:color w:val="auto"/>
        </w:rPr>
      </w:pPr>
      <w:r>
        <w:rPr>
          <w:rFonts w:ascii="Arial" w:cs="Arial" w:eastAsia="Arial" w:hAnsi="Arial"/>
          <w:sz w:val="22"/>
          <w:szCs w:val="22"/>
          <w:b w:val="1"/>
          <w:bCs w:val="1"/>
          <w:color w:val="auto"/>
        </w:rPr>
        <w:t>19.8 Noncertificated Shares</w:t>
      </w:r>
      <w:r>
        <w:rPr>
          <w:rFonts w:ascii="Arial" w:cs="Arial" w:eastAsia="Arial" w:hAnsi="Arial"/>
          <w:sz w:val="22"/>
          <w:szCs w:val="22"/>
          <w:color w:val="auto"/>
        </w:rPr>
        <w:t>. To the extent that the Plan provides for issuance of certificates to reflect the transfer of Shares,</w:t>
      </w:r>
      <w:r>
        <w:rPr>
          <w:rFonts w:ascii="Arial" w:cs="Arial" w:eastAsia="Arial" w:hAnsi="Arial"/>
          <w:sz w:val="22"/>
          <w:szCs w:val="22"/>
          <w:b w:val="1"/>
          <w:bCs w:val="1"/>
          <w:color w:val="auto"/>
        </w:rPr>
        <w:t xml:space="preserve"> </w:t>
      </w:r>
      <w:r>
        <w:rPr>
          <w:rFonts w:ascii="Arial" w:cs="Arial" w:eastAsia="Arial" w:hAnsi="Arial"/>
          <w:sz w:val="22"/>
          <w:szCs w:val="22"/>
          <w:color w:val="auto"/>
        </w:rPr>
        <w:t>the transfer of such Shares may be effected on a noncertificated basis, to the extent not prohibited by applicable law or the rules of any stock exchange or trading system.</w:t>
      </w:r>
    </w:p>
    <w:p>
      <w:pPr>
        <w:spacing w:after="0" w:line="176" w:lineRule="exact"/>
        <w:rPr>
          <w:sz w:val="20"/>
          <w:szCs w:val="20"/>
          <w:color w:val="auto"/>
        </w:rPr>
      </w:pPr>
    </w:p>
    <w:p>
      <w:pPr>
        <w:ind w:right="80" w:firstLine="392"/>
        <w:spacing w:after="0" w:line="298" w:lineRule="auto"/>
        <w:rPr>
          <w:sz w:val="20"/>
          <w:szCs w:val="20"/>
          <w:color w:val="auto"/>
        </w:rPr>
      </w:pPr>
      <w:r>
        <w:rPr>
          <w:rFonts w:ascii="Arial" w:cs="Arial" w:eastAsia="Arial" w:hAnsi="Arial"/>
          <w:sz w:val="19"/>
          <w:szCs w:val="19"/>
          <w:b w:val="1"/>
          <w:bCs w:val="1"/>
          <w:color w:val="auto"/>
        </w:rPr>
        <w:t>19.9 Governing Law</w:t>
      </w:r>
      <w:r>
        <w:rPr>
          <w:rFonts w:ascii="Arial" w:cs="Arial" w:eastAsia="Arial" w:hAnsi="Arial"/>
          <w:sz w:val="19"/>
          <w:szCs w:val="19"/>
          <w:color w:val="auto"/>
        </w:rPr>
        <w:t>. The Plan and each Award Agreement shall be governed by the laws of Massachusetts</w:t>
      </w:r>
      <w:r>
        <w:rPr>
          <w:rFonts w:ascii="Arial" w:cs="Arial" w:eastAsia="Arial" w:hAnsi="Arial"/>
          <w:sz w:val="19"/>
          <w:szCs w:val="19"/>
          <w:b w:val="1"/>
          <w:bCs w:val="1"/>
          <w:color w:val="auto"/>
        </w:rPr>
        <w:t xml:space="preserve">, </w:t>
      </w:r>
      <w:r>
        <w:rPr>
          <w:rFonts w:ascii="Arial" w:cs="Arial" w:eastAsia="Arial" w:hAnsi="Arial"/>
          <w:sz w:val="19"/>
          <w:szCs w:val="19"/>
          <w:color w:val="auto"/>
        </w:rPr>
        <w:t>excluding any</w:t>
      </w:r>
      <w:r>
        <w:rPr>
          <w:rFonts w:ascii="Arial" w:cs="Arial" w:eastAsia="Arial" w:hAnsi="Arial"/>
          <w:sz w:val="19"/>
          <w:szCs w:val="19"/>
          <w:b w:val="1"/>
          <w:bCs w:val="1"/>
          <w:color w:val="auto"/>
        </w:rPr>
        <w:t xml:space="preserve"> </w:t>
      </w:r>
      <w:r>
        <w:rPr>
          <w:rFonts w:ascii="Arial" w:cs="Arial" w:eastAsia="Arial" w:hAnsi="Arial"/>
          <w:sz w:val="19"/>
          <w:szCs w:val="19"/>
          <w:color w:val="auto"/>
        </w:rPr>
        <w:t>conflicts or choice of law rule or principle that might otherwise refer construction or interpretation of the Plan to the substantive law of another jurisdiction. Unless otherwise provided in the Award Agreement, recipients of an Award under the Plan are deemed to submit to the exclusive jurisdiction and venue of the federal or state courts whose jurisdiction covers Massachusetts, to resolve any and all issues that may arise out of or relate to the Plan or any related Award Agreement.</w:t>
      </w:r>
    </w:p>
    <w:p>
      <w:pPr>
        <w:spacing w:after="0" w:line="156" w:lineRule="exact"/>
        <w:rPr>
          <w:sz w:val="20"/>
          <w:szCs w:val="20"/>
          <w:color w:val="auto"/>
        </w:rPr>
      </w:pPr>
    </w:p>
    <w:p>
      <w:pPr>
        <w:ind w:firstLine="392"/>
        <w:spacing w:after="0" w:line="248" w:lineRule="auto"/>
        <w:rPr>
          <w:sz w:val="20"/>
          <w:szCs w:val="20"/>
          <w:color w:val="auto"/>
        </w:rPr>
      </w:pPr>
      <w:r>
        <w:rPr>
          <w:rFonts w:ascii="Arial" w:cs="Arial" w:eastAsia="Arial" w:hAnsi="Arial"/>
          <w:sz w:val="22"/>
          <w:szCs w:val="22"/>
          <w:b w:val="1"/>
          <w:bCs w:val="1"/>
          <w:color w:val="auto"/>
        </w:rPr>
        <w:t xml:space="preserve">19.10 Compliance with Code Section 409A. </w:t>
      </w:r>
      <w:r>
        <w:rPr>
          <w:rFonts w:ascii="Arial" w:cs="Arial" w:eastAsia="Arial" w:hAnsi="Arial"/>
          <w:sz w:val="22"/>
          <w:szCs w:val="22"/>
          <w:color w:val="auto"/>
        </w:rPr>
        <w:t>No Award that is subject to Section 409A of the Code shall provide for deferral</w:t>
      </w:r>
      <w:r>
        <w:rPr>
          <w:rFonts w:ascii="Arial" w:cs="Arial" w:eastAsia="Arial" w:hAnsi="Arial"/>
          <w:sz w:val="22"/>
          <w:szCs w:val="22"/>
          <w:b w:val="1"/>
          <w:bCs w:val="1"/>
          <w:color w:val="auto"/>
        </w:rPr>
        <w:t xml:space="preserve"> </w:t>
      </w:r>
      <w:r>
        <w:rPr>
          <w:rFonts w:ascii="Arial" w:cs="Arial" w:eastAsia="Arial" w:hAnsi="Arial"/>
          <w:sz w:val="22"/>
          <w:szCs w:val="22"/>
          <w:color w:val="auto"/>
        </w:rPr>
        <w:t>of compensation that does not comply with Section 409A of the Code, unless the Board, at the time of grant, specifically provides that the Award is not intended to comply with Section 409A of the Code. Notwithstanding any provision in the Plan to the contrary, with respect to any Award subject to Section 409A, distributions on account of a separation from service may not be made to Key Employees before the date which is six (6) months after the date of separation from service (or, if earlier, the date of death of the employee).</w:t>
      </w:r>
    </w:p>
    <w:p>
      <w:pPr>
        <w:spacing w:after="0" w:line="214"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color w:val="auto"/>
        </w:rPr>
        <w:t>BOS1472419.8</w:t>
      </w:r>
      <w:r>
        <w:rPr>
          <w:sz w:val="20"/>
          <w:szCs w:val="20"/>
          <w:color w:val="auto"/>
        </w:rPr>
        <w:tab/>
      </w:r>
      <w:r>
        <w:rPr>
          <w:rFonts w:ascii="Arial" w:cs="Arial" w:eastAsia="Arial" w:hAnsi="Arial"/>
          <w:sz w:val="18"/>
          <w:szCs w:val="18"/>
          <w:color w:val="auto"/>
        </w:rPr>
        <w:t>-18-</w:t>
      </w:r>
    </w:p>
    <w:p>
      <w:pPr>
        <w:sectPr>
          <w:pgSz w:w="11900" w:h="16838" w:orient="portrait"/>
          <w:cols w:equalWidth="0" w:num="1">
            <w:col w:w="11380"/>
          </w:cols>
          <w:pgMar w:left="240" w:top="618" w:right="279" w:bottom="1440" w:gutter="0" w:footer="0" w:header="0"/>
        </w:sectPr>
      </w:pPr>
    </w:p>
    <w:bookmarkStart w:id="116" w:name="page117"/>
    <w:bookmarkEnd w:id="116"/>
    <w:p>
      <w:pPr>
        <w:spacing w:after="0"/>
        <w:tabs>
          <w:tab w:leader="none" w:pos="2420" w:val="left"/>
        </w:tabs>
        <w:rPr>
          <w:sz w:val="20"/>
          <w:szCs w:val="20"/>
          <w:color w:val="auto"/>
        </w:rPr>
      </w:pPr>
      <w:r>
        <w:rPr>
          <w:rFonts w:ascii="Arial" w:cs="Arial" w:eastAsia="Arial" w:hAnsi="Arial"/>
          <w:sz w:val="22"/>
          <w:szCs w:val="22"/>
          <w:color w:val="auto"/>
        </w:rPr>
        <w:t>Dated as of July 27, 2005</w:t>
      </w:r>
      <w:r>
        <w:rPr>
          <w:sz w:val="20"/>
          <w:szCs w:val="20"/>
          <w:color w:val="auto"/>
        </w:rPr>
        <w:tab/>
      </w:r>
      <w:r>
        <w:rPr>
          <w:rFonts w:ascii="Arial" w:cs="Arial" w:eastAsia="Arial" w:hAnsi="Arial"/>
          <w:sz w:val="19"/>
          <w:szCs w:val="19"/>
          <w:b w:val="1"/>
          <w:bCs w:val="1"/>
          <w:color w:val="auto"/>
        </w:rPr>
        <w:t>Haemonetics Corporation</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Amended: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July 31, 2008</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July 29, 2009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July 21, 2011</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November 30, 2012</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July 24, 2013</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January 21, 2014</w:t>
      </w:r>
    </w:p>
    <w:p>
      <w:pPr>
        <w:spacing w:after="0" w:line="200" w:lineRule="exact"/>
        <w:rPr>
          <w:sz w:val="20"/>
          <w:szCs w:val="20"/>
          <w:color w:val="auto"/>
        </w:rPr>
      </w:pPr>
    </w:p>
    <w:p>
      <w:pPr>
        <w:spacing w:after="0" w:line="299"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 /s/ Brian Concannon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-17780</wp:posOffset>
            </wp:positionV>
            <wp:extent cx="14370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7005" cy="8890"/>
                    </a:xfrm>
                    <a:prstGeom prst="rect">
                      <a:avLst/>
                    </a:prstGeom>
                    <a:noFill/>
                  </pic:spPr>
                </pic:pic>
              </a:graphicData>
            </a:graphic>
          </wp:anchor>
        </w:drawing>
      </w:r>
    </w:p>
    <w:p>
      <w:pPr>
        <w:spacing w:after="0" w:line="2"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2"/>
          <w:szCs w:val="22"/>
          <w:color w:val="auto"/>
        </w:rPr>
        <w:t>Date of Shareholder Approval: July 27, 2005</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Amendment to Section 4.1 Approved by Shareholders: July 31, 2008</w:t>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Amendment to Article 14 Approved by Compensation Committee under delegation from the Board of Directors: July 29, 2009</w:t>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color w:val="auto"/>
        </w:rPr>
        <w:t>Amendments to Section 1.3, and Articles 4, 6 and 7 Approved by Shareholders: July 21, 2011</w:t>
      </w:r>
    </w:p>
    <w:p>
      <w:pPr>
        <w:spacing w:after="0" w:line="260" w:lineRule="exact"/>
        <w:rPr>
          <w:sz w:val="20"/>
          <w:szCs w:val="20"/>
          <w:color w:val="auto"/>
        </w:rPr>
      </w:pPr>
    </w:p>
    <w:p>
      <w:pPr>
        <w:spacing w:after="0"/>
        <w:rPr>
          <w:sz w:val="20"/>
          <w:szCs w:val="20"/>
          <w:color w:val="auto"/>
        </w:rPr>
      </w:pPr>
      <w:r>
        <w:rPr>
          <w:rFonts w:ascii="Arial" w:cs="Arial" w:eastAsia="Arial" w:hAnsi="Arial"/>
          <w:sz w:val="21"/>
          <w:szCs w:val="21"/>
          <w:color w:val="auto"/>
        </w:rPr>
        <w:t>Amendments to Section 4.1 and 4.3 Approved by Compensation Committee under delegation from the Board of Directors:</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November 30, 2012</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Amendments to Article 12 Approved by the Board of Directors: July 24, 2013</w:t>
      </w:r>
    </w:p>
    <w:p>
      <w:pPr>
        <w:spacing w:after="0" w:line="260" w:lineRule="exact"/>
        <w:rPr>
          <w:sz w:val="20"/>
          <w:szCs w:val="20"/>
          <w:color w:val="auto"/>
        </w:rPr>
      </w:pPr>
    </w:p>
    <w:p>
      <w:pPr>
        <w:ind w:right="300"/>
        <w:spacing w:after="0" w:line="263" w:lineRule="auto"/>
        <w:rPr>
          <w:sz w:val="20"/>
          <w:szCs w:val="20"/>
          <w:color w:val="auto"/>
        </w:rPr>
      </w:pPr>
      <w:r>
        <w:rPr>
          <w:rFonts w:ascii="Arial" w:cs="Arial" w:eastAsia="Arial" w:hAnsi="Arial"/>
          <w:sz w:val="22"/>
          <w:szCs w:val="22"/>
          <w:color w:val="auto"/>
        </w:rPr>
        <w:t>Amendment to Article 17 Approved by the Compensation Committee under delegation from the Board of Directors: January 21, 2014</w:t>
      </w:r>
    </w:p>
    <w:p>
      <w:pPr>
        <w:spacing w:after="0" w:line="195"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color w:val="auto"/>
        </w:rPr>
        <w:t>BOS1472419.8</w:t>
      </w:r>
      <w:r>
        <w:rPr>
          <w:sz w:val="20"/>
          <w:szCs w:val="20"/>
          <w:color w:val="auto"/>
        </w:rPr>
        <w:tab/>
      </w:r>
      <w:r>
        <w:rPr>
          <w:rFonts w:ascii="Arial" w:cs="Arial" w:eastAsia="Arial" w:hAnsi="Arial"/>
          <w:sz w:val="18"/>
          <w:szCs w:val="18"/>
          <w:color w:val="auto"/>
        </w:rPr>
        <w:t>-19-</w:t>
      </w:r>
    </w:p>
    <w:p>
      <w:pPr>
        <w:sectPr>
          <w:pgSz w:w="11900" w:h="16838" w:orient="portrait"/>
          <w:cols w:equalWidth="0" w:num="1">
            <w:col w:w="11420"/>
          </w:cols>
          <w:pgMar w:left="240" w:top="1098" w:right="239" w:bottom="1440" w:gutter="0" w:footer="0" w:header="0"/>
        </w:sectPr>
      </w:pPr>
    </w:p>
    <w:bookmarkStart w:id="117" w:name="page118"/>
    <w:bookmarkEnd w:id="117"/>
    <w:p>
      <w:pPr>
        <w:spacing w:after="0"/>
        <w:rPr>
          <w:sz w:val="20"/>
          <w:szCs w:val="20"/>
          <w:color w:val="auto"/>
        </w:rPr>
      </w:pPr>
      <w:r>
        <w:rPr>
          <w:rFonts w:ascii="Arial" w:cs="Arial" w:eastAsia="Arial" w:hAnsi="Arial"/>
          <w:sz w:val="20"/>
          <w:szCs w:val="20"/>
          <w:color w:val="F2F2F2"/>
        </w:rPr>
        <w:t>Exhibit 21.1</w:t>
      </w: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color w:val="auto"/>
        </w:rPr>
        <w:t>Exhibit 21.1 - Subsidiaries of the Company</w:t>
      </w:r>
    </w:p>
    <w:p>
      <w:pPr>
        <w:spacing w:after="0" w:line="341"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6180" w:type="dxa"/>
            <w:vAlign w:val="bottom"/>
            <w:shd w:val="clear" w:color="auto" w:fill="666699"/>
          </w:tcPr>
          <w:p>
            <w:pPr>
              <w:ind w:left="40"/>
              <w:spacing w:after="0"/>
              <w:rPr>
                <w:sz w:val="20"/>
                <w:szCs w:val="20"/>
                <w:color w:val="auto"/>
              </w:rPr>
            </w:pPr>
            <w:r>
              <w:rPr>
                <w:rFonts w:ascii="Arial" w:cs="Arial" w:eastAsia="Arial" w:hAnsi="Arial"/>
                <w:sz w:val="15"/>
                <w:szCs w:val="15"/>
                <w:b w:val="1"/>
                <w:bCs w:val="1"/>
                <w:color w:val="FFFFFF"/>
              </w:rPr>
              <w:t>Entity Name</w:t>
            </w:r>
          </w:p>
        </w:tc>
        <w:tc>
          <w:tcPr>
            <w:tcW w:w="4520" w:type="dxa"/>
            <w:vAlign w:val="bottom"/>
            <w:shd w:val="clear" w:color="auto" w:fill="666699"/>
          </w:tcPr>
          <w:p>
            <w:pPr>
              <w:ind w:left="1240"/>
              <w:spacing w:after="0"/>
              <w:rPr>
                <w:sz w:val="20"/>
                <w:szCs w:val="20"/>
                <w:color w:val="auto"/>
              </w:rPr>
            </w:pPr>
            <w:r>
              <w:rPr>
                <w:rFonts w:ascii="Arial" w:cs="Arial" w:eastAsia="Arial" w:hAnsi="Arial"/>
                <w:sz w:val="15"/>
                <w:szCs w:val="15"/>
                <w:b w:val="1"/>
                <w:bCs w:val="1"/>
                <w:color w:val="FFFFFF"/>
              </w:rPr>
              <w:t>Jurisdiction of Incorporation</w:t>
            </w:r>
          </w:p>
        </w:tc>
      </w:tr>
      <w:tr>
        <w:trPr>
          <w:trHeight w:val="208"/>
        </w:trPr>
        <w:tc>
          <w:tcPr>
            <w:tcW w:w="6180" w:type="dxa"/>
            <w:vAlign w:val="bottom"/>
          </w:tcPr>
          <w:p>
            <w:pPr>
              <w:ind w:left="40"/>
              <w:spacing w:after="0"/>
              <w:rPr>
                <w:sz w:val="20"/>
                <w:szCs w:val="20"/>
                <w:color w:val="auto"/>
              </w:rPr>
            </w:pPr>
            <w:r>
              <w:rPr>
                <w:rFonts w:ascii="Arial" w:cs="Arial" w:eastAsia="Arial" w:hAnsi="Arial"/>
                <w:sz w:val="15"/>
                <w:szCs w:val="15"/>
                <w:color w:val="auto"/>
              </w:rPr>
              <w:t>5D Information Management, Inc.</w:t>
            </w:r>
          </w:p>
        </w:tc>
        <w:tc>
          <w:tcPr>
            <w:tcW w:w="4520" w:type="dxa"/>
            <w:vAlign w:val="bottom"/>
          </w:tcPr>
          <w:p>
            <w:pPr>
              <w:ind w:left="1240"/>
              <w:spacing w:after="0"/>
              <w:rPr>
                <w:sz w:val="20"/>
                <w:szCs w:val="20"/>
                <w:color w:val="auto"/>
              </w:rPr>
            </w:pPr>
            <w:r>
              <w:rPr>
                <w:rFonts w:ascii="Arial" w:cs="Arial" w:eastAsia="Arial" w:hAnsi="Arial"/>
                <w:sz w:val="15"/>
                <w:szCs w:val="15"/>
                <w:color w:val="auto"/>
              </w:rPr>
              <w:t>Delaware</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Arryx, Inc.</w:t>
            </w:r>
          </w:p>
        </w:tc>
        <w:tc>
          <w:tcPr>
            <w:tcW w:w="4520" w:type="dxa"/>
            <w:vAlign w:val="bottom"/>
          </w:tcPr>
          <w:p>
            <w:pPr>
              <w:ind w:left="1240"/>
              <w:spacing w:after="0"/>
              <w:rPr>
                <w:sz w:val="20"/>
                <w:szCs w:val="20"/>
                <w:color w:val="auto"/>
              </w:rPr>
            </w:pPr>
            <w:r>
              <w:rPr>
                <w:rFonts w:ascii="Arial" w:cs="Arial" w:eastAsia="Arial" w:hAnsi="Arial"/>
                <w:sz w:val="15"/>
                <w:szCs w:val="15"/>
                <w:color w:val="auto"/>
              </w:rPr>
              <w:t>Nevada</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Global Med Technologies, Inc.</w:t>
            </w:r>
          </w:p>
        </w:tc>
        <w:tc>
          <w:tcPr>
            <w:tcW w:w="4520" w:type="dxa"/>
            <w:vAlign w:val="bottom"/>
          </w:tcPr>
          <w:p>
            <w:pPr>
              <w:ind w:left="1240"/>
              <w:spacing w:after="0"/>
              <w:rPr>
                <w:sz w:val="20"/>
                <w:szCs w:val="20"/>
                <w:color w:val="auto"/>
              </w:rPr>
            </w:pPr>
            <w:r>
              <w:rPr>
                <w:rFonts w:ascii="Arial" w:cs="Arial" w:eastAsia="Arial" w:hAnsi="Arial"/>
                <w:sz w:val="15"/>
                <w:szCs w:val="15"/>
                <w:color w:val="auto"/>
              </w:rPr>
              <w:t>Colorado</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(Hong Kong) Limited</w:t>
            </w:r>
          </w:p>
        </w:tc>
        <w:tc>
          <w:tcPr>
            <w:tcW w:w="4520" w:type="dxa"/>
            <w:vAlign w:val="bottom"/>
          </w:tcPr>
          <w:p>
            <w:pPr>
              <w:ind w:left="1240"/>
              <w:spacing w:after="0"/>
              <w:rPr>
                <w:sz w:val="20"/>
                <w:szCs w:val="20"/>
                <w:color w:val="auto"/>
              </w:rPr>
            </w:pPr>
            <w:r>
              <w:rPr>
                <w:rFonts w:ascii="Arial" w:cs="Arial" w:eastAsia="Arial" w:hAnsi="Arial"/>
                <w:sz w:val="15"/>
                <w:szCs w:val="15"/>
                <w:color w:val="auto"/>
              </w:rPr>
              <w:t>Hong Kong</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(Hong Kong) Limited - Liaison Office</w:t>
            </w:r>
          </w:p>
        </w:tc>
        <w:tc>
          <w:tcPr>
            <w:tcW w:w="4520" w:type="dxa"/>
            <w:vAlign w:val="bottom"/>
          </w:tcPr>
          <w:p>
            <w:pPr>
              <w:ind w:left="1240"/>
              <w:spacing w:after="0"/>
              <w:rPr>
                <w:sz w:val="20"/>
                <w:szCs w:val="20"/>
                <w:color w:val="auto"/>
              </w:rPr>
            </w:pPr>
            <w:r>
              <w:rPr>
                <w:rFonts w:ascii="Arial" w:cs="Arial" w:eastAsia="Arial" w:hAnsi="Arial"/>
                <w:sz w:val="15"/>
                <w:szCs w:val="15"/>
                <w:color w:val="auto"/>
              </w:rPr>
              <w:t>Haryana - India</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(UK) Limited</w:t>
            </w:r>
          </w:p>
        </w:tc>
        <w:tc>
          <w:tcPr>
            <w:tcW w:w="4520" w:type="dxa"/>
            <w:vAlign w:val="bottom"/>
          </w:tcPr>
          <w:p>
            <w:pPr>
              <w:ind w:left="1240"/>
              <w:spacing w:after="0"/>
              <w:rPr>
                <w:sz w:val="20"/>
                <w:szCs w:val="20"/>
                <w:color w:val="auto"/>
              </w:rPr>
            </w:pPr>
            <w:r>
              <w:rPr>
                <w:rFonts w:ascii="Arial" w:cs="Arial" w:eastAsia="Arial" w:hAnsi="Arial"/>
                <w:sz w:val="15"/>
                <w:szCs w:val="15"/>
                <w:color w:val="auto"/>
              </w:rPr>
              <w:t>United Kingdom</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Asia Incorporated</w:t>
            </w:r>
          </w:p>
        </w:tc>
        <w:tc>
          <w:tcPr>
            <w:tcW w:w="4520" w:type="dxa"/>
            <w:vAlign w:val="bottom"/>
          </w:tcPr>
          <w:p>
            <w:pPr>
              <w:ind w:left="1240"/>
              <w:spacing w:after="0"/>
              <w:rPr>
                <w:sz w:val="20"/>
                <w:szCs w:val="20"/>
                <w:color w:val="auto"/>
              </w:rPr>
            </w:pPr>
            <w:r>
              <w:rPr>
                <w:rFonts w:ascii="Arial" w:cs="Arial" w:eastAsia="Arial" w:hAnsi="Arial"/>
                <w:sz w:val="15"/>
                <w:szCs w:val="15"/>
                <w:color w:val="auto"/>
              </w:rPr>
              <w:t>Delaware</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Asia Incorporated - Taiwan Branch</w:t>
            </w:r>
          </w:p>
        </w:tc>
        <w:tc>
          <w:tcPr>
            <w:tcW w:w="4520" w:type="dxa"/>
            <w:vAlign w:val="bottom"/>
          </w:tcPr>
          <w:p>
            <w:pPr>
              <w:ind w:left="1240"/>
              <w:spacing w:after="0"/>
              <w:rPr>
                <w:sz w:val="20"/>
                <w:szCs w:val="20"/>
                <w:color w:val="auto"/>
              </w:rPr>
            </w:pPr>
            <w:r>
              <w:rPr>
                <w:rFonts w:ascii="Arial" w:cs="Arial" w:eastAsia="Arial" w:hAnsi="Arial"/>
                <w:sz w:val="15"/>
                <w:szCs w:val="15"/>
                <w:color w:val="auto"/>
              </w:rPr>
              <w:t>Delaware</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Asia UK Ltd.</w:t>
            </w:r>
          </w:p>
        </w:tc>
        <w:tc>
          <w:tcPr>
            <w:tcW w:w="4520" w:type="dxa"/>
            <w:vAlign w:val="bottom"/>
          </w:tcPr>
          <w:p>
            <w:pPr>
              <w:ind w:left="1240"/>
              <w:spacing w:after="0"/>
              <w:rPr>
                <w:sz w:val="20"/>
                <w:szCs w:val="20"/>
                <w:color w:val="auto"/>
              </w:rPr>
            </w:pPr>
            <w:r>
              <w:rPr>
                <w:rFonts w:ascii="Arial" w:cs="Arial" w:eastAsia="Arial" w:hAnsi="Arial"/>
                <w:sz w:val="15"/>
                <w:szCs w:val="15"/>
                <w:color w:val="auto"/>
              </w:rPr>
              <w:t>England/Wales</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Asia, Inc.</w:t>
            </w:r>
          </w:p>
        </w:tc>
        <w:tc>
          <w:tcPr>
            <w:tcW w:w="4520" w:type="dxa"/>
            <w:vAlign w:val="bottom"/>
          </w:tcPr>
          <w:p>
            <w:pPr>
              <w:ind w:left="1240"/>
              <w:spacing w:after="0"/>
              <w:rPr>
                <w:sz w:val="20"/>
                <w:szCs w:val="20"/>
                <w:color w:val="auto"/>
              </w:rPr>
            </w:pPr>
            <w:r>
              <w:rPr>
                <w:rFonts w:ascii="Arial" w:cs="Arial" w:eastAsia="Arial" w:hAnsi="Arial"/>
                <w:sz w:val="15"/>
                <w:szCs w:val="15"/>
                <w:color w:val="auto"/>
              </w:rPr>
              <w:t>Taipei - Taiwan</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Australia PTY Ltd.</w:t>
            </w:r>
          </w:p>
        </w:tc>
        <w:tc>
          <w:tcPr>
            <w:tcW w:w="4520" w:type="dxa"/>
            <w:vAlign w:val="bottom"/>
          </w:tcPr>
          <w:p>
            <w:pPr>
              <w:ind w:left="1240"/>
              <w:spacing w:after="0"/>
              <w:rPr>
                <w:sz w:val="20"/>
                <w:szCs w:val="20"/>
                <w:color w:val="auto"/>
              </w:rPr>
            </w:pPr>
            <w:r>
              <w:rPr>
                <w:rFonts w:ascii="Arial" w:cs="Arial" w:eastAsia="Arial" w:hAnsi="Arial"/>
                <w:sz w:val="15"/>
                <w:szCs w:val="15"/>
                <w:color w:val="auto"/>
              </w:rPr>
              <w:t>Victoria</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Belgium NV</w:t>
            </w:r>
          </w:p>
        </w:tc>
        <w:tc>
          <w:tcPr>
            <w:tcW w:w="4520" w:type="dxa"/>
            <w:vAlign w:val="bottom"/>
          </w:tcPr>
          <w:p>
            <w:pPr>
              <w:ind w:left="1240"/>
              <w:spacing w:after="0"/>
              <w:rPr>
                <w:sz w:val="20"/>
                <w:szCs w:val="20"/>
                <w:color w:val="auto"/>
              </w:rPr>
            </w:pPr>
            <w:r>
              <w:rPr>
                <w:rFonts w:ascii="Arial" w:cs="Arial" w:eastAsia="Arial" w:hAnsi="Arial"/>
                <w:sz w:val="15"/>
                <w:szCs w:val="15"/>
                <w:color w:val="auto"/>
              </w:rPr>
              <w:t>Brussels - Belgium</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BV</w:t>
            </w:r>
          </w:p>
        </w:tc>
        <w:tc>
          <w:tcPr>
            <w:tcW w:w="4520" w:type="dxa"/>
            <w:vAlign w:val="bottom"/>
          </w:tcPr>
          <w:p>
            <w:pPr>
              <w:ind w:left="1240"/>
              <w:spacing w:after="0"/>
              <w:rPr>
                <w:sz w:val="20"/>
                <w:szCs w:val="20"/>
                <w:color w:val="auto"/>
              </w:rPr>
            </w:pPr>
            <w:r>
              <w:rPr>
                <w:rFonts w:ascii="Arial" w:cs="Arial" w:eastAsia="Arial" w:hAnsi="Arial"/>
                <w:sz w:val="15"/>
                <w:szCs w:val="15"/>
                <w:color w:val="auto"/>
              </w:rPr>
              <w:t>Breda - Netherlands</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Canada Ltd.</w:t>
            </w:r>
          </w:p>
        </w:tc>
        <w:tc>
          <w:tcPr>
            <w:tcW w:w="4520" w:type="dxa"/>
            <w:vAlign w:val="bottom"/>
          </w:tcPr>
          <w:p>
            <w:pPr>
              <w:ind w:left="1240"/>
              <w:spacing w:after="0"/>
              <w:rPr>
                <w:sz w:val="20"/>
                <w:szCs w:val="20"/>
                <w:color w:val="auto"/>
              </w:rPr>
            </w:pPr>
            <w:r>
              <w:rPr>
                <w:rFonts w:ascii="Arial" w:cs="Arial" w:eastAsia="Arial" w:hAnsi="Arial"/>
                <w:sz w:val="15"/>
                <w:szCs w:val="15"/>
                <w:color w:val="auto"/>
              </w:rPr>
              <w:t>British Columbia</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CZ, spol. s.r.o.</w:t>
            </w:r>
          </w:p>
        </w:tc>
        <w:tc>
          <w:tcPr>
            <w:tcW w:w="4520" w:type="dxa"/>
            <w:vAlign w:val="bottom"/>
          </w:tcPr>
          <w:p>
            <w:pPr>
              <w:ind w:left="1240"/>
              <w:spacing w:after="0"/>
              <w:rPr>
                <w:sz w:val="20"/>
                <w:szCs w:val="20"/>
                <w:color w:val="auto"/>
              </w:rPr>
            </w:pPr>
            <w:r>
              <w:rPr>
                <w:rFonts w:ascii="Arial" w:cs="Arial" w:eastAsia="Arial" w:hAnsi="Arial"/>
                <w:sz w:val="15"/>
                <w:szCs w:val="15"/>
                <w:color w:val="auto"/>
              </w:rPr>
              <w:t>Brno - Czech Republic</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France S.a.r.l</w:t>
            </w:r>
          </w:p>
        </w:tc>
        <w:tc>
          <w:tcPr>
            <w:tcW w:w="4520" w:type="dxa"/>
            <w:vAlign w:val="bottom"/>
          </w:tcPr>
          <w:p>
            <w:pPr>
              <w:ind w:left="1240"/>
              <w:spacing w:after="0"/>
              <w:rPr>
                <w:sz w:val="20"/>
                <w:szCs w:val="20"/>
                <w:color w:val="auto"/>
              </w:rPr>
            </w:pPr>
            <w:r>
              <w:rPr>
                <w:rFonts w:ascii="Arial" w:cs="Arial" w:eastAsia="Arial" w:hAnsi="Arial"/>
                <w:sz w:val="15"/>
                <w:szCs w:val="15"/>
                <w:color w:val="auto"/>
              </w:rPr>
              <w:t>Plaisir - France</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GmbH</w:t>
            </w:r>
          </w:p>
        </w:tc>
        <w:tc>
          <w:tcPr>
            <w:tcW w:w="4520" w:type="dxa"/>
            <w:vAlign w:val="bottom"/>
          </w:tcPr>
          <w:p>
            <w:pPr>
              <w:ind w:left="1240"/>
              <w:spacing w:after="0"/>
              <w:rPr>
                <w:sz w:val="20"/>
                <w:szCs w:val="20"/>
                <w:color w:val="auto"/>
              </w:rPr>
            </w:pPr>
            <w:r>
              <w:rPr>
                <w:rFonts w:ascii="Arial" w:cs="Arial" w:eastAsia="Arial" w:hAnsi="Arial"/>
                <w:sz w:val="15"/>
                <w:szCs w:val="15"/>
                <w:color w:val="auto"/>
              </w:rPr>
              <w:t>Munich - Germany</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Handelsgesellschaft m.b.H.</w:t>
            </w:r>
          </w:p>
        </w:tc>
        <w:tc>
          <w:tcPr>
            <w:tcW w:w="4520" w:type="dxa"/>
            <w:vAlign w:val="bottom"/>
          </w:tcPr>
          <w:p>
            <w:pPr>
              <w:ind w:left="1240"/>
              <w:spacing w:after="0"/>
              <w:rPr>
                <w:sz w:val="20"/>
                <w:szCs w:val="20"/>
                <w:color w:val="auto"/>
              </w:rPr>
            </w:pPr>
            <w:r>
              <w:rPr>
                <w:rFonts w:ascii="Arial" w:cs="Arial" w:eastAsia="Arial" w:hAnsi="Arial"/>
                <w:sz w:val="15"/>
                <w:szCs w:val="15"/>
                <w:color w:val="auto"/>
              </w:rPr>
              <w:t>Vienna - Austria</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Healthcare India Private Limited</w:t>
            </w:r>
          </w:p>
        </w:tc>
        <w:tc>
          <w:tcPr>
            <w:tcW w:w="4520" w:type="dxa"/>
            <w:vAlign w:val="bottom"/>
          </w:tcPr>
          <w:p>
            <w:pPr>
              <w:ind w:left="1240"/>
              <w:spacing w:after="0"/>
              <w:rPr>
                <w:sz w:val="20"/>
                <w:szCs w:val="20"/>
                <w:color w:val="auto"/>
              </w:rPr>
            </w:pPr>
            <w:r>
              <w:rPr>
                <w:rFonts w:ascii="Arial" w:cs="Arial" w:eastAsia="Arial" w:hAnsi="Arial"/>
                <w:sz w:val="15"/>
                <w:szCs w:val="15"/>
                <w:color w:val="auto"/>
              </w:rPr>
              <w:t>India</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Hospitalar Ltda.</w:t>
            </w:r>
          </w:p>
        </w:tc>
        <w:tc>
          <w:tcPr>
            <w:tcW w:w="4520" w:type="dxa"/>
            <w:vAlign w:val="bottom"/>
          </w:tcPr>
          <w:p>
            <w:pPr>
              <w:ind w:left="1240"/>
              <w:spacing w:after="0"/>
              <w:rPr>
                <w:sz w:val="20"/>
                <w:szCs w:val="20"/>
                <w:color w:val="auto"/>
              </w:rPr>
            </w:pPr>
            <w:r>
              <w:rPr>
                <w:rFonts w:ascii="Arial" w:cs="Arial" w:eastAsia="Arial" w:hAnsi="Arial"/>
                <w:sz w:val="15"/>
                <w:szCs w:val="15"/>
                <w:color w:val="auto"/>
              </w:rPr>
              <w:t>Sao Paulo - Brazil</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International Finance S.a.r.l.</w:t>
            </w:r>
          </w:p>
        </w:tc>
        <w:tc>
          <w:tcPr>
            <w:tcW w:w="4520" w:type="dxa"/>
            <w:vAlign w:val="bottom"/>
          </w:tcPr>
          <w:p>
            <w:pPr>
              <w:ind w:left="1240"/>
              <w:spacing w:after="0"/>
              <w:rPr>
                <w:sz w:val="20"/>
                <w:szCs w:val="20"/>
                <w:color w:val="auto"/>
              </w:rPr>
            </w:pPr>
            <w:r>
              <w:rPr>
                <w:rFonts w:ascii="Arial" w:cs="Arial" w:eastAsia="Arial" w:hAnsi="Arial"/>
                <w:sz w:val="15"/>
                <w:szCs w:val="15"/>
                <w:color w:val="auto"/>
              </w:rPr>
              <w:t>Luxembourg</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International Holdings GmbH</w:t>
            </w:r>
          </w:p>
        </w:tc>
        <w:tc>
          <w:tcPr>
            <w:tcW w:w="4520" w:type="dxa"/>
            <w:vAlign w:val="bottom"/>
          </w:tcPr>
          <w:p>
            <w:pPr>
              <w:ind w:left="1240"/>
              <w:spacing w:after="0"/>
              <w:rPr>
                <w:sz w:val="20"/>
                <w:szCs w:val="20"/>
                <w:color w:val="auto"/>
              </w:rPr>
            </w:pPr>
            <w:r>
              <w:rPr>
                <w:rFonts w:ascii="Arial" w:cs="Arial" w:eastAsia="Arial" w:hAnsi="Arial"/>
                <w:sz w:val="15"/>
                <w:szCs w:val="15"/>
                <w:color w:val="auto"/>
              </w:rPr>
              <w:t>Luzern, Switzerland</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IP HC Sarl</w:t>
            </w:r>
          </w:p>
        </w:tc>
        <w:tc>
          <w:tcPr>
            <w:tcW w:w="4520" w:type="dxa"/>
            <w:vAlign w:val="bottom"/>
          </w:tcPr>
          <w:p>
            <w:pPr>
              <w:ind w:left="1240"/>
              <w:spacing w:after="0"/>
              <w:rPr>
                <w:sz w:val="20"/>
                <w:szCs w:val="20"/>
                <w:color w:val="auto"/>
              </w:rPr>
            </w:pPr>
            <w:r>
              <w:rPr>
                <w:rFonts w:ascii="Arial" w:cs="Arial" w:eastAsia="Arial" w:hAnsi="Arial"/>
                <w:sz w:val="15"/>
                <w:szCs w:val="15"/>
                <w:color w:val="auto"/>
              </w:rPr>
              <w:t>Signy - Switzerland</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Italia s.r.l.</w:t>
            </w:r>
          </w:p>
        </w:tc>
        <w:tc>
          <w:tcPr>
            <w:tcW w:w="4520" w:type="dxa"/>
            <w:vAlign w:val="bottom"/>
          </w:tcPr>
          <w:p>
            <w:pPr>
              <w:ind w:left="1240"/>
              <w:spacing w:after="0"/>
              <w:rPr>
                <w:sz w:val="20"/>
                <w:szCs w:val="20"/>
                <w:color w:val="auto"/>
              </w:rPr>
            </w:pPr>
            <w:r>
              <w:rPr>
                <w:rFonts w:ascii="Arial" w:cs="Arial" w:eastAsia="Arial" w:hAnsi="Arial"/>
                <w:sz w:val="15"/>
                <w:szCs w:val="15"/>
                <w:color w:val="auto"/>
              </w:rPr>
              <w:t>Milan - Italy</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Japan GK</w:t>
            </w:r>
          </w:p>
        </w:tc>
        <w:tc>
          <w:tcPr>
            <w:tcW w:w="4520" w:type="dxa"/>
            <w:vAlign w:val="bottom"/>
          </w:tcPr>
          <w:p>
            <w:pPr>
              <w:ind w:left="1240"/>
              <w:spacing w:after="0"/>
              <w:rPr>
                <w:sz w:val="20"/>
                <w:szCs w:val="20"/>
                <w:color w:val="auto"/>
              </w:rPr>
            </w:pPr>
            <w:r>
              <w:rPr>
                <w:rFonts w:ascii="Arial" w:cs="Arial" w:eastAsia="Arial" w:hAnsi="Arial"/>
                <w:sz w:val="15"/>
                <w:szCs w:val="15"/>
                <w:color w:val="auto"/>
              </w:rPr>
              <w:t>Toyko - Japan</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Korea, Inc.</w:t>
            </w:r>
          </w:p>
        </w:tc>
        <w:tc>
          <w:tcPr>
            <w:tcW w:w="4520" w:type="dxa"/>
            <w:vAlign w:val="bottom"/>
          </w:tcPr>
          <w:p>
            <w:pPr>
              <w:ind w:left="1240"/>
              <w:spacing w:after="0"/>
              <w:rPr>
                <w:sz w:val="20"/>
                <w:szCs w:val="20"/>
                <w:color w:val="auto"/>
              </w:rPr>
            </w:pPr>
            <w:r>
              <w:rPr>
                <w:rFonts w:ascii="Arial" w:cs="Arial" w:eastAsia="Arial" w:hAnsi="Arial"/>
                <w:sz w:val="15"/>
                <w:szCs w:val="15"/>
                <w:color w:val="auto"/>
              </w:rPr>
              <w:t>Seoul - Korea</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Limited</w:t>
            </w:r>
          </w:p>
        </w:tc>
        <w:tc>
          <w:tcPr>
            <w:tcW w:w="4520" w:type="dxa"/>
            <w:vAlign w:val="bottom"/>
          </w:tcPr>
          <w:p>
            <w:pPr>
              <w:ind w:left="1240"/>
              <w:spacing w:after="0"/>
              <w:rPr>
                <w:sz w:val="20"/>
                <w:szCs w:val="20"/>
                <w:color w:val="auto"/>
              </w:rPr>
            </w:pPr>
            <w:r>
              <w:rPr>
                <w:rFonts w:ascii="Arial" w:cs="Arial" w:eastAsia="Arial" w:hAnsi="Arial"/>
                <w:sz w:val="15"/>
                <w:szCs w:val="15"/>
                <w:color w:val="auto"/>
              </w:rPr>
              <w:t>Bedfordshire - United Kingdom</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Malaysia Sdn. Bhd.</w:t>
            </w:r>
          </w:p>
        </w:tc>
        <w:tc>
          <w:tcPr>
            <w:tcW w:w="4520" w:type="dxa"/>
            <w:vAlign w:val="bottom"/>
          </w:tcPr>
          <w:p>
            <w:pPr>
              <w:ind w:left="1240"/>
              <w:spacing w:after="0"/>
              <w:rPr>
                <w:sz w:val="20"/>
                <w:szCs w:val="20"/>
                <w:color w:val="auto"/>
              </w:rPr>
            </w:pPr>
            <w:r>
              <w:rPr>
                <w:rFonts w:ascii="Arial" w:cs="Arial" w:eastAsia="Arial" w:hAnsi="Arial"/>
                <w:sz w:val="15"/>
                <w:szCs w:val="15"/>
                <w:color w:val="auto"/>
              </w:rPr>
              <w:t>Malaysia</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Manufacturing, Inc.</w:t>
            </w:r>
          </w:p>
        </w:tc>
        <w:tc>
          <w:tcPr>
            <w:tcW w:w="4520" w:type="dxa"/>
            <w:vAlign w:val="bottom"/>
          </w:tcPr>
          <w:p>
            <w:pPr>
              <w:ind w:left="1240"/>
              <w:spacing w:after="0"/>
              <w:rPr>
                <w:sz w:val="20"/>
                <w:szCs w:val="20"/>
                <w:color w:val="auto"/>
              </w:rPr>
            </w:pPr>
            <w:r>
              <w:rPr>
                <w:rFonts w:ascii="Arial" w:cs="Arial" w:eastAsia="Arial" w:hAnsi="Arial"/>
                <w:sz w:val="15"/>
                <w:szCs w:val="15"/>
                <w:color w:val="auto"/>
              </w:rPr>
              <w:t>Delaware</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Massachusetts Security Corporation</w:t>
            </w:r>
          </w:p>
        </w:tc>
        <w:tc>
          <w:tcPr>
            <w:tcW w:w="4520" w:type="dxa"/>
            <w:vAlign w:val="bottom"/>
          </w:tcPr>
          <w:p>
            <w:pPr>
              <w:ind w:left="1240"/>
              <w:spacing w:after="0"/>
              <w:rPr>
                <w:sz w:val="20"/>
                <w:szCs w:val="20"/>
                <w:color w:val="auto"/>
              </w:rPr>
            </w:pPr>
            <w:r>
              <w:rPr>
                <w:rFonts w:ascii="Arial" w:cs="Arial" w:eastAsia="Arial" w:hAnsi="Arial"/>
                <w:sz w:val="15"/>
                <w:szCs w:val="15"/>
                <w:color w:val="auto"/>
              </w:rPr>
              <w:t>Massachusetts</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Medical Devices (Shanghai) International Trading Co., Ltd.</w:t>
            </w:r>
          </w:p>
        </w:tc>
        <w:tc>
          <w:tcPr>
            <w:tcW w:w="4520" w:type="dxa"/>
            <w:vAlign w:val="bottom"/>
          </w:tcPr>
          <w:p>
            <w:pPr>
              <w:ind w:left="1240"/>
              <w:spacing w:after="0"/>
              <w:rPr>
                <w:sz w:val="20"/>
                <w:szCs w:val="20"/>
                <w:color w:val="auto"/>
              </w:rPr>
            </w:pPr>
            <w:r>
              <w:rPr>
                <w:rFonts w:ascii="Arial" w:cs="Arial" w:eastAsia="Arial" w:hAnsi="Arial"/>
                <w:sz w:val="15"/>
                <w:szCs w:val="15"/>
                <w:color w:val="auto"/>
              </w:rPr>
              <w:t>Shanghai - China</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Mexico Manufacturing, S.de R.L. de C.V.</w:t>
            </w:r>
          </w:p>
        </w:tc>
        <w:tc>
          <w:tcPr>
            <w:tcW w:w="4520" w:type="dxa"/>
            <w:vAlign w:val="bottom"/>
          </w:tcPr>
          <w:p>
            <w:pPr>
              <w:ind w:left="1240"/>
              <w:spacing w:after="0"/>
              <w:rPr>
                <w:sz w:val="20"/>
                <w:szCs w:val="20"/>
                <w:color w:val="auto"/>
              </w:rPr>
            </w:pPr>
            <w:r>
              <w:rPr>
                <w:rFonts w:ascii="Arial" w:cs="Arial" w:eastAsia="Arial" w:hAnsi="Arial"/>
                <w:sz w:val="15"/>
                <w:szCs w:val="15"/>
                <w:color w:val="auto"/>
              </w:rPr>
              <w:t>Mexico</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New Zealand Limited</w:t>
            </w:r>
          </w:p>
        </w:tc>
        <w:tc>
          <w:tcPr>
            <w:tcW w:w="4520" w:type="dxa"/>
            <w:vAlign w:val="bottom"/>
          </w:tcPr>
          <w:p>
            <w:pPr>
              <w:ind w:left="1240"/>
              <w:spacing w:after="0"/>
              <w:rPr>
                <w:sz w:val="20"/>
                <w:szCs w:val="20"/>
                <w:color w:val="auto"/>
              </w:rPr>
            </w:pPr>
            <w:r>
              <w:rPr>
                <w:rFonts w:ascii="Arial" w:cs="Arial" w:eastAsia="Arial" w:hAnsi="Arial"/>
                <w:sz w:val="15"/>
                <w:szCs w:val="15"/>
                <w:color w:val="auto"/>
              </w:rPr>
              <w:t>New Zealand</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Produzione Italia S.r.l.</w:t>
            </w:r>
          </w:p>
        </w:tc>
        <w:tc>
          <w:tcPr>
            <w:tcW w:w="4520" w:type="dxa"/>
            <w:vAlign w:val="bottom"/>
          </w:tcPr>
          <w:p>
            <w:pPr>
              <w:ind w:left="1240"/>
              <w:spacing w:after="0"/>
              <w:rPr>
                <w:sz w:val="20"/>
                <w:szCs w:val="20"/>
                <w:color w:val="auto"/>
              </w:rPr>
            </w:pPr>
            <w:r>
              <w:rPr>
                <w:rFonts w:ascii="Arial" w:cs="Arial" w:eastAsia="Arial" w:hAnsi="Arial"/>
                <w:sz w:val="15"/>
                <w:szCs w:val="15"/>
                <w:color w:val="auto"/>
              </w:rPr>
              <w:t>Italy</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Puerto Rico LLC</w:t>
            </w:r>
          </w:p>
        </w:tc>
        <w:tc>
          <w:tcPr>
            <w:tcW w:w="4520" w:type="dxa"/>
            <w:vAlign w:val="bottom"/>
          </w:tcPr>
          <w:p>
            <w:pPr>
              <w:ind w:left="1240"/>
              <w:spacing w:after="0"/>
              <w:rPr>
                <w:sz w:val="20"/>
                <w:szCs w:val="20"/>
                <w:color w:val="auto"/>
              </w:rPr>
            </w:pPr>
            <w:r>
              <w:rPr>
                <w:rFonts w:ascii="Arial" w:cs="Arial" w:eastAsia="Arial" w:hAnsi="Arial"/>
                <w:sz w:val="15"/>
                <w:szCs w:val="15"/>
                <w:color w:val="auto"/>
              </w:rPr>
              <w:t>Puerto Rico</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S.A.</w:t>
            </w:r>
          </w:p>
        </w:tc>
        <w:tc>
          <w:tcPr>
            <w:tcW w:w="4520" w:type="dxa"/>
            <w:vAlign w:val="bottom"/>
          </w:tcPr>
          <w:p>
            <w:pPr>
              <w:ind w:left="1240"/>
              <w:spacing w:after="0"/>
              <w:rPr>
                <w:sz w:val="20"/>
                <w:szCs w:val="20"/>
                <w:color w:val="auto"/>
              </w:rPr>
            </w:pPr>
            <w:r>
              <w:rPr>
                <w:rFonts w:ascii="Arial" w:cs="Arial" w:eastAsia="Arial" w:hAnsi="Arial"/>
                <w:sz w:val="15"/>
                <w:szCs w:val="15"/>
                <w:color w:val="auto"/>
              </w:rPr>
              <w:t>Signy - Switzerland</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Scandinavia AB</w:t>
            </w:r>
          </w:p>
        </w:tc>
        <w:tc>
          <w:tcPr>
            <w:tcW w:w="4520" w:type="dxa"/>
            <w:vAlign w:val="bottom"/>
          </w:tcPr>
          <w:p>
            <w:pPr>
              <w:ind w:left="1240"/>
              <w:spacing w:after="0"/>
              <w:rPr>
                <w:sz w:val="20"/>
                <w:szCs w:val="20"/>
                <w:color w:val="auto"/>
              </w:rPr>
            </w:pPr>
            <w:r>
              <w:rPr>
                <w:rFonts w:ascii="Arial" w:cs="Arial" w:eastAsia="Arial" w:hAnsi="Arial"/>
                <w:sz w:val="15"/>
                <w:szCs w:val="15"/>
                <w:color w:val="auto"/>
              </w:rPr>
              <w:t>Lund - Sweden</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Singapore Pte. Ltd.</w:t>
            </w:r>
          </w:p>
        </w:tc>
        <w:tc>
          <w:tcPr>
            <w:tcW w:w="4520" w:type="dxa"/>
            <w:vAlign w:val="bottom"/>
          </w:tcPr>
          <w:p>
            <w:pPr>
              <w:ind w:left="1240"/>
              <w:spacing w:after="0"/>
              <w:rPr>
                <w:sz w:val="20"/>
                <w:szCs w:val="20"/>
                <w:color w:val="auto"/>
              </w:rPr>
            </w:pPr>
            <w:r>
              <w:rPr>
                <w:rFonts w:ascii="Arial" w:cs="Arial" w:eastAsia="Arial" w:hAnsi="Arial"/>
                <w:sz w:val="15"/>
                <w:szCs w:val="15"/>
                <w:color w:val="auto"/>
              </w:rPr>
              <w:t>Singapore</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Haemoscope Corporation</w:t>
            </w:r>
          </w:p>
        </w:tc>
        <w:tc>
          <w:tcPr>
            <w:tcW w:w="4520" w:type="dxa"/>
            <w:vAlign w:val="bottom"/>
          </w:tcPr>
          <w:p>
            <w:pPr>
              <w:ind w:left="1240"/>
              <w:spacing w:after="0"/>
              <w:rPr>
                <w:sz w:val="20"/>
                <w:szCs w:val="20"/>
                <w:color w:val="auto"/>
              </w:rPr>
            </w:pPr>
            <w:r>
              <w:rPr>
                <w:rFonts w:ascii="Arial" w:cs="Arial" w:eastAsia="Arial" w:hAnsi="Arial"/>
                <w:sz w:val="15"/>
                <w:szCs w:val="15"/>
                <w:color w:val="auto"/>
              </w:rPr>
              <w:t>Massachusetts</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Inlog SAS</w:t>
            </w:r>
          </w:p>
        </w:tc>
        <w:tc>
          <w:tcPr>
            <w:tcW w:w="4520" w:type="dxa"/>
            <w:vAlign w:val="bottom"/>
          </w:tcPr>
          <w:p>
            <w:pPr>
              <w:ind w:left="1240"/>
              <w:spacing w:after="0"/>
              <w:rPr>
                <w:sz w:val="20"/>
                <w:szCs w:val="20"/>
                <w:color w:val="auto"/>
              </w:rPr>
            </w:pPr>
            <w:r>
              <w:rPr>
                <w:rFonts w:ascii="Arial" w:cs="Arial" w:eastAsia="Arial" w:hAnsi="Arial"/>
                <w:sz w:val="15"/>
                <w:szCs w:val="15"/>
                <w:color w:val="auto"/>
              </w:rPr>
              <w:t>France</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Inlog Deutschland GmbH</w:t>
            </w:r>
          </w:p>
        </w:tc>
        <w:tc>
          <w:tcPr>
            <w:tcW w:w="4520" w:type="dxa"/>
            <w:vAlign w:val="bottom"/>
          </w:tcPr>
          <w:p>
            <w:pPr>
              <w:ind w:left="1240"/>
              <w:spacing w:after="0"/>
              <w:rPr>
                <w:sz w:val="20"/>
                <w:szCs w:val="20"/>
                <w:color w:val="auto"/>
              </w:rPr>
            </w:pPr>
            <w:r>
              <w:rPr>
                <w:rFonts w:ascii="Arial" w:cs="Arial" w:eastAsia="Arial" w:hAnsi="Arial"/>
                <w:sz w:val="15"/>
                <w:szCs w:val="15"/>
                <w:color w:val="auto"/>
              </w:rPr>
              <w:t>Germany</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Inlog Holdings France SAS</w:t>
            </w:r>
          </w:p>
        </w:tc>
        <w:tc>
          <w:tcPr>
            <w:tcW w:w="4520" w:type="dxa"/>
            <w:vAlign w:val="bottom"/>
          </w:tcPr>
          <w:p>
            <w:pPr>
              <w:ind w:left="1240"/>
              <w:spacing w:after="0"/>
              <w:rPr>
                <w:sz w:val="20"/>
                <w:szCs w:val="20"/>
                <w:color w:val="auto"/>
              </w:rPr>
            </w:pPr>
            <w:r>
              <w:rPr>
                <w:rFonts w:ascii="Arial" w:cs="Arial" w:eastAsia="Arial" w:hAnsi="Arial"/>
                <w:sz w:val="15"/>
                <w:szCs w:val="15"/>
                <w:color w:val="auto"/>
              </w:rPr>
              <w:t>France</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Transfusion Technologies Corporation</w:t>
            </w:r>
          </w:p>
        </w:tc>
        <w:tc>
          <w:tcPr>
            <w:tcW w:w="4520" w:type="dxa"/>
            <w:vAlign w:val="bottom"/>
          </w:tcPr>
          <w:p>
            <w:pPr>
              <w:ind w:left="1240"/>
              <w:spacing w:after="0"/>
              <w:rPr>
                <w:sz w:val="20"/>
                <w:szCs w:val="20"/>
                <w:color w:val="auto"/>
              </w:rPr>
            </w:pPr>
            <w:r>
              <w:rPr>
                <w:rFonts w:ascii="Arial" w:cs="Arial" w:eastAsia="Arial" w:hAnsi="Arial"/>
                <w:sz w:val="15"/>
                <w:szCs w:val="15"/>
                <w:color w:val="auto"/>
              </w:rPr>
              <w:t>Delaware</w:t>
            </w:r>
          </w:p>
        </w:tc>
      </w:tr>
    </w:tbl>
    <w:p>
      <w:pPr>
        <w:sectPr>
          <w:pgSz w:w="11900" w:h="16838" w:orient="portrait"/>
          <w:cols w:equalWidth="0" w:num="1">
            <w:col w:w="10780"/>
          </w:cols>
          <w:pgMar w:left="240" w:top="121" w:right="879" w:bottom="1440" w:gutter="0" w:footer="0" w:header="0"/>
        </w:sectPr>
      </w:pPr>
    </w:p>
    <w:bookmarkStart w:id="118" w:name="page119"/>
    <w:bookmarkEnd w:id="118"/>
    <w:p>
      <w:pPr>
        <w:jc w:val="center"/>
        <w:ind w:right="-1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Statements (Form S-8 Nos. 333-181847, 333-61453, 333-61455, 333-60020, 333-62598, 333-136839, 333-149205, and 333-159434) of our reports dated May 22, 2014, with respect to the consolidated financial statements and schedule of Haemonetics Corporation and the effectiveness of internal control over financial reporting of Haemonetics Corporation, included in this Annual Report (Form 10-K) of Haemonetics Corporation for the fiscal year ended March 29, 2014.</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22, 2014</w:t>
      </w:r>
    </w:p>
    <w:p>
      <w:pPr>
        <w:sectPr>
          <w:pgSz w:w="11900" w:h="16838" w:orient="portrait"/>
          <w:cols w:equalWidth="0" w:num="1">
            <w:col w:w="11400"/>
          </w:cols>
          <w:pgMar w:left="240" w:top="796" w:right="25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Brian Concannon, certify that:</w:t>
      </w:r>
    </w:p>
    <w:p>
      <w:pPr>
        <w:spacing w:after="0" w:line="117"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Haemonetics Corporation;</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40" w:hanging="324"/>
        <w:spacing w:after="0" w:line="342" w:lineRule="auto"/>
        <w:tabs>
          <w:tab w:leader="none" w:pos="98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 May 22, 2014</w:t>
      </w:r>
    </w:p>
    <w:p>
      <w:pPr>
        <w:spacing w:after="0" w:line="17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Brian Concannon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31750</wp:posOffset>
            </wp:positionV>
            <wp:extent cx="31127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Brian Concannon, President and Chief Executive</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Officer (Principal Executive Officer)</w:t>
      </w:r>
    </w:p>
    <w:p>
      <w:pPr>
        <w:sectPr>
          <w:pgSz w:w="11900" w:h="16838" w:orient="portrait"/>
          <w:cols w:equalWidth="0" w:num="1">
            <w:col w:w="11420"/>
          </w:cols>
          <w:pgMar w:left="240" w:top="904"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Christopher Lindop, certify that:</w:t>
      </w:r>
    </w:p>
    <w:p>
      <w:pPr>
        <w:spacing w:after="0" w:line="117"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Haemonetics Corporation;</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40" w:hanging="324"/>
        <w:spacing w:after="0" w:line="342" w:lineRule="auto"/>
        <w:tabs>
          <w:tab w:leader="none" w:pos="980"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 May 22, 2014</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Christopher Lindop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31750</wp:posOffset>
            </wp:positionV>
            <wp:extent cx="31127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Christopher Lindop, Chief Financial Officer and</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Executive Vice President Business Development</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904"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connection with the Annual Report of Haemonetics Corporation (the “Company”) on Form 10-K for the period ended March 29, 2014 as filed with the Securities and Exchange Commission on the date hereof (the “Report”), I, Brian Concannon,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Date : May 22, 2014</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Brian Concannon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28987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Brian Concannon,</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6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ectPr>
          <w:pgSz w:w="11900" w:h="16838" w:orient="portrait"/>
          <w:cols w:equalWidth="0" w:num="1">
            <w:col w:w="11420"/>
          </w:cols>
          <w:pgMar w:left="240" w:top="796"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connection with the Annual Report of Haemonetics Corporation (the “Company”) on Form 10-K for the period ended March 29, 2014 as filed with the Securities and Exchange Commission on the date hereof (the “Report”), I, Christopher Lindop, Chief Financial Officer and Vice President Business Development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Date : May 22, 2014</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Christopher Lindop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28987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Christopher Lindop,</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Chief Financial Officer and Executive Vice President</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Business Development</w:t>
      </w:r>
    </w:p>
    <w:p>
      <w:pPr>
        <w:spacing w:after="0" w:line="200" w:lineRule="exact"/>
        <w:rPr>
          <w:sz w:val="20"/>
          <w:szCs w:val="20"/>
          <w:color w:val="auto"/>
        </w:rPr>
      </w:pPr>
    </w:p>
    <w:p>
      <w:pPr>
        <w:spacing w:after="0" w:line="25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1)"/>
      <w:numFmt w:val="decimal"/>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1)"/>
      <w:numFmt w:val="lowerLetter"/>
      <w:start w:val="2"/>
    </w:lvl>
  </w:abstractNum>
  <w:abstractNum w:abstractNumId="12">
    <w:nsid w:val="3A95F874"/>
    <w:multiLevelType w:val="hybridMultilevel"/>
    <w:lvl w:ilvl="0">
      <w:lvlJc w:val="left"/>
      <w:lvlText w:val="%1."/>
      <w:numFmt w:val="decimal"/>
      <w:start w:val="1"/>
    </w:lvl>
  </w:abstractNum>
  <w:abstractNum w:abstractNumId="13">
    <w:nsid w:val="8138641"/>
    <w:multiLevelType w:val="hybridMultilevel"/>
    <w:lvl w:ilvl="0">
      <w:lvlJc w:val="left"/>
      <w:lvlText w:val="%1."/>
      <w:numFmt w:val="decimal"/>
      <w:start w:val="2"/>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1)"/>
      <w:numFmt w:val="lowerLetter"/>
      <w:start w:val="2"/>
    </w:lvl>
  </w:abstractNum>
  <w:abstractNum w:abstractNumId="16">
    <w:nsid w:val="737B8DDC"/>
    <w:multiLevelType w:val="hybridMultilevel"/>
    <w:lvl w:ilvl="0">
      <w:lvlJc w:val="left"/>
      <w:lvlText w:val="%1."/>
      <w:numFmt w:val="decimal"/>
      <w:start w:val="3"/>
    </w:lvl>
  </w:abstractNum>
  <w:abstractNum w:abstractNumId="17">
    <w:nsid w:val="6CEAF087"/>
    <w:multiLevelType w:val="hybridMultilevel"/>
    <w:lvl w:ilvl="0">
      <w:lvlJc w:val="left"/>
      <w:lvlText w:val="%1."/>
      <w:numFmt w:val="decimal"/>
      <w:start w:val="4"/>
    </w:lvl>
  </w:abstractNum>
  <w:abstractNum w:abstractNumId="18">
    <w:nsid w:val="22221A70"/>
    <w:multiLevelType w:val="hybridMultilevel"/>
    <w:lvl w:ilvl="0">
      <w:lvlJc w:val="left"/>
      <w:lvlText w:val="%1."/>
      <w:numFmt w:val="decimal"/>
      <w:start w:val="5"/>
    </w:lvl>
  </w:abstractNum>
  <w:abstractNum w:abstractNumId="19">
    <w:nsid w:val="4516DDE9"/>
    <w:multiLevelType w:val="hybridMultilevel"/>
    <w:lvl w:ilvl="0">
      <w:lvlJc w:val="left"/>
      <w:lvlText w:val="%1."/>
      <w:numFmt w:val="decimal"/>
      <w:start w:val="7"/>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1."/>
      <w:numFmt w:val="decimal"/>
      <w:start w:val="8"/>
    </w:lvl>
  </w:abstractNum>
  <w:abstractNum w:abstractNumId="23">
    <w:nsid w:val="5577F8E1"/>
    <w:multiLevelType w:val="hybridMultilevel"/>
    <w:lvl w:ilvl="0">
      <w:lvlJc w:val="left"/>
      <w:lvlText w:val="%1."/>
      <w:numFmt w:val="decimal"/>
      <w:start w:val="10"/>
    </w:lvl>
  </w:abstractNum>
  <w:abstractNum w:abstractNumId="24">
    <w:nsid w:val="440BADFC"/>
    <w:multiLevelType w:val="hybridMultilevel"/>
    <w:lvl w:ilvl="0">
      <w:lvlJc w:val="left"/>
      <w:lvlText w:val="%1."/>
      <w:numFmt w:val="decimal"/>
      <w:start w:val="11"/>
    </w:lvl>
  </w:abstractNum>
  <w:abstractNum w:abstractNumId="25">
    <w:nsid w:val="5072367"/>
    <w:multiLevelType w:val="hybridMultilevel"/>
    <w:lvl w:ilvl="0">
      <w:lvlJc w:val="left"/>
      <w:lvlText w:val="%1."/>
      <w:numFmt w:val="decimal"/>
      <w:start w:val="12"/>
    </w:lvl>
  </w:abstractNum>
  <w:abstractNum w:abstractNumId="26">
    <w:nsid w:val="3804823E"/>
    <w:multiLevelType w:val="hybridMultilevel"/>
    <w:lvl w:ilvl="0">
      <w:lvlJc w:val="left"/>
      <w:lvlText w:val="%1."/>
      <w:numFmt w:val="decimal"/>
      <w:start w:val="13"/>
    </w:lvl>
  </w:abstractNum>
  <w:abstractNum w:abstractNumId="27">
    <w:nsid w:val="77465F01"/>
    <w:multiLevelType w:val="hybridMultilevel"/>
    <w:lvl w:ilvl="0">
      <w:lvlJc w:val="left"/>
      <w:lvlText w:val="%1."/>
      <w:numFmt w:val="decimal"/>
      <w:start w:val="14"/>
    </w:lvl>
  </w:abstractNum>
  <w:abstractNum w:abstractNumId="28">
    <w:nsid w:val="7724C67E"/>
    <w:multiLevelType w:val="hybridMultilevel"/>
    <w:lvl w:ilvl="0">
      <w:lvlJc w:val="left"/>
      <w:lvlText w:val="%1."/>
      <w:numFmt w:val="decimal"/>
      <w:start w:val="16"/>
    </w:lvl>
  </w:abstractNum>
  <w:abstractNum w:abstractNumId="29">
    <w:nsid w:val="5C482A97"/>
    <w:multiLevelType w:val="hybridMultilevel"/>
    <w:lvl w:ilvl="0">
      <w:lvlJc w:val="left"/>
      <w:lvlText w:val="%1."/>
      <w:numFmt w:val="decimal"/>
      <w:start w:val="17"/>
    </w:lvl>
  </w:abstractNum>
  <w:abstractNum w:abstractNumId="30">
    <w:nsid w:val="2463B9EA"/>
    <w:multiLevelType w:val="hybridMultilevel"/>
    <w:lvl w:ilvl="0">
      <w:lvlJc w:val="left"/>
      <w:lvlText w:val="%1."/>
      <w:numFmt w:val="decimal"/>
      <w:start w:val="18"/>
    </w:lvl>
  </w:abstractNum>
  <w:abstractNum w:abstractNumId="31">
    <w:nsid w:val="5E884ADC"/>
    <w:multiLevelType w:val="hybridMultilevel"/>
    <w:lvl w:ilvl="0">
      <w:lvlJc w:val="left"/>
      <w:lvlText w:val="%1."/>
      <w:numFmt w:val="decimal"/>
      <w:start w:val="20"/>
    </w:lvl>
  </w:abstractNum>
  <w:abstractNum w:abstractNumId="32">
    <w:nsid w:val="51EAD36B"/>
    <w:multiLevelType w:val="hybridMultilevel"/>
    <w:lvl w:ilvl="0">
      <w:lvlJc w:val="left"/>
      <w:lvlText w:val="%1."/>
      <w:numFmt w:val="decimal"/>
      <w:start w:val="1"/>
    </w:lvl>
  </w:abstractNum>
  <w:abstractNum w:abstractNumId="33">
    <w:nsid w:val="2D517796"/>
    <w:multiLevelType w:val="hybridMultilevel"/>
    <w:lvl w:ilvl="0">
      <w:lvlJc w:val="left"/>
      <w:lvlText w:val="%1)"/>
      <w:numFmt w:val="upperLetter"/>
      <w:start w:val="2"/>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ˆ"/>
      <w:numFmt w:val="bullet"/>
      <w:start w:val="1"/>
    </w:lvl>
  </w:abstractNum>
  <w:abstractNum w:abstractNumId="37">
    <w:nsid w:val="70A64E2A"/>
    <w:multiLevelType w:val="hybridMultilevel"/>
    <w:lvl w:ilvl="0">
      <w:lvlJc w:val="left"/>
      <w:lvlText w:val="(%1)"/>
      <w:numFmt w:val="lowerLetter"/>
      <w:start w:val="1"/>
    </w:lvl>
  </w:abstractNum>
  <w:abstractNum w:abstractNumId="38">
    <w:nsid w:val="6A2342EC"/>
    <w:multiLevelType w:val="hybridMultilevel"/>
    <w:lvl w:ilvl="0">
      <w:lvlJc w:val="left"/>
      <w:lvlText w:val="(%1)"/>
      <w:numFmt w:val="lowerLetter"/>
      <w:start w:val="3"/>
    </w:lvl>
  </w:abstractNum>
  <w:abstractNum w:abstractNumId="39">
    <w:nsid w:val="2A487CB0"/>
    <w:multiLevelType w:val="hybridMultilevel"/>
    <w:lvl w:ilvl="0">
      <w:lvlJc w:val="left"/>
      <w:lvlText w:val="%1"/>
      <w:numFmt w:val="lowerLetter"/>
      <w:start w:val="1"/>
    </w:lvl>
    <w:lvl w:ilvl="1">
      <w:lvlJc w:val="left"/>
      <w:lvlText w:val="(%2)"/>
      <w:numFmt w:val="lowerLetter"/>
      <w:start w:val="1"/>
    </w:lvl>
  </w:abstractNum>
  <w:abstractNum w:abstractNumId="40">
    <w:nsid w:val="1D4ED43B"/>
    <w:multiLevelType w:val="hybridMultilevel"/>
    <w:lvl w:ilvl="0">
      <w:lvlJc w:val="left"/>
      <w:lvlText w:val="(%1)"/>
      <w:numFmt w:val="lowerLetter"/>
      <w:start w:val="2"/>
    </w:lvl>
    <w:lvl w:ilvl="1">
      <w:lvlJc w:val="left"/>
      <w:lvlText w:val="%2"/>
      <w:numFmt w:val="lowerLetter"/>
      <w:start w:val="1"/>
    </w:lvl>
  </w:abstractNum>
  <w:abstractNum w:abstractNumId="41">
    <w:nsid w:val="725A06FB"/>
    <w:multiLevelType w:val="hybridMultilevel"/>
    <w:lvl w:ilvl="0">
      <w:lvlJc w:val="left"/>
      <w:lvlText w:val="(%1)"/>
      <w:numFmt w:val="lowerLetter"/>
      <w:start w:val="1"/>
    </w:lvl>
  </w:abstractNum>
  <w:abstractNum w:abstractNumId="42">
    <w:nsid w:val="2CD89A32"/>
    <w:multiLevelType w:val="hybridMultilevel"/>
    <w:lvl w:ilvl="0">
      <w:lvlJc w:val="left"/>
      <w:lvlText w:val="(%1)"/>
      <w:numFmt w:val="lowerLetter"/>
      <w:start w:val="1"/>
    </w:lvl>
  </w:abstractNum>
  <w:abstractNum w:abstractNumId="43">
    <w:nsid w:val="57E4CCAF"/>
    <w:multiLevelType w:val="hybridMultilevel"/>
    <w:lvl w:ilvl="0">
      <w:lvlJc w:val="left"/>
      <w:lvlText w:val="(%1)"/>
      <w:numFmt w:val="lowerLetter"/>
      <w:start w:val="5"/>
    </w:lvl>
  </w:abstractNum>
  <w:abstractNum w:abstractNumId="44">
    <w:nsid w:val="7A6D8D3C"/>
    <w:multiLevelType w:val="hybridMultilevel"/>
    <w:lvl w:ilvl="0">
      <w:lvlJc w:val="left"/>
      <w:lvlText w:val="%1."/>
      <w:numFmt w:val="decimal"/>
      <w:start w:val="1"/>
    </w:lvl>
    <w:lvl w:ilvl="1">
      <w:lvlJc w:val="left"/>
      <w:lvlText w:val="%2)"/>
      <w:numFmt w:val="lowerLetter"/>
      <w:start w:val="1"/>
    </w:lvl>
  </w:abstractNum>
  <w:abstractNum w:abstractNumId="45">
    <w:nsid w:val="4B588F5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2019-12-05T16:59:02Z</dcterms:created>
  <dcterms:modified xsi:type="dcterms:W3CDTF">2019-12-05T16:59:02Z</dcterms:modified>
</cp:coreProperties>
</file>