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149860</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29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0"/>
          <w:szCs w:val="20"/>
          <w:color w:val="auto"/>
        </w:rPr>
      </w:pPr>
    </w:p>
    <w:p>
      <w:pPr>
        <w:jc w:val="center"/>
        <w:ind w:right="-519"/>
        <w:spacing w:after="0"/>
        <w:rPr>
          <w:sz w:val="20"/>
          <w:szCs w:val="20"/>
          <w:color w:val="auto"/>
        </w:rPr>
      </w:pPr>
      <w:r>
        <w:rPr>
          <w:rFonts w:ascii="Arial" w:cs="Arial" w:eastAsia="Arial" w:hAnsi="Arial"/>
          <w:sz w:val="24"/>
          <w:szCs w:val="24"/>
          <w:b w:val="1"/>
          <w:bCs w:val="1"/>
          <w:color w:val="auto"/>
        </w:rPr>
        <w:t>Form 10-K</w:t>
      </w:r>
    </w:p>
    <w:p>
      <w:pPr>
        <w:spacing w:after="0" w:line="38"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ANNUAL REPORT PURSUANT TO SECTION 13 OR 15(d)</w:t>
      </w:r>
    </w:p>
    <w:p>
      <w:pPr>
        <w:spacing w:after="0" w:line="11" w:lineRule="exact"/>
        <w:rPr>
          <w:sz w:val="20"/>
          <w:szCs w:val="20"/>
          <w:color w:val="auto"/>
        </w:rPr>
      </w:pPr>
    </w:p>
    <w:p>
      <w:pPr>
        <w:jc w:val="center"/>
        <w:ind w:right="-51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2"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auto"/>
        </w:rPr>
        <w:t>For the fiscal year ended April 3, 2010</w:t>
      </w:r>
    </w:p>
    <w:p>
      <w:pPr>
        <w:spacing w:after="0" w:line="47"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auto"/>
        </w:rPr>
        <w:t>Commission file number 1-14041</w:t>
      </w:r>
    </w:p>
    <w:p>
      <w:pPr>
        <w:spacing w:after="0" w:line="29" w:lineRule="exact"/>
        <w:rPr>
          <w:sz w:val="20"/>
          <w:szCs w:val="20"/>
          <w:color w:val="auto"/>
        </w:rPr>
      </w:pPr>
    </w:p>
    <w:p>
      <w:pPr>
        <w:jc w:val="center"/>
        <w:ind w:right="-519"/>
        <w:spacing w:after="0"/>
        <w:rPr>
          <w:sz w:val="20"/>
          <w:szCs w:val="20"/>
          <w:color w:val="auto"/>
        </w:rPr>
      </w:pPr>
      <w:r>
        <w:rPr>
          <w:rFonts w:ascii="Arial" w:cs="Arial" w:eastAsia="Arial" w:hAnsi="Arial"/>
          <w:sz w:val="31"/>
          <w:szCs w:val="31"/>
          <w:b w:val="1"/>
          <w:bCs w:val="1"/>
          <w:color w:val="auto"/>
        </w:rPr>
        <w:t>HAEMONETICS CORPORATION</w:t>
      </w:r>
    </w:p>
    <w:p>
      <w:pPr>
        <w:spacing w:after="0" w:line="34" w:lineRule="exact"/>
        <w:rPr>
          <w:sz w:val="20"/>
          <w:szCs w:val="20"/>
          <w:color w:val="auto"/>
        </w:rPr>
      </w:pPr>
    </w:p>
    <w:p>
      <w:pPr>
        <w:ind w:left="458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5" w:lineRule="exact"/>
        <w:rPr>
          <w:sz w:val="20"/>
          <w:szCs w:val="20"/>
          <w:color w:val="auto"/>
        </w:rPr>
      </w:pPr>
    </w:p>
    <w:tbl>
      <w:tblPr>
        <w:tblLayout w:type="fixed"/>
        <w:tblInd w:w="780" w:type="dxa"/>
        <w:tblCellMar>
          <w:top w:w="0" w:type="dxa"/>
          <w:left w:w="0" w:type="dxa"/>
          <w:bottom w:w="0" w:type="dxa"/>
          <w:right w:w="0" w:type="dxa"/>
        </w:tblCellMar>
      </w:tblPr>
      <w:tr>
        <w:trPr>
          <w:trHeight w:val="157"/>
        </w:trPr>
        <w:tc>
          <w:tcPr>
            <w:tcW w:w="4040" w:type="dxa"/>
            <w:vAlign w:val="bottom"/>
          </w:tcPr>
          <w:p>
            <w:pPr>
              <w:jc w:val="center"/>
              <w:ind w:left="479"/>
              <w:spacing w:after="0"/>
              <w:rPr>
                <w:sz w:val="20"/>
                <w:szCs w:val="20"/>
                <w:color w:val="auto"/>
              </w:rPr>
            </w:pPr>
            <w:r>
              <w:rPr>
                <w:rFonts w:ascii="Arial" w:cs="Arial" w:eastAsia="Arial" w:hAnsi="Arial"/>
                <w:sz w:val="13"/>
                <w:szCs w:val="13"/>
                <w:b w:val="1"/>
                <w:bCs w:val="1"/>
                <w:color w:val="auto"/>
                <w:w w:val="87"/>
              </w:rPr>
              <w:t>Massachusetts</w:t>
            </w:r>
          </w:p>
        </w:tc>
        <w:tc>
          <w:tcPr>
            <w:tcW w:w="2560" w:type="dxa"/>
            <w:vAlign w:val="bottom"/>
          </w:tcPr>
          <w:p>
            <w:pPr>
              <w:spacing w:after="0"/>
              <w:rPr>
                <w:sz w:val="13"/>
                <w:szCs w:val="13"/>
                <w:color w:val="auto"/>
              </w:rPr>
            </w:pPr>
          </w:p>
        </w:tc>
        <w:tc>
          <w:tcPr>
            <w:tcW w:w="2980" w:type="dxa"/>
            <w:vAlign w:val="bottom"/>
          </w:tcPr>
          <w:p>
            <w:pPr>
              <w:jc w:val="right"/>
              <w:ind w:right="1640"/>
              <w:spacing w:after="0"/>
              <w:rPr>
                <w:sz w:val="20"/>
                <w:szCs w:val="20"/>
                <w:color w:val="auto"/>
              </w:rPr>
            </w:pPr>
            <w:r>
              <w:rPr>
                <w:rFonts w:ascii="Arial" w:cs="Arial" w:eastAsia="Arial" w:hAnsi="Arial"/>
                <w:sz w:val="13"/>
                <w:szCs w:val="13"/>
                <w:b w:val="1"/>
                <w:bCs w:val="1"/>
                <w:color w:val="auto"/>
              </w:rPr>
              <w:t>04-2882273</w:t>
            </w:r>
          </w:p>
        </w:tc>
      </w:tr>
      <w:tr>
        <w:trPr>
          <w:trHeight w:val="108"/>
        </w:trPr>
        <w:tc>
          <w:tcPr>
            <w:tcW w:w="4040" w:type="dxa"/>
            <w:vAlign w:val="bottom"/>
          </w:tcPr>
          <w:p>
            <w:pPr>
              <w:jc w:val="center"/>
              <w:ind w:left="619"/>
              <w:spacing w:after="0" w:line="108" w:lineRule="exact"/>
              <w:rPr>
                <w:sz w:val="20"/>
                <w:szCs w:val="20"/>
                <w:color w:val="auto"/>
              </w:rPr>
            </w:pPr>
            <w:r>
              <w:rPr>
                <w:rFonts w:ascii="Arial" w:cs="Arial" w:eastAsia="Arial" w:hAnsi="Arial"/>
                <w:sz w:val="10"/>
                <w:szCs w:val="10"/>
                <w:i w:val="1"/>
                <w:iCs w:val="1"/>
                <w:color w:val="auto"/>
                <w:w w:val="99"/>
              </w:rPr>
              <w:t>(State or other jurisdiction of</w:t>
            </w:r>
          </w:p>
        </w:tc>
        <w:tc>
          <w:tcPr>
            <w:tcW w:w="2560" w:type="dxa"/>
            <w:vAlign w:val="bottom"/>
          </w:tcPr>
          <w:p>
            <w:pPr>
              <w:spacing w:after="0"/>
              <w:rPr>
                <w:sz w:val="9"/>
                <w:szCs w:val="9"/>
                <w:color w:val="auto"/>
              </w:rPr>
            </w:pPr>
          </w:p>
        </w:tc>
        <w:tc>
          <w:tcPr>
            <w:tcW w:w="2980" w:type="dxa"/>
            <w:vAlign w:val="bottom"/>
          </w:tcPr>
          <w:p>
            <w:pPr>
              <w:jc w:val="center"/>
              <w:ind w:right="1000"/>
              <w:spacing w:after="0" w:line="108" w:lineRule="exact"/>
              <w:rPr>
                <w:sz w:val="20"/>
                <w:szCs w:val="20"/>
                <w:color w:val="auto"/>
              </w:rPr>
            </w:pPr>
            <w:r>
              <w:rPr>
                <w:rFonts w:ascii="Arial" w:cs="Arial" w:eastAsia="Arial" w:hAnsi="Arial"/>
                <w:sz w:val="10"/>
                <w:szCs w:val="10"/>
                <w:i w:val="1"/>
                <w:iCs w:val="1"/>
                <w:color w:val="auto"/>
                <w:w w:val="92"/>
              </w:rPr>
              <w:t>(I.R.S. Employer</w:t>
            </w:r>
          </w:p>
        </w:tc>
      </w:tr>
      <w:tr>
        <w:trPr>
          <w:trHeight w:val="131"/>
        </w:trPr>
        <w:tc>
          <w:tcPr>
            <w:tcW w:w="4040" w:type="dxa"/>
            <w:vAlign w:val="bottom"/>
          </w:tcPr>
          <w:p>
            <w:pPr>
              <w:jc w:val="center"/>
              <w:ind w:left="619"/>
              <w:spacing w:after="0"/>
              <w:rPr>
                <w:sz w:val="20"/>
                <w:szCs w:val="20"/>
                <w:color w:val="auto"/>
              </w:rPr>
            </w:pPr>
            <w:r>
              <w:rPr>
                <w:rFonts w:ascii="Arial" w:cs="Arial" w:eastAsia="Arial" w:hAnsi="Arial"/>
                <w:sz w:val="10"/>
                <w:szCs w:val="10"/>
                <w:i w:val="1"/>
                <w:iCs w:val="1"/>
                <w:color w:val="auto"/>
                <w:w w:val="98"/>
              </w:rPr>
              <w:t>incorporation or organization)</w:t>
            </w:r>
          </w:p>
        </w:tc>
        <w:tc>
          <w:tcPr>
            <w:tcW w:w="2560" w:type="dxa"/>
            <w:vAlign w:val="bottom"/>
          </w:tcPr>
          <w:p>
            <w:pPr>
              <w:spacing w:after="0"/>
              <w:rPr>
                <w:sz w:val="11"/>
                <w:szCs w:val="11"/>
                <w:color w:val="auto"/>
              </w:rPr>
            </w:pPr>
          </w:p>
        </w:tc>
        <w:tc>
          <w:tcPr>
            <w:tcW w:w="2980" w:type="dxa"/>
            <w:vAlign w:val="bottom"/>
          </w:tcPr>
          <w:p>
            <w:pPr>
              <w:jc w:val="center"/>
              <w:ind w:right="1000"/>
              <w:spacing w:after="0"/>
              <w:rPr>
                <w:sz w:val="20"/>
                <w:szCs w:val="20"/>
                <w:color w:val="auto"/>
              </w:rPr>
            </w:pPr>
            <w:r>
              <w:rPr>
                <w:rFonts w:ascii="Arial" w:cs="Arial" w:eastAsia="Arial" w:hAnsi="Arial"/>
                <w:sz w:val="10"/>
                <w:szCs w:val="10"/>
                <w:i w:val="1"/>
                <w:iCs w:val="1"/>
                <w:color w:val="auto"/>
                <w:w w:val="97"/>
              </w:rPr>
              <w:t>Identification No.)</w:t>
            </w:r>
          </w:p>
        </w:tc>
      </w:tr>
      <w:tr>
        <w:trPr>
          <w:trHeight w:val="213"/>
        </w:trPr>
        <w:tc>
          <w:tcPr>
            <w:tcW w:w="4040" w:type="dxa"/>
            <w:vAlign w:val="bottom"/>
          </w:tcPr>
          <w:p>
            <w:pPr>
              <w:jc w:val="center"/>
              <w:ind w:left="479"/>
              <w:spacing w:after="0"/>
              <w:rPr>
                <w:sz w:val="20"/>
                <w:szCs w:val="20"/>
                <w:color w:val="auto"/>
              </w:rPr>
            </w:pPr>
            <w:r>
              <w:rPr>
                <w:rFonts w:ascii="Arial" w:cs="Arial" w:eastAsia="Arial" w:hAnsi="Arial"/>
                <w:sz w:val="13"/>
                <w:szCs w:val="13"/>
                <w:b w:val="1"/>
                <w:bCs w:val="1"/>
                <w:color w:val="auto"/>
                <w:w w:val="92"/>
              </w:rPr>
              <w:t>400 Wood Road</w:t>
            </w:r>
          </w:p>
        </w:tc>
        <w:tc>
          <w:tcPr>
            <w:tcW w:w="2560" w:type="dxa"/>
            <w:vAlign w:val="bottom"/>
          </w:tcPr>
          <w:p>
            <w:pPr>
              <w:spacing w:after="0"/>
              <w:rPr>
                <w:sz w:val="18"/>
                <w:szCs w:val="18"/>
                <w:color w:val="auto"/>
              </w:rPr>
            </w:pPr>
          </w:p>
        </w:tc>
        <w:tc>
          <w:tcPr>
            <w:tcW w:w="2980" w:type="dxa"/>
            <w:vAlign w:val="bottom"/>
          </w:tcPr>
          <w:p>
            <w:pPr>
              <w:jc w:val="right"/>
              <w:ind w:right="1560"/>
              <w:spacing w:after="0"/>
              <w:rPr>
                <w:sz w:val="20"/>
                <w:szCs w:val="20"/>
                <w:color w:val="auto"/>
              </w:rPr>
            </w:pPr>
            <w:r>
              <w:rPr>
                <w:rFonts w:ascii="Arial" w:cs="Arial" w:eastAsia="Arial" w:hAnsi="Arial"/>
                <w:sz w:val="13"/>
                <w:szCs w:val="13"/>
                <w:b w:val="1"/>
                <w:bCs w:val="1"/>
                <w:color w:val="auto"/>
              </w:rPr>
              <w:t>(781) 848-7100</w:t>
            </w:r>
          </w:p>
        </w:tc>
      </w:tr>
      <w:tr>
        <w:trPr>
          <w:trHeight w:val="157"/>
        </w:trPr>
        <w:tc>
          <w:tcPr>
            <w:tcW w:w="4040" w:type="dxa"/>
            <w:vAlign w:val="bottom"/>
          </w:tcPr>
          <w:p>
            <w:pPr>
              <w:jc w:val="center"/>
              <w:ind w:left="479"/>
              <w:spacing w:after="0"/>
              <w:rPr>
                <w:sz w:val="20"/>
                <w:szCs w:val="20"/>
                <w:color w:val="auto"/>
              </w:rPr>
            </w:pPr>
            <w:r>
              <w:rPr>
                <w:rFonts w:ascii="Arial" w:cs="Arial" w:eastAsia="Arial" w:hAnsi="Arial"/>
                <w:sz w:val="13"/>
                <w:szCs w:val="13"/>
                <w:b w:val="1"/>
                <w:bCs w:val="1"/>
                <w:color w:val="auto"/>
                <w:w w:val="89"/>
              </w:rPr>
              <w:t>Braintree, Massachusetts 02184-9114</w:t>
            </w:r>
          </w:p>
        </w:tc>
        <w:tc>
          <w:tcPr>
            <w:tcW w:w="5540" w:type="dxa"/>
            <w:vAlign w:val="bottom"/>
            <w:gridSpan w:val="2"/>
          </w:tcPr>
          <w:p>
            <w:pPr>
              <w:jc w:val="center"/>
              <w:ind w:left="1441"/>
              <w:spacing w:after="0"/>
              <w:rPr>
                <w:sz w:val="20"/>
                <w:szCs w:val="20"/>
                <w:color w:val="auto"/>
              </w:rPr>
            </w:pPr>
            <w:r>
              <w:rPr>
                <w:rFonts w:ascii="Arial" w:cs="Arial" w:eastAsia="Arial" w:hAnsi="Arial"/>
                <w:sz w:val="10"/>
                <w:szCs w:val="10"/>
                <w:i w:val="1"/>
                <w:iCs w:val="1"/>
                <w:color w:val="auto"/>
                <w:w w:val="95"/>
              </w:rPr>
              <w:t>(Registrant’s telephone number, including area code)</w:t>
            </w:r>
          </w:p>
        </w:tc>
      </w:tr>
      <w:tr>
        <w:trPr>
          <w:trHeight w:val="131"/>
        </w:trPr>
        <w:tc>
          <w:tcPr>
            <w:tcW w:w="4040" w:type="dxa"/>
            <w:vAlign w:val="bottom"/>
          </w:tcPr>
          <w:p>
            <w:pPr>
              <w:jc w:val="center"/>
              <w:ind w:left="499"/>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2560" w:type="dxa"/>
            <w:vAlign w:val="bottom"/>
          </w:tcPr>
          <w:p>
            <w:pPr>
              <w:spacing w:after="0"/>
              <w:rPr>
                <w:sz w:val="11"/>
                <w:szCs w:val="11"/>
                <w:color w:val="auto"/>
              </w:rPr>
            </w:pPr>
          </w:p>
        </w:tc>
        <w:tc>
          <w:tcPr>
            <w:tcW w:w="2980" w:type="dxa"/>
            <w:vAlign w:val="bottom"/>
          </w:tcPr>
          <w:p>
            <w:pPr>
              <w:spacing w:after="0"/>
              <w:rPr>
                <w:sz w:val="11"/>
                <w:szCs w:val="11"/>
                <w:color w:val="auto"/>
              </w:rPr>
            </w:pPr>
          </w:p>
        </w:tc>
      </w:tr>
      <w:tr>
        <w:trPr>
          <w:trHeight w:val="234"/>
        </w:trPr>
        <w:tc>
          <w:tcPr>
            <w:tcW w:w="6600" w:type="dxa"/>
            <w:vAlign w:val="bottom"/>
            <w:gridSpan w:val="2"/>
          </w:tcPr>
          <w:p>
            <w:pPr>
              <w:jc w:val="center"/>
              <w:ind w:left="3139"/>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2980" w:type="dxa"/>
            <w:vAlign w:val="bottom"/>
          </w:tcPr>
          <w:p>
            <w:pPr>
              <w:spacing w:after="0"/>
              <w:rPr>
                <w:sz w:val="20"/>
                <w:szCs w:val="20"/>
                <w:color w:val="auto"/>
              </w:rPr>
            </w:pPr>
          </w:p>
        </w:tc>
      </w:tr>
      <w:tr>
        <w:trPr>
          <w:trHeight w:val="218"/>
        </w:trPr>
        <w:tc>
          <w:tcPr>
            <w:tcW w:w="4040" w:type="dxa"/>
            <w:vAlign w:val="bottom"/>
          </w:tcPr>
          <w:p>
            <w:pPr>
              <w:ind w:left="2260"/>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 of Each Class</w:t>
            </w:r>
          </w:p>
        </w:tc>
        <w:tc>
          <w:tcPr>
            <w:tcW w:w="2560" w:type="dxa"/>
            <w:vAlign w:val="bottom"/>
          </w:tcPr>
          <w:p>
            <w:pPr>
              <w:spacing w:after="0"/>
              <w:rPr>
                <w:sz w:val="18"/>
                <w:szCs w:val="18"/>
                <w:color w:val="auto"/>
              </w:rPr>
            </w:pPr>
          </w:p>
        </w:tc>
        <w:tc>
          <w:tcPr>
            <w:tcW w:w="2980" w:type="dxa"/>
            <w:vAlign w:val="bottom"/>
          </w:tcPr>
          <w:p>
            <w:pPr>
              <w:ind w:left="94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ame of Each Exchange on Which Registered</w:t>
            </w:r>
          </w:p>
        </w:tc>
      </w:tr>
      <w:tr>
        <w:trPr>
          <w:trHeight w:val="205"/>
        </w:trPr>
        <w:tc>
          <w:tcPr>
            <w:tcW w:w="4040" w:type="dxa"/>
            <w:vAlign w:val="bottom"/>
          </w:tcPr>
          <w:p>
            <w:pPr>
              <w:jc w:val="center"/>
              <w:ind w:left="479"/>
              <w:spacing w:after="0"/>
              <w:rPr>
                <w:sz w:val="20"/>
                <w:szCs w:val="20"/>
                <w:color w:val="auto"/>
              </w:rPr>
            </w:pPr>
            <w:r>
              <w:rPr>
                <w:rFonts w:ascii="Arial" w:cs="Arial" w:eastAsia="Arial" w:hAnsi="Arial"/>
                <w:sz w:val="13"/>
                <w:szCs w:val="13"/>
                <w:color w:val="auto"/>
                <w:w w:val="91"/>
              </w:rPr>
              <w:t>Common stock, $.01 par value</w:t>
            </w:r>
          </w:p>
        </w:tc>
        <w:tc>
          <w:tcPr>
            <w:tcW w:w="2560" w:type="dxa"/>
            <w:vAlign w:val="bottom"/>
          </w:tcPr>
          <w:p>
            <w:pPr>
              <w:spacing w:after="0"/>
              <w:rPr>
                <w:sz w:val="17"/>
                <w:szCs w:val="17"/>
                <w:color w:val="auto"/>
              </w:rPr>
            </w:pPr>
          </w:p>
        </w:tc>
        <w:tc>
          <w:tcPr>
            <w:tcW w:w="2980" w:type="dxa"/>
            <w:vAlign w:val="bottom"/>
          </w:tcPr>
          <w:p>
            <w:pPr>
              <w:jc w:val="center"/>
              <w:ind w:right="1000"/>
              <w:spacing w:after="0"/>
              <w:rPr>
                <w:sz w:val="20"/>
                <w:szCs w:val="20"/>
                <w:color w:val="auto"/>
              </w:rPr>
            </w:pPr>
            <w:r>
              <w:rPr>
                <w:rFonts w:ascii="Arial" w:cs="Arial" w:eastAsia="Arial" w:hAnsi="Arial"/>
                <w:sz w:val="13"/>
                <w:szCs w:val="13"/>
                <w:color w:val="auto"/>
                <w:w w:val="90"/>
              </w:rPr>
              <w:t>New York Stock Exchange</w:t>
            </w:r>
          </w:p>
        </w:tc>
      </w:tr>
      <w:tr>
        <w:trPr>
          <w:trHeight w:val="234"/>
        </w:trPr>
        <w:tc>
          <w:tcPr>
            <w:tcW w:w="6600" w:type="dxa"/>
            <w:vAlign w:val="bottom"/>
            <w:gridSpan w:val="2"/>
          </w:tcPr>
          <w:p>
            <w:pPr>
              <w:jc w:val="center"/>
              <w:ind w:left="3139"/>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2980" w:type="dxa"/>
            <w:vAlign w:val="bottom"/>
          </w:tcPr>
          <w:p>
            <w:pPr>
              <w:spacing w:after="0"/>
              <w:rPr>
                <w:sz w:val="20"/>
                <w:szCs w:val="20"/>
                <w:color w:val="auto"/>
              </w:rPr>
            </w:pPr>
          </w:p>
        </w:tc>
      </w:tr>
      <w:tr>
        <w:trPr>
          <w:trHeight w:val="169"/>
        </w:trPr>
        <w:tc>
          <w:tcPr>
            <w:tcW w:w="4040" w:type="dxa"/>
            <w:vAlign w:val="bottom"/>
          </w:tcPr>
          <w:p>
            <w:pPr>
              <w:spacing w:after="0"/>
              <w:rPr>
                <w:sz w:val="14"/>
                <w:szCs w:val="14"/>
                <w:color w:val="auto"/>
              </w:rPr>
            </w:pPr>
          </w:p>
        </w:tc>
        <w:tc>
          <w:tcPr>
            <w:tcW w:w="2560" w:type="dxa"/>
            <w:vAlign w:val="bottom"/>
          </w:tcPr>
          <w:p>
            <w:pPr>
              <w:jc w:val="center"/>
              <w:ind w:right="781"/>
              <w:spacing w:after="0"/>
              <w:rPr>
                <w:sz w:val="20"/>
                <w:szCs w:val="20"/>
                <w:color w:val="auto"/>
              </w:rPr>
            </w:pPr>
            <w:r>
              <w:rPr>
                <w:rFonts w:ascii="Arial" w:cs="Arial" w:eastAsia="Arial" w:hAnsi="Arial"/>
                <w:sz w:val="13"/>
                <w:szCs w:val="13"/>
                <w:b w:val="1"/>
                <w:bCs w:val="1"/>
                <w:color w:val="auto"/>
                <w:w w:val="86"/>
              </w:rPr>
              <w:t>None</w:t>
            </w:r>
          </w:p>
        </w:tc>
        <w:tc>
          <w:tcPr>
            <w:tcW w:w="2980" w:type="dxa"/>
            <w:vAlign w:val="bottom"/>
          </w:tcPr>
          <w:p>
            <w:pPr>
              <w:spacing w:after="0"/>
              <w:rPr>
                <w:sz w:val="14"/>
                <w:szCs w:val="14"/>
                <w:color w:val="auto"/>
              </w:rPr>
            </w:pPr>
          </w:p>
        </w:tc>
      </w:tr>
      <w:tr>
        <w:trPr>
          <w:trHeight w:val="262"/>
        </w:trPr>
        <w:tc>
          <w:tcPr>
            <w:tcW w:w="958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tc>
      </w:tr>
      <w:tr>
        <w:trPr>
          <w:trHeight w:val="246"/>
        </w:trPr>
        <w:tc>
          <w:tcPr>
            <w:tcW w:w="6600" w:type="dxa"/>
            <w:vAlign w:val="bottom"/>
            <w:gridSpan w:val="2"/>
          </w:tcPr>
          <w:p>
            <w:pPr>
              <w:spacing w:after="0"/>
              <w:rPr>
                <w:sz w:val="20"/>
                <w:szCs w:val="20"/>
                <w:color w:val="auto"/>
              </w:rPr>
            </w:pPr>
            <w:r>
              <w:rPr>
                <w:rFonts w:ascii="Arial" w:cs="Arial" w:eastAsia="Arial" w:hAnsi="Arial"/>
                <w:sz w:val="13"/>
                <w:szCs w:val="13"/>
                <w:color w:val="auto"/>
                <w:w w:val="92"/>
              </w:rPr>
              <w:t>Indicate by check mark whether the registrant is not required to file reports pursuant to Section 13 or 15(d) of the Act. Yes o</w:t>
            </w:r>
          </w:p>
        </w:tc>
        <w:tc>
          <w:tcPr>
            <w:tcW w:w="298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460" w:firstLine="313"/>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460" w:right="60" w:firstLine="313"/>
        <w:spacing w:after="0" w:line="320"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35" w:lineRule="exact"/>
        <w:rPr>
          <w:sz w:val="20"/>
          <w:szCs w:val="20"/>
          <w:color w:val="auto"/>
        </w:rPr>
      </w:pPr>
    </w:p>
    <w:p>
      <w:pPr>
        <w:ind w:left="460" w:right="280" w:firstLine="313"/>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460" w:right="160" w:firstLine="313"/>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 w:lineRule="exact"/>
        <w:rPr>
          <w:sz w:val="20"/>
          <w:szCs w:val="20"/>
          <w:color w:val="auto"/>
        </w:rPr>
      </w:pPr>
    </w:p>
    <w:p>
      <w:pPr>
        <w:ind w:left="1020"/>
        <w:spacing w:after="0" w:line="138" w:lineRule="exact"/>
        <w:tabs>
          <w:tab w:leader="none" w:pos="3200" w:val="left"/>
          <w:tab w:leader="none" w:pos="5900" w:val="left"/>
          <w:tab w:leader="none" w:pos="898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2"/>
          <w:szCs w:val="12"/>
          <w:color w:val="auto"/>
        </w:rPr>
        <w:t>Non-accelerated filer o</w:t>
      </w:r>
      <w:r>
        <w:rPr>
          <w:sz w:val="20"/>
          <w:szCs w:val="20"/>
          <w:color w:val="auto"/>
        </w:rPr>
        <w:tab/>
      </w:r>
      <w:r>
        <w:rPr>
          <w:rFonts w:ascii="Arial" w:cs="Arial" w:eastAsia="Arial" w:hAnsi="Arial"/>
          <w:sz w:val="9"/>
          <w:szCs w:val="9"/>
          <w:color w:val="auto"/>
        </w:rPr>
        <w:t>Smaller reporting company o</w:t>
      </w:r>
    </w:p>
    <w:p>
      <w:pPr>
        <w:spacing w:after="0" w:line="40"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(Do not check if a smaller reporting company)</w:t>
      </w:r>
    </w:p>
    <w:p>
      <w:pPr>
        <w:spacing w:after="0" w:line="61" w:lineRule="exact"/>
        <w:rPr>
          <w:sz w:val="20"/>
          <w:szCs w:val="20"/>
          <w:color w:val="auto"/>
        </w:rPr>
      </w:pPr>
    </w:p>
    <w:p>
      <w:pPr>
        <w:ind w:left="780"/>
        <w:spacing w:after="0" w:line="138" w:lineRule="exact"/>
        <w:tabs>
          <w:tab w:leader="none" w:pos="67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460" w:right="60" w:firstLine="313"/>
        <w:spacing w:after="0" w:line="26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(assuming for these purposes that all executive officers and Directors are “affiliates” of the Registrant) as of September 26, 2009, the last business day of the registrant’s most recently completed second fiscal quarter was $1,338,071,042 (based on the closing sale price of the Registrant’s Common Stock on that date as reported on the New York Stock Exchange).</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3"/>
          <w:szCs w:val="13"/>
          <w:color w:val="auto"/>
        </w:rPr>
        <w:t>The number of shares of the registrant’s common stock, $.01 par value, outstanding as of April 30, 2010 was 25,528,179.</w:t>
      </w:r>
    </w:p>
    <w:p>
      <w:pPr>
        <w:spacing w:after="0" w:line="92"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Portions of the Company’s Proxy Statement for the Annual Meeting of Shareholders to be held on July 29, 2010, are incorporated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85725</wp:posOffset>
            </wp:positionV>
            <wp:extent cx="66287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40"/>
          </w:cols>
          <w:pgMar w:left="220" w:top="127" w:right="839" w:bottom="1440" w:gutter="0" w:footer="0" w:header="0"/>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00" w:type="dxa"/>
            <w:vAlign w:val="bottom"/>
            <w:gridSpan w:val="9"/>
          </w:tcPr>
          <w:p>
            <w:pPr>
              <w:ind w:left="140"/>
              <w:spacing w:after="0"/>
              <w:rPr>
                <w:sz w:val="20"/>
                <w:szCs w:val="20"/>
                <w:color w:val="auto"/>
              </w:rPr>
            </w:pPr>
            <w:r>
              <w:rPr>
                <w:rFonts w:ascii="Arial" w:cs="Arial" w:eastAsia="Arial" w:hAnsi="Arial"/>
                <w:sz w:val="13"/>
                <w:szCs w:val="13"/>
                <w:b w:val="1"/>
                <w:bCs w:val="1"/>
                <w:color w:val="auto"/>
              </w:rPr>
              <w:t>TABLE OF CONTENTS</w:t>
            </w:r>
          </w:p>
        </w:tc>
        <w:tc>
          <w:tcPr>
            <w:tcW w:w="520" w:type="dxa"/>
            <w:vAlign w:val="bottom"/>
          </w:tcPr>
          <w:p>
            <w:pPr>
              <w:spacing w:after="0"/>
              <w:rPr>
                <w:sz w:val="14"/>
                <w:szCs w:val="14"/>
                <w:color w:val="auto"/>
              </w:rPr>
            </w:pPr>
          </w:p>
        </w:tc>
      </w:tr>
      <w:tr>
        <w:trPr>
          <w:trHeight w:val="269"/>
        </w:trPr>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0"/>
                <w:szCs w:val="10"/>
                <w:b w:val="1"/>
                <w:bCs w:val="1"/>
                <w:color w:val="auto"/>
              </w:rPr>
              <w:t>Page</w:t>
            </w:r>
          </w:p>
        </w:tc>
      </w:tr>
      <w:tr>
        <w:trPr>
          <w:trHeight w:val="125"/>
        </w:trPr>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Number</w:t>
            </w:r>
          </w:p>
        </w:tc>
      </w:tr>
      <w:tr>
        <w:trPr>
          <w:trHeight w:val="157"/>
        </w:trPr>
        <w:tc>
          <w:tcPr>
            <w:tcW w:w="380" w:type="dxa"/>
            <w:vAlign w:val="bottom"/>
          </w:tcPr>
          <w:p>
            <w:pPr>
              <w:spacing w:after="0"/>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660" w:type="dxa"/>
            <w:vAlign w:val="bottom"/>
            <w:gridSpan w:val="2"/>
          </w:tcPr>
          <w:p>
            <w:pPr>
              <w:spacing w:after="0"/>
              <w:rPr>
                <w:sz w:val="13"/>
                <w:szCs w:val="13"/>
                <w:color w:val="auto"/>
              </w:rPr>
            </w:pPr>
          </w:p>
        </w:tc>
        <w:tc>
          <w:tcPr>
            <w:tcW w:w="8040" w:type="dxa"/>
            <w:vAlign w:val="bottom"/>
            <w:gridSpan w:val="24"/>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1</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900" w:type="dxa"/>
            <w:vAlign w:val="bottom"/>
            <w:tcBorders>
              <w:bottom w:val="single" w:sz="8" w:color="0000EE"/>
            </w:tcBorders>
            <w:gridSpan w:val="9"/>
          </w:tcPr>
          <w:p>
            <w:pPr>
              <w:spacing w:after="0" w:line="138" w:lineRule="exact"/>
              <w:rPr>
                <w:rFonts w:ascii="Arial" w:cs="Arial" w:eastAsia="Arial" w:hAnsi="Arial"/>
                <w:sz w:val="13"/>
                <w:szCs w:val="13"/>
                <w:color w:val="0000EE"/>
                <w:w w:val="92"/>
              </w:rPr>
            </w:pPr>
            <w:hyperlink w:anchor="page4">
              <w:r>
                <w:rPr>
                  <w:rFonts w:ascii="Arial" w:cs="Arial" w:eastAsia="Arial" w:hAnsi="Arial"/>
                  <w:sz w:val="13"/>
                  <w:szCs w:val="13"/>
                  <w:color w:val="0000EE"/>
                  <w:w w:val="92"/>
                </w:rPr>
                <w:t>(A) General History of the Business</w:t>
              </w:r>
            </w:hyperlink>
          </w:p>
        </w:tc>
        <w:tc>
          <w:tcPr>
            <w:tcW w:w="6140" w:type="dxa"/>
            <w:vAlign w:val="bottom"/>
            <w:gridSpan w:val="15"/>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w:t>
            </w:r>
          </w:p>
        </w:tc>
      </w:tr>
      <w:tr>
        <w:trPr>
          <w:trHeight w:val="137"/>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700" w:type="dxa"/>
            <w:vAlign w:val="bottom"/>
            <w:tcBorders>
              <w:bottom w:val="single" w:sz="8" w:color="0000EE"/>
            </w:tcBorders>
            <w:gridSpan w:val="14"/>
          </w:tcPr>
          <w:p>
            <w:pPr>
              <w:spacing w:after="0" w:line="138" w:lineRule="exact"/>
              <w:rPr>
                <w:rFonts w:ascii="Arial" w:cs="Arial" w:eastAsia="Arial" w:hAnsi="Arial"/>
                <w:sz w:val="13"/>
                <w:szCs w:val="13"/>
                <w:color w:val="0000EE"/>
                <w:w w:val="92"/>
              </w:rPr>
            </w:pPr>
            <w:hyperlink w:anchor="page6">
              <w:r>
                <w:rPr>
                  <w:rFonts w:ascii="Arial" w:cs="Arial" w:eastAsia="Arial" w:hAnsi="Arial"/>
                  <w:sz w:val="13"/>
                  <w:szCs w:val="13"/>
                  <w:color w:val="0000EE"/>
                  <w:w w:val="92"/>
                </w:rPr>
                <w:t>(B) Financial Information about Industry Segments</w:t>
              </w:r>
            </w:hyperlink>
          </w:p>
        </w:tc>
        <w:tc>
          <w:tcPr>
            <w:tcW w:w="5340" w:type="dxa"/>
            <w:vAlign w:val="bottom"/>
            <w:gridSpan w:val="10"/>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r>
      <w:tr>
        <w:trPr>
          <w:trHeight w:val="137"/>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6">
              <w:r>
                <w:rPr>
                  <w:rFonts w:ascii="Arial" w:cs="Arial" w:eastAsia="Arial" w:hAnsi="Arial"/>
                  <w:sz w:val="13"/>
                  <w:szCs w:val="13"/>
                  <w:color w:val="0000EE"/>
                </w:rPr>
                <w:t>(C) Narrative Description of the Business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3</w:t>
            </w:r>
          </w:p>
        </w:tc>
      </w:tr>
      <w:tr>
        <w:trPr>
          <w:trHeight w:val="20"/>
        </w:trPr>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2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17">
              <w:r>
                <w:rPr>
                  <w:rFonts w:ascii="Arial" w:cs="Arial" w:eastAsia="Arial" w:hAnsi="Arial"/>
                  <w:sz w:val="13"/>
                  <w:szCs w:val="13"/>
                  <w:color w:val="0000EE"/>
                  <w:w w:val="91"/>
                </w:rPr>
                <w:t>(D) Financial Information about Foreign and Domestic Operations and Export Sales</w:t>
              </w:r>
            </w:hyperlink>
          </w:p>
        </w:tc>
        <w:tc>
          <w:tcPr>
            <w:tcW w:w="3620" w:type="dxa"/>
            <w:vAlign w:val="bottom"/>
            <w:gridSpan w:val="5"/>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14</w:t>
            </w:r>
          </w:p>
        </w:tc>
      </w:tr>
      <w:tr>
        <w:trPr>
          <w:trHeight w:val="137"/>
        </w:trPr>
        <w:tc>
          <w:tcPr>
            <w:tcW w:w="440" w:type="dxa"/>
            <w:vAlign w:val="bottom"/>
            <w:gridSpan w:val="2"/>
          </w:tcPr>
          <w:p>
            <w:pPr>
              <w:spacing w:after="0" w:line="138" w:lineRule="exact"/>
              <w:rPr>
                <w:rFonts w:ascii="Arial" w:cs="Arial" w:eastAsia="Arial" w:hAnsi="Arial"/>
                <w:sz w:val="13"/>
                <w:szCs w:val="13"/>
                <w:color w:val="0000EE"/>
                <w:w w:val="82"/>
              </w:rPr>
            </w:pPr>
            <w:hyperlink w:anchor="page17">
              <w:r>
                <w:rPr>
                  <w:rFonts w:ascii="Arial" w:cs="Arial" w:eastAsia="Arial" w:hAnsi="Arial"/>
                  <w:sz w:val="13"/>
                  <w:szCs w:val="13"/>
                  <w:color w:val="0000EE"/>
                  <w:w w:val="82"/>
                </w:rPr>
                <w:t>Item 1A.</w:t>
              </w:r>
            </w:hyperlink>
          </w:p>
        </w:tc>
        <w:tc>
          <w:tcPr>
            <w:tcW w:w="60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14</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40" w:type="dxa"/>
            <w:vAlign w:val="bottom"/>
            <w:gridSpan w:val="2"/>
          </w:tcPr>
          <w:p>
            <w:pPr>
              <w:spacing w:after="0" w:line="138" w:lineRule="exact"/>
              <w:rPr>
                <w:rFonts w:ascii="Arial" w:cs="Arial" w:eastAsia="Arial" w:hAnsi="Arial"/>
                <w:sz w:val="13"/>
                <w:szCs w:val="13"/>
                <w:color w:val="0000EE"/>
                <w:w w:val="82"/>
              </w:rPr>
            </w:pPr>
            <w:hyperlink w:anchor="page20">
              <w:r>
                <w:rPr>
                  <w:rFonts w:ascii="Arial" w:cs="Arial" w:eastAsia="Arial" w:hAnsi="Arial"/>
                  <w:sz w:val="13"/>
                  <w:szCs w:val="13"/>
                  <w:color w:val="0000EE"/>
                  <w:w w:val="82"/>
                </w:rPr>
                <w:t>Item 1B.</w:t>
              </w:r>
            </w:hyperlink>
          </w:p>
        </w:tc>
        <w:tc>
          <w:tcPr>
            <w:tcW w:w="60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20">
              <w:r>
                <w:rPr>
                  <w:rFonts w:ascii="Arial" w:cs="Arial" w:eastAsia="Arial" w:hAnsi="Arial"/>
                  <w:sz w:val="13"/>
                  <w:szCs w:val="13"/>
                  <w:color w:val="0000EE"/>
                </w:rPr>
                <w:t>Unresolved Staff Comments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20">
              <w:r>
                <w:rPr>
                  <w:rFonts w:ascii="Arial" w:cs="Arial" w:eastAsia="Arial" w:hAnsi="Arial"/>
                  <w:sz w:val="13"/>
                  <w:szCs w:val="13"/>
                  <w:color w:val="0000EE"/>
                  <w:w w:val="90"/>
                </w:rPr>
                <w:t>Item 2.</w:t>
              </w:r>
            </w:hyperlink>
          </w:p>
        </w:tc>
        <w:tc>
          <w:tcPr>
            <w:tcW w:w="60" w:type="dxa"/>
            <w:vAlign w:val="bottom"/>
            <w:tcBorders>
              <w:top w:val="single" w:sz="8" w:color="0000EE"/>
            </w:tcBorders>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20">
              <w:r>
                <w:rPr>
                  <w:rFonts w:ascii="Arial" w:cs="Arial" w:eastAsia="Arial" w:hAnsi="Arial"/>
                  <w:sz w:val="13"/>
                  <w:szCs w:val="13"/>
                  <w:color w:val="0000EE"/>
                  <w:w w:val="87"/>
                </w:rPr>
                <w:t>Properties</w:t>
              </w:r>
            </w:hyperlink>
          </w:p>
        </w:tc>
        <w:tc>
          <w:tcPr>
            <w:tcW w:w="960" w:type="dxa"/>
            <w:vAlign w:val="bottom"/>
            <w:tcBorders>
              <w:top w:val="single" w:sz="8" w:color="0000EE"/>
            </w:tcBorders>
            <w:gridSpan w:val="6"/>
          </w:tcPr>
          <w:p>
            <w:pPr>
              <w:spacing w:after="0"/>
              <w:rPr>
                <w:sz w:val="11"/>
                <w:szCs w:val="11"/>
                <w:color w:val="auto"/>
              </w:rPr>
            </w:pPr>
          </w:p>
        </w:tc>
        <w:tc>
          <w:tcPr>
            <w:tcW w:w="6540" w:type="dxa"/>
            <w:vAlign w:val="bottom"/>
            <w:gridSpan w:val="16"/>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3.</w:t>
              </w:r>
            </w:hyperlink>
          </w:p>
        </w:tc>
        <w:tc>
          <w:tcPr>
            <w:tcW w:w="660" w:type="dxa"/>
            <w:vAlign w:val="bottom"/>
            <w:gridSpan w:val="2"/>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21">
              <w:r>
                <w:rPr>
                  <w:rFonts w:ascii="Arial" w:cs="Arial" w:eastAsia="Arial" w:hAnsi="Arial"/>
                  <w:sz w:val="13"/>
                  <w:szCs w:val="13"/>
                  <w:color w:val="0000EE"/>
                  <w:w w:val="89"/>
                </w:rPr>
                <w:t>Legal Proceedings</w:t>
              </w:r>
            </w:hyperlink>
          </w:p>
        </w:tc>
        <w:tc>
          <w:tcPr>
            <w:tcW w:w="7060" w:type="dxa"/>
            <w:vAlign w:val="bottom"/>
            <w:gridSpan w:val="19"/>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18</w:t>
            </w: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22">
              <w:r>
                <w:rPr>
                  <w:rFonts w:ascii="Arial" w:cs="Arial" w:eastAsia="Arial" w:hAnsi="Arial"/>
                  <w:sz w:val="13"/>
                  <w:szCs w:val="13"/>
                  <w:color w:val="0000EE"/>
                  <w:w w:val="90"/>
                </w:rPr>
                <w:t>Item 4.</w:t>
              </w:r>
            </w:hyperlink>
          </w:p>
        </w:tc>
        <w:tc>
          <w:tcPr>
            <w:tcW w:w="660" w:type="dxa"/>
            <w:vAlign w:val="bottom"/>
            <w:gridSpan w:val="2"/>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22">
              <w:r>
                <w:rPr>
                  <w:rFonts w:ascii="Arial" w:cs="Arial" w:eastAsia="Arial" w:hAnsi="Arial"/>
                  <w:sz w:val="13"/>
                  <w:szCs w:val="13"/>
                  <w:color w:val="0000EE"/>
                </w:rPr>
                <w:t>Submission of Matters to a Vote of Security Holders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19</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4">
              <w:r>
                <w:rPr>
                  <w:rFonts w:ascii="Arial" w:cs="Arial" w:eastAsia="Arial" w:hAnsi="Arial"/>
                  <w:sz w:val="13"/>
                  <w:szCs w:val="13"/>
                  <w:color w:val="0000EE"/>
                  <w:w w:val="90"/>
                </w:rPr>
                <w:t>Item 5.</w:t>
              </w:r>
            </w:hyperlink>
          </w:p>
        </w:tc>
        <w:tc>
          <w:tcPr>
            <w:tcW w:w="660" w:type="dxa"/>
            <w:vAlign w:val="bottom"/>
            <w:gridSpan w:val="2"/>
          </w:tcPr>
          <w:p>
            <w:pPr>
              <w:spacing w:after="0"/>
              <w:rPr>
                <w:sz w:val="11"/>
                <w:szCs w:val="11"/>
                <w:color w:val="auto"/>
              </w:rPr>
            </w:pPr>
          </w:p>
        </w:tc>
        <w:tc>
          <w:tcPr>
            <w:tcW w:w="5720" w:type="dxa"/>
            <w:vAlign w:val="bottom"/>
            <w:tcBorders>
              <w:bottom w:val="single" w:sz="8" w:color="0000EE"/>
            </w:tcBorders>
            <w:gridSpan w:val="23"/>
          </w:tcPr>
          <w:p>
            <w:pPr>
              <w:spacing w:after="0" w:line="138" w:lineRule="exact"/>
              <w:rPr>
                <w:rFonts w:ascii="Arial" w:cs="Arial" w:eastAsia="Arial" w:hAnsi="Arial"/>
                <w:sz w:val="13"/>
                <w:szCs w:val="13"/>
                <w:color w:val="0000EE"/>
                <w:w w:val="91"/>
              </w:rPr>
            </w:pPr>
            <w:hyperlink w:anchor="page24">
              <w:r>
                <w:rPr>
                  <w:rFonts w:ascii="Arial" w:cs="Arial" w:eastAsia="Arial" w:hAnsi="Arial"/>
                  <w:sz w:val="13"/>
                  <w:szCs w:val="13"/>
                  <w:color w:val="0000EE"/>
                  <w:w w:val="91"/>
                </w:rPr>
                <w:t>Market For The Registrant’s Common Equity, Stockholder Matters and Issuer Purchases of Equity Securities</w:t>
              </w:r>
            </w:hyperlink>
          </w:p>
        </w:tc>
        <w:tc>
          <w:tcPr>
            <w:tcW w:w="232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21</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6">
              <w:r>
                <w:rPr>
                  <w:rFonts w:ascii="Arial" w:cs="Arial" w:eastAsia="Arial" w:hAnsi="Arial"/>
                  <w:sz w:val="13"/>
                  <w:szCs w:val="13"/>
                  <w:color w:val="0000EE"/>
                  <w:w w:val="90"/>
                </w:rPr>
                <w:t>Item 6.</w:t>
              </w:r>
            </w:hyperlink>
          </w:p>
        </w:tc>
        <w:tc>
          <w:tcPr>
            <w:tcW w:w="660" w:type="dxa"/>
            <w:vAlign w:val="bottom"/>
            <w:gridSpan w:val="2"/>
          </w:tcPr>
          <w:p>
            <w:pPr>
              <w:spacing w:after="0"/>
              <w:rPr>
                <w:sz w:val="11"/>
                <w:szCs w:val="11"/>
                <w:color w:val="auto"/>
              </w:rPr>
            </w:pPr>
          </w:p>
        </w:tc>
        <w:tc>
          <w:tcPr>
            <w:tcW w:w="1980" w:type="dxa"/>
            <w:vAlign w:val="bottom"/>
            <w:tcBorders>
              <w:bottom w:val="single" w:sz="8" w:color="0000EE"/>
            </w:tcBorders>
            <w:gridSpan w:val="10"/>
          </w:tcPr>
          <w:p>
            <w:pPr>
              <w:spacing w:after="0" w:line="138" w:lineRule="exact"/>
              <w:rPr>
                <w:rFonts w:ascii="Arial" w:cs="Arial" w:eastAsia="Arial" w:hAnsi="Arial"/>
                <w:sz w:val="13"/>
                <w:szCs w:val="13"/>
                <w:color w:val="0000EE"/>
                <w:w w:val="90"/>
              </w:rPr>
            </w:pPr>
            <w:hyperlink w:anchor="page26">
              <w:r>
                <w:rPr>
                  <w:rFonts w:ascii="Arial" w:cs="Arial" w:eastAsia="Arial" w:hAnsi="Arial"/>
                  <w:sz w:val="13"/>
                  <w:szCs w:val="13"/>
                  <w:color w:val="0000EE"/>
                  <w:w w:val="90"/>
                </w:rPr>
                <w:t>Selected Consolidated Financial Data</w:t>
              </w:r>
            </w:hyperlink>
          </w:p>
        </w:tc>
        <w:tc>
          <w:tcPr>
            <w:tcW w:w="6060" w:type="dxa"/>
            <w:vAlign w:val="bottom"/>
            <w:gridSpan w:val="1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23</w:t>
            </w: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27">
              <w:r>
                <w:rPr>
                  <w:rFonts w:ascii="Arial" w:cs="Arial" w:eastAsia="Arial" w:hAnsi="Arial"/>
                  <w:sz w:val="13"/>
                  <w:szCs w:val="13"/>
                  <w:color w:val="0000EE"/>
                  <w:w w:val="90"/>
                </w:rPr>
                <w:t>Item 7.</w:t>
              </w:r>
            </w:hyperlink>
          </w:p>
        </w:tc>
        <w:tc>
          <w:tcPr>
            <w:tcW w:w="660" w:type="dxa"/>
            <w:vAlign w:val="bottom"/>
            <w:gridSpan w:val="2"/>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24</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2"/>
              </w:rPr>
            </w:pPr>
            <w:hyperlink w:anchor="page49">
              <w:r>
                <w:rPr>
                  <w:rFonts w:ascii="Arial" w:cs="Arial" w:eastAsia="Arial" w:hAnsi="Arial"/>
                  <w:sz w:val="13"/>
                  <w:szCs w:val="13"/>
                  <w:color w:val="0000EE"/>
                  <w:w w:val="82"/>
                </w:rPr>
                <w:t>Item 7A.</w:t>
              </w:r>
            </w:hyperlink>
          </w:p>
        </w:tc>
        <w:tc>
          <w:tcPr>
            <w:tcW w:w="600" w:type="dxa"/>
            <w:vAlign w:val="bottom"/>
          </w:tcPr>
          <w:p>
            <w:pPr>
              <w:spacing w:after="0"/>
              <w:rPr>
                <w:sz w:val="11"/>
                <w:szCs w:val="11"/>
                <w:color w:val="auto"/>
              </w:rPr>
            </w:pPr>
          </w:p>
        </w:tc>
        <w:tc>
          <w:tcPr>
            <w:tcW w:w="3140" w:type="dxa"/>
            <w:vAlign w:val="bottom"/>
            <w:tcBorders>
              <w:bottom w:val="single" w:sz="8" w:color="0000EE"/>
            </w:tcBorders>
            <w:gridSpan w:val="16"/>
          </w:tcPr>
          <w:p>
            <w:pPr>
              <w:spacing w:after="0" w:line="138" w:lineRule="exact"/>
              <w:rPr>
                <w:rFonts w:ascii="Arial" w:cs="Arial" w:eastAsia="Arial" w:hAnsi="Arial"/>
                <w:sz w:val="13"/>
                <w:szCs w:val="13"/>
                <w:color w:val="0000EE"/>
                <w:w w:val="92"/>
              </w:rPr>
            </w:pPr>
            <w:hyperlink w:anchor="page49">
              <w:r>
                <w:rPr>
                  <w:rFonts w:ascii="Arial" w:cs="Arial" w:eastAsia="Arial" w:hAnsi="Arial"/>
                  <w:sz w:val="13"/>
                  <w:szCs w:val="13"/>
                  <w:color w:val="0000EE"/>
                  <w:w w:val="92"/>
                </w:rPr>
                <w:t>Quantitative and Qualitative Disclosures about Market Risk</w:t>
              </w:r>
            </w:hyperlink>
          </w:p>
        </w:tc>
        <w:tc>
          <w:tcPr>
            <w:tcW w:w="4900" w:type="dxa"/>
            <w:vAlign w:val="bottom"/>
            <w:gridSpan w:val="8"/>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51">
              <w:r>
                <w:rPr>
                  <w:rFonts w:ascii="Arial" w:cs="Arial" w:eastAsia="Arial" w:hAnsi="Arial"/>
                  <w:sz w:val="13"/>
                  <w:szCs w:val="13"/>
                  <w:color w:val="0000EE"/>
                  <w:w w:val="90"/>
                </w:rPr>
                <w:t>Item 8.</w:t>
              </w:r>
            </w:hyperlink>
          </w:p>
        </w:tc>
        <w:tc>
          <w:tcPr>
            <w:tcW w:w="660" w:type="dxa"/>
            <w:vAlign w:val="bottom"/>
            <w:gridSpan w:val="2"/>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Financial Statements and Supplementary Data</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48</w:t>
            </w: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92">
              <w:r>
                <w:rPr>
                  <w:rFonts w:ascii="Arial" w:cs="Arial" w:eastAsia="Arial" w:hAnsi="Arial"/>
                  <w:sz w:val="13"/>
                  <w:szCs w:val="13"/>
                  <w:color w:val="0000EE"/>
                  <w:w w:val="90"/>
                </w:rPr>
                <w:t>Item 9.</w:t>
              </w:r>
            </w:hyperlink>
          </w:p>
        </w:tc>
        <w:tc>
          <w:tcPr>
            <w:tcW w:w="660" w:type="dxa"/>
            <w:vAlign w:val="bottom"/>
            <w:gridSpan w:val="2"/>
          </w:tcPr>
          <w:p>
            <w:pPr>
              <w:spacing w:after="0"/>
              <w:rPr>
                <w:sz w:val="11"/>
                <w:szCs w:val="11"/>
                <w:color w:val="auto"/>
              </w:rPr>
            </w:pPr>
          </w:p>
        </w:tc>
        <w:tc>
          <w:tcPr>
            <w:tcW w:w="472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92">
              <w:r>
                <w:rPr>
                  <w:rFonts w:ascii="Arial" w:cs="Arial" w:eastAsia="Arial" w:hAnsi="Arial"/>
                  <w:sz w:val="13"/>
                  <w:szCs w:val="13"/>
                  <w:color w:val="0000EE"/>
                  <w:w w:val="91"/>
                </w:rPr>
                <w:t>Changes in and Disagreements with Accountants on Accounting and Financial Disclosure</w:t>
              </w:r>
            </w:hyperlink>
          </w:p>
        </w:tc>
        <w:tc>
          <w:tcPr>
            <w:tcW w:w="3320" w:type="dxa"/>
            <w:vAlign w:val="bottom"/>
            <w:gridSpan w:val="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89</w:t>
            </w:r>
          </w:p>
        </w:tc>
      </w:tr>
      <w:tr>
        <w:trPr>
          <w:trHeight w:val="137"/>
        </w:trPr>
        <w:tc>
          <w:tcPr>
            <w:tcW w:w="440" w:type="dxa"/>
            <w:vAlign w:val="bottom"/>
            <w:gridSpan w:val="2"/>
          </w:tcPr>
          <w:p>
            <w:pPr>
              <w:spacing w:after="0" w:line="138" w:lineRule="exact"/>
              <w:rPr>
                <w:rFonts w:ascii="Arial" w:cs="Arial" w:eastAsia="Arial" w:hAnsi="Arial"/>
                <w:sz w:val="13"/>
                <w:szCs w:val="13"/>
                <w:color w:val="0000EE"/>
                <w:w w:val="82"/>
              </w:rPr>
            </w:pPr>
            <w:hyperlink w:anchor="page92">
              <w:r>
                <w:rPr>
                  <w:rFonts w:ascii="Arial" w:cs="Arial" w:eastAsia="Arial" w:hAnsi="Arial"/>
                  <w:sz w:val="13"/>
                  <w:szCs w:val="13"/>
                  <w:color w:val="0000EE"/>
                  <w:w w:val="82"/>
                </w:rPr>
                <w:t>Item 9A.</w:t>
              </w:r>
            </w:hyperlink>
          </w:p>
        </w:tc>
        <w:tc>
          <w:tcPr>
            <w:tcW w:w="60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92">
              <w:r>
                <w:rPr>
                  <w:rFonts w:ascii="Arial" w:cs="Arial" w:eastAsia="Arial" w:hAnsi="Arial"/>
                  <w:sz w:val="13"/>
                  <w:szCs w:val="13"/>
                  <w:color w:val="0000EE"/>
                </w:rPr>
                <w:t>Controls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89</w:t>
            </w:r>
          </w:p>
        </w:tc>
      </w:tr>
      <w:tr>
        <w:trPr>
          <w:trHeight w:val="137"/>
        </w:trPr>
        <w:tc>
          <w:tcPr>
            <w:tcW w:w="440" w:type="dxa"/>
            <w:vAlign w:val="bottom"/>
            <w:tcBorders>
              <w:top w:val="single" w:sz="8" w:color="0000EE"/>
            </w:tcBorders>
            <w:gridSpan w:val="2"/>
          </w:tcPr>
          <w:p>
            <w:pPr>
              <w:spacing w:after="0" w:line="138" w:lineRule="exact"/>
              <w:rPr>
                <w:rFonts w:ascii="Arial" w:cs="Arial" w:eastAsia="Arial" w:hAnsi="Arial"/>
                <w:sz w:val="13"/>
                <w:szCs w:val="13"/>
                <w:color w:val="0000EE"/>
                <w:w w:val="82"/>
              </w:rPr>
            </w:pPr>
            <w:hyperlink w:anchor="page94">
              <w:r>
                <w:rPr>
                  <w:rFonts w:ascii="Arial" w:cs="Arial" w:eastAsia="Arial" w:hAnsi="Arial"/>
                  <w:sz w:val="13"/>
                  <w:szCs w:val="13"/>
                  <w:color w:val="0000EE"/>
                  <w:w w:val="82"/>
                </w:rPr>
                <w:t>Item 9B.</w:t>
              </w:r>
            </w:hyperlink>
          </w:p>
        </w:tc>
        <w:tc>
          <w:tcPr>
            <w:tcW w:w="600" w:type="dxa"/>
            <w:vAlign w:val="bottom"/>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94">
              <w:r>
                <w:rPr>
                  <w:rFonts w:ascii="Arial" w:cs="Arial" w:eastAsia="Arial" w:hAnsi="Arial"/>
                  <w:sz w:val="13"/>
                  <w:szCs w:val="13"/>
                  <w:color w:val="0000EE"/>
                </w:rPr>
                <w:t>Other information</w:t>
              </w:r>
            </w:hyperlink>
          </w:p>
        </w:tc>
        <w:tc>
          <w:tcPr>
            <w:tcW w:w="6760" w:type="dxa"/>
            <w:vAlign w:val="bottom"/>
            <w:gridSpan w:val="18"/>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91</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94">
              <w:r>
                <w:rPr>
                  <w:rFonts w:ascii="Arial" w:cs="Arial" w:eastAsia="Arial" w:hAnsi="Arial"/>
                  <w:sz w:val="13"/>
                  <w:szCs w:val="13"/>
                  <w:color w:val="0000EE"/>
                  <w:w w:val="85"/>
                </w:rPr>
                <w:t>Item 10.</w:t>
              </w:r>
            </w:hyperlink>
          </w:p>
        </w:tc>
        <w:tc>
          <w:tcPr>
            <w:tcW w:w="600" w:type="dxa"/>
            <w:vAlign w:val="bottom"/>
          </w:tcPr>
          <w:p>
            <w:pPr>
              <w:spacing w:after="0"/>
              <w:rPr>
                <w:sz w:val="11"/>
                <w:szCs w:val="11"/>
                <w:color w:val="auto"/>
              </w:rPr>
            </w:pPr>
          </w:p>
        </w:tc>
        <w:tc>
          <w:tcPr>
            <w:tcW w:w="4080" w:type="dxa"/>
            <w:vAlign w:val="bottom"/>
            <w:tcBorders>
              <w:bottom w:val="single" w:sz="8" w:color="0000EE"/>
            </w:tcBorders>
            <w:gridSpan w:val="18"/>
          </w:tcPr>
          <w:p>
            <w:pPr>
              <w:spacing w:after="0" w:line="138" w:lineRule="exact"/>
              <w:rPr>
                <w:rFonts w:ascii="Arial" w:cs="Arial" w:eastAsia="Arial" w:hAnsi="Arial"/>
                <w:sz w:val="13"/>
                <w:szCs w:val="13"/>
                <w:color w:val="0000EE"/>
                <w:w w:val="91"/>
              </w:rPr>
            </w:pPr>
            <w:hyperlink w:anchor="page94">
              <w:r>
                <w:rPr>
                  <w:rFonts w:ascii="Arial" w:cs="Arial" w:eastAsia="Arial" w:hAnsi="Arial"/>
                  <w:sz w:val="13"/>
                  <w:szCs w:val="13"/>
                  <w:color w:val="0000EE"/>
                  <w:w w:val="91"/>
                </w:rPr>
                <w:t>Directors and Executive Officers of the Registrant and Corporate Governance</w:t>
              </w:r>
            </w:hyperlink>
          </w:p>
        </w:tc>
        <w:tc>
          <w:tcPr>
            <w:tcW w:w="3960" w:type="dxa"/>
            <w:vAlign w:val="bottom"/>
            <w:gridSpan w:val="6"/>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91</w:t>
            </w: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94">
              <w:r>
                <w:rPr>
                  <w:rFonts w:ascii="Arial" w:cs="Arial" w:eastAsia="Arial" w:hAnsi="Arial"/>
                  <w:sz w:val="13"/>
                  <w:szCs w:val="13"/>
                  <w:color w:val="0000EE"/>
                  <w:w w:val="85"/>
                </w:rPr>
                <w:t>Item 11.</w:t>
              </w:r>
            </w:hyperlink>
          </w:p>
        </w:tc>
        <w:tc>
          <w:tcPr>
            <w:tcW w:w="600" w:type="dxa"/>
            <w:vAlign w:val="bottom"/>
          </w:tcPr>
          <w:p>
            <w:pPr>
              <w:spacing w:after="0"/>
              <w:rPr>
                <w:sz w:val="11"/>
                <w:szCs w:val="11"/>
                <w:color w:val="auto"/>
              </w:rPr>
            </w:pPr>
          </w:p>
        </w:tc>
        <w:tc>
          <w:tcPr>
            <w:tcW w:w="132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94">
              <w:r>
                <w:rPr>
                  <w:rFonts w:ascii="Arial" w:cs="Arial" w:eastAsia="Arial" w:hAnsi="Arial"/>
                  <w:sz w:val="13"/>
                  <w:szCs w:val="13"/>
                  <w:color w:val="0000EE"/>
                  <w:w w:val="90"/>
                </w:rPr>
                <w:t>Executive Compensation</w:t>
              </w:r>
            </w:hyperlink>
          </w:p>
        </w:tc>
        <w:tc>
          <w:tcPr>
            <w:tcW w:w="6720" w:type="dxa"/>
            <w:vAlign w:val="bottom"/>
            <w:gridSpan w:val="1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91</w:t>
            </w: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94">
              <w:r>
                <w:rPr>
                  <w:rFonts w:ascii="Arial" w:cs="Arial" w:eastAsia="Arial" w:hAnsi="Arial"/>
                  <w:sz w:val="13"/>
                  <w:szCs w:val="13"/>
                  <w:color w:val="0000EE"/>
                  <w:w w:val="85"/>
                </w:rPr>
                <w:t>Item 12.</w:t>
              </w:r>
            </w:hyperlink>
          </w:p>
        </w:tc>
        <w:tc>
          <w:tcPr>
            <w:tcW w:w="600" w:type="dxa"/>
            <w:vAlign w:val="bottom"/>
          </w:tcPr>
          <w:p>
            <w:pPr>
              <w:spacing w:after="0"/>
              <w:rPr>
                <w:sz w:val="11"/>
                <w:szCs w:val="11"/>
                <w:color w:val="auto"/>
              </w:rPr>
            </w:pPr>
          </w:p>
        </w:tc>
        <w:tc>
          <w:tcPr>
            <w:tcW w:w="5320" w:type="dxa"/>
            <w:vAlign w:val="bottom"/>
            <w:tcBorders>
              <w:bottom w:val="single" w:sz="8" w:color="0000EE"/>
            </w:tcBorders>
            <w:gridSpan w:val="22"/>
          </w:tcPr>
          <w:p>
            <w:pPr>
              <w:spacing w:after="0" w:line="138" w:lineRule="exact"/>
              <w:rPr>
                <w:rFonts w:ascii="Arial" w:cs="Arial" w:eastAsia="Arial" w:hAnsi="Arial"/>
                <w:sz w:val="13"/>
                <w:szCs w:val="13"/>
                <w:color w:val="0000EE"/>
                <w:w w:val="91"/>
              </w:rPr>
            </w:pPr>
            <w:hyperlink w:anchor="page94">
              <w:r>
                <w:rPr>
                  <w:rFonts w:ascii="Arial" w:cs="Arial" w:eastAsia="Arial" w:hAnsi="Arial"/>
                  <w:sz w:val="13"/>
                  <w:szCs w:val="13"/>
                  <w:color w:val="0000EE"/>
                  <w:w w:val="91"/>
                </w:rPr>
                <w:t>Security Ownership of Certain Beneficial Owners and Management and Related Stockholder Matters</w:t>
              </w:r>
            </w:hyperlink>
          </w:p>
        </w:tc>
        <w:tc>
          <w:tcPr>
            <w:tcW w:w="2720" w:type="dxa"/>
            <w:vAlign w:val="bottom"/>
            <w:gridSpan w:val="2"/>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91</w:t>
            </w: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95">
              <w:r>
                <w:rPr>
                  <w:rFonts w:ascii="Arial" w:cs="Arial" w:eastAsia="Arial" w:hAnsi="Arial"/>
                  <w:sz w:val="13"/>
                  <w:szCs w:val="13"/>
                  <w:color w:val="0000EE"/>
                  <w:w w:val="85"/>
                </w:rPr>
                <w:t>Item 13.</w:t>
              </w:r>
            </w:hyperlink>
          </w:p>
        </w:tc>
        <w:tc>
          <w:tcPr>
            <w:tcW w:w="600" w:type="dxa"/>
            <w:vAlign w:val="bottom"/>
          </w:tcPr>
          <w:p>
            <w:pPr>
              <w:spacing w:after="0"/>
              <w:rPr>
                <w:sz w:val="11"/>
                <w:szCs w:val="11"/>
                <w:color w:val="auto"/>
              </w:rPr>
            </w:pPr>
          </w:p>
        </w:tc>
        <w:tc>
          <w:tcPr>
            <w:tcW w:w="3940" w:type="dxa"/>
            <w:vAlign w:val="bottom"/>
            <w:tcBorders>
              <w:bottom w:val="single" w:sz="8" w:color="0000EE"/>
            </w:tcBorders>
            <w:gridSpan w:val="17"/>
          </w:tcPr>
          <w:p>
            <w:pPr>
              <w:spacing w:after="0" w:line="138" w:lineRule="exact"/>
              <w:rPr>
                <w:rFonts w:ascii="Arial" w:cs="Arial" w:eastAsia="Arial" w:hAnsi="Arial"/>
                <w:sz w:val="13"/>
                <w:szCs w:val="13"/>
                <w:color w:val="0000EE"/>
                <w:w w:val="89"/>
              </w:rPr>
            </w:pPr>
            <w:hyperlink w:anchor="page95">
              <w:r>
                <w:rPr>
                  <w:rFonts w:ascii="Arial" w:cs="Arial" w:eastAsia="Arial" w:hAnsi="Arial"/>
                  <w:sz w:val="13"/>
                  <w:szCs w:val="13"/>
                  <w:color w:val="0000EE"/>
                  <w:w w:val="89"/>
                </w:rPr>
                <w:t>Certain Relationships and Related Transactions and Director Independence</w:t>
              </w:r>
            </w:hyperlink>
          </w:p>
        </w:tc>
        <w:tc>
          <w:tcPr>
            <w:tcW w:w="4100" w:type="dxa"/>
            <w:vAlign w:val="bottom"/>
            <w:gridSpan w:val="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92</w:t>
            </w:r>
          </w:p>
        </w:tc>
      </w:tr>
      <w:tr>
        <w:trPr>
          <w:trHeight w:val="137"/>
        </w:trPr>
        <w:tc>
          <w:tcPr>
            <w:tcW w:w="440" w:type="dxa"/>
            <w:vAlign w:val="bottom"/>
            <w:gridSpan w:val="2"/>
          </w:tcPr>
          <w:p>
            <w:pPr>
              <w:spacing w:after="0" w:line="138" w:lineRule="exact"/>
              <w:rPr>
                <w:rFonts w:ascii="Arial" w:cs="Arial" w:eastAsia="Arial" w:hAnsi="Arial"/>
                <w:sz w:val="13"/>
                <w:szCs w:val="13"/>
                <w:color w:val="0000EE"/>
                <w:w w:val="85"/>
              </w:rPr>
            </w:pPr>
            <w:hyperlink w:anchor="page95">
              <w:r>
                <w:rPr>
                  <w:rFonts w:ascii="Arial" w:cs="Arial" w:eastAsia="Arial" w:hAnsi="Arial"/>
                  <w:sz w:val="13"/>
                  <w:szCs w:val="13"/>
                  <w:color w:val="0000EE"/>
                  <w:w w:val="85"/>
                </w:rPr>
                <w:t>Item 14.</w:t>
              </w:r>
            </w:hyperlink>
          </w:p>
        </w:tc>
        <w:tc>
          <w:tcPr>
            <w:tcW w:w="60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95">
              <w:r>
                <w:rPr>
                  <w:rFonts w:ascii="Arial" w:cs="Arial" w:eastAsia="Arial" w:hAnsi="Arial"/>
                  <w:sz w:val="13"/>
                  <w:szCs w:val="13"/>
                  <w:color w:val="0000EE"/>
                </w:rPr>
                <w:t>Principal Accountant Fees and Services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92</w:t>
            </w:r>
          </w:p>
        </w:tc>
      </w:tr>
      <w:tr>
        <w:trPr>
          <w:trHeight w:val="20"/>
        </w:trPr>
        <w:tc>
          <w:tcPr>
            <w:tcW w:w="4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80" w:type="dxa"/>
            <w:vAlign w:val="bottom"/>
            <w:gridSpan w:val="11"/>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60" w:type="dxa"/>
            <w:vAlign w:val="bottom"/>
            <w:gridSpan w:val="1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40" w:type="dxa"/>
            <w:vAlign w:val="bottom"/>
            <w:tcBorders>
              <w:bottom w:val="single" w:sz="8" w:color="0000EE"/>
            </w:tcBorders>
            <w:gridSpan w:val="2"/>
          </w:tcPr>
          <w:p>
            <w:pPr>
              <w:spacing w:after="0" w:line="138" w:lineRule="exact"/>
              <w:rPr>
                <w:rFonts w:ascii="Arial" w:cs="Arial" w:eastAsia="Arial" w:hAnsi="Arial"/>
                <w:sz w:val="13"/>
                <w:szCs w:val="13"/>
                <w:color w:val="0000EE"/>
                <w:w w:val="85"/>
              </w:rPr>
            </w:pPr>
            <w:hyperlink w:anchor="page96">
              <w:r>
                <w:rPr>
                  <w:rFonts w:ascii="Arial" w:cs="Arial" w:eastAsia="Arial" w:hAnsi="Arial"/>
                  <w:sz w:val="13"/>
                  <w:szCs w:val="13"/>
                  <w:color w:val="0000EE"/>
                  <w:w w:val="85"/>
                </w:rPr>
                <w:t>Item 15.</w:t>
              </w:r>
            </w:hyperlink>
          </w:p>
        </w:tc>
        <w:tc>
          <w:tcPr>
            <w:tcW w:w="600" w:type="dxa"/>
            <w:vAlign w:val="bottom"/>
          </w:tcPr>
          <w:p>
            <w:pPr>
              <w:spacing w:after="0"/>
              <w:rPr>
                <w:sz w:val="11"/>
                <w:szCs w:val="11"/>
                <w:color w:val="auto"/>
              </w:rPr>
            </w:pPr>
          </w:p>
        </w:tc>
        <w:tc>
          <w:tcPr>
            <w:tcW w:w="2180" w:type="dxa"/>
            <w:vAlign w:val="bottom"/>
            <w:tcBorders>
              <w:bottom w:val="single" w:sz="8" w:color="0000EE"/>
            </w:tcBorders>
            <w:gridSpan w:val="12"/>
          </w:tcPr>
          <w:p>
            <w:pPr>
              <w:spacing w:after="0" w:line="138" w:lineRule="exact"/>
              <w:rPr>
                <w:rFonts w:ascii="Arial" w:cs="Arial" w:eastAsia="Arial" w:hAnsi="Arial"/>
                <w:sz w:val="13"/>
                <w:szCs w:val="13"/>
                <w:color w:val="0000EE"/>
                <w:w w:val="92"/>
              </w:rPr>
            </w:pPr>
            <w:hyperlink w:anchor="page96">
              <w:r>
                <w:rPr>
                  <w:rFonts w:ascii="Arial" w:cs="Arial" w:eastAsia="Arial" w:hAnsi="Arial"/>
                  <w:sz w:val="13"/>
                  <w:szCs w:val="13"/>
                  <w:color w:val="0000EE"/>
                  <w:w w:val="92"/>
                </w:rPr>
                <w:t>Exhibits, Financial Statement Schedules</w:t>
              </w:r>
            </w:hyperlink>
          </w:p>
        </w:tc>
        <w:tc>
          <w:tcPr>
            <w:tcW w:w="5860" w:type="dxa"/>
            <w:vAlign w:val="bottom"/>
            <w:gridSpan w:val="12"/>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93</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EX-10U</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1180" w:hanging="493"/>
        <w:spacing w:after="0"/>
        <w:tabs>
          <w:tab w:leader="none" w:pos="118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General History of the Business</w:t>
      </w:r>
    </w:p>
    <w:p>
      <w:pPr>
        <w:spacing w:after="0" w:line="100" w:lineRule="exact"/>
        <w:rPr>
          <w:sz w:val="20"/>
          <w:szCs w:val="20"/>
          <w:color w:val="auto"/>
        </w:rPr>
      </w:pPr>
    </w:p>
    <w:p>
      <w:pPr>
        <w:ind w:left="680" w:right="380" w:firstLine="399"/>
        <w:spacing w:after="0" w:line="260" w:lineRule="auto"/>
        <w:rPr>
          <w:sz w:val="20"/>
          <w:szCs w:val="20"/>
          <w:color w:val="auto"/>
        </w:rPr>
      </w:pPr>
      <w:r>
        <w:rPr>
          <w:rFonts w:ascii="Arial" w:cs="Arial" w:eastAsia="Arial" w:hAnsi="Arial"/>
          <w:sz w:val="13"/>
          <w:szCs w:val="13"/>
          <w:color w:val="auto"/>
        </w:rPr>
        <w:t>Our Company was founded in 1971 and became publicly owned for the first time in 1979. In 1983, American Hospital Supply Corporation (“AHS”) acquired us. When Baxter Travenol Laboratories, Inc. (“Baxter”) acquired AHS in 1985, Baxter divested the Haemonetics business to address antitrust concerns related to the AHS acquisition. As a result, in December 1985, a group of investors that included E. I. du Pont de Nemours and Company and present and former Haemonetics employees purchased us. We were incorporated in Massachusetts in 1985. In May 1991, we completed an initial public offering.</w:t>
      </w:r>
    </w:p>
    <w:p>
      <w:pPr>
        <w:spacing w:after="0" w:line="70"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Historically, Haemonetics has been a medical device company — a pioneer and market leader in developing and manufacturing automated blood component collection devices and surgical blood salvage devices. Our systems help ensure a safe and adequate blood supply and assist blood banks and hospitals in their efforts to operate efficiently and in compliance with regulatory requirements. Our customers are blood and plasma collectors, hospitals and hospital service providers.</w:t>
      </w:r>
    </w:p>
    <w:p>
      <w:pPr>
        <w:spacing w:after="0" w:line="67" w:lineRule="exact"/>
        <w:rPr>
          <w:sz w:val="20"/>
          <w:szCs w:val="20"/>
          <w:color w:val="auto"/>
        </w:rPr>
      </w:pPr>
    </w:p>
    <w:p>
      <w:pPr>
        <w:ind w:left="680" w:right="140" w:firstLine="399"/>
        <w:spacing w:after="0" w:line="281" w:lineRule="auto"/>
        <w:rPr>
          <w:sz w:val="20"/>
          <w:szCs w:val="20"/>
          <w:color w:val="auto"/>
        </w:rPr>
      </w:pPr>
      <w:r>
        <w:rPr>
          <w:rFonts w:ascii="Arial" w:cs="Arial" w:eastAsia="Arial" w:hAnsi="Arial"/>
          <w:sz w:val="12"/>
          <w:szCs w:val="12"/>
          <w:color w:val="auto"/>
        </w:rPr>
        <w:t>Several years ago, we recognized that there was a need for better management of blood to deliver improved quality and clinical outcomes, as well as reduced costs, to hospitals and their patients receiving blood transfusions. We identified specific gaps to be addressed, including the need for information technology platforms that spanned the blood supply chain from blood donation to transfusion, devices that could be integrated with information technology platforms, consulting services that could identify and implement best practices in blood management, and transfusion tracking systems to better assess demand and supply. As a result, Haemonetics set a vision to be the global leader in blood management to address our customers’ needs for better blood management. As the blood supply chain is an integral part of healthcare systems globally and impacts both patient care and healthcare costs, under our blood management solutions vision, our customers are better able to achieve their goal to provide the best patient care at optimal costs. While we continue to be a market leader for blood management devices, our more comprehensive vision for blood management solutions, which incorporates information management and services, is both timely and relevant.</w:t>
      </w:r>
    </w:p>
    <w:p>
      <w:pPr>
        <w:spacing w:after="0" w:line="58"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To achieve our vision, we embarked on a strategy to expand our markets and product portfolio to offer more comprehensive blood management solutions to our customers. Through internal product development and acquisition, we have significantly expanded our product offerings. We now offer devices and related consumables, information technology platforms, and consulting services. Our product portfolio helps hospitals determine blood demand and individual patient treatments, and then implement best practices for blood usage and distribution which are cost effective. For blood and plasma collectors, our product portfolio supports increasing blood supplies, automating manual business processes, and improving efficiencies. Our devices use single-use, proprietary consumables, and these consumable sales represent 87% of our total revenues. By leveraging information technology platforms and consulting services to better understand our customers’ needs, we plan to drive increased utilization of our devices and consumables, creating a significant, recurring revenue stream.</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Over the next several years, we will continue to add to our value proposition in blood management to ultimately link the blood supply chain from the donor to the patient.</w:t>
      </w:r>
    </w:p>
    <w:p>
      <w:pPr>
        <w:spacing w:after="0" w:line="10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Based on our broadened product portfolio and to give clarity to investors on the results of our business, we report revenues for multiple product lines under four global product families: plasma, blood bank, hospital, and software solutions. “Plasma” markets plasma collection devices and consumables. “Blood bank” markets blood collection and processing devices and consumables. “Hospital” markets surgical blood salvage and blood demand diagnostic devices and consumables, and blood distribution systems. The “software solutions” product family consists of information technology platforms and consulting services for blood and plasma collectors and hospitals.</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Each of our products, platforms, and services can be marketed individually. However, as our blood management solutions vision is to offer integrated solutions for blood supply chain management, our software solutions — that is, information technology platforms and consulting services — can be integrated with the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devices and sold through our plasma, blood bank, and hospital sales forces. Our integrated product portfolios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700" w:type="dxa"/>
            <w:vAlign w:val="bottom"/>
          </w:tcPr>
          <w:p>
            <w:pPr>
              <w:spacing w:after="0"/>
              <w:rPr>
                <w:sz w:val="10"/>
                <w:szCs w:val="10"/>
                <w:color w:val="auto"/>
              </w:rPr>
            </w:pPr>
          </w:p>
        </w:tc>
        <w:tc>
          <w:tcPr>
            <w:tcW w:w="2300" w:type="dxa"/>
            <w:vAlign w:val="bottom"/>
            <w:tcBorders>
              <w:bottom w:val="single" w:sz="8" w:color="auto"/>
            </w:tcBorders>
          </w:tcPr>
          <w:p>
            <w:pPr>
              <w:ind w:left="780"/>
              <w:spacing w:after="0"/>
              <w:rPr>
                <w:sz w:val="20"/>
                <w:szCs w:val="20"/>
                <w:color w:val="auto"/>
              </w:rPr>
            </w:pPr>
            <w:r>
              <w:rPr>
                <w:rFonts w:ascii="Arial" w:cs="Arial" w:eastAsia="Arial" w:hAnsi="Arial"/>
                <w:sz w:val="10"/>
                <w:szCs w:val="10"/>
                <w:b w:val="1"/>
                <w:bCs w:val="1"/>
                <w:color w:val="auto"/>
              </w:rPr>
              <w:t>Plasma Products</w:t>
            </w:r>
          </w:p>
        </w:tc>
        <w:tc>
          <w:tcPr>
            <w:tcW w:w="200" w:type="dxa"/>
            <w:vAlign w:val="bottom"/>
          </w:tcPr>
          <w:p>
            <w:pPr>
              <w:spacing w:after="0"/>
              <w:rPr>
                <w:sz w:val="10"/>
                <w:szCs w:val="10"/>
                <w:color w:val="auto"/>
              </w:rPr>
            </w:pPr>
          </w:p>
        </w:tc>
        <w:tc>
          <w:tcPr>
            <w:tcW w:w="2300" w:type="dxa"/>
            <w:vAlign w:val="bottom"/>
            <w:tcBorders>
              <w:bottom w:val="single" w:sz="8" w:color="auto"/>
            </w:tcBorders>
          </w:tcPr>
          <w:p>
            <w:pPr>
              <w:ind w:left="680"/>
              <w:spacing w:after="0"/>
              <w:rPr>
                <w:sz w:val="20"/>
                <w:szCs w:val="20"/>
                <w:color w:val="auto"/>
              </w:rPr>
            </w:pPr>
            <w:r>
              <w:rPr>
                <w:rFonts w:ascii="Arial" w:cs="Arial" w:eastAsia="Arial" w:hAnsi="Arial"/>
                <w:sz w:val="10"/>
                <w:szCs w:val="10"/>
                <w:b w:val="1"/>
                <w:bCs w:val="1"/>
                <w:color w:val="auto"/>
              </w:rPr>
              <w:t>Blood Bank Products</w:t>
            </w:r>
          </w:p>
        </w:tc>
        <w:tc>
          <w:tcPr>
            <w:tcW w:w="200" w:type="dxa"/>
            <w:vAlign w:val="bottom"/>
          </w:tcPr>
          <w:p>
            <w:pPr>
              <w:spacing w:after="0"/>
              <w:rPr>
                <w:sz w:val="10"/>
                <w:szCs w:val="10"/>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Hospital Products</w:t>
            </w:r>
          </w:p>
        </w:tc>
        <w:tc>
          <w:tcPr>
            <w:tcW w:w="0" w:type="dxa"/>
            <w:vAlign w:val="bottom"/>
          </w:tcPr>
          <w:p>
            <w:pPr>
              <w:spacing w:after="0"/>
              <w:rPr>
                <w:sz w:val="1"/>
                <w:szCs w:val="1"/>
                <w:color w:val="auto"/>
              </w:rPr>
            </w:pPr>
          </w:p>
        </w:tc>
      </w:tr>
      <w:tr>
        <w:trPr>
          <w:trHeight w:val="124"/>
        </w:trPr>
        <w:tc>
          <w:tcPr>
            <w:tcW w:w="2700" w:type="dxa"/>
            <w:vAlign w:val="bottom"/>
          </w:tcPr>
          <w:p>
            <w:pPr>
              <w:spacing w:after="0"/>
              <w:rPr>
                <w:sz w:val="20"/>
                <w:szCs w:val="20"/>
                <w:color w:val="auto"/>
              </w:rPr>
            </w:pPr>
            <w:r>
              <w:rPr>
                <w:rFonts w:ascii="Arial" w:cs="Arial" w:eastAsia="Arial" w:hAnsi="Arial"/>
                <w:sz w:val="10"/>
                <w:szCs w:val="10"/>
                <w:b w:val="1"/>
                <w:bCs w:val="1"/>
                <w:color w:val="auto"/>
              </w:rPr>
              <w:t>Information Management</w:t>
            </w:r>
          </w:p>
        </w:tc>
        <w:tc>
          <w:tcPr>
            <w:tcW w:w="2300" w:type="dxa"/>
            <w:vAlign w:val="bottom"/>
          </w:tcPr>
          <w:p>
            <w:pPr>
              <w:ind w:left="40"/>
              <w:spacing w:after="0"/>
              <w:rPr>
                <w:sz w:val="20"/>
                <w:szCs w:val="20"/>
                <w:color w:val="auto"/>
              </w:rPr>
            </w:pPr>
            <w:r>
              <w:rPr>
                <w:rFonts w:ascii="Arial" w:cs="Arial" w:eastAsia="Arial" w:hAnsi="Arial"/>
                <w:sz w:val="10"/>
                <w:szCs w:val="10"/>
                <w:color w:val="auto"/>
              </w:rPr>
              <w:t>— eQue</w:t>
            </w:r>
            <w:r>
              <w:rPr>
                <w:rFonts w:ascii="Arial" w:cs="Arial" w:eastAsia="Arial" w:hAnsi="Arial"/>
                <w:sz w:val="5"/>
                <w:szCs w:val="5"/>
                <w:color w:val="auto"/>
              </w:rPr>
              <w:t>TM</w:t>
            </w:r>
            <w:r>
              <w:rPr>
                <w:rFonts w:ascii="Arial" w:cs="Arial" w:eastAsia="Arial" w:hAnsi="Arial"/>
                <w:sz w:val="10"/>
                <w:szCs w:val="10"/>
                <w:color w:val="auto"/>
              </w:rPr>
              <w:t xml:space="preserve"> Automated donor interview system and</w:t>
            </w:r>
          </w:p>
        </w:tc>
        <w:tc>
          <w:tcPr>
            <w:tcW w:w="200" w:type="dxa"/>
            <w:vAlign w:val="bottom"/>
          </w:tcPr>
          <w:p>
            <w:pPr>
              <w:spacing w:after="0"/>
              <w:rPr>
                <w:sz w:val="10"/>
                <w:szCs w:val="10"/>
                <w:color w:val="auto"/>
              </w:rPr>
            </w:pPr>
          </w:p>
        </w:tc>
        <w:tc>
          <w:tcPr>
            <w:tcW w:w="2300" w:type="dxa"/>
            <w:vAlign w:val="bottom"/>
          </w:tcPr>
          <w:p>
            <w:pPr>
              <w:ind w:left="40"/>
              <w:spacing w:after="0"/>
              <w:rPr>
                <w:sz w:val="20"/>
                <w:szCs w:val="20"/>
                <w:color w:val="auto"/>
              </w:rPr>
            </w:pPr>
            <w:r>
              <w:rPr>
                <w:rFonts w:ascii="Arial" w:cs="Arial" w:eastAsia="Arial" w:hAnsi="Arial"/>
                <w:sz w:val="10"/>
                <w:szCs w:val="10"/>
                <w:color w:val="auto"/>
              </w:rPr>
              <w:t>— eDonor</w:t>
            </w:r>
            <w:r>
              <w:rPr>
                <w:rFonts w:ascii="Arial" w:cs="Arial" w:eastAsia="Arial" w:hAnsi="Arial"/>
                <w:sz w:val="8"/>
                <w:szCs w:val="8"/>
                <w:color w:val="auto"/>
              </w:rPr>
              <w:t>®</w:t>
            </w:r>
            <w:r>
              <w:rPr>
                <w:rFonts w:ascii="Arial" w:cs="Arial" w:eastAsia="Arial" w:hAnsi="Arial"/>
                <w:sz w:val="10"/>
                <w:szCs w:val="10"/>
                <w:color w:val="auto"/>
              </w:rPr>
              <w:t xml:space="preserve"> Blood donor scheduling software and</w:t>
            </w:r>
          </w:p>
        </w:tc>
        <w:tc>
          <w:tcPr>
            <w:tcW w:w="200" w:type="dxa"/>
            <w:vAlign w:val="bottom"/>
          </w:tcPr>
          <w:p>
            <w:pPr>
              <w:spacing w:after="0"/>
              <w:rPr>
                <w:sz w:val="10"/>
                <w:szCs w:val="10"/>
                <w:color w:val="auto"/>
              </w:rPr>
            </w:pPr>
          </w:p>
        </w:tc>
        <w:tc>
          <w:tcPr>
            <w:tcW w:w="2280" w:type="dxa"/>
            <w:vAlign w:val="bottom"/>
          </w:tcPr>
          <w:p>
            <w:pPr>
              <w:ind w:left="20"/>
              <w:spacing w:after="0"/>
              <w:rPr>
                <w:sz w:val="20"/>
                <w:szCs w:val="20"/>
                <w:color w:val="auto"/>
              </w:rPr>
            </w:pPr>
            <w:r>
              <w:rPr>
                <w:rFonts w:ascii="Arial" w:cs="Arial" w:eastAsia="Arial" w:hAnsi="Arial"/>
                <w:sz w:val="10"/>
                <w:szCs w:val="10"/>
                <w:color w:val="auto"/>
                <w:w w:val="96"/>
              </w:rPr>
              <w:t>— SafeTrace TX</w:t>
            </w:r>
            <w:r>
              <w:rPr>
                <w:rFonts w:ascii="Arial" w:cs="Arial" w:eastAsia="Arial" w:hAnsi="Arial"/>
                <w:sz w:val="8"/>
                <w:szCs w:val="8"/>
                <w:color w:val="auto"/>
                <w:w w:val="96"/>
              </w:rPr>
              <w:t>®</w:t>
            </w:r>
            <w:r>
              <w:rPr>
                <w:rFonts w:ascii="Arial" w:cs="Arial" w:eastAsia="Arial" w:hAnsi="Arial"/>
                <w:sz w:val="10"/>
                <w:szCs w:val="10"/>
                <w:color w:val="auto"/>
                <w:w w:val="96"/>
              </w:rPr>
              <w:t xml:space="preserve"> Transfusion management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20"/>
              <w:spacing w:after="0" w:line="108" w:lineRule="exact"/>
              <w:rPr>
                <w:sz w:val="20"/>
                <w:szCs w:val="20"/>
                <w:color w:val="auto"/>
              </w:rPr>
            </w:pPr>
            <w:r>
              <w:rPr>
                <w:rFonts w:ascii="Arial" w:cs="Arial" w:eastAsia="Arial" w:hAnsi="Arial"/>
                <w:sz w:val="10"/>
                <w:szCs w:val="10"/>
                <w:color w:val="auto"/>
              </w:rPr>
              <w:t>database</w:t>
            </w: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services</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and software</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eLynx</w:t>
            </w:r>
            <w:r>
              <w:rPr>
                <w:rFonts w:ascii="Arial" w:cs="Arial" w:eastAsia="Arial" w:hAnsi="Arial"/>
                <w:sz w:val="8"/>
                <w:szCs w:val="8"/>
                <w:color w:val="auto"/>
              </w:rPr>
              <w:t>®</w:t>
            </w:r>
            <w:r>
              <w:rPr>
                <w:rFonts w:ascii="Arial" w:cs="Arial" w:eastAsia="Arial" w:hAnsi="Arial"/>
                <w:sz w:val="10"/>
                <w:szCs w:val="10"/>
                <w:color w:val="auto"/>
              </w:rPr>
              <w:t xml:space="preserve"> Donor workflow optimization software</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Hemasphere</w:t>
            </w:r>
            <w:r>
              <w:rPr>
                <w:rFonts w:ascii="Arial" w:cs="Arial" w:eastAsia="Arial" w:hAnsi="Arial"/>
                <w:sz w:val="8"/>
                <w:szCs w:val="8"/>
                <w:color w:val="auto"/>
                <w:w w:val="95"/>
              </w:rPr>
              <w:t>®</w:t>
            </w:r>
            <w:r>
              <w:rPr>
                <w:rFonts w:ascii="Arial" w:cs="Arial" w:eastAsia="Arial" w:hAnsi="Arial"/>
                <w:sz w:val="10"/>
                <w:szCs w:val="10"/>
                <w:color w:val="auto"/>
                <w:w w:val="95"/>
              </w:rPr>
              <w:t xml:space="preserve"> Blood center process management</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w w:val="99"/>
              </w:rPr>
              <w:t>— BloodTrack Manager</w:t>
            </w:r>
            <w:r>
              <w:rPr>
                <w:rFonts w:ascii="Arial" w:cs="Arial" w:eastAsia="Arial" w:hAnsi="Arial"/>
                <w:sz w:val="5"/>
                <w:szCs w:val="5"/>
                <w:color w:val="auto"/>
                <w:w w:val="99"/>
              </w:rPr>
              <w:t>TM</w:t>
            </w:r>
            <w:r>
              <w:rPr>
                <w:rFonts w:ascii="Arial" w:cs="Arial" w:eastAsia="Arial" w:hAnsi="Arial"/>
                <w:sz w:val="10"/>
                <w:szCs w:val="10"/>
                <w:color w:val="auto"/>
                <w:w w:val="99"/>
              </w:rPr>
              <w:t xml:space="preserve"> Repository for blood unit</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DMS Blood component collection donor</w:t>
            </w: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software</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movement records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20"/>
              <w:spacing w:after="0" w:line="108" w:lineRule="exact"/>
              <w:rPr>
                <w:sz w:val="20"/>
                <w:szCs w:val="20"/>
                <w:color w:val="auto"/>
              </w:rPr>
            </w:pPr>
            <w:r>
              <w:rPr>
                <w:rFonts w:ascii="Arial" w:cs="Arial" w:eastAsia="Arial" w:hAnsi="Arial"/>
                <w:sz w:val="10"/>
                <w:szCs w:val="10"/>
                <w:color w:val="auto"/>
              </w:rPr>
              <w:t>management</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SafeTrace</w:t>
            </w:r>
            <w:r>
              <w:rPr>
                <w:rFonts w:ascii="Arial" w:cs="Arial" w:eastAsia="Arial" w:hAnsi="Arial"/>
                <w:sz w:val="8"/>
                <w:szCs w:val="8"/>
                <w:color w:val="auto"/>
                <w:w w:val="95"/>
              </w:rPr>
              <w:t>®</w:t>
            </w:r>
            <w:r>
              <w:rPr>
                <w:rFonts w:ascii="Arial" w:cs="Arial" w:eastAsia="Arial" w:hAnsi="Arial"/>
                <w:sz w:val="10"/>
                <w:szCs w:val="10"/>
                <w:color w:val="auto"/>
                <w:w w:val="95"/>
              </w:rPr>
              <w:t xml:space="preserve"> Blood donor information management</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BloodTrack</w:t>
            </w:r>
            <w:r>
              <w:rPr>
                <w:rFonts w:ascii="Arial" w:cs="Arial" w:eastAsia="Arial" w:hAnsi="Arial"/>
                <w:sz w:val="8"/>
                <w:szCs w:val="8"/>
                <w:color w:val="auto"/>
              </w:rPr>
              <w:t>®</w:t>
            </w:r>
            <w:r>
              <w:rPr>
                <w:rFonts w:ascii="Arial" w:cs="Arial" w:eastAsia="Arial" w:hAnsi="Arial"/>
                <w:sz w:val="10"/>
                <w:szCs w:val="10"/>
                <w:color w:val="auto"/>
              </w:rPr>
              <w:t xml:space="preserve"> Enquiry</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CaPS Secure plasma donor payment systems</w:t>
            </w: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system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BloodTrack</w:t>
            </w:r>
            <w:r>
              <w:rPr>
                <w:rFonts w:ascii="Arial" w:cs="Arial" w:eastAsia="Arial" w:hAnsi="Arial"/>
                <w:sz w:val="8"/>
                <w:szCs w:val="8"/>
                <w:color w:val="auto"/>
              </w:rPr>
              <w:t>®</w:t>
            </w:r>
            <w:r>
              <w:rPr>
                <w:rFonts w:ascii="Arial" w:cs="Arial" w:eastAsia="Arial" w:hAnsi="Arial"/>
                <w:sz w:val="10"/>
                <w:szCs w:val="10"/>
                <w:color w:val="auto"/>
              </w:rPr>
              <w:t xml:space="preserve"> Advisor</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LOGIC Plasma product inventory management</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eQue platform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IMPACT Online</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20"/>
              <w:spacing w:after="0" w:line="108" w:lineRule="exact"/>
              <w:rPr>
                <w:sz w:val="20"/>
                <w:szCs w:val="20"/>
                <w:color w:val="auto"/>
              </w:rPr>
            </w:pPr>
            <w:r>
              <w:rPr>
                <w:rFonts w:ascii="Arial" w:cs="Arial" w:eastAsia="Arial" w:hAnsi="Arial"/>
                <w:sz w:val="10"/>
                <w:szCs w:val="10"/>
                <w:color w:val="auto"/>
              </w:rPr>
              <w:t>solution</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eLynx platform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Edgecell</w:t>
            </w:r>
            <w:r>
              <w:rPr>
                <w:rFonts w:ascii="Arial" w:cs="Arial" w:eastAsia="Arial" w:hAnsi="Arial"/>
                <w:sz w:val="5"/>
                <w:szCs w:val="5"/>
                <w:color w:val="auto"/>
              </w:rPr>
              <w:t>TM</w:t>
            </w:r>
            <w:r>
              <w:rPr>
                <w:rFonts w:ascii="Arial" w:cs="Arial" w:eastAsia="Arial" w:hAnsi="Arial"/>
                <w:sz w:val="10"/>
                <w:szCs w:val="10"/>
                <w:color w:val="auto"/>
              </w:rPr>
              <w:t xml:space="preserve"> Tissue, organ and cell bank</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Business dashboards</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Sapanet</w:t>
            </w:r>
            <w:r>
              <w:rPr>
                <w:rFonts w:ascii="Arial" w:cs="Arial" w:eastAsia="Arial" w:hAnsi="Arial"/>
                <w:sz w:val="5"/>
                <w:szCs w:val="5"/>
                <w:color w:val="auto"/>
                <w:w w:val="95"/>
              </w:rPr>
              <w:t>TM</w:t>
            </w:r>
            <w:r>
              <w:rPr>
                <w:rFonts w:ascii="Arial" w:cs="Arial" w:eastAsia="Arial" w:hAnsi="Arial"/>
                <w:sz w:val="10"/>
                <w:szCs w:val="10"/>
                <w:color w:val="auto"/>
                <w:w w:val="95"/>
              </w:rPr>
              <w:t xml:space="preserve"> Laboratory quality management system</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management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6"/>
              </w:rPr>
              <w:t>— IMPACT</w:t>
            </w:r>
            <w:r>
              <w:rPr>
                <w:rFonts w:ascii="Arial" w:cs="Arial" w:eastAsia="Arial" w:hAnsi="Arial"/>
                <w:sz w:val="5"/>
                <w:szCs w:val="5"/>
                <w:color w:val="auto"/>
                <w:w w:val="96"/>
              </w:rPr>
              <w:t>TM</w:t>
            </w:r>
            <w:r>
              <w:rPr>
                <w:rFonts w:ascii="Arial" w:cs="Arial" w:eastAsia="Arial" w:hAnsi="Arial"/>
                <w:sz w:val="10"/>
                <w:szCs w:val="10"/>
                <w:color w:val="auto"/>
                <w:w w:val="96"/>
              </w:rPr>
              <w:t xml:space="preserve"> Business consulting, advisory services</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Edgelab</w:t>
            </w:r>
            <w:r>
              <w:rPr>
                <w:rFonts w:ascii="Arial" w:cs="Arial" w:eastAsia="Arial" w:hAnsi="Arial"/>
                <w:sz w:val="5"/>
                <w:szCs w:val="5"/>
                <w:color w:val="auto"/>
              </w:rPr>
              <w:t>TM</w:t>
            </w:r>
            <w:r>
              <w:rPr>
                <w:rFonts w:ascii="Arial" w:cs="Arial" w:eastAsia="Arial" w:hAnsi="Arial"/>
                <w:sz w:val="10"/>
                <w:szCs w:val="10"/>
                <w:color w:val="auto"/>
              </w:rPr>
              <w:t xml:space="preserve"> Laboratory management system for</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Edgeblood</w:t>
            </w:r>
            <w:r>
              <w:rPr>
                <w:rFonts w:ascii="Arial" w:cs="Arial" w:eastAsia="Arial" w:hAnsi="Arial"/>
                <w:sz w:val="5"/>
                <w:szCs w:val="5"/>
                <w:color w:val="auto"/>
                <w:w w:val="95"/>
              </w:rPr>
              <w:t>TM</w:t>
            </w:r>
            <w:r>
              <w:rPr>
                <w:rFonts w:ascii="Arial" w:cs="Arial" w:eastAsia="Arial" w:hAnsi="Arial"/>
                <w:sz w:val="10"/>
                <w:szCs w:val="10"/>
                <w:color w:val="auto"/>
                <w:w w:val="95"/>
              </w:rPr>
              <w:t xml:space="preserve"> Transfusion traceability management</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hospitals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system</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Surround</w:t>
            </w:r>
            <w:r>
              <w:rPr>
                <w:rFonts w:ascii="Arial" w:cs="Arial" w:eastAsia="Arial" w:hAnsi="Arial"/>
                <w:sz w:val="5"/>
                <w:szCs w:val="5"/>
                <w:color w:val="auto"/>
              </w:rPr>
              <w:t>TM</w:t>
            </w:r>
            <w:r>
              <w:rPr>
                <w:rFonts w:ascii="Arial" w:cs="Arial" w:eastAsia="Arial" w:hAnsi="Arial"/>
                <w:sz w:val="10"/>
                <w:szCs w:val="10"/>
                <w:color w:val="auto"/>
              </w:rPr>
              <w:t xml:space="preserve"> Intelligent laboratory management</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software</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El Dorado Donor</w:t>
            </w:r>
            <w:r>
              <w:rPr>
                <w:rFonts w:ascii="Arial" w:cs="Arial" w:eastAsia="Arial" w:hAnsi="Arial"/>
                <w:sz w:val="7"/>
                <w:szCs w:val="7"/>
                <w:color w:val="auto"/>
              </w:rPr>
              <w:t>®</w:t>
            </w:r>
            <w:r>
              <w:rPr>
                <w:rFonts w:ascii="Arial" w:cs="Arial" w:eastAsia="Arial" w:hAnsi="Arial"/>
                <w:sz w:val="10"/>
                <w:szCs w:val="10"/>
                <w:color w:val="auto"/>
              </w:rPr>
              <w:t xml:space="preserve"> Blood collection center</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Devices/consumables</w:t>
            </w: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management software</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7"/>
              </w:rPr>
              <w:t>— PCS</w:t>
            </w:r>
            <w:r>
              <w:rPr>
                <w:rFonts w:ascii="Arial" w:cs="Arial" w:eastAsia="Arial" w:hAnsi="Arial"/>
                <w:sz w:val="8"/>
                <w:szCs w:val="8"/>
                <w:color w:val="auto"/>
                <w:w w:val="97"/>
              </w:rPr>
              <w:t>®</w:t>
            </w:r>
            <w:r>
              <w:rPr>
                <w:rFonts w:ascii="Arial" w:cs="Arial" w:eastAsia="Arial" w:hAnsi="Arial"/>
                <w:sz w:val="10"/>
                <w:szCs w:val="10"/>
                <w:color w:val="auto"/>
                <w:w w:val="97"/>
              </w:rPr>
              <w:t xml:space="preserve"> Portable plasma collection and processing</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MCS</w:t>
            </w:r>
            <w:r>
              <w:rPr>
                <w:rFonts w:ascii="Arial" w:cs="Arial" w:eastAsia="Arial" w:hAnsi="Arial"/>
                <w:sz w:val="8"/>
                <w:szCs w:val="8"/>
                <w:color w:val="auto"/>
              </w:rPr>
              <w:t>®</w:t>
            </w:r>
            <w:r>
              <w:rPr>
                <w:rFonts w:ascii="Arial" w:cs="Arial" w:eastAsia="Arial" w:hAnsi="Arial"/>
                <w:sz w:val="10"/>
                <w:szCs w:val="10"/>
                <w:color w:val="auto"/>
              </w:rPr>
              <w:t xml:space="preserve"> Mobile collection system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Cell Saver</w:t>
            </w:r>
            <w:r>
              <w:rPr>
                <w:rFonts w:ascii="Arial" w:cs="Arial" w:eastAsia="Arial" w:hAnsi="Arial"/>
                <w:sz w:val="7"/>
                <w:szCs w:val="7"/>
                <w:color w:val="auto"/>
              </w:rPr>
              <w:t>®</w:t>
            </w:r>
            <w:r>
              <w:rPr>
                <w:rFonts w:ascii="Arial" w:cs="Arial" w:eastAsia="Arial" w:hAnsi="Arial"/>
                <w:sz w:val="10"/>
                <w:szCs w:val="10"/>
                <w:color w:val="auto"/>
              </w:rPr>
              <w:t xml:space="preserve"> Autologous blood recovery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20"/>
              <w:spacing w:after="0" w:line="108" w:lineRule="exact"/>
              <w:rPr>
                <w:sz w:val="20"/>
                <w:szCs w:val="20"/>
                <w:color w:val="auto"/>
              </w:rPr>
            </w:pPr>
            <w:r>
              <w:rPr>
                <w:rFonts w:ascii="Arial" w:cs="Arial" w:eastAsia="Arial" w:hAnsi="Arial"/>
                <w:sz w:val="10"/>
                <w:szCs w:val="10"/>
                <w:color w:val="auto"/>
              </w:rPr>
              <w:t>system</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Cymbal</w:t>
            </w:r>
            <w:r>
              <w:rPr>
                <w:rFonts w:ascii="Arial" w:cs="Arial" w:eastAsia="Arial" w:hAnsi="Arial"/>
                <w:sz w:val="8"/>
                <w:szCs w:val="8"/>
                <w:color w:val="auto"/>
              </w:rPr>
              <w:t>®</w:t>
            </w:r>
            <w:r>
              <w:rPr>
                <w:rFonts w:ascii="Arial" w:cs="Arial" w:eastAsia="Arial" w:hAnsi="Arial"/>
                <w:sz w:val="10"/>
                <w:szCs w:val="10"/>
                <w:color w:val="auto"/>
              </w:rPr>
              <w:t xml:space="preserve"> Automated blood collection system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OrthoPAT</w:t>
            </w:r>
            <w:r>
              <w:rPr>
                <w:rFonts w:ascii="Arial" w:cs="Arial" w:eastAsia="Arial" w:hAnsi="Arial"/>
                <w:sz w:val="8"/>
                <w:szCs w:val="8"/>
                <w:color w:val="auto"/>
              </w:rPr>
              <w:t>®</w:t>
            </w:r>
            <w:r>
              <w:rPr>
                <w:rFonts w:ascii="Arial" w:cs="Arial" w:eastAsia="Arial" w:hAnsi="Arial"/>
                <w:sz w:val="10"/>
                <w:szCs w:val="10"/>
                <w:color w:val="auto"/>
              </w:rPr>
              <w:t xml:space="preserve"> Peri — and post — operative blood</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Express</w:t>
            </w:r>
            <w:r>
              <w:rPr>
                <w:rFonts w:ascii="Arial" w:cs="Arial" w:eastAsia="Arial" w:hAnsi="Arial"/>
                <w:sz w:val="5"/>
                <w:szCs w:val="5"/>
                <w:color w:val="auto"/>
              </w:rPr>
              <w:t>TM</w:t>
            </w:r>
            <w:r>
              <w:rPr>
                <w:rFonts w:ascii="Arial" w:cs="Arial" w:eastAsia="Arial" w:hAnsi="Arial"/>
                <w:sz w:val="10"/>
                <w:szCs w:val="10"/>
                <w:color w:val="auto"/>
              </w:rPr>
              <w:t xml:space="preserve"> Plasma collection software</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ACP</w:t>
            </w:r>
            <w:r>
              <w:rPr>
                <w:rFonts w:ascii="Arial" w:cs="Arial" w:eastAsia="Arial" w:hAnsi="Arial"/>
                <w:sz w:val="8"/>
                <w:szCs w:val="8"/>
                <w:color w:val="auto"/>
              </w:rPr>
              <w:t>®</w:t>
            </w:r>
            <w:r>
              <w:rPr>
                <w:rFonts w:ascii="Arial" w:cs="Arial" w:eastAsia="Arial" w:hAnsi="Arial"/>
                <w:sz w:val="10"/>
                <w:szCs w:val="10"/>
                <w:color w:val="auto"/>
              </w:rPr>
              <w:t xml:space="preserve"> Automated cell processing system</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salvage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20"/>
              <w:spacing w:after="0" w:line="108" w:lineRule="exact"/>
              <w:rPr>
                <w:sz w:val="20"/>
                <w:szCs w:val="20"/>
                <w:color w:val="auto"/>
              </w:rPr>
            </w:pPr>
            <w:r>
              <w:rPr>
                <w:rFonts w:ascii="Arial" w:cs="Arial" w:eastAsia="Arial" w:hAnsi="Arial"/>
                <w:sz w:val="10"/>
                <w:szCs w:val="10"/>
                <w:color w:val="auto"/>
              </w:rPr>
              <w:t>enhancement</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SEBRA shakers</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cardioPAT</w:t>
            </w:r>
            <w:r>
              <w:rPr>
                <w:rFonts w:ascii="Arial" w:cs="Arial" w:eastAsia="Arial" w:hAnsi="Arial"/>
                <w:sz w:val="8"/>
                <w:szCs w:val="8"/>
                <w:color w:val="auto"/>
              </w:rPr>
              <w:t>®</w:t>
            </w:r>
            <w:r>
              <w:rPr>
                <w:rFonts w:ascii="Arial" w:cs="Arial" w:eastAsia="Arial" w:hAnsi="Arial"/>
                <w:sz w:val="10"/>
                <w:szCs w:val="10"/>
                <w:color w:val="auto"/>
              </w:rPr>
              <w:t xml:space="preserve"> Blood salvage for cardiovascular</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SEBRA</w:t>
            </w:r>
            <w:r>
              <w:rPr>
                <w:rFonts w:ascii="Arial" w:cs="Arial" w:eastAsia="Arial" w:hAnsi="Arial"/>
                <w:sz w:val="8"/>
                <w:szCs w:val="8"/>
                <w:color w:val="auto"/>
              </w:rPr>
              <w:t>®</w:t>
            </w:r>
            <w:r>
              <w:rPr>
                <w:rFonts w:ascii="Arial" w:cs="Arial" w:eastAsia="Arial" w:hAnsi="Arial"/>
                <w:sz w:val="10"/>
                <w:szCs w:val="10"/>
                <w:color w:val="auto"/>
              </w:rPr>
              <w:t xml:space="preserve"> shakers</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SEBRA sealers</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surgeries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SEBRA</w:t>
            </w:r>
            <w:r>
              <w:rPr>
                <w:rFonts w:ascii="Arial" w:cs="Arial" w:eastAsia="Arial" w:hAnsi="Arial"/>
                <w:sz w:val="8"/>
                <w:szCs w:val="8"/>
                <w:color w:val="auto"/>
              </w:rPr>
              <w:t>®</w:t>
            </w:r>
            <w:r>
              <w:rPr>
                <w:rFonts w:ascii="Arial" w:cs="Arial" w:eastAsia="Arial" w:hAnsi="Arial"/>
                <w:sz w:val="10"/>
                <w:szCs w:val="10"/>
                <w:color w:val="auto"/>
              </w:rPr>
              <w:t xml:space="preserve"> sealers</w:t>
            </w: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SmartSuction</w:t>
            </w:r>
            <w:r>
              <w:rPr>
                <w:rFonts w:ascii="Arial" w:cs="Arial" w:eastAsia="Arial" w:hAnsi="Arial"/>
                <w:sz w:val="7"/>
                <w:szCs w:val="7"/>
                <w:color w:val="auto"/>
              </w:rPr>
              <w:t>®</w:t>
            </w:r>
            <w:r>
              <w:rPr>
                <w:rFonts w:ascii="Arial" w:cs="Arial" w:eastAsia="Arial" w:hAnsi="Arial"/>
                <w:sz w:val="10"/>
                <w:szCs w:val="10"/>
                <w:color w:val="auto"/>
              </w:rPr>
              <w:t xml:space="preserve"> Surgical suite blood loss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management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w w:val="98"/>
              </w:rPr>
              <w:t>— TEG</w:t>
            </w:r>
            <w:r>
              <w:rPr>
                <w:rFonts w:ascii="Arial" w:cs="Arial" w:eastAsia="Arial" w:hAnsi="Arial"/>
                <w:sz w:val="8"/>
                <w:szCs w:val="8"/>
                <w:color w:val="auto"/>
                <w:w w:val="98"/>
              </w:rPr>
              <w:t>®</w:t>
            </w:r>
            <w:r>
              <w:rPr>
                <w:rFonts w:ascii="Arial" w:cs="Arial" w:eastAsia="Arial" w:hAnsi="Arial"/>
                <w:sz w:val="10"/>
                <w:szCs w:val="10"/>
                <w:color w:val="auto"/>
                <w:w w:val="98"/>
              </w:rPr>
              <w:t xml:space="preserve"> Computerized blood testing and analyzing</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device</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w w:val="97"/>
              </w:rPr>
              <w:t>— BloodTrack</w:t>
            </w:r>
            <w:r>
              <w:rPr>
                <w:rFonts w:ascii="Arial" w:cs="Arial" w:eastAsia="Arial" w:hAnsi="Arial"/>
                <w:sz w:val="8"/>
                <w:szCs w:val="8"/>
                <w:color w:val="auto"/>
                <w:w w:val="97"/>
              </w:rPr>
              <w:t>®</w:t>
            </w:r>
            <w:r>
              <w:rPr>
                <w:rFonts w:ascii="Arial" w:cs="Arial" w:eastAsia="Arial" w:hAnsi="Arial"/>
                <w:sz w:val="10"/>
                <w:szCs w:val="10"/>
                <w:color w:val="auto"/>
                <w:w w:val="97"/>
              </w:rPr>
              <w:t xml:space="preserve"> Blood and transfusion management</w:t>
            </w: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Consulting Services</w:t>
            </w: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software</w:t>
            </w: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Six Sigma</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Six Sigma</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Six Sigma</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Lean manufacturing</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Lean manufacturing</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Lean manufacturing</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Business solutions</w:t>
            </w: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Donor recruitment</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 use optimization software validation</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Automation Nation</w:t>
            </w:r>
            <w:r>
              <w:rPr>
                <w:rFonts w:ascii="Arial" w:cs="Arial" w:eastAsia="Arial" w:hAnsi="Arial"/>
                <w:sz w:val="5"/>
                <w:szCs w:val="5"/>
                <w:color w:val="auto"/>
              </w:rPr>
              <w:t>TM</w:t>
            </w:r>
            <w:r>
              <w:rPr>
                <w:rFonts w:ascii="Arial" w:cs="Arial" w:eastAsia="Arial" w:hAnsi="Arial"/>
                <w:sz w:val="10"/>
                <w:szCs w:val="10"/>
                <w:color w:val="auto"/>
              </w:rPr>
              <w:t xml:space="preserve"> Consulting services for</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blood collectors — Collection optimization software</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0"/>
                <w:szCs w:val="10"/>
                <w:color w:val="auto"/>
              </w:rPr>
              <w:t>Validation</w:t>
            </w:r>
          </w:p>
        </w:tc>
        <w:tc>
          <w:tcPr>
            <w:tcW w:w="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Our principal operations are in the United States, Europe, and Japan. Our products are marketed in more than 80 countries around the world via a direct sales force as well as independent distributors and agents.</w:t>
      </w:r>
    </w:p>
    <w:p>
      <w:pPr>
        <w:spacing w:after="0" w:line="59" w:lineRule="exact"/>
        <w:rPr>
          <w:sz w:val="20"/>
          <w:szCs w:val="20"/>
          <w:color w:val="auto"/>
        </w:rPr>
      </w:pPr>
    </w:p>
    <w:p>
      <w:pPr>
        <w:ind w:left="680" w:right="140" w:firstLine="399"/>
        <w:spacing w:after="0" w:line="334" w:lineRule="auto"/>
        <w:rPr>
          <w:sz w:val="20"/>
          <w:szCs w:val="20"/>
          <w:color w:val="auto"/>
        </w:rPr>
      </w:pPr>
      <w:r>
        <w:rPr>
          <w:rFonts w:ascii="Arial" w:cs="Arial" w:eastAsia="Arial" w:hAnsi="Arial"/>
          <w:sz w:val="11"/>
          <w:szCs w:val="11"/>
          <w:color w:val="auto"/>
        </w:rPr>
        <w:t>In fiscal year 2010, we remained focused on our blood management solutions vision and executed on our plan to expand our business offerings through internal development and acquisition. We automated our blood management consulting services to enable us to provide these services to more customers at a faster rate. We launched IMPACT Online to give customers a dashboard tool for monitoring and making changes to blood use that improve quality and clinical outcomes and reduce costs. And we continued development of our automated</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40"/>
        <w:spacing w:after="0" w:line="276" w:lineRule="auto"/>
        <w:rPr>
          <w:sz w:val="20"/>
          <w:szCs w:val="20"/>
          <w:color w:val="auto"/>
        </w:rPr>
      </w:pPr>
      <w:r>
        <w:rPr>
          <w:rFonts w:ascii="Arial" w:cs="Arial" w:eastAsia="Arial" w:hAnsi="Arial"/>
          <w:sz w:val="13"/>
          <w:szCs w:val="13"/>
          <w:color w:val="auto"/>
        </w:rPr>
        <w:t>whole blood collection system. We also acquired three businesses: (1) Neoteric Technology Ltd., (2) the biological collection and processing division of SEBRA, and (3) Global Med Technologies, Inc. Each acquisition had strategic value to our blood management solutions vision.</w:t>
      </w:r>
    </w:p>
    <w:p>
      <w:pPr>
        <w:spacing w:after="0" w:line="59"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also remained focused on core business growth. We launched the Express protocol for our plasma customers. With the rapid growth in the plasma business, collectors are constantly looking for new ways to improve efficiency. The Express protocol speeds up plasma donation times on our PCS system, thereby increasing throughput of donors. We expanded and formalized our consulting service offerings for blood and plasma collectors. We made considerable progress on a next generation Cell Saver system to address the changing business needs of our hospital customers.</w:t>
      </w:r>
    </w:p>
    <w:p>
      <w:pPr>
        <w:spacing w:after="0" w:line="144" w:lineRule="exact"/>
        <w:rPr>
          <w:sz w:val="20"/>
          <w:szCs w:val="20"/>
          <w:color w:val="auto"/>
        </w:rPr>
      </w:pPr>
    </w:p>
    <w:p>
      <w:pPr>
        <w:ind w:left="1180" w:hanging="493"/>
        <w:spacing w:after="0"/>
        <w:tabs>
          <w:tab w:leader="none" w:pos="11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Information about Industry Segments</w:t>
      </w:r>
    </w:p>
    <w:p>
      <w:pPr>
        <w:spacing w:after="0" w:line="10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Although we address our customer constituents through multiple product lines (plasma, blood bank, hospital, and software solutions), we manage our business as one operating segment. Our chief operating decision maker uses consolidated financial results to make operating and strategic decisions. Design and manufacturing processes, as well as the regulatory environment in which we operate, are largely the same for all product lines.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The financial information required for the business segment is included herein in Note 15 of the financial statements, entitled </w:t>
      </w:r>
      <w:r>
        <w:rPr>
          <w:rFonts w:ascii="Arial" w:cs="Arial" w:eastAsia="Arial" w:hAnsi="Arial"/>
          <w:sz w:val="12"/>
          <w:szCs w:val="12"/>
          <w:i w:val="1"/>
          <w:iCs w:val="1"/>
          <w:color w:val="auto"/>
        </w:rPr>
        <w:t>Segment, Geographic and Customer Information</w:t>
      </w:r>
      <w:r>
        <w:rPr>
          <w:rFonts w:ascii="Arial" w:cs="Arial" w:eastAsia="Arial" w:hAnsi="Arial"/>
          <w:sz w:val="12"/>
          <w:szCs w:val="12"/>
          <w:color w:val="auto"/>
        </w:rPr>
        <w:t>.</w:t>
      </w:r>
    </w:p>
    <w:p>
      <w:pPr>
        <w:spacing w:after="0" w:line="182" w:lineRule="exact"/>
        <w:rPr>
          <w:sz w:val="20"/>
          <w:szCs w:val="20"/>
          <w:color w:val="auto"/>
        </w:rPr>
      </w:pPr>
    </w:p>
    <w:p>
      <w:pPr>
        <w:ind w:left="1180" w:hanging="493"/>
        <w:spacing w:after="0"/>
        <w:tabs>
          <w:tab w:leader="none" w:pos="11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Narrative Description of the Business</w:t>
      </w:r>
    </w:p>
    <w:p>
      <w:pPr>
        <w:spacing w:after="0" w:line="100" w:lineRule="exact"/>
        <w:rPr>
          <w:rFonts w:ascii="Arial" w:cs="Arial" w:eastAsia="Arial" w:hAnsi="Arial"/>
          <w:sz w:val="13"/>
          <w:szCs w:val="13"/>
          <w:b w:val="1"/>
          <w:bCs w:val="1"/>
          <w:color w:val="auto"/>
        </w:rPr>
      </w:pPr>
    </w:p>
    <w:p>
      <w:pPr>
        <w:ind w:left="1080" w:hanging="262"/>
        <w:spacing w:after="0"/>
        <w:tabs>
          <w:tab w:leader="none" w:pos="1080" w:val="left"/>
        </w:tabs>
        <w:numPr>
          <w:ilvl w:val="1"/>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Products and Solutions</w:t>
      </w:r>
    </w:p>
    <w:p>
      <w:pPr>
        <w:spacing w:after="0" w:line="96"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color w:val="auto"/>
        </w:rPr>
        <w:t>We market a full suite of products, including devices and consumables, information technology platforms, and consulting services for plasma collectors, blood collectors, and hospitals to better manage blood supply and demand. Specifically, we develop and market a variety of systems used with plasma and blood donors to automate the collection and processing of blood into its components: plasma, platelets, and red cells. The different components have different clinical applications. For example, plasma can be manufactured into pharmaceuticals to treat a variety of illnesses and hereditary disorders such as hemophilia; red cells treat trauma patients or patients undergoing major surgeries involving high blood loss, such as open heart surgery or organ transplant; and platelets treat cancer patients undergoing chemotherapy. We also develop and market a variety of systems to hospitals that automate the cleaning and reinfusion of a surgical patient’s blood during surgery, automate the tracking and distribution of blood in the hospital, and enhance blood diagnostics. We also market information technology platforms to promote efficient and compliant operations for all of our customer groups. Finally, we market consulting services to support best practices in blood management.</w:t>
      </w:r>
    </w:p>
    <w:p>
      <w:pPr>
        <w:spacing w:after="0" w:line="46" w:lineRule="exact"/>
        <w:rPr>
          <w:sz w:val="20"/>
          <w:szCs w:val="20"/>
          <w:color w:val="auto"/>
        </w:rPr>
      </w:pPr>
    </w:p>
    <w:p>
      <w:pPr>
        <w:jc w:val="both"/>
        <w:ind w:left="680" w:right="400" w:firstLine="399"/>
        <w:spacing w:after="0" w:line="296" w:lineRule="auto"/>
        <w:rPr>
          <w:sz w:val="20"/>
          <w:szCs w:val="20"/>
          <w:color w:val="auto"/>
        </w:rPr>
      </w:pPr>
      <w:r>
        <w:rPr>
          <w:rFonts w:ascii="Arial" w:cs="Arial" w:eastAsia="Arial" w:hAnsi="Arial"/>
          <w:sz w:val="12"/>
          <w:szCs w:val="12"/>
          <w:color w:val="auto"/>
        </w:rPr>
        <w:t>As noted in the General History of the Business, we report revenues for multiple product lines: plasma, blood bank, hospital, and software solutions. However, our information technology platforms and consulting services are used in conjunction with our plasma, blood bank, and hospital devices. Therefore, to give better clarity to our markets, the following description of each business includes devices, information technology, and services grouped by customer rather than breaking out our product offerings separately.</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PLASMA FAMILY OF PRODUCTS AND SOLUTIONS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Plasma Collection Market for Fractionation</w:t>
      </w:r>
    </w:p>
    <w:p>
      <w:pPr>
        <w:spacing w:after="0" w:line="96" w:lineRule="exact"/>
        <w:rPr>
          <w:sz w:val="20"/>
          <w:szCs w:val="20"/>
          <w:color w:val="auto"/>
        </w:rPr>
      </w:pPr>
    </w:p>
    <w:p>
      <w:pPr>
        <w:ind w:left="680" w:right="140" w:firstLine="399"/>
        <w:spacing w:after="0" w:line="258" w:lineRule="auto"/>
        <w:rPr>
          <w:sz w:val="20"/>
          <w:szCs w:val="20"/>
          <w:color w:val="auto"/>
        </w:rPr>
      </w:pPr>
      <w:r>
        <w:rPr>
          <w:rFonts w:ascii="Arial" w:cs="Arial" w:eastAsia="Arial" w:hAnsi="Arial"/>
          <w:sz w:val="13"/>
          <w:szCs w:val="13"/>
          <w:color w:val="auto"/>
        </w:rPr>
        <w:t>Automated plasma collection technology allows for the safe and efficient collection of plasma from donors who are often paid a fee for their plasma donation. There are approximately 22 million liters of plasma obtained from automated collections worldwide annually. The plasma collected is processed (“fractionated”) by pharmaceutical companies into therapeutic and diagnostic products that aid in the treatment of immune diseases, coagulation disorders, and blood loss from trauma. Plasma is also used in the manufacture of vaccines and blood testing and quality control reagents. We market plasma collection devices, but our business does not include the actual collection, fractionation, or distribution of plasma-derived pharmaceuticals.</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As a result of efforts by the bio-pharmaceutical companies to vertically integrate, most of these companies also collect and fractionate the plasma required to manufacture their pharmaceuticals. This vertical integration paved the way for highly efficient plasma supply chain management and the plasma industry leverages information technology to manage operations from the point of plasma donation to fractionation of the final product.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Automated Plasma Collection Systems (reported as plasma product line)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Until Haemonetics introduced automated plasma collection technology in the 1980s, plasma for fractionation was collected manually. Manual collection was time-consuming, labor-intensive, produced relatively poor yields, and posed risk to donors. Today, the vast majority of plasma collections worldwide are performed using automated collection technology because it is safe and cost-effective. With automated technology, more plasma can be collected during any one donation event because the other blood components are returned to the donor through a sterile, closed-circuit disposable set used for the blood donation procedure.</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offer “one stop shopping” to our plasma collection customers, enabling them to source from us the full range of products necessary for their plasma collection operations. To that end, in addition to marketing our PCS brand plasma collection equipment and consumables, we offer plasma collection containers, intravenous solutions, and tubing sealers necessary for plasma collection and storage. In fiscal year 2010, we introduced an Express protocol for our PCS system that speeds up the donation process, allowing our customers to improve device utilization.</w:t>
      </w:r>
    </w:p>
    <w:p>
      <w:pPr>
        <w:spacing w:after="0" w:line="68"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We also offer a robust portfolio of information technology platforms for plasma customers to manage their donors, operations, and supply chain. eQue</w:t>
      </w:r>
      <w:r>
        <w:rPr>
          <w:rFonts w:ascii="Arial" w:cs="Arial" w:eastAsia="Arial" w:hAnsi="Arial"/>
          <w:sz w:val="10"/>
          <w:szCs w:val="10"/>
          <w:color w:val="auto"/>
        </w:rPr>
        <w:t>®</w:t>
      </w:r>
      <w:r>
        <w:rPr>
          <w:rFonts w:ascii="Arial" w:cs="Arial" w:eastAsia="Arial" w:hAnsi="Arial"/>
          <w:sz w:val="12"/>
          <w:szCs w:val="12"/>
          <w:color w:val="auto"/>
        </w:rPr>
        <w:t xml:space="preserve"> Automated Interview and Assessment automates the donor interview and qualification process. eLynx</w:t>
      </w:r>
      <w:r>
        <w:rPr>
          <w:rFonts w:ascii="Arial" w:cs="Arial" w:eastAsia="Arial" w:hAnsi="Arial"/>
          <w:sz w:val="10"/>
          <w:szCs w:val="10"/>
          <w:color w:val="auto"/>
        </w:rPr>
        <w:t>®</w:t>
      </w:r>
      <w:r>
        <w:rPr>
          <w:rFonts w:ascii="Arial" w:cs="Arial" w:eastAsia="Arial" w:hAnsi="Arial"/>
          <w:sz w:val="12"/>
          <w:szCs w:val="12"/>
          <w:color w:val="auto"/>
        </w:rPr>
        <w:t xml:space="preserve"> Workflow Optimization streamlines the workflow process in the plasma center. DMS Donor Management System provides plasma collection centers with the controls necessary to continually assess and evaluate donor suitability, determine the release-ability of units collected, and manage unit distribution. The Cash Payment System (CaPS) is an e-commerce application that provides accurate and secure cash dispensation and control for plasma collection centers which pay a fee to their donors. LOGIC is an integrated solution for the warehousing and disposition of plasma products. With our information technology platforms, plasma collectors are better able to manage processes across the plasma supply chain, react quickly to business dynamics, and identify increased opportunities to reduce costs.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consulting services, we offer customers business solutions to support process excellence, donor recruitment, and business design.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market our PCS systems and software solutions to commercial plasma collectors as well as to not-for-profit blood banks and government affiliated plasma collectors worldwide.</w:t>
      </w:r>
    </w:p>
    <w:p>
      <w:pPr>
        <w:spacing w:after="0" w:line="182"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BLOOD BANK FAMILY OF PRODUCTS AND SOLUTIONS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Blood Collection Market for Transfusion</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There are millions of blood donations throughout the world every year that produce blood products for transfusion to surgical, trauma, or chronically ill patients. In the U.S. alone, approximately 15 million units of blood are collected each year. Worldwide demand for blood continues to rise as the population ages and more patients have need for and access to medical therapies that require blood transfusions. Furthermore, highly populated countries are advancing their healthcare coverage and as greater numbers of people gain access to more advanced medical treatment, additional demand for blood components, plasma derived drugs and surgical procedures increases directly. This increasing demand for blood is partially offset by the development of less invasive, lower blood loss procedures. Thus, this worldwide market for blood components is growing modestly in the low single digits. Over several years tighter donor eligibility requirements to improve blood safety have decreased the number of donors willing or able to donate blood.</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Patients requiring blood are rarely transfused with whole blood. Instead, a patient typically receives only the blood component necessary to treat a particular clinical condition: for example, red cells to surgical or trauma patients, platelets to surgical or cancer patients, and plasma to surgical patients.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firstLine="399"/>
        <w:spacing w:after="0" w:line="303" w:lineRule="auto"/>
        <w:rPr>
          <w:sz w:val="20"/>
          <w:szCs w:val="20"/>
          <w:color w:val="auto"/>
        </w:rPr>
      </w:pPr>
      <w:r>
        <w:rPr>
          <w:rFonts w:ascii="Arial" w:cs="Arial" w:eastAsia="Arial" w:hAnsi="Arial"/>
          <w:sz w:val="11"/>
          <w:szCs w:val="11"/>
          <w:color w:val="auto"/>
        </w:rPr>
        <w:t>Most donations worldwide are non-automated procedures (also referred to as manual or whole blood donations). In a manual donation, a person donates about a pint of whole blood, bleeding by gravity directly into a blood collection bag. After the donation, a laboratory worker manually processes the blood and separates it into its constituent parts: red cells, platelets and plasma. One pint of whole blood contains one transfusible dose of red cells, one-half to one transfusible dose of plasma, and one-fifth to one-eighth transfusible dose of platelets.</w:t>
      </w:r>
    </w:p>
    <w:p>
      <w:pPr>
        <w:ind w:left="680" w:right="120"/>
        <w:spacing w:after="0" w:line="264" w:lineRule="auto"/>
        <w:rPr>
          <w:sz w:val="20"/>
          <w:szCs w:val="20"/>
          <w:color w:val="auto"/>
        </w:rPr>
      </w:pPr>
      <w:r>
        <w:rPr>
          <w:rFonts w:ascii="Arial" w:cs="Arial" w:eastAsia="Arial" w:hAnsi="Arial"/>
          <w:sz w:val="13"/>
          <w:szCs w:val="13"/>
          <w:color w:val="auto"/>
        </w:rPr>
        <w:t>Haemonetics currently does not sell whole blood collection supplies for the large, non-automated part of the blood collection market for transfusions. Others supply this market with whole blood collection supplies such as needles, plastic blood bags, solutions and tubing.</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contrast to manual collections, automated donations eliminate the need to manually separate whole blood at a remote laboratory. Instead, the blood separation process is automated and occurs “real-time” while a person is donating blood. In this separation method, only the specific blood component targeted is collected, and the remaining components are returned to the blood donor. Among other things, automated blood component collection allows significantly more of the targeted blood component to be collected during a donation event. An automated collection system comprises an electromechanical device which is fitted for each collection with a consumable, which is a single-use sterile set of chambers and tubing commonly referred to as a “disposable.’’</w:t>
      </w:r>
    </w:p>
    <w:p>
      <w:pPr>
        <w:spacing w:after="0" w:line="71"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Our products address what is today the small part of the blood collection market that uses automation to enhance blood collection safety and efficiency, as well as regulatory compliance. In the U.S., automated collection systems are used annually to collect more than 1.6 million red cell units and about 1.8 million platelet units (called “single donor” platelets).</w:t>
      </w:r>
    </w:p>
    <w:p>
      <w:pPr>
        <w:spacing w:after="0" w:line="3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In many countries, blood collection is centralized. However, in the U.S. and countries similar to the U.S., it is not. While the American Red Cross collects about 40% of the nation’s blood, it is segregated into 23 regions, and the remainder of the U.S. blood supply is procured from over 100 other blood collection agencies. Adding to this problem is that blood demand comes from over 4,000 hospitals in the U.S. Decentralization of blood collection and the significant number of hospitals using blood makes it difficult to predict blood demand, adequately supply the right blood components, and effectively manage the blood supply chain. Information technology is beginning to have an impact on the management of blood collection centers as blood collectors respond to demands for efficient blood supply chain management, lower costs, and ever-increasing regulatory restrictions.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Automated Blood Collection Systems (reported as “blood bank” product line)</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Haemonetics’ automated blood collection systems are used to separate and collect plasma, platelets, and red blood cells at the point of blood collection. Each of these blood components has different therapeutic attributes and markets for its collection and use.</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Platelet therapy is frequently used to alleviate the effects of bone marrow suppression, a condition in which bone marrow is unable to produce a sufficient quantity of platelets. Bone marrow suppression is most commonly a side effect of chemotherapy. Platelet therapy is also used for patients with bleeding disorders. Physicians who prescribe platelet therapy increasingly turn to “single donor” platelet products (i.e., enough platelets collected from one donor, during an automated collection, to constitute a transfusible dose) to minimize a patient’s exposure to multiple donors and possible blood-borne diseases.</w:t>
      </w:r>
    </w:p>
    <w:p>
      <w:pPr>
        <w:spacing w:after="0" w:line="70"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We market the MCS brand system for the automation of platelet collection, including improved platelet yields and patient safety. Our MCS brand system is an apheresis system meaning that it has specific blood component collection objectives, returns to the donor the unwanted blood components and replaces the volume of fluids collected with a saline return benefiting the donor. Our automated platelet collection systems collect one or more therapeutic “doses” of platelets during a single donation by a volunteer blood donor. As noted above, platelets derived from a non-automated donation of whole blood (also called a manual collection) must be “pooled” together with platelets from 4-7 other donor’s platelets to make a single therapeutically useful dose because platelets are only a very small portion of whole blood volume.</w:t>
      </w:r>
    </w:p>
    <w:p>
      <w:pPr>
        <w:spacing w:after="0" w:line="7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Red cells are frequently transfused to patients to replace blood lost during surgery. Red cells are also transfused to patients with blood disorders, like sickle cell anemia or aplastic anemia. Automated red cell collection, a technology we created, allows for the safe, efficient collection of more red cells from a single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85" w:lineRule="auto"/>
        <w:rPr>
          <w:sz w:val="20"/>
          <w:szCs w:val="20"/>
          <w:color w:val="auto"/>
        </w:rPr>
      </w:pPr>
      <w:r>
        <w:rPr>
          <w:rFonts w:ascii="Arial" w:cs="Arial" w:eastAsia="Arial" w:hAnsi="Arial"/>
          <w:sz w:val="12"/>
          <w:szCs w:val="12"/>
          <w:color w:val="auto"/>
        </w:rPr>
        <w:t>donor than are collected in a manual, whole blood collection. Most red cells transfused today are derived from manually collected whole blood. This manual procedure involves time-consuming, error-prone secondary handling and processing in a laboratory. Red cell shortages are an occasional problem plaguing healthcare systems worldwide, particularly those in the U.S. Our MCS brand systems help blood collectors address their operational challenges through optimizing the collection possibilities with those donors who present themselves on a collection drive. The system automates the blood separation function, eliminating the need for laboratory processing, and enables the collection of two transfusible doses of red cells from a single donor thus alleviating blood shortages. We call this our two unit protocol or double red cell collection.</w:t>
      </w:r>
    </w:p>
    <w:p>
      <w:pPr>
        <w:spacing w:after="0" w:line="55"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In addition to the two unit protocol, blood collectors can use the MCS brand system to collect either one unit of red cells and a “jumbo” (double) unit of plasma or one unit of red cells and one unit of platelets from a single donor or they may leukoreduce the two-unit red cell collections. Leukoreduction is the removal of potentially harmful white blood cells from the collected red cells to prevent or mitigate adverse reactions by the patient who eventually receives the product. Leukoreduction has been adopted in many countries worldwide, and an estimated 80% of all red cells in the U.S. are now leukoreduced.</w:t>
      </w:r>
    </w:p>
    <w:p>
      <w:pPr>
        <w:spacing w:after="0" w:line="70" w:lineRule="exact"/>
        <w:rPr>
          <w:sz w:val="20"/>
          <w:szCs w:val="20"/>
          <w:color w:val="auto"/>
        </w:rPr>
      </w:pPr>
    </w:p>
    <w:p>
      <w:pPr>
        <w:ind w:left="680" w:right="260" w:firstLine="399"/>
        <w:spacing w:after="0" w:line="296" w:lineRule="auto"/>
        <w:rPr>
          <w:sz w:val="20"/>
          <w:szCs w:val="20"/>
          <w:color w:val="auto"/>
        </w:rPr>
      </w:pPr>
      <w:r>
        <w:rPr>
          <w:rFonts w:ascii="Arial" w:cs="Arial" w:eastAsia="Arial" w:hAnsi="Arial"/>
          <w:sz w:val="12"/>
          <w:szCs w:val="12"/>
          <w:color w:val="auto"/>
        </w:rPr>
        <w:t>The Cymbal brand red cell collection system is an automated device that also collects and processes two units of red cells from a single donor. The Cymbal system is a second generation red cell collection system which is smaller, lighter and more portable than previous red cell collection technologies, such as our MCS system. This mobility, including battery power, allows our customers to more easily use the device on mobile blood drives. Cymbal is currently sold in Europe and the U.S.</w:t>
      </w:r>
    </w:p>
    <w:p>
      <w:pPr>
        <w:spacing w:after="0" w:line="50" w:lineRule="exact"/>
        <w:rPr>
          <w:sz w:val="20"/>
          <w:szCs w:val="20"/>
          <w:color w:val="auto"/>
        </w:rPr>
      </w:pPr>
    </w:p>
    <w:p>
      <w:pPr>
        <w:ind w:left="680" w:right="140" w:firstLine="399"/>
        <w:spacing w:after="0" w:line="289" w:lineRule="auto"/>
        <w:rPr>
          <w:sz w:val="20"/>
          <w:szCs w:val="20"/>
          <w:color w:val="auto"/>
        </w:rPr>
      </w:pPr>
      <w:r>
        <w:rPr>
          <w:rFonts w:ascii="Arial" w:cs="Arial" w:eastAsia="Arial" w:hAnsi="Arial"/>
          <w:sz w:val="12"/>
          <w:szCs w:val="12"/>
          <w:color w:val="auto"/>
        </w:rPr>
        <w:t>With our ACP 215 automated cell processing system, blood collectors and hospitals can freeze and thaw red cells so that they can maintain a frozen blood reserve. Red cells can be stored in a refrigerator for up to 42 days. The ACP 215 technology allows blood collectors to safely freeze and thaw red cells. Red cells can be stored frozen for up to 10 years. Blood reserves are often maintained to enable the blood provider to respond adequately to large-scale emergencies where many people require blood transfusions or to treat patients who require transfusions of very rare blood types. Our blood processing systems can also remove plasma from red cells for patients who need specially treated blood.</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an automated blood donation, intravenous solutions and other solutions are used. We manufacture these solutions in our facility in Union, South Carolina.</w:t>
      </w:r>
    </w:p>
    <w:p>
      <w:pPr>
        <w:spacing w:after="0" w:line="96"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Our information technology platforms span blood center operations and automate and track operations from the recruitment of the blood donor to the disposition of the blood product. The EDonor platform is a web based product that manages donor recruitment and retention. The Hemasphere platform supports our customer’s key partners — organizations running blood drives — to manage the mobile blood drive process. The eQue software automates the interview and assessment process prior to a person donating. The eLynx software optimizes the workflow processes in the donor center, SafeTrace and the new El Dorado Donor products are donation and blood unit management systems. A cross-matching and transfusion tracking system and the Surround software support laboratory testing management. We also offer products developed for the European market, Sapanet, a software suite designed for workflow management and quality control in blood centers and laboratories, and Edgeblood, an integrated software application that manages activities of a transfusion center from blood donations to traceability of patient transfusions. Combined, these platforms help blood collectors to improve safety, regulatory compliance, and efficiency and to manage processes across the blood supply chain.</w:t>
      </w:r>
    </w:p>
    <w:p>
      <w:pPr>
        <w:spacing w:after="0" w:line="76"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color w:val="auto"/>
        </w:rPr>
        <w:t>Haemonetics offers consulting services that leverage our experience in blood banking, lean manufacturing, and Six Sigma to recommend new approaches to business process excellence. Our internal use of business practice improvement tools spawned requests from our U.S. customer base to seek our training to their selected staff with the intent to develop expertise in problem solving and solution creation skills. Our consulting services address donor recruitment, operations, blood collection, quality control, and more.</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market our MCS, Cymbal, and ACP 215 systems and software solutions to not-for-profit blood collection agencies and government sponsored healthcare systems worldwide.</w:t>
      </w:r>
    </w:p>
    <w:p>
      <w:pPr>
        <w:spacing w:after="0" w:line="10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 fiscal year 2011, we will launch the IMPACT Online platform version for blood collectors mirroring our late fiscal year 2010 launch of IMPACT Online platform for hospitals. This web based platform compiles data</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76" w:lineRule="auto"/>
        <w:rPr>
          <w:sz w:val="20"/>
          <w:szCs w:val="20"/>
          <w:color w:val="auto"/>
        </w:rPr>
      </w:pPr>
      <w:r>
        <w:rPr>
          <w:rFonts w:ascii="Arial" w:cs="Arial" w:eastAsia="Arial" w:hAnsi="Arial"/>
          <w:sz w:val="13"/>
          <w:szCs w:val="13"/>
          <w:color w:val="auto"/>
        </w:rPr>
        <w:t>from across the blood center’s information systems and provides administrators with a highly intuitive, easy to use dashboard view of operations and key success measurements designed to enable blood centers to improve operating efficiency.</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HOSPITAL FAMILY OF PRODUCTS AND SOLUTIONS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Transfusion Market for Hospitals</w:t>
      </w:r>
    </w:p>
    <w:p>
      <w:pPr>
        <w:spacing w:after="0" w:line="96" w:lineRule="exact"/>
        <w:rPr>
          <w:sz w:val="20"/>
          <w:szCs w:val="20"/>
          <w:color w:val="auto"/>
        </w:rPr>
      </w:pPr>
    </w:p>
    <w:p>
      <w:pPr>
        <w:jc w:val="both"/>
        <w:ind w:left="680" w:right="160" w:firstLine="399"/>
        <w:spacing w:after="0" w:line="322" w:lineRule="auto"/>
        <w:rPr>
          <w:sz w:val="20"/>
          <w:szCs w:val="20"/>
          <w:color w:val="auto"/>
        </w:rPr>
      </w:pPr>
      <w:r>
        <w:rPr>
          <w:rFonts w:ascii="Arial" w:cs="Arial" w:eastAsia="Arial" w:hAnsi="Arial"/>
          <w:sz w:val="11"/>
          <w:szCs w:val="11"/>
          <w:color w:val="auto"/>
        </w:rPr>
        <w:t>Loss of blood is common in open heart, trauma, transplant, vascular, and orthopedic procedures, and the need for transfusion of oxygen-carrying red cells to make up for lost blood volume is routine. Prior to the introduction of our technology, patients were exclusively transfused with blood from volunteer donors. Donor blood (also referred to as “allogeneic blood”) carries various potential risks including (1) risk of transfusion with the wrong blood type (the most common cause of transfusion-related death), (2) risk of transfusion reactions including death, but more commonly chills, fevers or other side effects that can prolong a patient’s recovery, and (3) risk of transfusion of blood with a blood-borne disease or infectious agent.</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a result of numerous blood safety initiatives, today’s blood transfusions are extremely safe, especially in developed and resourced health care systems. However, transfusions are not risk free. Surgical blood salvage (also known as autotransfusion) reduces or eliminates a patient’s need for blood donated from others and ensures that the patient receives the safest blood possible — his or her own.</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Surgical blood salvage involves the collection of a patient’s own blood during and after surgery, for reinfusion to that patient. In surgical blood salvage, blood is suctioned from a wound site, processed and washed through a centrifuge-based system which yields concentrated red cells available for transfusion back to the patient. This process occurs in a sterile, closed-circuit, single-use consumable set which is fitted into an electromechanical device. We market our surgical blood salvage products to hospital-based medical specialists, primarily cardiovascular, orthopedic, and trauma surgeons or to surgical suite service providers.</w:t>
      </w:r>
    </w:p>
    <w:p>
      <w:pPr>
        <w:spacing w:after="0" w:line="70" w:lineRule="exact"/>
        <w:rPr>
          <w:sz w:val="20"/>
          <w:szCs w:val="20"/>
          <w:color w:val="auto"/>
        </w:rPr>
      </w:pPr>
    </w:p>
    <w:p>
      <w:pPr>
        <w:jc w:val="both"/>
        <w:ind w:left="680" w:right="100" w:firstLine="399"/>
        <w:spacing w:after="0" w:line="289" w:lineRule="auto"/>
        <w:rPr>
          <w:sz w:val="20"/>
          <w:szCs w:val="20"/>
          <w:color w:val="auto"/>
        </w:rPr>
      </w:pPr>
      <w:r>
        <w:rPr>
          <w:rFonts w:ascii="Arial" w:cs="Arial" w:eastAsia="Arial" w:hAnsi="Arial"/>
          <w:sz w:val="12"/>
          <w:szCs w:val="12"/>
          <w:color w:val="auto"/>
        </w:rPr>
        <w:t>Information technology has become increasingly important in hospital management as administrators strive to provide the best patient care at optimal costs. Despite this trend, there are limited platforms which help hospitals assess and improve blood management practices, track blood within their own hospital systems, or manage the costs of blood. Likewise, there are limited platforms to help hospitals predict demand for their blood suppliers, the blood collection agencies, and link the blood supply chain from donor to patient. As regulations continue to increase and as hospitals struggle with increasing costs, information technology for blood supply chain management will play an important role in hospital administration.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Hospital Product Line</w:t>
      </w:r>
    </w:p>
    <w:p>
      <w:pPr>
        <w:spacing w:after="0" w:line="96" w:lineRule="exact"/>
        <w:rPr>
          <w:sz w:val="20"/>
          <w:szCs w:val="20"/>
          <w:color w:val="auto"/>
        </w:rPr>
      </w:pPr>
    </w:p>
    <w:p>
      <w:pPr>
        <w:jc w:val="both"/>
        <w:ind w:left="680" w:right="80" w:firstLine="399"/>
        <w:spacing w:after="0" w:line="258" w:lineRule="auto"/>
        <w:rPr>
          <w:sz w:val="20"/>
          <w:szCs w:val="20"/>
          <w:color w:val="auto"/>
        </w:rPr>
      </w:pPr>
      <w:r>
        <w:rPr>
          <w:rFonts w:ascii="Arial" w:cs="Arial" w:eastAsia="Arial" w:hAnsi="Arial"/>
          <w:sz w:val="13"/>
          <w:szCs w:val="13"/>
          <w:color w:val="auto"/>
        </w:rPr>
        <w:t>Since November 2007, we have marketed the TEG Thromobelastograph Hemostasis Analyzer, a blood diagnostic instrument which measures a patient’s hemostasis or the ability to form and maintain blood clots. By understanding a patient’s clotting ability, clinicians can better plan for the patient’s care, deciding in advance whether to start or discontinue use of certain drugs or, if a transfusion is likely, whether to use donated blood or surgical blood salvage. Such planning supports the best possible clinical outcome, which can lead to lower hospital costs through reduced adverse transfusion reactions, shorter intensive care unit and hospital stays, and fewer exploratory surgeries. The TEG system is comprised of an electromechanical device, single use containers and reagents.</w:t>
      </w:r>
    </w:p>
    <w:p>
      <w:pPr>
        <w:spacing w:after="0" w:line="71"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Clinicians may decide to use surgical blood salvage as an alternative to transfusion of donor blood. Our surgical blood salvage systems allow for the recovery, segregation and washing of red cells from blood lost by a patient during or after surgery. These red cells are then available to transfuse back to the patient if needed. The Cell Saver brand system is a surgical blood salvage system targeted to procedures that involve rapid, high volume blood loss such as cardiovascular surgeries. It has become the standard of care for high blood-loss surgeries. The newer cardioPAT brand system is a surgical blood salvage system targeted to open heart surgeries when there is less blood loss and the blood loss continues post-surgery. The system is designed to remain with the patient following surgery to recover blood and produce a washed red cell product for</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autotransfusion. We have recently introduced the Quick-Connect cardioPAT feature which permits customers to utilize the processing set selectively, depending on the patient’s need.</w:t>
      </w:r>
    </w:p>
    <w:p>
      <w:pPr>
        <w:spacing w:after="0" w:line="108"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OrthoPAT surgical blood salvage system is targeted to orthopedic procedures that involve slower, lower volume blood loss that often occurs well after surgery. The system is designed to operate both during and after surgery to recover and wash the patient’s red cells to prepare them for reinfusion. We have recently introduced the Quick-Connect feature for the OrthoPAT system which permits customers to utilize the processing set selectively, depending on the patient’s need.</w:t>
      </w:r>
    </w:p>
    <w:p>
      <w:pPr>
        <w:spacing w:after="0" w:line="67"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Also included in our hospital product line is the SmartSuction product. This product is an advanced suction system for removal of blood and debris from the surgical field. The system is used in conjunction with surgical blood salvage.</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In the past, our information technology platforms have been focused on the blood bank and plasma businesses. This year, we launched the IMPACT</w:t>
      </w:r>
      <w:r>
        <w:rPr>
          <w:rFonts w:ascii="Arial" w:cs="Arial" w:eastAsia="Arial" w:hAnsi="Arial"/>
          <w:sz w:val="7"/>
          <w:szCs w:val="7"/>
          <w:color w:val="auto"/>
        </w:rPr>
        <w:t>TM</w:t>
      </w:r>
      <w:r>
        <w:rPr>
          <w:rFonts w:ascii="Arial" w:cs="Arial" w:eastAsia="Arial" w:hAnsi="Arial"/>
          <w:sz w:val="13"/>
          <w:szCs w:val="13"/>
          <w:color w:val="auto"/>
        </w:rPr>
        <w:t xml:space="preserve"> Online platform which monitors and measures improvements in a hospital’s blood management practices. Where before, data was siloed across multiple information platforms, IMPACT Online compiles data from disparate systems across the hospital, and provides administrators with actionable information.</w:t>
      </w:r>
    </w:p>
    <w:p>
      <w:pPr>
        <w:spacing w:after="0" w:line="67"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have recently added SafeTrace TX, a product that manages blood product inventory, performs patient cross-matching and transfusion management systems. In addition, our BloodTrack suite of solutions manages control of blood products from the hospital blood bank through to the transfusion to the patient. “Smart” refrigerators located in operating suites, emergency rooms, and other parts of the hospital dispense blood units with just-in-time control and automated tracking for efficient documentation. With our more robust offerings, hospitals are better able to manage processes across the blood supply chain and identify increased opportunities to reduce costs and enhance processes.</w:t>
      </w:r>
    </w:p>
    <w:p>
      <w:pPr>
        <w:spacing w:after="0" w:line="53"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For consulting services, we offer peer to peer clinician consulting services that leverage a proprietary database of best practices in transfusion medicine to provide hospitals with a baseline view of their blood management metrics, as well as with recommendations for approaches to transfusion therapy and the avoidance of unnecessary transfusions. Our services then measure key improvements associated with recommended best practices to allow hospital customers to track progress.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Software Solutions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provide information technology platforms and technical support for efficient and compliant management of various points along the blood supply chain, including blood drive and donor management, blood processing, blood distribution, and transfusion management. For our plasma customers, we also provide information technology platforms for managing back office functions and distribution at plasma fractionation facilities. While our information technology platforms can be used as “stand-alone,” our goal is to provide connectivity such that the blood supply chain is linked from donor to patient.</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Through our services group, we offer business consulting solutions to support process excellence, donor recruitment, business design, and blood management efforts. We also provide blood management assessment tools to hospitals.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When combining our software solutions with our devices, our goal is to give customers powerful tools for improving blood management while driving growth of our consumables. For example, a hospital may use our consulting services to analyze its blood management practices and recommend changes in practice. Then, the hospital can leverage our devices to predict blood demand, manage blood inventory, and reduce demand for donated blood. Finally, the hospital can use our newly-released IMPACT</w:t>
      </w:r>
      <w:r>
        <w:rPr>
          <w:rFonts w:ascii="Arial" w:cs="Arial" w:eastAsia="Arial" w:hAnsi="Arial"/>
          <w:sz w:val="7"/>
          <w:szCs w:val="7"/>
          <w:color w:val="auto"/>
        </w:rPr>
        <w:t>TM</w:t>
      </w:r>
      <w:r>
        <w:rPr>
          <w:rFonts w:ascii="Arial" w:cs="Arial" w:eastAsia="Arial" w:hAnsi="Arial"/>
          <w:sz w:val="12"/>
          <w:szCs w:val="12"/>
          <w:color w:val="auto"/>
        </w:rPr>
        <w:t xml:space="preserve"> Online blood management business intelligence portal to monitor the results of its new practices. The positive patient impact and reduced costs from this integrated blood management approach can be significant. Likewise, by understanding best practices, blood demand, and discreet patient needs, hospitals can more frequently deploy our devices to ensure best patient care.</w:t>
      </w:r>
    </w:p>
    <w:p>
      <w:pPr>
        <w:spacing w:after="0" w:line="262"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software solutions offerings are described more fully in the plasma, blood bank, and hospital product family discussions above.</w:t>
      </w:r>
    </w:p>
    <w:p>
      <w:pPr>
        <w:spacing w:after="0" w:line="175" w:lineRule="exact"/>
        <w:rPr>
          <w:sz w:val="20"/>
          <w:szCs w:val="20"/>
          <w:color w:val="auto"/>
        </w:rPr>
      </w:pPr>
    </w:p>
    <w:p>
      <w:pPr>
        <w:ind w:left="1080" w:hanging="262"/>
        <w:spacing w:after="0"/>
        <w:tabs>
          <w:tab w:leader="none" w:pos="1080"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Detail</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We discuss our revenues using the following categories:</w:t>
      </w:r>
    </w:p>
    <w:p>
      <w:pPr>
        <w:spacing w:after="0" w:line="96" w:lineRule="exact"/>
        <w:rPr>
          <w:rFonts w:ascii="Arial" w:cs="Arial" w:eastAsia="Arial" w:hAnsi="Arial"/>
          <w:sz w:val="13"/>
          <w:szCs w:val="13"/>
          <w:b w:val="1"/>
          <w:bCs w:val="1"/>
          <w:i w:val="1"/>
          <w:iCs w:val="1"/>
          <w:color w:val="auto"/>
        </w:rPr>
      </w:pPr>
    </w:p>
    <w:p>
      <w:pPr>
        <w:ind w:left="1280" w:right="320" w:hanging="190"/>
        <w:spacing w:after="0" w:line="276" w:lineRule="auto"/>
        <w:tabs>
          <w:tab w:leader="none" w:pos="1280"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Disposables (also referred to as consumables, these revenues include the sale of single-use collection sets for blood component collection and processing and surgical blood salvage, plus the fees for the use of our equipment);</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1"/>
          <w:numId w:val="4"/>
        </w:numPr>
        <w:rPr>
          <w:rFonts w:ascii="Arial" w:cs="Arial" w:eastAsia="Arial" w:hAnsi="Arial"/>
          <w:sz w:val="13"/>
          <w:szCs w:val="13"/>
          <w:color w:val="auto"/>
        </w:rPr>
      </w:pPr>
      <w:r>
        <w:rPr>
          <w:rFonts w:ascii="Arial" w:cs="Arial" w:eastAsia="Arial" w:hAnsi="Arial"/>
          <w:sz w:val="13"/>
          <w:szCs w:val="13"/>
          <w:color w:val="auto"/>
        </w:rPr>
        <w:t>Equipment (the sale of devices), including equipment service contracts;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1"/>
          <w:numId w:val="4"/>
        </w:numPr>
        <w:rPr>
          <w:rFonts w:ascii="Arial" w:cs="Arial" w:eastAsia="Arial" w:hAnsi="Arial"/>
          <w:sz w:val="13"/>
          <w:szCs w:val="13"/>
          <w:color w:val="auto"/>
        </w:rPr>
      </w:pPr>
      <w:r>
        <w:rPr>
          <w:rFonts w:ascii="Arial" w:cs="Arial" w:eastAsia="Arial" w:hAnsi="Arial"/>
          <w:sz w:val="13"/>
          <w:szCs w:val="13"/>
          <w:color w:val="auto"/>
        </w:rPr>
        <w:t>Software solutions (including Haemonetics software solutions business and consulting services).</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Sales of disposable products accounted for approximately 86.8% of net revenues in fiscal year 2010 and 86.7% of net revenues in fiscal year 2009. Sales of our disposable products were 8.1% higher in fiscal year 2010 than in fiscal year 2009. The favorable effects of foreign exchange contributed 2.4% of the increase in net sales during fiscal year 2010 with the remaining 5.7% increase resulting primarily from increases in disposable revenues across our plasma and platelet product lines. This increase in revenues is largely related to volume growth (both market and share) and price increases in plasma and penetration of emerging markets in platelets.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Sales of equipment accounted for approximately 7.6% of net revenues in fiscal year 2010 and approximately 8.0% of net revenues in fiscal year 2009. The increase in equipment revenue during fiscal year 2010 was primarily the result of the acquisition in September 2009 of the biological collection and processing division of SEBRA, whose revenues are reported as equipment sales.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Software solutions accounted for approximately 5.6% and 5.3% of net revenues in fiscal year 2010 and 2009, respectively. The software solutions increase during fiscal year 2010 was driven by underlying growth in the plasma business and acquisitions partially offset by the cancellation of a contract with the U.S. Department of Defense in the fourth quarter of fiscal year 2009.</w:t>
      </w:r>
    </w:p>
    <w:p>
      <w:pPr>
        <w:spacing w:after="0" w:line="146" w:lineRule="exact"/>
        <w:rPr>
          <w:sz w:val="20"/>
          <w:szCs w:val="20"/>
          <w:color w:val="auto"/>
        </w:rPr>
      </w:pPr>
    </w:p>
    <w:p>
      <w:pPr>
        <w:ind w:left="1180" w:hanging="362"/>
        <w:spacing w:after="0"/>
        <w:tabs>
          <w:tab w:leader="none" w:pos="1180"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Marketing/Sales/Distribution</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market and sell our products to commercial plasma collectors, blood systems and independent blood banks, hospitals and hospital service providers,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67" w:lineRule="exact"/>
        <w:rPr>
          <w:sz w:val="20"/>
          <w:szCs w:val="20"/>
          <w:color w:val="auto"/>
        </w:rPr>
      </w:pPr>
    </w:p>
    <w:p>
      <w:pPr>
        <w:ind w:left="680" w:right="80" w:firstLine="399"/>
        <w:spacing w:after="0" w:line="371" w:lineRule="auto"/>
        <w:rPr>
          <w:sz w:val="20"/>
          <w:szCs w:val="20"/>
          <w:color w:val="auto"/>
        </w:rPr>
      </w:pPr>
      <w:r>
        <w:rPr>
          <w:rFonts w:ascii="Arial" w:cs="Arial" w:eastAsia="Arial" w:hAnsi="Arial"/>
          <w:sz w:val="11"/>
          <w:szCs w:val="11"/>
          <w:color w:val="auto"/>
        </w:rPr>
        <w:t>In fiscal year 2010, for the tenth consecutive year, we received the Omega NorthFace ScoreBoard Award for exemplary service to customers. This award is presented to the highest-ranked organizations based on customer ratings of performance against customer expectations in areas such as phone support, on-site operations, technical services, and training.</w:t>
      </w:r>
    </w:p>
    <w:p>
      <w:pPr>
        <w:spacing w:after="0" w:line="91" w:lineRule="exact"/>
        <w:rPr>
          <w:sz w:val="20"/>
          <w:szCs w:val="20"/>
          <w:color w:val="auto"/>
        </w:rPr>
      </w:pPr>
    </w:p>
    <w:p>
      <w:pPr>
        <w:ind w:left="1180" w:hanging="362"/>
        <w:spacing w:after="0"/>
        <w:tabs>
          <w:tab w:leader="none" w:pos="118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United States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fiscal year 2010, approximately 47.1% of consolidated net revenues were generated in the U.S., where we primarily use a direct sales force to sell our products.</w:t>
      </w:r>
    </w:p>
    <w:p>
      <w:pPr>
        <w:spacing w:after="0" w:line="175" w:lineRule="exact"/>
        <w:rPr>
          <w:sz w:val="20"/>
          <w:szCs w:val="20"/>
          <w:color w:val="auto"/>
        </w:rPr>
      </w:pPr>
    </w:p>
    <w:p>
      <w:pPr>
        <w:ind w:left="820"/>
        <w:spacing w:after="0"/>
        <w:tabs>
          <w:tab w:leader="none" w:pos="1060" w:val="left"/>
        </w:tabs>
        <w:rPr>
          <w:sz w:val="20"/>
          <w:szCs w:val="20"/>
          <w:color w:val="auto"/>
        </w:rPr>
      </w:pPr>
      <w:r>
        <w:rPr>
          <w:rFonts w:ascii="Arial" w:cs="Arial" w:eastAsia="Arial" w:hAnsi="Arial"/>
          <w:sz w:val="13"/>
          <w:szCs w:val="13"/>
          <w:b w:val="1"/>
          <w:bCs w:val="1"/>
          <w:i w:val="1"/>
          <w:iCs w:val="1"/>
          <w:color w:val="auto"/>
        </w:rPr>
        <w:t>(v)</w:t>
      </w:r>
      <w:r>
        <w:rPr>
          <w:sz w:val="20"/>
          <w:szCs w:val="20"/>
          <w:color w:val="auto"/>
        </w:rPr>
        <w:tab/>
      </w:r>
      <w:r>
        <w:rPr>
          <w:rFonts w:ascii="Arial" w:cs="Arial" w:eastAsia="Arial" w:hAnsi="Arial"/>
          <w:sz w:val="11"/>
          <w:szCs w:val="11"/>
          <w:b w:val="1"/>
          <w:bCs w:val="1"/>
          <w:i w:val="1"/>
          <w:iCs w:val="1"/>
          <w:color w:val="auto"/>
        </w:rPr>
        <w:t>Outside the United States</w:t>
      </w:r>
    </w:p>
    <w:p>
      <w:pPr>
        <w:spacing w:after="0" w:line="96"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In fiscal year 2010, approximately 52.9% of consolidated net revenues were generated through sales to non-U.S. customers. Our direct sales force in Europe and Asia includes full-time sales representatives and clinical specialists based in the United Kingdom, Germany, France, Sweden, the Netherlands, Italy, Austria, Hong Kong, Canada, Japan, Switzerland, Czech Republic, China, Taiwan, and Belgium. We also use various distributors to market our products in parts of: Europe, including Russia, South America, the Middle East,</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Africa, and the Far East. We have recently established offices with marketing personnel who work with our distributors in Russia, Lebanon, India and Brazil.</w:t>
      </w:r>
    </w:p>
    <w:p>
      <w:pPr>
        <w:spacing w:after="0" w:line="175" w:lineRule="exact"/>
        <w:rPr>
          <w:sz w:val="20"/>
          <w:szCs w:val="20"/>
          <w:color w:val="auto"/>
        </w:rPr>
      </w:pPr>
    </w:p>
    <w:p>
      <w:pPr>
        <w:ind w:left="1180" w:hanging="362"/>
        <w:spacing w:after="0"/>
        <w:tabs>
          <w:tab w:leader="none" w:pos="1180"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Our research, development and engineering (“RD&amp;E”) centers in the United States and Switzerland ensure that protocol variations are incorporated to closely match local customer requirements. In addition, our Haemonetics Software Solutions maintains development operations in Edmonton, Alberta, Canada and Illinois, USA. In April 2010, as part of the integration of the Global Med Technologies, Inc. acquisition, we decided to cease operations in Illinois and move U.S. software solutions development to Global Med’s headquarters in California, USA. With this acquisition we also acquired a software development operation in Limonest, France.</w:t>
      </w:r>
    </w:p>
    <w:p>
      <w:pPr>
        <w:spacing w:after="0" w:line="70"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Customer collaboration is also an important part of our technical strength and competitive advantage. These collaboration customers and transfusion experts provide us with ideas for new products and applications, enhanced protocols, and potential test sites as well as objective evaluations and expert opinions regarding technical and performance issues.</w:t>
      </w:r>
    </w:p>
    <w:p>
      <w:pPr>
        <w:spacing w:after="0" w:line="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Our expenditures for RD&amp;E were $26.4 million for fiscal year 2010 (4.1% of sales) and $23.9 million for fiscal year 2009 (4.0% of sales). With the exception of the capitalization of software development costs (see Note 17), all RD&amp;E costs are expensed as incurred. We expect to continue to invest resources in RD&amp;E.</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fiscal year 2010, RD&amp;E resources were allocated to supporting a next generation surgical blood salvage device, an automated whole blood collection system and several projects to enhance our current product portfolio. We also allocated resources to our Arryx subsidiary for on-going research into nanotechnology applications in the blood typing and screening field. At the end of fiscal year 2010, based on a review of ongoing development plans for our next generation platelet apheresis products (Portico), we have abandoned and written off $12.2 million associated with previously capitalized software development costs. Additionally, in connection with the acquisition of Global Med we elected to no longer market the Symphony blood bank donation management system in favor of Global Med’s El Dorado application. As a result we wrote off the carrying value of the Symphony asset totaling approximately $3.5 million.</w:t>
      </w:r>
    </w:p>
    <w:p>
      <w:pPr>
        <w:spacing w:after="0" w:line="134" w:lineRule="exact"/>
        <w:rPr>
          <w:sz w:val="20"/>
          <w:szCs w:val="20"/>
          <w:color w:val="auto"/>
        </w:rPr>
      </w:pPr>
    </w:p>
    <w:p>
      <w:pPr>
        <w:ind w:left="1180" w:hanging="362"/>
        <w:spacing w:after="0"/>
        <w:tabs>
          <w:tab w:leader="none" w:pos="118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Manufacturing</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principal manufacturing operations (equipment, disposables, and solutions) are located in Braintree, Massachusetts; Leetsdale, Pennsylvania; Union, South Carolina; Bothwell, Scotland; and Niles, Illinois. We are also in the process of building additional plasma disposables manufacturing capabilities at our Draper, Utah facility and expect to be validated for manufacturing late in fiscal year 2011.</w:t>
      </w:r>
    </w:p>
    <w:p>
      <w:pPr>
        <w:spacing w:after="0" w:line="67" w:lineRule="exact"/>
        <w:rPr>
          <w:sz w:val="20"/>
          <w:szCs w:val="20"/>
          <w:color w:val="auto"/>
        </w:rPr>
      </w:pPr>
    </w:p>
    <w:p>
      <w:pPr>
        <w:ind w:left="680" w:right="220" w:firstLine="399"/>
        <w:spacing w:after="0" w:line="320" w:lineRule="auto"/>
        <w:rPr>
          <w:sz w:val="20"/>
          <w:szCs w:val="20"/>
          <w:color w:val="auto"/>
        </w:rPr>
      </w:pPr>
      <w:r>
        <w:rPr>
          <w:rFonts w:ascii="Arial" w:cs="Arial" w:eastAsia="Arial" w:hAnsi="Arial"/>
          <w:sz w:val="12"/>
          <w:szCs w:val="12"/>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w:t>
      </w:r>
    </w:p>
    <w:p>
      <w:pPr>
        <w:spacing w:after="0" w:line="35"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59"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Some component manufacturing is performed by outside contractors according to our specifications. We maintain important relationships with two Japanese manufacturers that produce finished consumables in Singapore, Japan, and Thailand. Certain parts and components are purchased from various single sources. If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necessary, we believe that, in most cases, alternative sources of supply could be identified and developed within a relatively short period of time. Nevertheless, an interruption in supply could temporarily interfere with production schedules and affect our operations. All of our other equipment and disposable manufacturing sites are certified to the ISO 13485 standard and to the Medical Device Directive allowing placement of the CE mark of conformity.</w:t>
      </w:r>
    </w:p>
    <w:p>
      <w:pPr>
        <w:spacing w:after="0" w:line="67" w:lineRule="exact"/>
        <w:rPr>
          <w:sz w:val="20"/>
          <w:szCs w:val="20"/>
          <w:color w:val="auto"/>
        </w:rPr>
      </w:pPr>
    </w:p>
    <w:p>
      <w:pPr>
        <w:ind w:left="680" w:right="460" w:firstLine="399"/>
        <w:spacing w:after="0" w:line="260" w:lineRule="auto"/>
        <w:rPr>
          <w:sz w:val="20"/>
          <w:szCs w:val="20"/>
          <w:color w:val="auto"/>
        </w:rPr>
      </w:pPr>
      <w:r>
        <w:rPr>
          <w:rFonts w:ascii="Arial" w:cs="Arial" w:eastAsia="Arial" w:hAnsi="Arial"/>
          <w:sz w:val="13"/>
          <w:szCs w:val="13"/>
          <w:color w:val="auto"/>
        </w:rPr>
        <w:t>Each blood processing machine is designed in-house and assembled from components that are either manufactured by us or by others to our specifications. The completed instruments are programmed, calibrated, 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148" w:lineRule="exact"/>
        <w:rPr>
          <w:sz w:val="20"/>
          <w:szCs w:val="20"/>
          <w:color w:val="auto"/>
        </w:rPr>
      </w:pPr>
    </w:p>
    <w:p>
      <w:pPr>
        <w:ind w:left="1280" w:hanging="462"/>
        <w:spacing w:after="0"/>
        <w:tabs>
          <w:tab w:leader="none" w:pos="128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Intellectual Property</w:t>
      </w:r>
    </w:p>
    <w:p>
      <w:pPr>
        <w:spacing w:after="0" w:line="96" w:lineRule="exact"/>
        <w:rPr>
          <w:sz w:val="20"/>
          <w:szCs w:val="20"/>
          <w:color w:val="auto"/>
        </w:rPr>
      </w:pPr>
    </w:p>
    <w:p>
      <w:pPr>
        <w:ind w:left="680" w:right="180" w:firstLine="399"/>
        <w:spacing w:after="0" w:line="310" w:lineRule="auto"/>
        <w:rPr>
          <w:sz w:val="20"/>
          <w:szCs w:val="20"/>
          <w:color w:val="auto"/>
        </w:rPr>
      </w:pPr>
      <w:r>
        <w:rPr>
          <w:rFonts w:ascii="Arial" w:cs="Arial" w:eastAsia="Arial" w:hAnsi="Arial"/>
          <w:sz w:val="11"/>
          <w:szCs w:val="11"/>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also license patent rights from third parties that cover technologies that we use or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4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found to be invalid.</w:t>
      </w:r>
    </w:p>
    <w:p>
      <w:pPr>
        <w:spacing w:after="0" w:line="128" w:lineRule="exact"/>
        <w:rPr>
          <w:sz w:val="20"/>
          <w:szCs w:val="20"/>
          <w:color w:val="auto"/>
        </w:rPr>
      </w:pPr>
    </w:p>
    <w:p>
      <w:pPr>
        <w:ind w:left="1180" w:hanging="362"/>
        <w:spacing w:after="0"/>
        <w:tabs>
          <w:tab w:leader="none" w:pos="118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created our technologies and have established a record of innovation and market leadership in each of the areas in which we compete. Although we compete directly with others, no other company offers the complete range of integrated solutions designed to meet customers’ needs across the entire blood supply chain.</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To remain competitive, we must continue to develop and acquire cost-effective new products, information technology platforms, and business services. We believe that our ability to maintain a competitive advantage will continue to depend on a combination of factors. Some factors are largely within our control such as reputation, regulatory approvals, patents, unpatented proprietary know-how in several technological areas, product quality, safety and cost effectiveness and continual and rigorous documentation of clinical performance. Other factors are outside of our control, including regulatory standards, medical standards and the practice of medicine.</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the automated plasma collection markets, we principally compete with Fenwal, Inc. on the basis of quality, ease of use, services and technical features of systems, and on the long-term cost-effectiveness of equipment and disposables. Fenwal, Inc. is an independent company founded in March 2007 when Texas Pacific Group and Maverick Capital, Ltd. acquired the Transfusion Therapies division of Baxter Healthcare Group. In China, the market is populated by local producers of a product that is intended to be similar to ours. Recently, those competitors have expanded to markets beyond China, including Cuba and Iran.</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In the automated platelet collection business, competition is based on continual performance improvement, as measured by the time and efficiency of platelet collection and the quality of the platelets collected. Our major competitors in automated platelet collection are Caridian BCT (formerly Gambro BCT) and Fenwal. Each of these companies has taken a different technological approach in designing their systems for automated platelet collection. In the platelet collection market, we also compete with whole blood collections from which pooled platelets are derived.</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Japanese automated plasma and platelet collection markets, we also compete against a local company, Terumo Medical Corporation.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automated red cell collection market we also compete against Caridian BCT and Fenwal. However, it is important to note that only about 5% of the forty million units of red cells collected worldwide and about 10% of the 15 million units of red cells collected in the U.S. annually are collected via automation today by these three companies combined. So, we more often compete with traditional manual methods of deriving red cells by collecting and separating a pint of whole blood. We compete on the basis of total cost, process control, product quality, and inventory management.</w:t>
      </w:r>
    </w:p>
    <w:p>
      <w:pPr>
        <w:spacing w:after="0" w:line="70" w:lineRule="exact"/>
        <w:rPr>
          <w:sz w:val="20"/>
          <w:szCs w:val="20"/>
          <w:color w:val="auto"/>
        </w:rPr>
      </w:pPr>
    </w:p>
    <w:p>
      <w:pPr>
        <w:jc w:val="both"/>
        <w:ind w:left="680" w:right="420" w:firstLine="399"/>
        <w:spacing w:after="0" w:line="264" w:lineRule="auto"/>
        <w:rPr>
          <w:sz w:val="20"/>
          <w:szCs w:val="20"/>
          <w:color w:val="auto"/>
        </w:rPr>
      </w:pPr>
      <w:r>
        <w:rPr>
          <w:rFonts w:ascii="Arial" w:cs="Arial" w:eastAsia="Arial" w:hAnsi="Arial"/>
          <w:sz w:val="13"/>
          <w:szCs w:val="13"/>
          <w:color w:val="auto"/>
        </w:rPr>
        <w:t>In the cell processing market, competition is based on level of automation, labor-intensiveness, and system type (open versus closed). Open systems may be weaker in good manufacturing process compliance. Moreover, blood processed through open systems has a 24 hour shelf life. We have an open system cell processor as well as a closed system cell processor which gives blood processed through it a 14 day shelf life. We compete with Caridian BCT’s open systems.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Within our hospital business, in the diagnostics market, the TEG Thrombelastograph Hemostasis Analyzer is used primarily in the surgical arena. There is one direct competitor, Rotem, with whom we currently compete with in Europe and beginning in fiscal year 2011 in the United States. Rotem recently received 510k clearance for its device and selected reagents in the U.S. Other competitive technologies include standard coagulation tests that measure various aspects of hemostasis.</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the high blood loss surgical blood salvage market, competition is based on reliability, ease of use, service, support, and price. Each manufacturer’s technology is similar, and our Cell Saver competes principally with Medtronic, Fresenius, and Sorin Biomedica. Our newly introduced cardioPAT system is the only washed surgical blood salvage device designed to recover red cells for transfusion where blood loss continues post operatively in heart surgery.</w:t>
      </w:r>
    </w:p>
    <w:p>
      <w:pPr>
        <w:spacing w:after="0" w:line="67"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the orthopedic surgical blood salvage market we compete against non-automated processing systems whose end product is an unwashed red blood cell unit for transfusion to the patient. The OrthoPAT system is the only system that washes the blood and operates preoperatively. It is designed specifically for use in orthopedic surgeries where a patient often bleeds more slowly, bleeds less, and continues to bleed long after surgery.</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the software market, we compete with MAK Systems, Mediware, and “home grown” applications. These companies provide software to blood and plasma collectors and to hospitals for managing donors, collections, and blood units. None of these companies competes in other Haemonetics markets.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technical staff is highly skilled, but many competitors have substantially greater financial resources and larger technical staffs at their disposal. There can be no assurance that competitors will not direct substantial efforts and resources toward the development and marketing of products competitive with those of Haemonetics.</w:t>
      </w:r>
    </w:p>
    <w:p>
      <w:pPr>
        <w:spacing w:after="0" w:line="138" w:lineRule="exact"/>
        <w:rPr>
          <w:sz w:val="20"/>
          <w:szCs w:val="20"/>
          <w:color w:val="auto"/>
        </w:rPr>
      </w:pPr>
    </w:p>
    <w:p>
      <w:pPr>
        <w:ind w:left="820"/>
        <w:spacing w:after="0"/>
        <w:tabs>
          <w:tab w:leader="none" w:pos="1060" w:val="left"/>
        </w:tabs>
        <w:rPr>
          <w:sz w:val="20"/>
          <w:szCs w:val="20"/>
          <w:color w:val="auto"/>
        </w:rPr>
      </w:pPr>
      <w:r>
        <w:rPr>
          <w:rFonts w:ascii="Arial" w:cs="Arial" w:eastAsia="Arial" w:hAnsi="Arial"/>
          <w:sz w:val="13"/>
          <w:szCs w:val="13"/>
          <w:b w:val="1"/>
          <w:bCs w:val="1"/>
          <w:i w:val="1"/>
          <w:iCs w:val="1"/>
          <w:color w:val="auto"/>
        </w:rPr>
        <w:t>(x)</w:t>
      </w:r>
      <w:r>
        <w:rPr>
          <w:sz w:val="20"/>
          <w:szCs w:val="20"/>
          <w:color w:val="auto"/>
        </w:rPr>
        <w:tab/>
      </w:r>
      <w:r>
        <w:rPr>
          <w:rFonts w:ascii="Arial" w:cs="Arial" w:eastAsia="Arial" w:hAnsi="Arial"/>
          <w:sz w:val="11"/>
          <w:szCs w:val="11"/>
          <w:b w:val="1"/>
          <w:bCs w:val="1"/>
          <w:i w:val="1"/>
          <w:iCs w:val="1"/>
          <w:color w:val="auto"/>
        </w:rPr>
        <w:t>Seasonality</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Net revenues have historically been higher in the second half of our fiscal year, reflecting principally the seasonal buying patterns of our customers. This has proven true in our last five fiscal years.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Significant Customers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Japan Red Cross Society (JRC) is a significant customer that represented 14.3% of our revenues in fiscal year 2010.</w:t>
      </w:r>
    </w:p>
    <w:p>
      <w:pPr>
        <w:spacing w:after="0" w:line="175" w:lineRule="exact"/>
        <w:rPr>
          <w:sz w:val="20"/>
          <w:szCs w:val="20"/>
          <w:color w:val="auto"/>
        </w:rPr>
      </w:pPr>
    </w:p>
    <w:p>
      <w:pPr>
        <w:ind w:left="1180" w:hanging="362"/>
        <w:spacing w:after="0"/>
        <w:tabs>
          <w:tab w:leader="none" w:pos="1180"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Government Regulation</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All medical devices introduced to the United States market since 1976 are required by the FDA, as a condition of marketing, to secure either a 510(k) pre-market notification clearance or an approved Pre-market Approval Application (“PMA”). In the United States, software used to automate blood center operations and blood collections and to track those components through the system are considered by FDA to be medical devices, subject to 510(k) pre-market notification. Intravenous solutions (blood anticoagulants and solutions for storage of red blood cells) marketed by us for use with our automated systems requires us to obtain from CBER an approved New Drug Application (“NDA”) or Abbreviated New Drug Application (“ANDA”). A 510(k) pre-market clearance indicates FDA’s agreement with an applicant’s determination that the product for which clearance is sought is substantially equivalent to another legally marketed medical device. The process of obtaining a 510(k) clearance involves the submission of clinical data and supporting information. The process of obtaining NDA approval for solutions is likely to take much longer than 510(k) approvals because the FDA review process is more complicated.</w:t>
      </w:r>
    </w:p>
    <w:p>
      <w:pPr>
        <w:spacing w:after="0" w:line="58"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are also subject to regulation in the countries outside the United States in which we market our products. Many of the regulations applicable to our products in such countries are similar to those of the FDA. However, the national health or social security organizations of certain countries require our products to be registered by those countries before they can be marketed in those countries. We have complied with these regulations and have obtained such registrations.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Federal, state and foreign regulations regarding the manufacture and sale of products such as ours are subject to change. We cannot predict what impact, if any, such changes might have on our business.</w:t>
      </w:r>
    </w:p>
    <w:p>
      <w:pPr>
        <w:spacing w:after="0" w:line="138" w:lineRule="exact"/>
        <w:rPr>
          <w:sz w:val="20"/>
          <w:szCs w:val="20"/>
          <w:color w:val="auto"/>
        </w:rPr>
      </w:pPr>
    </w:p>
    <w:p>
      <w:pPr>
        <w:ind w:left="1280" w:hanging="462"/>
        <w:spacing w:after="0"/>
        <w:tabs>
          <w:tab w:leader="none" w:pos="1280" w:val="left"/>
        </w:tabs>
        <w:numPr>
          <w:ilvl w:val="0"/>
          <w:numId w:val="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Environmental Matters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Compliance with international, federal and local environmental protection laws or regulations could have an adverse impact upon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 Action plans are developed to mitigate identified risks.</w:t>
      </w:r>
    </w:p>
    <w:p>
      <w:pPr>
        <w:spacing w:after="0" w:line="146" w:lineRule="exact"/>
        <w:rPr>
          <w:sz w:val="20"/>
          <w:szCs w:val="20"/>
          <w:color w:val="auto"/>
        </w:rPr>
      </w:pPr>
    </w:p>
    <w:p>
      <w:pPr>
        <w:ind w:left="1280" w:hanging="462"/>
        <w:spacing w:after="0"/>
        <w:tabs>
          <w:tab w:leader="none" w:pos="128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Employees</w:t>
      </w:r>
    </w:p>
    <w:p>
      <w:pPr>
        <w:spacing w:after="0" w:line="96"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As of April 3, 2010, we employed the full-time equivalent of 2,327 persons assigned to the following functional areas: manufacturing, 913; sales and marketing, 405; general and administrative, 374; research, development, and engineering, 417; and quality control and field service, 218. We consider our employee relations to be satisfactory.</w:t>
      </w:r>
    </w:p>
    <w:p>
      <w:pPr>
        <w:spacing w:after="0" w:line="114" w:lineRule="exact"/>
        <w:rPr>
          <w:sz w:val="20"/>
          <w:szCs w:val="20"/>
          <w:color w:val="auto"/>
        </w:rPr>
      </w:pPr>
    </w:p>
    <w:p>
      <w:pPr>
        <w:ind w:left="1180" w:hanging="362"/>
        <w:spacing w:after="0"/>
        <w:tabs>
          <w:tab w:leader="none" w:pos="1180" w:val="left"/>
        </w:tabs>
        <w:numPr>
          <w:ilvl w:val="0"/>
          <w:numId w:val="1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Availability of Reports and Other Information</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All of our corporate governance materials, including the Principles of Corporate Governance, the Business Conduct Policy and the charters of the Audit, Compensation, and Nominating and Governance Committees are published on the Investor Relations section of our website at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40"/>
        <w:spacing w:after="0" w:line="327" w:lineRule="auto"/>
        <w:rPr>
          <w:sz w:val="20"/>
          <w:szCs w:val="20"/>
          <w:color w:val="auto"/>
        </w:rPr>
      </w:pPr>
      <w:r>
        <w:rPr>
          <w:rFonts w:ascii="Arial" w:cs="Arial" w:eastAsia="Arial" w:hAnsi="Arial"/>
          <w:sz w:val="12"/>
          <w:szCs w:val="12"/>
          <w:b w:val="1"/>
          <w:bCs w:val="1"/>
          <w:color w:val="auto"/>
        </w:rPr>
        <w:t>http://www.haemonetics.com/site/content/investor/corp_gov.asp</w:t>
      </w:r>
      <w:r>
        <w:rPr>
          <w:rFonts w:ascii="Arial" w:cs="Arial" w:eastAsia="Arial" w:hAnsi="Arial"/>
          <w:sz w:val="12"/>
          <w:szCs w:val="12"/>
          <w:color w:val="auto"/>
        </w:rPr>
        <w:t>. On this web site the public can also access, free of charge, our annual, quarterly and current reports and other documents</w:t>
      </w:r>
      <w:r>
        <w:rPr>
          <w:rFonts w:ascii="Arial" w:cs="Arial" w:eastAsia="Arial" w:hAnsi="Arial"/>
          <w:sz w:val="12"/>
          <w:szCs w:val="12"/>
          <w:b w:val="1"/>
          <w:bCs w:val="1"/>
          <w:color w:val="auto"/>
        </w:rPr>
        <w:t xml:space="preserve"> </w:t>
      </w:r>
      <w:r>
        <w:rPr>
          <w:rFonts w:ascii="Arial" w:cs="Arial" w:eastAsia="Arial" w:hAnsi="Arial"/>
          <w:sz w:val="12"/>
          <w:szCs w:val="12"/>
          <w:color w:val="auto"/>
        </w:rPr>
        <w:t>filed or furnished to the Securities and Exchange Commission as soon as reasonably practicable after we electronically file such material with, or furnish it to, the SEC.</w:t>
      </w:r>
    </w:p>
    <w:p>
      <w:pPr>
        <w:spacing w:after="0" w:line="106"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Information about Foreign and Domestic Operations and Export Sales</w:t>
      </w:r>
    </w:p>
    <w:p>
      <w:pPr>
        <w:spacing w:after="0" w:line="100" w:lineRule="exact"/>
        <w:rPr>
          <w:sz w:val="20"/>
          <w:szCs w:val="20"/>
          <w:color w:val="auto"/>
        </w:rPr>
      </w:pPr>
    </w:p>
    <w:p>
      <w:pPr>
        <w:ind w:left="680" w:right="420" w:firstLine="399"/>
        <w:spacing w:after="0" w:line="296" w:lineRule="auto"/>
        <w:rPr>
          <w:sz w:val="20"/>
          <w:szCs w:val="20"/>
          <w:color w:val="auto"/>
        </w:rPr>
      </w:pPr>
      <w:r>
        <w:rPr>
          <w:rFonts w:ascii="Arial" w:cs="Arial" w:eastAsia="Arial" w:hAnsi="Arial"/>
          <w:sz w:val="12"/>
          <w:szCs w:val="12"/>
          <w:color w:val="auto"/>
        </w:rPr>
        <w:t xml:space="preserve">The financial information required by this item is included herein in Note 15 of the financial statements, entitled </w:t>
      </w:r>
      <w:r>
        <w:rPr>
          <w:rFonts w:ascii="Arial" w:cs="Arial" w:eastAsia="Arial" w:hAnsi="Arial"/>
          <w:sz w:val="12"/>
          <w:szCs w:val="12"/>
          <w:i w:val="1"/>
          <w:iCs w:val="1"/>
          <w:color w:val="auto"/>
        </w:rPr>
        <w:t>Segment, Geographic and Customer Information</w:t>
      </w:r>
      <w:r>
        <w:rPr>
          <w:rFonts w:ascii="Arial" w:cs="Arial" w:eastAsia="Arial" w:hAnsi="Arial"/>
          <w:sz w:val="12"/>
          <w:szCs w:val="12"/>
          <w:color w:val="auto"/>
        </w:rPr>
        <w:t xml:space="preserve">. Sales to the Japanese Red Cross accounted for 14.3% of net revenues in fiscal year 2010. No other customer accounted for more than 10% of our net revenues. For more information concerning significant customers, see subheading of Note 2 of the financial statements, entitled, </w:t>
      </w:r>
      <w:r>
        <w:rPr>
          <w:rFonts w:ascii="Arial" w:cs="Arial" w:eastAsia="Arial" w:hAnsi="Arial"/>
          <w:sz w:val="12"/>
          <w:szCs w:val="12"/>
          <w:i w:val="1"/>
          <w:iCs w:val="1"/>
          <w:color w:val="auto"/>
        </w:rPr>
        <w:t>Concentration of Credit Risk and Significant Customers</w:t>
      </w:r>
      <w:r>
        <w:rPr>
          <w:rFonts w:ascii="Arial" w:cs="Arial" w:eastAsia="Arial" w:hAnsi="Arial"/>
          <w:sz w:val="12"/>
          <w:szCs w:val="12"/>
          <w:color w:val="auto"/>
        </w:rPr>
        <w: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Cautionary Statement</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3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Set forth below are the risks that we believe are material to our investors. This section contains forward-looking statements. You should refer to the explanation of the qualifications and limitations on forward-looking statements beginning on page 15 and 46.</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If we are unable to successfully expand our business, through internal research and development, marketing partnerships and acquisitions, our business may be materially and adversely affected. </w:t>
      </w:r>
      <w:r>
        <w:rPr>
          <w:rFonts w:ascii="Arial" w:cs="Arial" w:eastAsia="Arial" w:hAnsi="Arial"/>
          <w:sz w:val="12"/>
          <w:szCs w:val="12"/>
          <w:color w:val="auto"/>
        </w:rPr>
        <w:t>Promising partnerships and acquisitions may not be completed for reasons such as competition among prospective partners or buyers, our inability to reach satisfactory</w:t>
      </w:r>
      <w:r>
        <w:rPr>
          <w:rFonts w:ascii="Arial" w:cs="Arial" w:eastAsia="Arial" w:hAnsi="Arial"/>
          <w:sz w:val="12"/>
          <w:szCs w:val="12"/>
          <w:i w:val="1"/>
          <w:iCs w:val="1"/>
          <w:color w:val="auto"/>
        </w:rPr>
        <w:t xml:space="preserve"> </w:t>
      </w:r>
      <w:r>
        <w:rPr>
          <w:rFonts w:ascii="Arial" w:cs="Arial" w:eastAsia="Arial" w:hAnsi="Arial"/>
          <w:sz w:val="12"/>
          <w:szCs w:val="12"/>
          <w:color w:val="auto"/>
        </w:rPr>
        <w:t>terms, or the need for regulatory approvals. Any acquisition that we complete may be dilutive to earnings and require that we invest significant resources. We may not be able to integrate any acquired businesses successfully into our existing business, make such businesses profitable, or realize anticipated market growth or cost savings. The current economic environment may constrain the company’s ability to access capital that may be needed for acquisitions and other capital investments.</w:t>
      </w:r>
    </w:p>
    <w:p>
      <w:pPr>
        <w:spacing w:after="0" w:line="5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If we are unable to successfully keep pace with technological advances in the medical field and the standards for transfusion medicine, our business, financial condition and results of operation could be adversely affected. </w:t>
      </w:r>
      <w:r>
        <w:rPr>
          <w:rFonts w:ascii="Arial" w:cs="Arial" w:eastAsia="Arial" w:hAnsi="Arial"/>
          <w:sz w:val="13"/>
          <w:szCs w:val="13"/>
          <w:color w:val="auto"/>
        </w:rPr>
        <w:t>The success of our products will depend upon our ability to anticipate and meet the needs of the medical field, particularly those who practice</w:t>
      </w:r>
      <w:r>
        <w:rPr>
          <w:rFonts w:ascii="Arial" w:cs="Arial" w:eastAsia="Arial" w:hAnsi="Arial"/>
          <w:sz w:val="13"/>
          <w:szCs w:val="13"/>
          <w:i w:val="1"/>
          <w:iCs w:val="1"/>
          <w:color w:val="auto"/>
        </w:rPr>
        <w:t xml:space="preserve"> </w:t>
      </w:r>
      <w:r>
        <w:rPr>
          <w:rFonts w:ascii="Arial" w:cs="Arial" w:eastAsia="Arial" w:hAnsi="Arial"/>
          <w:sz w:val="13"/>
          <w:szCs w:val="13"/>
          <w:color w:val="auto"/>
        </w:rPr>
        <w:t>transfusion medicine. Additionally, we must be able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manufacture the products in a cost effective manner, with high quality and obtain permission to market and sell the products from various regulatory authorities.</w:t>
      </w:r>
    </w:p>
    <w:p>
      <w:pPr>
        <w:spacing w:after="0" w:line="96" w:lineRule="exact"/>
        <w:rPr>
          <w:sz w:val="20"/>
          <w:szCs w:val="20"/>
          <w:color w:val="auto"/>
        </w:rPr>
      </w:pPr>
    </w:p>
    <w:p>
      <w:pPr>
        <w:ind w:left="680" w:right="60" w:firstLine="399"/>
        <w:spacing w:after="0" w:line="278" w:lineRule="auto"/>
        <w:rPr>
          <w:sz w:val="20"/>
          <w:szCs w:val="20"/>
          <w:color w:val="auto"/>
        </w:rPr>
      </w:pPr>
      <w:r>
        <w:rPr>
          <w:rFonts w:ascii="Arial" w:cs="Arial" w:eastAsia="Arial" w:hAnsi="Arial"/>
          <w:sz w:val="12"/>
          <w:szCs w:val="12"/>
          <w:i w:val="1"/>
          <w:iCs w:val="1"/>
          <w:color w:val="auto"/>
        </w:rPr>
        <w:t xml:space="preserve">As a medical device manufacturer we are subject to a number of existing laws and regulations. Non-compliance with those laws or regulations could adversely affect our financial condition and results of operations. </w:t>
      </w:r>
      <w:r>
        <w:rPr>
          <w:rFonts w:ascii="Arial" w:cs="Arial" w:eastAsia="Arial" w:hAnsi="Arial"/>
          <w:sz w:val="12"/>
          <w:szCs w:val="12"/>
          <w:color w:val="auto"/>
        </w:rPr>
        <w:t>The manufacture, distribution and marketing of our products are subject to regulation by the FDA and other non-United States regulatory bodies. Some</w:t>
      </w:r>
      <w:r>
        <w:rPr>
          <w:rFonts w:ascii="Arial" w:cs="Arial" w:eastAsia="Arial" w:hAnsi="Arial"/>
          <w:sz w:val="12"/>
          <w:szCs w:val="12"/>
          <w:i w:val="1"/>
          <w:iCs w:val="1"/>
          <w:color w:val="auto"/>
        </w:rPr>
        <w:t xml:space="preserve"> </w:t>
      </w:r>
      <w:r>
        <w:rPr>
          <w:rFonts w:ascii="Arial" w:cs="Arial" w:eastAsia="Arial" w:hAnsi="Arial"/>
          <w:sz w:val="12"/>
          <w:szCs w:val="12"/>
          <w:color w:val="auto"/>
        </w:rPr>
        <w:t>regulatory authorities outside the United States may have a bias in favor of locally produced goods that could delay or prevent our achieving regulatory approval to market our products in such geographies. We must obtain specific regulatory clearance prior to selling any new product or service, and our operations are also subject to continuous review and monitoring by the FDA and other regulatory authorities. The process of obtaining approval to market and distribute our products is costly and time-consuming. Export of U.S. technology or goods manufactured in the United States to some jurisdictions requires special U.S. export authorization that may be influenced by factors, including political dynamics, outside our control. Changes in privacy regulations and other developments in human subjects clinical trials could make it more difficult and more expensive to conduct clinical trials necessary for product approval. Regulations about the use of certain materials in the manufacture of our products could also require us to convert our production to alternate material(s), which may be more costly or less effective. The number of eligible blood donors is influenced by government regulations (including travel restrictions, health history, etc.) and other economic and sociological factors. Changes in donation related regulations could have significant immediate effects on the population of eligible donors.</w:t>
      </w:r>
    </w:p>
    <w:p>
      <w:pPr>
        <w:spacing w:after="0" w:line="63"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We are subject to various actions by government authorities that regulate medical devices including: product recalls, orders to cease manufacturing or distribution activities, and other taxes, sanctions or penalties. </w:t>
      </w:r>
      <w:r>
        <w:rPr>
          <w:rFonts w:ascii="Arial" w:cs="Arial" w:eastAsia="Arial" w:hAnsi="Arial"/>
          <w:sz w:val="13"/>
          <w:szCs w:val="13"/>
          <w:color w:val="auto"/>
        </w:rPr>
        <w:t>Compliance with these regulations is costly and additional regulation could adversely affect our results of operations. Our customers are also subject to</w:t>
      </w:r>
      <w:r>
        <w:rPr>
          <w:rFonts w:ascii="Arial" w:cs="Arial" w:eastAsia="Arial" w:hAnsi="Arial"/>
          <w:sz w:val="13"/>
          <w:szCs w:val="13"/>
          <w:i w:val="1"/>
          <w:iCs w:val="1"/>
          <w:color w:val="auto"/>
        </w:rPr>
        <w:t xml:space="preserve"> </w:t>
      </w:r>
      <w:r>
        <w:rPr>
          <w:rFonts w:ascii="Arial" w:cs="Arial" w:eastAsia="Arial" w:hAnsi="Arial"/>
          <w:sz w:val="13"/>
          <w:szCs w:val="13"/>
          <w:color w:val="auto"/>
        </w:rPr>
        <w:t>these regulations. Our customers’ compliance with applicable regulations could also affect our results of operations. Our hospital products are used in surgical procedures that are the subject of reimbursement to certain of our customers by third party payors, including governmental programs. Changes in the reimbursement guidelines could affect our product revenues. Marketing practices for these products are strictly regulated and violations may subject the Company to fines and other penalties. Recently, legislation was enacted in the U.S. which imposes a 2.3% excise tax on U.S. sales of medical devices beginning in January 2013.</w:t>
      </w:r>
    </w:p>
    <w:p>
      <w:pPr>
        <w:spacing w:after="0" w:line="72"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i w:val="1"/>
          <w:iCs w:val="1"/>
          <w:color w:val="auto"/>
        </w:rPr>
        <w:t xml:space="preserve">Many of our competitors have significantly greater financial and other resources. Their greater financial resources may allow them to more rapidly develop new technologies and more quickly address changes in customer requirements. </w:t>
      </w:r>
      <w:r>
        <w:rPr>
          <w:rFonts w:ascii="Arial" w:cs="Arial" w:eastAsia="Arial" w:hAnsi="Arial"/>
          <w:sz w:val="13"/>
          <w:szCs w:val="13"/>
          <w:color w:val="auto"/>
        </w:rPr>
        <w:t>Although no one company competes with us across our full line of products, we face competition in each of our product lines. Our</w:t>
      </w:r>
      <w:r>
        <w:rPr>
          <w:rFonts w:ascii="Arial" w:cs="Arial" w:eastAsia="Arial" w:hAnsi="Arial"/>
          <w:sz w:val="13"/>
          <w:szCs w:val="13"/>
          <w:i w:val="1"/>
          <w:iCs w:val="1"/>
          <w:color w:val="auto"/>
        </w:rPr>
        <w:t xml:space="preserve"> </w:t>
      </w:r>
      <w:r>
        <w:rPr>
          <w:rFonts w:ascii="Arial" w:cs="Arial" w:eastAsia="Arial" w:hAnsi="Arial"/>
          <w:sz w:val="13"/>
          <w:szCs w:val="13"/>
          <w:color w:val="auto"/>
        </w:rPr>
        <w:t>ability to remain competitive depends on a combination of factors, including those within our control (reputation, regulatory approvals, patents, unpatented proprietary know-how in several technological areas, product quality, safety, cost effectiveness and continued rigorous documentation of clinical performance) as well as factors outside of our control (regulatory standards, medical standards, reimbursement policies and practices, and the practice of medicine). Also, sales of unauthorized copies of our products by local competitors in China could affect the demand and price paid for our products.</w:t>
      </w:r>
    </w:p>
    <w:p>
      <w:pPr>
        <w:spacing w:after="0" w:line="7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As a global corporation, we are exposed to fluctuations in currency exchange rates, which could adversely affect our cash flows and results of operations. </w:t>
      </w:r>
      <w:r>
        <w:rPr>
          <w:rFonts w:ascii="Arial" w:cs="Arial" w:eastAsia="Arial" w:hAnsi="Arial"/>
          <w:sz w:val="12"/>
          <w:szCs w:val="12"/>
          <w:color w:val="auto"/>
        </w:rPr>
        <w:t>International revenues</w:t>
      </w:r>
      <w:r>
        <w:rPr>
          <w:rFonts w:ascii="Arial" w:cs="Arial" w:eastAsia="Arial" w:hAnsi="Arial"/>
          <w:sz w:val="12"/>
          <w:szCs w:val="12"/>
          <w:i w:val="1"/>
          <w:iCs w:val="1"/>
          <w:color w:val="auto"/>
        </w:rPr>
        <w:t xml:space="preserve"> </w:t>
      </w:r>
      <w:r>
        <w:rPr>
          <w:rFonts w:ascii="Arial" w:cs="Arial" w:eastAsia="Arial" w:hAnsi="Arial"/>
          <w:sz w:val="12"/>
          <w:szCs w:val="12"/>
          <w:color w:val="auto"/>
        </w:rPr>
        <w:t>account for a substantial portion of our revenues, and we intend to continue expanding our presence in international markets. In fiscal year 2010, our international revenues accounted for 52.9% of our total revenues. The exposure to fluctuations in currency exchange rates takes different forms. Reported revenues for sales made in foreign currencies by our international businesses, when translated into U.S. dollars for financial reporting purposes, fluctuate due to exchange rate movement. Fluctuations in exchange rates could adversely affect our profitability in U.S. dollars of products and services sold by us into international markets, where payment for our products and services is made in local currencies.</w:t>
      </w:r>
    </w:p>
    <w:p>
      <w:pPr>
        <w:spacing w:after="0" w:line="55"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Plastics are the principal component of our disposables, which are the main source of our revenues. </w:t>
      </w:r>
      <w:r>
        <w:rPr>
          <w:rFonts w:ascii="Arial" w:cs="Arial" w:eastAsia="Arial" w:hAnsi="Arial"/>
          <w:sz w:val="13"/>
          <w:szCs w:val="13"/>
          <w:color w:val="auto"/>
        </w:rPr>
        <w:t>Increases in the price of petroleum derivatives could result in corresponding</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increases in our costs to procure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plastic raw materials. Increases in the costs of other commodities may affect our procurement costs to a lesser degree.</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Loss of a significant customer could adversely affect our business. </w:t>
      </w:r>
      <w:r>
        <w:rPr>
          <w:rFonts w:ascii="Arial" w:cs="Arial" w:eastAsia="Arial" w:hAnsi="Arial"/>
          <w:sz w:val="13"/>
          <w:szCs w:val="13"/>
          <w:color w:val="auto"/>
        </w:rPr>
        <w:t>The Japan Red Cross Society (JRC) is a significant customer that represented 14.3% of our revenues in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2010. Because of the size of this relationship we could experience a significant reduction in revenue if the JRC decided to significantly reduce its purchases from us for any reason including a desire to rebalance its purchases between vendors, or if we are unable to obtain and maintain necessary regulatory approvals in Japan. We also have a concentration of credit risk due to our outstanding accounts receivable balances with the JRC.</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We are subject to the risks of international economic and political conditions. </w:t>
      </w:r>
      <w:r>
        <w:rPr>
          <w:rFonts w:ascii="Arial" w:cs="Arial" w:eastAsia="Arial" w:hAnsi="Arial"/>
          <w:sz w:val="13"/>
          <w:szCs w:val="13"/>
          <w:color w:val="auto"/>
        </w:rPr>
        <w:t>Our international operations are subject to risks which are inherent in conducting business overseas and</w:t>
      </w:r>
      <w:r>
        <w:rPr>
          <w:rFonts w:ascii="Arial" w:cs="Arial" w:eastAsia="Arial" w:hAnsi="Arial"/>
          <w:sz w:val="13"/>
          <w:szCs w:val="13"/>
          <w:i w:val="1"/>
          <w:iCs w:val="1"/>
          <w:color w:val="auto"/>
        </w:rPr>
        <w:t xml:space="preserve"> </w:t>
      </w:r>
      <w:r>
        <w:rPr>
          <w:rFonts w:ascii="Arial" w:cs="Arial" w:eastAsia="Arial" w:hAnsi="Arial"/>
          <w:sz w:val="13"/>
          <w:szCs w:val="13"/>
          <w:color w:val="auto"/>
        </w:rPr>
        <w:t>under foreign laws, regulations and customs. These risks include possible nationalization, expropriation, importation limitations, violations of U.S. or local laws, pricing restrictions, and other restrictive governmental actions. Any significant changes in the competitive, political, legal, regulatory, reimbursement or economic environment where we conduct international operations may have a material impact on our business, financial condition or results of operations.</w:t>
      </w:r>
    </w:p>
    <w:p>
      <w:pPr>
        <w:spacing w:after="0" w:line="70" w:lineRule="exact"/>
        <w:rPr>
          <w:sz w:val="20"/>
          <w:szCs w:val="20"/>
          <w:color w:val="auto"/>
        </w:rPr>
      </w:pPr>
    </w:p>
    <w:p>
      <w:pPr>
        <w:jc w:val="both"/>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We are subject to the risks associated with communicable diseases. A significant outbreak of a disease could reduce the demand for our products and affect our ability to provide our customers with products and services. </w:t>
      </w:r>
      <w:r>
        <w:rPr>
          <w:rFonts w:ascii="Arial" w:cs="Arial" w:eastAsia="Arial" w:hAnsi="Arial"/>
          <w:sz w:val="12"/>
          <w:szCs w:val="12"/>
          <w:color w:val="auto"/>
        </w:rPr>
        <w:t>An eligible donor’s willingness to donate is affected by concerns about their personal health and safety. Concerns about communicable diseases (such</w:t>
      </w:r>
      <w:r>
        <w:rPr>
          <w:rFonts w:ascii="Arial" w:cs="Arial" w:eastAsia="Arial" w:hAnsi="Arial"/>
          <w:sz w:val="12"/>
          <w:szCs w:val="12"/>
          <w:i w:val="1"/>
          <w:iCs w:val="1"/>
          <w:color w:val="auto"/>
        </w:rPr>
        <w:t xml:space="preserve"> </w:t>
      </w:r>
      <w:r>
        <w:rPr>
          <w:rFonts w:ascii="Arial" w:cs="Arial" w:eastAsia="Arial" w:hAnsi="Arial"/>
          <w:sz w:val="12"/>
          <w:szCs w:val="12"/>
          <w:color w:val="auto"/>
        </w:rPr>
        <w:t>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3"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i w:val="1"/>
          <w:iCs w:val="1"/>
          <w:color w:val="auto"/>
        </w:rPr>
        <w:t xml:space="preserve">We sell our products in certain emerging economies. </w:t>
      </w:r>
      <w:r>
        <w:rPr>
          <w:rFonts w:ascii="Arial" w:cs="Arial" w:eastAsia="Arial" w:hAnsi="Arial"/>
          <w:sz w:val="12"/>
          <w:szCs w:val="12"/>
          <w:color w:val="auto"/>
        </w:rPr>
        <w:t>Emerging economies have less mature product regulatory systems, and can have more volatile financial markets. In addition,</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 controlled health care systems’ willingness or ability to invest in our products and systems may abruptly change due to changing government priorities or funding capacity. Our ability to sell products in these economies is dependent upon our ability to hire qualified employees or agents to represent our products locally, and our ability to obtain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55" w:lineRule="exact"/>
        <w:rPr>
          <w:sz w:val="20"/>
          <w:szCs w:val="20"/>
          <w:color w:val="auto"/>
        </w:rPr>
      </w:pPr>
    </w:p>
    <w:p>
      <w:pPr>
        <w:ind w:left="680" w:right="100" w:firstLine="399"/>
        <w:spacing w:after="0" w:line="281" w:lineRule="auto"/>
        <w:rPr>
          <w:sz w:val="20"/>
          <w:szCs w:val="20"/>
          <w:color w:val="auto"/>
        </w:rPr>
      </w:pPr>
      <w:r>
        <w:rPr>
          <w:rFonts w:ascii="Arial" w:cs="Arial" w:eastAsia="Arial" w:hAnsi="Arial"/>
          <w:sz w:val="12"/>
          <w:szCs w:val="12"/>
          <w:i w:val="1"/>
          <w:iCs w:val="1"/>
          <w:color w:val="auto"/>
        </w:rPr>
        <w:t xml:space="preserve">In many of the international markets in which we do business, including certain parts of Europe, Russia and Asia, our employees, agents or distributors offer to sell our products in response to public tenders issued by various governmental agencies. </w:t>
      </w:r>
      <w:r>
        <w:rPr>
          <w:rFonts w:ascii="Arial" w:cs="Arial" w:eastAsia="Arial" w:hAnsi="Arial"/>
          <w:sz w:val="12"/>
          <w:szCs w:val="12"/>
          <w:color w:val="auto"/>
        </w:rPr>
        <w:t>Selling our products through agents or distributors, particularly in public tenders, can expose the Company to a higher</w:t>
      </w:r>
      <w:r>
        <w:rPr>
          <w:rFonts w:ascii="Arial" w:cs="Arial" w:eastAsia="Arial" w:hAnsi="Arial"/>
          <w:sz w:val="12"/>
          <w:szCs w:val="12"/>
          <w:i w:val="1"/>
          <w:iCs w:val="1"/>
          <w:color w:val="auto"/>
        </w:rPr>
        <w:t xml:space="preserve"> </w:t>
      </w:r>
      <w:r>
        <w:rPr>
          <w:rFonts w:ascii="Arial" w:cs="Arial" w:eastAsia="Arial" w:hAnsi="Arial"/>
          <w:sz w:val="12"/>
          <w:szCs w:val="12"/>
          <w:color w:val="auto"/>
        </w:rPr>
        <w:t>degree of risk. Our agents and distributors are third parties who we retain to work in developing markets. We retain these agents or distributors after completing due diligence on their capabilities and background. However, agents and distributors are independent third parties. If they misrepresent our products, do not provide appropriate service and delivery, or commit a violation of local or U.S. law, our reputation could be harmed, and we could be subject to fines, sanctions or both. We also conduct diligent examinations of businesses we have targeted for acquisition or other business combinations. However, confidentiality obligations and compressed timeframes for completing these examinations may constrain our ability to fully discover and resolve all risks attendant to the operation of the target’s business until after closing of the transaction.</w:t>
      </w:r>
    </w:p>
    <w:p>
      <w:pPr>
        <w:spacing w:after="0" w:line="5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i w:val="1"/>
          <w:iCs w:val="1"/>
          <w:color w:val="auto"/>
        </w:rPr>
        <w:t xml:space="preserve">We have a complex international supply chain. </w:t>
      </w:r>
      <w:r>
        <w:rPr>
          <w:rFonts w:ascii="Arial" w:cs="Arial" w:eastAsia="Arial" w:hAnsi="Arial"/>
          <w:sz w:val="13"/>
          <w:szCs w:val="13"/>
          <w:color w:val="auto"/>
        </w:rPr>
        <w:t>Any disruption to one or more of our suppliers’ production or delivery of sufficient volumes of subcomponents conforming to our</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specifications could disrupt or delay our ability to deliver finished products to our customers.</w:t>
      </w:r>
    </w:p>
    <w:p>
      <w:pPr>
        <w:spacing w:after="0" w:line="59"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 xml:space="preserve">There is a risk that the Company’s IP may be subject to misappropriation in some countries. </w:t>
      </w:r>
      <w:r>
        <w:rPr>
          <w:rFonts w:ascii="Arial" w:cs="Arial" w:eastAsia="Arial" w:hAnsi="Arial"/>
          <w:sz w:val="13"/>
          <w:szCs w:val="13"/>
          <w:color w:val="auto"/>
        </w:rPr>
        <w:t>Certain countries, particularly China, do not enforce compliance with laws that protect</w:t>
      </w:r>
      <w:r>
        <w:rPr>
          <w:rFonts w:ascii="Arial" w:cs="Arial" w:eastAsia="Arial" w:hAnsi="Arial"/>
          <w:sz w:val="13"/>
          <w:szCs w:val="13"/>
          <w:i w:val="1"/>
          <w:iCs w:val="1"/>
          <w:color w:val="auto"/>
        </w:rPr>
        <w:t xml:space="preserve"> </w:t>
      </w:r>
      <w:r>
        <w:rPr>
          <w:rFonts w:ascii="Arial" w:cs="Arial" w:eastAsia="Arial" w:hAnsi="Arial"/>
          <w:sz w:val="13"/>
          <w:szCs w:val="13"/>
          <w:color w:val="auto"/>
        </w:rPr>
        <w:t>intellectual property (“IP”) rights with the same degree of vigor as is available under the U.S. and European systems of justice. Further,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spacing w:after="0" w:line="276" w:lineRule="auto"/>
        <w:rPr>
          <w:sz w:val="20"/>
          <w:szCs w:val="20"/>
          <w:color w:val="auto"/>
        </w:rPr>
      </w:pPr>
      <w:r>
        <w:rPr>
          <w:rFonts w:ascii="Arial" w:cs="Arial" w:eastAsia="Arial" w:hAnsi="Arial"/>
          <w:sz w:val="13"/>
          <w:szCs w:val="13"/>
          <w:color w:val="auto"/>
        </w:rPr>
        <w:t>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The technologies that cover our products are the subject of active patent prosecution. </w:t>
      </w:r>
      <w:r>
        <w:rPr>
          <w:rFonts w:ascii="Arial" w:cs="Arial" w:eastAsia="Arial" w:hAnsi="Arial"/>
          <w:sz w:val="13"/>
          <w:szCs w:val="13"/>
          <w:color w:val="auto"/>
        </w:rPr>
        <w:t>There is a risk that one or more of our products may be determined to infringe a patent held by</w:t>
      </w:r>
      <w:r>
        <w:rPr>
          <w:rFonts w:ascii="Arial" w:cs="Arial" w:eastAsia="Arial" w:hAnsi="Arial"/>
          <w:sz w:val="13"/>
          <w:szCs w:val="13"/>
          <w:i w:val="1"/>
          <w:iCs w:val="1"/>
          <w:color w:val="auto"/>
        </w:rPr>
        <w:t xml:space="preserve"> </w:t>
      </w:r>
      <w:r>
        <w:rPr>
          <w:rFonts w:ascii="Arial" w:cs="Arial" w:eastAsia="Arial" w:hAnsi="Arial"/>
          <w:sz w:val="13"/>
          <w:szCs w:val="13"/>
          <w:color w:val="auto"/>
        </w:rPr>
        <w:t>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67"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i w:val="1"/>
          <w:iCs w:val="1"/>
          <w:color w:val="auto"/>
        </w:rPr>
        <w:t xml:space="preserve">Our products are made with materials which are subject to regulation by governmental agencies. </w:t>
      </w:r>
      <w:r>
        <w:rPr>
          <w:rFonts w:ascii="Arial" w:cs="Arial" w:eastAsia="Arial" w:hAnsi="Arial"/>
          <w:sz w:val="12"/>
          <w:szCs w:val="12"/>
          <w:color w:val="auto"/>
        </w:rPr>
        <w:t>Environmental regulations may prohibit the use of certain compounds in products</w:t>
      </w:r>
      <w:r>
        <w:rPr>
          <w:rFonts w:ascii="Arial" w:cs="Arial" w:eastAsia="Arial" w:hAnsi="Arial"/>
          <w:sz w:val="12"/>
          <w:szCs w:val="12"/>
          <w:i w:val="1"/>
          <w:iCs w:val="1"/>
          <w:color w:val="auto"/>
        </w:rPr>
        <w:t xml:space="preserve"> </w:t>
      </w:r>
      <w:r>
        <w:rPr>
          <w:rFonts w:ascii="Arial" w:cs="Arial" w:eastAsia="Arial" w:hAnsi="Arial"/>
          <w:sz w:val="12"/>
          <w:szCs w:val="12"/>
          <w:color w:val="auto"/>
        </w:rPr>
        <w:t>we market and sell into regulated markets. If we are unable to substitute suitable materials into our processes, our manufacturing operations may be disrupted.</w:t>
      </w:r>
    </w:p>
    <w:p>
      <w:pPr>
        <w:spacing w:after="0" w:line="3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We are entrusted with sensitive personal information relating to surgical patients, blood donors, employees and other persons in the course of operating our business and serving our customers, </w:t>
      </w:r>
      <w:r>
        <w:rPr>
          <w:rFonts w:ascii="Arial" w:cs="Arial" w:eastAsia="Arial" w:hAnsi="Arial"/>
          <w:sz w:val="13"/>
          <w:szCs w:val="13"/>
          <w:color w:val="auto"/>
        </w:rPr>
        <w:t>Government agencies require that we implement measures to ensure the integrity and security of such personal data and, in the event of a breach of protocol, that we inform</w:t>
      </w:r>
      <w:r>
        <w:rPr>
          <w:rFonts w:ascii="Arial" w:cs="Arial" w:eastAsia="Arial" w:hAnsi="Arial"/>
          <w:sz w:val="13"/>
          <w:szCs w:val="13"/>
          <w:i w:val="1"/>
          <w:iCs w:val="1"/>
          <w:color w:val="auto"/>
        </w:rPr>
        <w:t xml:space="preserve"> </w:t>
      </w:r>
      <w:r>
        <w:rPr>
          <w:rFonts w:ascii="Arial" w:cs="Arial" w:eastAsia="Arial" w:hAnsi="Arial"/>
          <w:sz w:val="13"/>
          <w:szCs w:val="13"/>
          <w:color w:val="auto"/>
        </w:rPr>
        <w:t>affected individuals. If our systems were not properly implemented, or should suffer a breach of security or an intrusion (e.g., “hacking”) by unauthorized persons, the Company’s reputation could be harmed, and it could incur costs and liabilities to affected persons and enforcement agencies.</w:t>
      </w:r>
    </w:p>
    <w:p>
      <w:pPr>
        <w:spacing w:after="0" w:line="14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Our main facility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 and 3,000 square feet available for expansion. See Note 8 to the financial statements for details of our mortgage on the Braintree facility.</w:t>
      </w:r>
    </w:p>
    <w:p>
      <w:pPr>
        <w:spacing w:after="0" w:line="32"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On property adjacent to the Braintree facility the Company leases 43,708 square feet of additional office space. This facility is used for sales, marketing, finance, legal, and other administrative services. Annual lease expense for this facility is $548,171.</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leases an 81,929 square foot facility in Leetsdale, Pennsylvania. This facility is used for warehousing, distribution and manufacturing operations supporting our plasma business. Annual lease expense is $346,994 for this facility. The Company is also leasing a temporary facility of 28,309 square feet in Leetsdale, Pennsylvania to accommodate expanded distribution until we can manufacture in our new facility in Draper, Utah.</w:t>
      </w:r>
    </w:p>
    <w:p>
      <w:pPr>
        <w:spacing w:after="0" w:line="67" w:lineRule="exact"/>
        <w:rPr>
          <w:sz w:val="20"/>
          <w:szCs w:val="20"/>
          <w:color w:val="auto"/>
        </w:rPr>
      </w:pPr>
    </w:p>
    <w:p>
      <w:pPr>
        <w:jc w:val="both"/>
        <w:ind w:left="680" w:right="340" w:firstLine="399"/>
        <w:spacing w:after="0" w:line="371" w:lineRule="auto"/>
        <w:rPr>
          <w:sz w:val="20"/>
          <w:szCs w:val="20"/>
          <w:color w:val="auto"/>
        </w:rPr>
      </w:pPr>
      <w:r>
        <w:rPr>
          <w:rFonts w:ascii="Arial" w:cs="Arial" w:eastAsia="Arial" w:hAnsi="Arial"/>
          <w:sz w:val="11"/>
          <w:szCs w:val="11"/>
          <w:color w:val="auto"/>
        </w:rPr>
        <w:t>The Company leases 99,931 square feet in Draper, Utah. This facility is used for the manufacturing of SEBRA whole blood equipment and the distribution of both SEBRA and plasma disposable products. Beginning in April 2011, this facility will manufacture plasma disposables identical to the production in Leetsdale, PA. Annual lease expense is $471,105.</w:t>
      </w:r>
    </w:p>
    <w:p>
      <w:pPr>
        <w:spacing w:after="0" w:line="1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owns a facility in Bothwell, Scotland used to manufacture disposable components for European customers. The original facility is approximately 22,200 square feet. An addition of 18,000 square feet was added in early fiscal year 2006. This expansion provided additional office space and 13,500 square feet of warehouse replacing space previously leased for this purpose.</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Company leases 26,264 square feet of office space in Signy, Switzerland. This facility is used for sales, marketing, finance and other administrative services. Annual lease expense for this space is $743,140.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leases 6,214 square feet of space in Tokyo, Japan for sales, marketing, finance and other administrative offices. Annual lease expense is $567,560.</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The Company owns a facility in Union, South Carolina. This facility is used for manufacture of sterile solutions to support our blood bank and plasma businesses. The facility is approximately 69,300 square feet.</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also leases a 55,000 square foot facility in Stoughton, Massachusetts. This facility is used for warehousing and distribution of products. The annual lease expense is $261,250.</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Haemonetics Software Solutions, which develops and markets software for the blood bank and plasma business, retains two leases. The first is 25,856 square feet of office space in Edmonton, Alberta, Canada. Annual lease expense is $321,192. The second is 17,624 square feet of office space in Rosemont, Illinois. Annual lease expense is $427,430. We expect to close this facility in fiscal year 2011.</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Arryx Inc., which performs research for the Company, leases 10,830 square feet of office and laboratory space in Chicago, Illinois. Annual lease expense is $201,090.</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Haemoscope Corporation., which performs research and manufacturing for the Company, leases 16,478 square feet of office and manufacturing space in Niles, Illinois. Annual lease expense is $134,710.</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also leases sales, marketing, service, and distribution facilities in Japan, Europe (Austria, Belgium, Czech Republic, France, Germany, Italy, Sweden, Switzerland, the Netherlands, and United Kingdom), Lebanon, Russia, China, Hong Kong, Taiwan, and Brazil to support our international business.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In addition, such litigation could damage our reputation and, therefore, impair our ability to market our products or to obtain professional or product liability insurance or cause the premiums for such insurances to increase. We carry product liability coverage. While we believe that the aggregate current coverage is sufficient, there can be no assurance that such coverage will be adequate to cover liabilities which may be incurred. Moreover, we may in the future be unable to obtain product and professional liability coverage in amounts and on terms that we find acceptable, if at all.</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TPG, and Maverick Capital, Ltd. The new company which resulted from the sale was renamed Fenwal. In January 2009, a jury found that the Fenwal ALYX system infringed Haemonetics’ patent and awarded us $15.7 million in damages for past infringement. On June 2, 2009, the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court awarded pre-judgment interest at 5% on the unpaid damages awarded. On August 19, 2009, an amended judgment was issued under which Haemonetics was awarded $11.3 million for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60" w:lineRule="auto"/>
        <w:rPr>
          <w:sz w:val="20"/>
          <w:szCs w:val="20"/>
          <w:color w:val="auto"/>
        </w:rPr>
      </w:pPr>
      <w:r>
        <w:rPr>
          <w:rFonts w:ascii="Arial" w:cs="Arial" w:eastAsia="Arial" w:hAnsi="Arial"/>
          <w:sz w:val="13"/>
          <w:szCs w:val="13"/>
          <w:color w:val="auto"/>
        </w:rPr>
        <w:t>lost profits suffered as a result of the infringement, $4.4 million in royalty damages suffered as a result of the infringement, and prejudgment interest of $2.3 million for a total award of $18.0 million. Fenwal and Baxter have appealed these rulings to the United States Court of Appeals for the Federal Circuit and oral arguments were heard on April 5, 2010. The damages have not been paid and the royalties are being escrowed pending a decision on the appeal. On December 16, 2009, the U.S. Patent Office granted a request by Fenwal for the ex-parte re-examination of the Haemonetics patent, and that re-examination process is proceeding.</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On December 7, 2009, Fenwal had announced that it began shipping a red cell collection kit with a modified separation chamber, and that it is discontinuing sales of its original ALYX consumable kit. We believe this new collection kit also infringes our patent. On December 14, 2009, we filed a new infringement suit in Massachusetts federal district court seeking an injunction and damages from Fenwal’s sale of this new consumable.</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April 2008, our subsidiary Haemonetics Italia, Srl. and two of its employees were found guilty by a court in Milan, Italy of charges arising from allegedly improper payments made under a consulting contract with a local physician and in pricing products supplied under a tender from a public hospital. In parallel proceedings concluded contemporaneously in Genoa, Italy, the same parties were entirely exonerated of all charges. Both matters involved several other individuals and companies and arose in 2004 and 2005, respectively. When the matters first arose, our Board of Directors commissioned independent legal counsel to conduct investigations on its behalf. Based upon its evaluation of counsel’s report, the Board concluded that no disciplinary action was warranted in either case. All Haemonetics parties appealed the guilty verdicts. On March 3, 2010 the first-level appeals court affirmed these verdicts. We are evaluating this decision and considering our options for further appeal. The Milan ruling, and its affirmation, has not impacted the Company’s business in Italy to date. A third proceeding was referred by the Milan court for hearing in Bergamo, Italy. There have been evidentiary hearings, but no material developments in that case.</w:t>
      </w:r>
    </w:p>
    <w:p>
      <w:pPr>
        <w:spacing w:after="0" w:line="1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concerning our Executive Officers is as follows. Executive officers are elected by and serve at the discretion of our Board of Directors.</w:t>
      </w:r>
    </w:p>
    <w:p>
      <w:pPr>
        <w:spacing w:after="0" w:line="77"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PETER ALLEN </w:t>
      </w:r>
      <w:r>
        <w:rPr>
          <w:rFonts w:ascii="Arial" w:cs="Arial" w:eastAsia="Arial" w:hAnsi="Arial"/>
          <w:sz w:val="13"/>
          <w:szCs w:val="13"/>
          <w:color w:val="auto"/>
        </w:rPr>
        <w:t>(age 51) joined our Company in 2003 as President, Donor Division. Mr. Allen was appointed Chief Marketing Officer for Haemonetics in 2008. Prior to joining</w:t>
      </w:r>
      <w:r>
        <w:rPr>
          <w:rFonts w:ascii="Arial" w:cs="Arial" w:eastAsia="Arial" w:hAnsi="Arial"/>
          <w:sz w:val="13"/>
          <w:szCs w:val="13"/>
          <w:i w:val="1"/>
          <w:iCs w:val="1"/>
          <w:color w:val="auto"/>
        </w:rPr>
        <w:t xml:space="preserve"> </w:t>
      </w:r>
      <w:r>
        <w:rPr>
          <w:rFonts w:ascii="Arial" w:cs="Arial" w:eastAsia="Arial" w:hAnsi="Arial"/>
          <w:sz w:val="13"/>
          <w:szCs w:val="13"/>
          <w:color w:val="auto"/>
        </w:rPr>
        <w:t>Haemonetics, 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 services. Previously, he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42"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PHILLIP J. BRANCAZIO </w:t>
      </w:r>
      <w:r>
        <w:rPr>
          <w:rFonts w:ascii="Arial" w:cs="Arial" w:eastAsia="Arial" w:hAnsi="Arial"/>
          <w:sz w:val="13"/>
          <w:szCs w:val="13"/>
          <w:color w:val="auto"/>
        </w:rPr>
        <w:t>(age 57) joined our Company in July 2009 as Vice President, Global Manufacturing. Prior to Haemonetics, Mr. Brancazio was Vice President of</w:t>
      </w:r>
      <w:r>
        <w:rPr>
          <w:rFonts w:ascii="Arial" w:cs="Arial" w:eastAsia="Arial" w:hAnsi="Arial"/>
          <w:sz w:val="13"/>
          <w:szCs w:val="13"/>
          <w:i w:val="1"/>
          <w:iCs w:val="1"/>
          <w:color w:val="auto"/>
        </w:rPr>
        <w:t xml:space="preserve"> </w:t>
      </w:r>
      <w:r>
        <w:rPr>
          <w:rFonts w:ascii="Arial" w:cs="Arial" w:eastAsia="Arial" w:hAnsi="Arial"/>
          <w:sz w:val="13"/>
          <w:szCs w:val="13"/>
          <w:color w:val="auto"/>
        </w:rPr>
        <w:t>Manufacturing for Watson Pharmaceuticals, a generic drug manufacturer from 2004 — 2009. From 1999 to 2003 he worked with DPT Laboratories, a contract manufacturing company, servicing the pharmaceutical industry, as Vice President of Manufacturing. Mr. Brancazio worked for Bristol Myers Squibb from 1976 to 1999. He held positions of increasing responsibility in Quality, Production, and Supply Chain, and Vice President of Manufacturing. Mr. Brancazio has a BS in Microbiology with a Minor in Chemistry from Texas A&amp;M University, and an MBA from University of North Carolina, Greensboro.</w:t>
      </w:r>
    </w:p>
    <w:p>
      <w:pPr>
        <w:spacing w:after="0" w:line="4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BRIAN CONCANNON </w:t>
      </w:r>
      <w:r>
        <w:rPr>
          <w:rFonts w:ascii="Arial" w:cs="Arial" w:eastAsia="Arial" w:hAnsi="Arial"/>
          <w:sz w:val="13"/>
          <w:szCs w:val="13"/>
          <w:color w:val="auto"/>
        </w:rPr>
        <w:t>(age 52) joined our Company in 2003 as President, Patient Division and was promoted to President, Global Markets, in 2006. In 2007, Mr. Concannon was</w:t>
      </w:r>
      <w:r>
        <w:rPr>
          <w:rFonts w:ascii="Arial" w:cs="Arial" w:eastAsia="Arial" w:hAnsi="Arial"/>
          <w:sz w:val="13"/>
          <w:szCs w:val="13"/>
          <w:i w:val="1"/>
          <w:iCs w:val="1"/>
          <w:color w:val="auto"/>
        </w:rPr>
        <w:t xml:space="preserve"> </w:t>
      </w:r>
      <w:r>
        <w:rPr>
          <w:rFonts w:ascii="Arial" w:cs="Arial" w:eastAsia="Arial" w:hAnsi="Arial"/>
          <w:sz w:val="13"/>
          <w:szCs w:val="13"/>
          <w:color w:val="auto"/>
        </w:rPr>
        <w:t>promoted to Chief Operating Officer. In April 2009, Mr. Concannon was promoted to President and Chief Executive Officer and elected to the Haemonetics Board of Directors. Immediately prior to joining the Company, Mr. Concannon was President,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spacing w:after="0" w:line="276" w:lineRule="auto"/>
        <w:rPr>
          <w:sz w:val="20"/>
          <w:szCs w:val="20"/>
          <w:color w:val="auto"/>
        </w:rPr>
      </w:pPr>
      <w:r>
        <w:rPr>
          <w:rFonts w:ascii="Arial" w:cs="Arial" w:eastAsia="Arial" w:hAnsi="Arial"/>
          <w:sz w:val="13"/>
          <w:szCs w:val="13"/>
          <w:color w:val="auto"/>
        </w:rPr>
        <w:t>Northeast Region, Cardinal Health Medical Products and Services where he was employed since 1998. From 1985 to 1998, he was employed by American Hospital Supply Corporation, Baxter Healthcare Corp. and Allegiance Healthcare in a series of sales and operations management positions of increasing responsibility.</w:t>
      </w:r>
    </w:p>
    <w:p>
      <w:pPr>
        <w:spacing w:after="0" w:line="40"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i w:val="1"/>
          <w:iCs w:val="1"/>
          <w:color w:val="auto"/>
        </w:rPr>
        <w:t xml:space="preserve">JOSEPH FORISH </w:t>
      </w:r>
      <w:r>
        <w:rPr>
          <w:rFonts w:ascii="Arial" w:cs="Arial" w:eastAsia="Arial" w:hAnsi="Arial"/>
          <w:sz w:val="13"/>
          <w:szCs w:val="13"/>
          <w:color w:val="auto"/>
        </w:rPr>
        <w:t>(age 57) joined our Company in 2005 as Vice President, Human Resources. Prior to joining Haemonetics, Mr. Forish held various global human resources</w:t>
      </w:r>
      <w:r>
        <w:rPr>
          <w:rFonts w:ascii="Arial" w:cs="Arial" w:eastAsia="Arial" w:hAnsi="Arial"/>
          <w:sz w:val="13"/>
          <w:szCs w:val="13"/>
          <w:i w:val="1"/>
          <w:iCs w:val="1"/>
          <w:color w:val="auto"/>
        </w:rPr>
        <w:t xml:space="preserve"> </w:t>
      </w:r>
      <w:r>
        <w:rPr>
          <w:rFonts w:ascii="Arial" w:cs="Arial" w:eastAsia="Arial" w:hAnsi="Arial"/>
          <w:sz w:val="13"/>
          <w:szCs w:val="13"/>
          <w:color w:val="auto"/>
        </w:rPr>
        <w:t>leadership roles, including Vice President, Corporate Human Resources for Rohm and Haas Company. Prior to that, Mr. Forish was Vice President, Human Resources for the ConvaTec Division of Bristol-Myers Squibb Company.</w:t>
      </w:r>
    </w:p>
    <w:p>
      <w:pPr>
        <w:spacing w:after="0" w:line="3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i w:val="1"/>
          <w:iCs w:val="1"/>
          <w:color w:val="auto"/>
        </w:rPr>
        <w:t xml:space="preserve">MIKAEL GORDON </w:t>
      </w:r>
      <w:r>
        <w:rPr>
          <w:rFonts w:ascii="Arial" w:cs="Arial" w:eastAsia="Arial" w:hAnsi="Arial"/>
          <w:sz w:val="13"/>
          <w:szCs w:val="13"/>
          <w:color w:val="auto"/>
        </w:rPr>
        <w:t>(age 55) joined our Company in 2007 as President, Europe and was promoted to President, Global Markets in February 2009. Prior to joining Haemonetics,</w:t>
      </w:r>
      <w:r>
        <w:rPr>
          <w:rFonts w:ascii="Arial" w:cs="Arial" w:eastAsia="Arial" w:hAnsi="Arial"/>
          <w:sz w:val="13"/>
          <w:szCs w:val="13"/>
          <w:i w:val="1"/>
          <w:iCs w:val="1"/>
          <w:color w:val="auto"/>
        </w:rPr>
        <w:t xml:space="preserve"> </w:t>
      </w:r>
      <w:r>
        <w:rPr>
          <w:rFonts w:ascii="Arial" w:cs="Arial" w:eastAsia="Arial" w:hAnsi="Arial"/>
          <w:sz w:val="13"/>
          <w:szCs w:val="13"/>
          <w:color w:val="auto"/>
        </w:rPr>
        <w:t>Mr. Gordon was Regional Executive Manager North &amp; West Europe for GE Healthcare Clinical Systems. From 1997 to 2007 he held various executive positions as Vice President IT, VP Laboratory Products, VP Strategic Planning and VP Global Sales within Amersham Biosciences until the company was acquired by General Electric in 2004. Mr. Gordon has broad international business experience in the healthcare environment and has lived several years outside his home country. Mr. Gordon has a B.Sc. from the Stockholm School of Economics and is a Swedish national.</w:t>
      </w:r>
    </w:p>
    <w:p>
      <w:pPr>
        <w:spacing w:after="0" w:line="42"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SUSAN HANLON </w:t>
      </w:r>
      <w:r>
        <w:rPr>
          <w:rFonts w:ascii="Arial" w:cs="Arial" w:eastAsia="Arial" w:hAnsi="Arial"/>
          <w:sz w:val="13"/>
          <w:szCs w:val="13"/>
          <w:color w:val="auto"/>
        </w:rPr>
        <w:t>(age 42) joined our Company in 2002 as Vice President and Corporate Controller. In 2004, she was promoted to Vice President Planning and Control, and in 2008,</w:t>
      </w:r>
      <w:r>
        <w:rPr>
          <w:rFonts w:ascii="Arial" w:cs="Arial" w:eastAsia="Arial" w:hAnsi="Arial"/>
          <w:sz w:val="13"/>
          <w:szCs w:val="13"/>
          <w:i w:val="1"/>
          <w:iCs w:val="1"/>
          <w:color w:val="auto"/>
        </w:rPr>
        <w:t xml:space="preserve"> </w:t>
      </w:r>
      <w:r>
        <w:rPr>
          <w:rFonts w:ascii="Arial" w:cs="Arial" w:eastAsia="Arial" w:hAnsi="Arial"/>
          <w:sz w:val="13"/>
          <w:szCs w:val="13"/>
          <w:color w:val="auto"/>
        </w:rPr>
        <w:t>Ms. Hanlon was promoted to Vice President Finance. She presently has responsibility for Controllership, Financial Planning, Tax, and Treasury. Prior to joining Haemonetics, Ms. Hanlon was a partner with Arthur Andersen LLP in Boston</w:t>
      </w:r>
    </w:p>
    <w:p>
      <w:pPr>
        <w:spacing w:after="0" w:line="4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CHRISTOPHER LINDOP </w:t>
      </w:r>
      <w:r>
        <w:rPr>
          <w:rFonts w:ascii="Arial" w:cs="Arial" w:eastAsia="Arial" w:hAnsi="Arial"/>
          <w:sz w:val="13"/>
          <w:szCs w:val="13"/>
          <w:color w:val="auto"/>
        </w:rPr>
        <w:t>(age 52) joined our Company in January of 2007 as Vice President and Chief Financial Officer. In 2007, Mr. Lindop also assumed responsibility for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development. Mr. Lindop is also responsible for our Software Solutions and Arryx businesses. Prior to joining Haemonetics, Mr. Lindop was Chief Financial Officer at Inverness Medical Innovations, a rapidly growing global developer of advanced consumer and professional diagnostic products from 2003 to 2006. Prior to this, he was Partner in the Boston offices of Ernst &amp; Young LLP and Arthur Andersen LLP and was engagement partner to the Haemonetics account at both firms. Mr. Lindop has no continuing relationship with Ernst &amp; Young that would preclude its continued service as our independent auditor. Additionally, there was a sufficient interval between Mr. Lindop’s work for the Company as our engagement partner and his appointment as CFO to comply with all applicable SEC rules and regulations.</w:t>
      </w:r>
    </w:p>
    <w:p>
      <w:pPr>
        <w:spacing w:after="0" w:line="4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ALICIA R. LOPEZ </w:t>
      </w:r>
      <w:r>
        <w:rPr>
          <w:rFonts w:ascii="Arial" w:cs="Arial" w:eastAsia="Arial" w:hAnsi="Arial"/>
          <w:sz w:val="13"/>
          <w:szCs w:val="13"/>
          <w:color w:val="auto"/>
        </w:rPr>
        <w:t>(age 55) joined our Company in 1988 as General Counsel and Director of Human Resources. Since 1990, she has served as Secretary to the Board of Directors. In</w:t>
      </w:r>
      <w:r>
        <w:rPr>
          <w:rFonts w:ascii="Arial" w:cs="Arial" w:eastAsia="Arial" w:hAnsi="Arial"/>
          <w:sz w:val="13"/>
          <w:szCs w:val="13"/>
          <w:i w:val="1"/>
          <w:iCs w:val="1"/>
          <w:color w:val="auto"/>
        </w:rPr>
        <w:t xml:space="preserve"> </w:t>
      </w:r>
      <w:r>
        <w:rPr>
          <w:rFonts w:ascii="Arial" w:cs="Arial" w:eastAsia="Arial" w:hAnsi="Arial"/>
          <w:sz w:val="13"/>
          <w:szCs w:val="13"/>
          <w:color w:val="auto"/>
        </w:rPr>
        <w:t>2000, Ms. Lopez was appointed Senior Vice President. In 2003, Ms. Lopez was named Vice President and General Counsel and in 2004 she was promoted to General Counsel and Vice President of Administration. In 2007, Ms. Lopez was promoted to Vice President, Corporate Affairs. Currently, she has responsibility for world wide legal, quality, regulatory, medical, clinical, environmental health and safety, and public affairs. Prior to joining Haemonetics, Ms. Lopez was employed by the law firm of Sullivan &amp; Worcester, counsel at the time to Haemonetics.</w:t>
      </w:r>
    </w:p>
    <w:p>
      <w:pPr>
        <w:spacing w:after="0" w:line="42"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BRAD NUTTER </w:t>
      </w:r>
      <w:r>
        <w:rPr>
          <w:rFonts w:ascii="Arial" w:cs="Arial" w:eastAsia="Arial" w:hAnsi="Arial"/>
          <w:sz w:val="13"/>
          <w:szCs w:val="13"/>
          <w:color w:val="auto"/>
        </w:rPr>
        <w:t>(age 58) joined our Company in 2003 as Board Member, President and Chief Executive Officer. In January 2008, Mr. Nutter was named Chairman of the Board. In</w:t>
      </w:r>
      <w:r>
        <w:rPr>
          <w:rFonts w:ascii="Arial" w:cs="Arial" w:eastAsia="Arial" w:hAnsi="Arial"/>
          <w:sz w:val="13"/>
          <w:szCs w:val="13"/>
          <w:i w:val="1"/>
          <w:iCs w:val="1"/>
          <w:color w:val="auto"/>
        </w:rPr>
        <w:t xml:space="preserve"> </w:t>
      </w:r>
      <w:r>
        <w:rPr>
          <w:rFonts w:ascii="Arial" w:cs="Arial" w:eastAsia="Arial" w:hAnsi="Arial"/>
          <w:sz w:val="13"/>
          <w:szCs w:val="13"/>
          <w:color w:val="auto"/>
        </w:rPr>
        <w:t>April 2009, Mr. Nutter stepped down from his position as Chief Executive Officer and assumed his new role as Executive Chairman of the Board. Prior to joining Haemonetics, Mr. Nutter was President and Chief Executive Officer of Gambro Healthcare, an international dialysis provider, a division of Gambro AB. From 1997 to 2000, he was Executive Vice President and Chief Operating Officer of Syncor International, an international provider of radiopharmaceuticals and medical imaging. Previously, Mr. Nutter held senior level positions at American Hospital Supply Corporation and Baxter International, Inc.</w:t>
      </w:r>
    </w:p>
    <w:p>
      <w:pPr>
        <w:spacing w:after="0" w:line="52"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i w:val="1"/>
          <w:iCs w:val="1"/>
          <w:color w:val="auto"/>
        </w:rPr>
        <w:t xml:space="preserve">MICK RUXIN, M.D. </w:t>
      </w:r>
      <w:r>
        <w:rPr>
          <w:rFonts w:ascii="Arial" w:cs="Arial" w:eastAsia="Arial" w:hAnsi="Arial"/>
          <w:sz w:val="12"/>
          <w:szCs w:val="12"/>
          <w:color w:val="auto"/>
        </w:rPr>
        <w:t>(age 64) joined our Company in 2010 as Vice President, Global Software Strategies. In 1995, Dr. Ruxin founded and was the Chairman and CEO of Global Med</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Technologies. Prior to Global Med, Dr. Ruxin founded and was the Chairman and CEO of National MRO, an international corporation that managed Fortune 500 companies’ drug programs. Dr. Ruxin received his M.D. degree from the University of Southern California and was Chief of two Emergency Departments in Denver, Colorado.</w:t>
      </w:r>
    </w:p>
    <w:p>
      <w:pPr>
        <w:spacing w:after="0" w:line="2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DR. JONATHAN WHITE </w:t>
      </w:r>
      <w:r>
        <w:rPr>
          <w:rFonts w:ascii="Arial" w:cs="Arial" w:eastAsia="Arial" w:hAnsi="Arial"/>
          <w:sz w:val="13"/>
          <w:szCs w:val="13"/>
          <w:color w:val="auto"/>
        </w:rPr>
        <w:t>(age 50) joined our Company in 2008 as Vice President, Research and Development. Dr. White joined Haemonetics from Pfizer, where he held a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roles including Chief Information Officer, and where he was employed from 1998 to 2008. From 1992 to 1998, he was a</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management consultant at McKinsey and Company in New York. Dr. White is a Fellow of the Royal College of Surgery in England. He completed his qualifications as a neurosurgeon and worked in both clinical and academic medical settings. In addition, he holds a Masters degree in Computer Science from Cambridge in England, and a Masters degree in Business Administration from INSEAD in France.</w:t>
      </w:r>
    </w:p>
    <w:p>
      <w:pPr>
        <w:spacing w:after="0" w:line="142"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26"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the Registrant’s Common Equity Related Stockholder Matters and Issuer Purchases of Equity Securities</w:t>
      </w:r>
    </w:p>
    <w:p>
      <w:pPr>
        <w:spacing w:after="0" w:line="71"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w:t>
      </w: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First</w:t>
            </w:r>
          </w:p>
        </w:tc>
        <w:tc>
          <w:tcPr>
            <w:tcW w:w="80" w:type="dxa"/>
            <w:vAlign w:val="bottom"/>
          </w:tcPr>
          <w:p>
            <w:pPr>
              <w:spacing w:after="0"/>
              <w:rPr>
                <w:sz w:val="10"/>
                <w:szCs w:val="10"/>
                <w:color w:val="auto"/>
              </w:rPr>
            </w:pPr>
          </w:p>
        </w:tc>
        <w:tc>
          <w:tcPr>
            <w:tcW w:w="80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88"/>
              </w:rPr>
              <w:t>Second</w:t>
            </w:r>
          </w:p>
        </w:tc>
        <w:tc>
          <w:tcPr>
            <w:tcW w:w="100" w:type="dxa"/>
            <w:vAlign w:val="bottom"/>
          </w:tcPr>
          <w:p>
            <w:pPr>
              <w:spacing w:after="0"/>
              <w:rPr>
                <w:sz w:val="10"/>
                <w:szCs w:val="10"/>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Third</w:t>
            </w:r>
          </w:p>
        </w:tc>
        <w:tc>
          <w:tcPr>
            <w:tcW w:w="80" w:type="dxa"/>
            <w:vAlign w:val="bottom"/>
          </w:tcPr>
          <w:p>
            <w:pPr>
              <w:spacing w:after="0"/>
              <w:rPr>
                <w:sz w:val="10"/>
                <w:szCs w:val="10"/>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94"/>
              </w:rPr>
              <w:t>Fourth</w:t>
            </w:r>
          </w:p>
        </w:tc>
      </w:tr>
      <w:tr>
        <w:trPr>
          <w:trHeight w:val="125"/>
        </w:trPr>
        <w:tc>
          <w:tcPr>
            <w:tcW w:w="6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Quarter</w:t>
            </w:r>
          </w:p>
        </w:tc>
        <w:tc>
          <w:tcPr>
            <w:tcW w:w="88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900" w:type="dxa"/>
            <w:vAlign w:val="bottom"/>
            <w:gridSpan w:val="3"/>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58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rPr>
              <w:t>Quarter</w:t>
            </w:r>
          </w:p>
        </w:tc>
      </w:tr>
      <w:tr>
        <w:trPr>
          <w:trHeight w:val="29"/>
        </w:trPr>
        <w:tc>
          <w:tcPr>
            <w:tcW w:w="67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April 3, 2010: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Market price of Common Stock:</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58.92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60.23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57.60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59.57</w:t>
            </w: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Low</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46.89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52.01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51.40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52.40</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March 28, 2009: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Market price of Common Stock:</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66.97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63.27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65.33</w:t>
            </w:r>
          </w:p>
        </w:tc>
      </w:tr>
      <w:tr>
        <w:trPr>
          <w:trHeight w:val="165"/>
        </w:trPr>
        <w:tc>
          <w:tcPr>
            <w:tcW w:w="6700" w:type="dxa"/>
            <w:vAlign w:val="bottom"/>
          </w:tcPr>
          <w:p>
            <w:pPr>
              <w:ind w:left="140"/>
              <w:spacing w:after="0"/>
              <w:rPr>
                <w:sz w:val="20"/>
                <w:szCs w:val="20"/>
                <w:color w:val="auto"/>
              </w:rPr>
            </w:pPr>
            <w:r>
              <w:rPr>
                <w:rFonts w:ascii="Arial" w:cs="Arial" w:eastAsia="Arial" w:hAnsi="Arial"/>
                <w:sz w:val="13"/>
                <w:szCs w:val="13"/>
                <w:color w:val="auto"/>
              </w:rPr>
              <w:t>Low</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51.72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color w:val="auto"/>
              </w:rPr>
              <w:t>51.18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48.79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50.32</w:t>
            </w:r>
          </w:p>
        </w:tc>
      </w:tr>
    </w:tbl>
    <w:p>
      <w:pPr>
        <w:spacing w:after="0" w:line="72"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There were approximately 327 holders of record of the Company’s common stock as of April 3, 2010. The Company has never paid cash dividends on shares of its common stock and does not expect to pay cash dividends in the foreseeable future.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The following graph compares the cumulative 5-year total return provided to shareholders on Haemonetics Corporation’s common stock relative to the cumulative total returns of the S &amp; P 500 index and the S &amp; P Health Care Equipment index. An investment of $100 (with reinvestment of all dividends) is assumed to have been made in our common stock and in each of the indexes on 3/31/2005 and its relative performance is tracked through 3/31/2010.</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Among Haemonetics Corporation, The S&amp;P 500 Index</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5043170" cy="1654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4317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00" w:right="5540" w:hanging="213"/>
        <w:spacing w:after="0" w:line="276"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$100 invested on 3/31/05 in stock or index, including reinvestment of dividends. Fiscal year ending March 31.</w:t>
      </w:r>
    </w:p>
    <w:p>
      <w:pPr>
        <w:spacing w:after="0" w:line="47"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Copyright</w:t>
      </w:r>
      <w:r>
        <w:rPr>
          <w:rFonts w:ascii="Arial" w:cs="Arial" w:eastAsia="Arial" w:hAnsi="Arial"/>
          <w:sz w:val="11"/>
          <w:szCs w:val="11"/>
          <w:color w:val="auto"/>
        </w:rPr>
        <w:t>©</w:t>
      </w:r>
      <w:r>
        <w:rPr>
          <w:rFonts w:ascii="Arial" w:cs="Arial" w:eastAsia="Arial" w:hAnsi="Arial"/>
          <w:sz w:val="13"/>
          <w:szCs w:val="13"/>
          <w:color w:val="auto"/>
        </w:rPr>
        <w:t xml:space="preserve"> 2010 S&amp;P, a division of The McGraw-Hill Companies Inc. All rights reserved.</w:t>
      </w:r>
    </w:p>
    <w:p>
      <w:pPr>
        <w:spacing w:after="0" w:line="176" w:lineRule="exact"/>
        <w:rPr>
          <w:sz w:val="20"/>
          <w:szCs w:val="20"/>
          <w:color w:val="auto"/>
        </w:rPr>
      </w:pPr>
    </w:p>
    <w:tbl>
      <w:tblPr>
        <w:tblLayout w:type="fixed"/>
        <w:tblInd w:w="690" w:type="dxa"/>
        <w:tblCellMar>
          <w:top w:w="0" w:type="dxa"/>
          <w:left w:w="0" w:type="dxa"/>
          <w:bottom w:w="0" w:type="dxa"/>
          <w:right w:w="0" w:type="dxa"/>
        </w:tblCellMar>
      </w:tblPr>
      <w:tr>
        <w:trPr>
          <w:trHeight w:val="108"/>
        </w:trPr>
        <w:tc>
          <w:tcPr>
            <w:tcW w:w="3900" w:type="dxa"/>
            <w:vAlign w:val="bottom"/>
            <w:tcBorders>
              <w:top w:val="single" w:sz="8" w:color="auto"/>
              <w:left w:val="single" w:sz="8" w:color="auto"/>
              <w:bottom w:val="single" w:sz="8" w:color="auto"/>
              <w:right w:val="single" w:sz="8" w:color="auto"/>
            </w:tcBorders>
          </w:tcPr>
          <w:p>
            <w:pPr>
              <w:spacing w:after="0"/>
              <w:rPr>
                <w:sz w:val="9"/>
                <w:szCs w:val="9"/>
                <w:color w:val="auto"/>
              </w:rPr>
            </w:pPr>
          </w:p>
        </w:tc>
        <w:tc>
          <w:tcPr>
            <w:tcW w:w="1040" w:type="dxa"/>
            <w:vAlign w:val="bottom"/>
            <w:tcBorders>
              <w:top w:val="single" w:sz="8" w:color="auto"/>
              <w:bottom w:val="single" w:sz="8" w:color="auto"/>
              <w:right w:val="single" w:sz="8" w:color="auto"/>
            </w:tcBorders>
          </w:tcPr>
          <w:p>
            <w:pPr>
              <w:jc w:val="right"/>
              <w:ind w:right="399"/>
              <w:spacing w:after="0"/>
              <w:rPr>
                <w:sz w:val="20"/>
                <w:szCs w:val="20"/>
                <w:color w:val="auto"/>
              </w:rPr>
            </w:pPr>
            <w:r>
              <w:rPr>
                <w:rFonts w:ascii="Arial" w:cs="Arial" w:eastAsia="Arial" w:hAnsi="Arial"/>
                <w:sz w:val="9"/>
                <w:szCs w:val="9"/>
                <w:b w:val="1"/>
                <w:bCs w:val="1"/>
                <w:color w:val="auto"/>
              </w:rPr>
              <w:t>3/05</w:t>
            </w:r>
          </w:p>
        </w:tc>
        <w:tc>
          <w:tcPr>
            <w:tcW w:w="10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3/06</w:t>
            </w:r>
          </w:p>
        </w:tc>
        <w:tc>
          <w:tcPr>
            <w:tcW w:w="10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3/07</w:t>
            </w:r>
          </w:p>
        </w:tc>
        <w:tc>
          <w:tcPr>
            <w:tcW w:w="1040" w:type="dxa"/>
            <w:vAlign w:val="bottom"/>
            <w:tcBorders>
              <w:top w:val="single" w:sz="8" w:color="auto"/>
              <w:bottom w:val="single" w:sz="8" w:color="auto"/>
              <w:right w:val="single" w:sz="8" w:color="auto"/>
            </w:tcBorders>
          </w:tcPr>
          <w:p>
            <w:pPr>
              <w:jc w:val="right"/>
              <w:ind w:right="399"/>
              <w:spacing w:after="0"/>
              <w:rPr>
                <w:sz w:val="20"/>
                <w:szCs w:val="20"/>
                <w:color w:val="auto"/>
              </w:rPr>
            </w:pPr>
            <w:r>
              <w:rPr>
                <w:rFonts w:ascii="Arial" w:cs="Arial" w:eastAsia="Arial" w:hAnsi="Arial"/>
                <w:sz w:val="9"/>
                <w:szCs w:val="9"/>
                <w:b w:val="1"/>
                <w:bCs w:val="1"/>
                <w:color w:val="auto"/>
              </w:rPr>
              <w:t>3/08</w:t>
            </w:r>
          </w:p>
        </w:tc>
        <w:tc>
          <w:tcPr>
            <w:tcW w:w="10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3/09</w:t>
            </w:r>
          </w:p>
        </w:tc>
        <w:tc>
          <w:tcPr>
            <w:tcW w:w="96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Arial" w:cs="Arial" w:eastAsia="Arial" w:hAnsi="Arial"/>
                <w:sz w:val="9"/>
                <w:szCs w:val="9"/>
                <w:b w:val="1"/>
                <w:bCs w:val="1"/>
                <w:color w:val="auto"/>
              </w:rPr>
              <w:t>3/10</w:t>
            </w:r>
          </w:p>
        </w:tc>
      </w:tr>
      <w:tr>
        <w:trPr>
          <w:trHeight w:val="147"/>
        </w:trPr>
        <w:tc>
          <w:tcPr>
            <w:tcW w:w="390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Haemonetics Corporation</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100.00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120.42</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110.89</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141.32</w:t>
            </w:r>
          </w:p>
        </w:tc>
        <w:tc>
          <w:tcPr>
            <w:tcW w:w="1020" w:type="dxa"/>
            <w:vAlign w:val="bottom"/>
            <w:tcBorders>
              <w:bottom w:val="single" w:sz="8" w:color="auto"/>
              <w:right w:val="single" w:sz="8" w:color="auto"/>
            </w:tcBorders>
          </w:tcPr>
          <w:p>
            <w:pPr>
              <w:jc w:val="right"/>
              <w:ind w:right="419"/>
              <w:spacing w:after="0" w:line="148" w:lineRule="exact"/>
              <w:rPr>
                <w:sz w:val="20"/>
                <w:szCs w:val="20"/>
                <w:color w:val="auto"/>
              </w:rPr>
            </w:pPr>
            <w:r>
              <w:rPr>
                <w:rFonts w:ascii="Arial" w:cs="Arial" w:eastAsia="Arial" w:hAnsi="Arial"/>
                <w:sz w:val="13"/>
                <w:szCs w:val="13"/>
                <w:b w:val="1"/>
                <w:bCs w:val="1"/>
                <w:color w:val="auto"/>
              </w:rPr>
              <w:t>130.65</w:t>
            </w:r>
          </w:p>
        </w:tc>
        <w:tc>
          <w:tcPr>
            <w:tcW w:w="960" w:type="dxa"/>
            <w:vAlign w:val="bottom"/>
            <w:tcBorders>
              <w:bottom w:val="single" w:sz="8" w:color="auto"/>
              <w:right w:val="single" w:sz="8" w:color="auto"/>
            </w:tcBorders>
          </w:tcPr>
          <w:p>
            <w:pPr>
              <w:jc w:val="right"/>
              <w:ind w:right="359"/>
              <w:spacing w:after="0" w:line="148" w:lineRule="exact"/>
              <w:rPr>
                <w:sz w:val="20"/>
                <w:szCs w:val="20"/>
                <w:color w:val="auto"/>
              </w:rPr>
            </w:pPr>
            <w:r>
              <w:rPr>
                <w:rFonts w:ascii="Arial" w:cs="Arial" w:eastAsia="Arial" w:hAnsi="Arial"/>
                <w:sz w:val="13"/>
                <w:szCs w:val="13"/>
                <w:b w:val="1"/>
                <w:bCs w:val="1"/>
                <w:color w:val="auto"/>
              </w:rPr>
              <w:t>135.56</w:t>
            </w:r>
          </w:p>
        </w:tc>
      </w:tr>
      <w:tr>
        <w:trPr>
          <w:trHeight w:val="147"/>
        </w:trPr>
        <w:tc>
          <w:tcPr>
            <w:tcW w:w="390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S&amp;P 500</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100.00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111.73</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124.95</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118.60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73.43</w:t>
            </w:r>
          </w:p>
        </w:tc>
        <w:tc>
          <w:tcPr>
            <w:tcW w:w="960" w:type="dxa"/>
            <w:vAlign w:val="bottom"/>
            <w:tcBorders>
              <w:bottom w:val="single" w:sz="8" w:color="auto"/>
              <w:right w:val="single" w:sz="8" w:color="auto"/>
            </w:tcBorders>
          </w:tcPr>
          <w:p>
            <w:pPr>
              <w:jc w:val="right"/>
              <w:ind w:right="359"/>
              <w:spacing w:after="0" w:line="148" w:lineRule="exact"/>
              <w:rPr>
                <w:sz w:val="20"/>
                <w:szCs w:val="20"/>
                <w:color w:val="auto"/>
              </w:rPr>
            </w:pPr>
            <w:r>
              <w:rPr>
                <w:rFonts w:ascii="Arial" w:cs="Arial" w:eastAsia="Arial" w:hAnsi="Arial"/>
                <w:sz w:val="13"/>
                <w:szCs w:val="13"/>
                <w:b w:val="1"/>
                <w:bCs w:val="1"/>
                <w:color w:val="auto"/>
              </w:rPr>
              <w:t>109.97</w:t>
            </w:r>
          </w:p>
        </w:tc>
      </w:tr>
      <w:tr>
        <w:trPr>
          <w:trHeight w:val="147"/>
        </w:trPr>
        <w:tc>
          <w:tcPr>
            <w:tcW w:w="390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S&amp;P Health Care Equipment</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100.00</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102.82</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111.66</w:t>
            </w:r>
          </w:p>
        </w:tc>
        <w:tc>
          <w:tcPr>
            <w:tcW w:w="104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115.55</w:t>
            </w:r>
          </w:p>
        </w:tc>
        <w:tc>
          <w:tcPr>
            <w:tcW w:w="1020" w:type="dxa"/>
            <w:vAlign w:val="bottom"/>
            <w:tcBorders>
              <w:bottom w:val="single" w:sz="8" w:color="auto"/>
              <w:right w:val="single" w:sz="8" w:color="auto"/>
            </w:tcBorders>
          </w:tcPr>
          <w:p>
            <w:pPr>
              <w:jc w:val="right"/>
              <w:ind w:right="439"/>
              <w:spacing w:after="0" w:line="148" w:lineRule="exact"/>
              <w:rPr>
                <w:sz w:val="20"/>
                <w:szCs w:val="20"/>
                <w:color w:val="auto"/>
              </w:rPr>
            </w:pPr>
            <w:r>
              <w:rPr>
                <w:rFonts w:ascii="Arial" w:cs="Arial" w:eastAsia="Arial" w:hAnsi="Arial"/>
                <w:sz w:val="13"/>
                <w:szCs w:val="13"/>
                <w:b w:val="1"/>
                <w:bCs w:val="1"/>
                <w:color w:val="auto"/>
              </w:rPr>
              <w:t>79.41</w:t>
            </w:r>
          </w:p>
        </w:tc>
        <w:tc>
          <w:tcPr>
            <w:tcW w:w="960" w:type="dxa"/>
            <w:vAlign w:val="bottom"/>
            <w:tcBorders>
              <w:bottom w:val="single" w:sz="8" w:color="auto"/>
              <w:right w:val="single" w:sz="8" w:color="auto"/>
            </w:tcBorders>
          </w:tcPr>
          <w:p>
            <w:pPr>
              <w:jc w:val="right"/>
              <w:ind w:right="359"/>
              <w:spacing w:after="0" w:line="148" w:lineRule="exact"/>
              <w:rPr>
                <w:sz w:val="20"/>
                <w:szCs w:val="20"/>
                <w:color w:val="auto"/>
              </w:rPr>
            </w:pPr>
            <w:r>
              <w:rPr>
                <w:rFonts w:ascii="Arial" w:cs="Arial" w:eastAsia="Arial" w:hAnsi="Arial"/>
                <w:sz w:val="13"/>
                <w:szCs w:val="13"/>
                <w:b w:val="1"/>
                <w:bCs w:val="1"/>
                <w:color w:val="auto"/>
              </w:rPr>
              <w:t>110.86</w:t>
            </w: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stock price performance included in this graph is not necessarily indicative of future stock price performance.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Consolidated Financial Data</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 Five-Year Review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8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2006(a)</w:t>
            </w:r>
          </w:p>
        </w:tc>
        <w:tc>
          <w:tcPr>
            <w:tcW w:w="100" w:type="dxa"/>
            <w:vAlign w:val="bottom"/>
          </w:tcPr>
          <w:p>
            <w:pPr>
              <w:spacing w:after="0"/>
              <w:rPr>
                <w:sz w:val="10"/>
                <w:szCs w:val="10"/>
                <w:color w:val="auto"/>
              </w:rPr>
            </w:pPr>
          </w:p>
        </w:tc>
      </w:tr>
      <w:tr>
        <w:trPr>
          <w:trHeight w:val="131"/>
        </w:trPr>
        <w:tc>
          <w:tcPr>
            <w:tcW w:w="4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20" w:type="dxa"/>
            <w:vAlign w:val="bottom"/>
            <w:gridSpan w:val="8"/>
          </w:tcPr>
          <w:p>
            <w:pPr>
              <w:jc w:val="right"/>
              <w:ind w:right="800"/>
              <w:spacing w:after="0"/>
              <w:rPr>
                <w:sz w:val="20"/>
                <w:szCs w:val="20"/>
                <w:color w:val="auto"/>
              </w:rPr>
            </w:pPr>
            <w:r>
              <w:rPr>
                <w:rFonts w:ascii="Arial" w:cs="Arial" w:eastAsia="Arial" w:hAnsi="Arial"/>
                <w:sz w:val="10"/>
                <w:szCs w:val="10"/>
                <w:b w:val="1"/>
                <w:bCs w:val="1"/>
                <w:color w:val="auto"/>
              </w:rPr>
              <w:t>(In thousands, except share and employee data)</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Summary of Operations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revenues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645,430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597,879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516,440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449,607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419,733</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307,949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289,709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258,715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222,307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199,198</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Gross profit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337,481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308,170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257,725</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227,300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220,535</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Research, development and engineering</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26,376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23,859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24,322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23,884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26,516</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214,483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198,744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163,116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137,073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121,351</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Contingent consideration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(2,345)</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15,686</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Cost to Equity</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680</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 process research and development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9,073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Arbitration &amp; Settlement Income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(5,700)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(26,350)</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254,200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187,438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164,555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122,197</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Operating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83,281</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85,567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70,287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62,745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98,338</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(2,011)</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(565)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7,015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9,591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7,864</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Income before provision for income taxes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81,270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85,002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77,302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72,336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106,202</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22,900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25,698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25,322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37,806</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Net income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58,370</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59,304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51,980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49,109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68,396</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per share:</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Basic</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2.29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2.34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2.58</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2.49</w:t>
            </w:r>
          </w:p>
        </w:tc>
      </w:tr>
      <w:tr>
        <w:trPr>
          <w:trHeight w:val="157"/>
        </w:trPr>
        <w:tc>
          <w:tcPr>
            <w:tcW w:w="4800" w:type="dxa"/>
            <w:vAlign w:val="bottom"/>
          </w:tcPr>
          <w:p>
            <w:pPr>
              <w:spacing w:after="0"/>
              <w:rPr>
                <w:sz w:val="20"/>
                <w:szCs w:val="20"/>
                <w:color w:val="auto"/>
              </w:rPr>
            </w:pPr>
            <w:r>
              <w:rPr>
                <w:rFonts w:ascii="Arial" w:cs="Arial" w:eastAsia="Arial" w:hAnsi="Arial"/>
                <w:sz w:val="13"/>
                <w:szCs w:val="13"/>
                <w:color w:val="auto"/>
              </w:rPr>
              <w:t>Weighted average number of shares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25,451</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25,389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25,824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26,746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26,478</w:t>
            </w:r>
          </w:p>
        </w:tc>
      </w:tr>
      <w:tr>
        <w:trPr>
          <w:trHeight w:val="157"/>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Common stock equivalents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612</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922</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996</w:t>
            </w:r>
          </w:p>
        </w:tc>
      </w:tr>
      <w:tr>
        <w:trPr>
          <w:trHeight w:val="165"/>
        </w:trPr>
        <w:tc>
          <w:tcPr>
            <w:tcW w:w="4800" w:type="dxa"/>
            <w:vAlign w:val="bottom"/>
          </w:tcPr>
          <w:p>
            <w:pPr>
              <w:spacing w:after="0"/>
              <w:rPr>
                <w:sz w:val="20"/>
                <w:szCs w:val="20"/>
                <w:color w:val="auto"/>
              </w:rPr>
            </w:pPr>
            <w:r>
              <w:rPr>
                <w:rFonts w:ascii="Arial" w:cs="Arial" w:eastAsia="Arial" w:hAnsi="Arial"/>
                <w:sz w:val="13"/>
                <w:szCs w:val="13"/>
                <w:color w:val="auto"/>
              </w:rPr>
              <w:t>Weighted average number of common and common equivalent shares</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26,063</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26,173</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26,746</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27,649</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27,474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80" w:hanging="393"/>
        <w:spacing w:after="0"/>
        <w:tabs>
          <w:tab w:leader="none" w:pos="1080" w:val="left"/>
        </w:tabs>
        <w:numPr>
          <w:ilvl w:val="0"/>
          <w:numId w:val="18"/>
        </w:numPr>
        <w:rPr>
          <w:rFonts w:ascii="Arial" w:cs="Arial" w:eastAsia="Arial" w:hAnsi="Arial"/>
          <w:sz w:val="13"/>
          <w:szCs w:val="13"/>
          <w:b w:val="1"/>
          <w:bCs w:val="1"/>
          <w:color w:val="auto"/>
        </w:rPr>
      </w:pPr>
      <w:r>
        <w:rPr>
          <w:rFonts w:ascii="Arial" w:cs="Arial" w:eastAsia="Arial" w:hAnsi="Arial"/>
          <w:sz w:val="13"/>
          <w:szCs w:val="13"/>
          <w:color w:val="auto"/>
        </w:rPr>
        <w:t>Reflects the adjustment to convert our investment in Arryx, Inc. to the equity method for periods prior to the acquisition.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Financial and Statistical Data:</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Working capital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249,646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289,530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261,757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321,654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330,288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ratio</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4.1</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3.7</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Property, plant and equipment, net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153,298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137,807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116,484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90,775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75,266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56,304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56,379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57,790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40,438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33,774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43,236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36,462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31,197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27,504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25,150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760,660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649,693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608,950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572,735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545,457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Total debt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20,651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6,038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12,363</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28,876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39,153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593,124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539,884</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494,188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479,648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440,564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Return on average equity</w:t>
            </w:r>
          </w:p>
        </w:tc>
        <w:tc>
          <w:tcPr>
            <w:tcW w:w="1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10.30%</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11.47%</w:t>
            </w:r>
          </w:p>
        </w:tc>
        <w:tc>
          <w:tcPr>
            <w:tcW w:w="140" w:type="dxa"/>
            <w:vAlign w:val="bottom"/>
          </w:tcPr>
          <w:p>
            <w:pPr>
              <w:spacing w:after="0"/>
              <w:rPr>
                <w:sz w:val="13"/>
                <w:szCs w:val="13"/>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3"/>
                <w:szCs w:val="13"/>
                <w:color w:val="auto"/>
              </w:rPr>
              <w:t>10.52%</w:t>
            </w:r>
          </w:p>
        </w:tc>
        <w:tc>
          <w:tcPr>
            <w:tcW w:w="1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10.67%</w:t>
            </w:r>
          </w:p>
        </w:tc>
        <w:tc>
          <w:tcPr>
            <w:tcW w:w="1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17.19%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Debt as a % of stockholders’ equity</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3.48%</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1.12%</w:t>
            </w: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2.50%</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6.02%</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tcPr>
          <w:p>
            <w:pPr>
              <w:spacing w:after="0"/>
              <w:rPr>
                <w:sz w:val="20"/>
                <w:szCs w:val="20"/>
                <w:color w:val="auto"/>
              </w:rPr>
            </w:pPr>
            <w:r>
              <w:rPr>
                <w:rFonts w:ascii="Arial" w:cs="Arial" w:eastAsia="Arial" w:hAnsi="Arial"/>
                <w:sz w:val="13"/>
                <w:szCs w:val="13"/>
                <w:color w:val="auto"/>
              </w:rPr>
              <w:t>Employees(b)</w:t>
            </w:r>
          </w:p>
        </w:tc>
        <w:tc>
          <w:tcPr>
            <w:tcW w:w="100" w:type="dxa"/>
            <w:vAlign w:val="bottom"/>
          </w:tcPr>
          <w:p>
            <w:pPr>
              <w:spacing w:after="0"/>
              <w:rPr>
                <w:sz w:val="13"/>
                <w:szCs w:val="13"/>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2,327</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2,016</w:t>
            </w:r>
          </w:p>
        </w:tc>
        <w:tc>
          <w:tcPr>
            <w:tcW w:w="14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1,875</w:t>
            </w:r>
          </w:p>
        </w:tc>
        <w:tc>
          <w:tcPr>
            <w:tcW w:w="16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color w:val="auto"/>
              </w:rPr>
              <w:t>1,826</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1,661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revenues per 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297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275</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254</w:t>
            </w:r>
          </w:p>
        </w:tc>
        <w:tc>
          <w:tcPr>
            <w:tcW w:w="800" w:type="dxa"/>
            <w:vAlign w:val="bottom"/>
          </w:tcPr>
          <w:p>
            <w:pPr>
              <w:spacing w:after="0"/>
              <w:rPr>
                <w:sz w:val="13"/>
                <w:szCs w:val="13"/>
                <w:color w:val="auto"/>
              </w:rPr>
            </w:pPr>
          </w:p>
        </w:tc>
      </w:tr>
      <w:tr>
        <w:trPr>
          <w:trHeight w:val="88"/>
        </w:trPr>
        <w:tc>
          <w:tcPr>
            <w:tcW w:w="6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195"/>
        </w:trPr>
        <w:tc>
          <w:tcPr>
            <w:tcW w:w="68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3"/>
                <w:szCs w:val="13"/>
                <w:b w:val="1"/>
                <w:bCs w:val="1"/>
                <w:color w:val="auto"/>
              </w:rPr>
              <w:t>(b)</w:t>
            </w:r>
          </w:p>
        </w:tc>
        <w:tc>
          <w:tcPr>
            <w:tcW w:w="4500" w:type="dxa"/>
            <w:vAlign w:val="bottom"/>
            <w:gridSpan w:val="2"/>
          </w:tcPr>
          <w:p>
            <w:pPr>
              <w:ind w:left="120"/>
              <w:spacing w:after="0"/>
              <w:rPr>
                <w:sz w:val="20"/>
                <w:szCs w:val="20"/>
                <w:color w:val="auto"/>
              </w:rPr>
            </w:pPr>
            <w:r>
              <w:rPr>
                <w:rFonts w:ascii="Arial" w:cs="Arial" w:eastAsia="Arial" w:hAnsi="Arial"/>
                <w:sz w:val="13"/>
                <w:szCs w:val="13"/>
                <w:color w:val="auto"/>
                <w:w w:val="98"/>
              </w:rPr>
              <w:t>Reflects the addition of Global Med employees at the end of fiscal year 2010.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42"/>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335"/>
              <w:spacing w:after="0"/>
              <w:rPr>
                <w:sz w:val="20"/>
                <w:szCs w:val="20"/>
                <w:color w:val="auto"/>
              </w:rPr>
            </w:pPr>
            <w:r>
              <w:rPr>
                <w:rFonts w:ascii="Arial" w:cs="Arial" w:eastAsia="Arial" w:hAnsi="Arial"/>
                <w:sz w:val="13"/>
                <w:szCs w:val="13"/>
                <w:color w:val="auto"/>
              </w:rPr>
              <w:t>23</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1180" w:hanging="493"/>
        <w:spacing w:after="0"/>
        <w:tabs>
          <w:tab w:leader="none" w:pos="11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Our Business</w:t>
      </w:r>
    </w:p>
    <w:p>
      <w:pPr>
        <w:spacing w:after="0" w:line="100"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Our systems automate the collection and processing of donated blood; assess likelihood for blood loss; salvage and process surgical patient blood; and dispense and track blood inventory in the hospital. These systems include devices and single-use, proprietary disposable sets (“disposables”) that operate only with our specialized devices. Specifically, our plasma and blood bank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likelihood of a patient’s blood loss.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also market information technology platforms that are used by blood and plasma collectors to eliminate previously manual functions. These platforms improve the safety and efficiency of blood collection logistics, mobile drive management and donor recruitment, and blood processing and distribution. Through our acquisition of Neoteric Technology Ltd. in April 2009 and Global Med Technologies, Inc. in March 2010, we now market information technology platforms for hospitals. These platforms improve the efficiency of hospital transfusion systems and automate manual processes. In fiscal year 2010, we also launched a blood management dashboard that allows hospital customers to mine their own data stored in disparate systems to assess their blood management practices, and implement change quickly.</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Our business services products include consulting, Six Sigma, and LEAN manufacturing offerings that support our customers’ needs for regulatory compliance and operational efficiency in the blood supply chain.</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6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Purchase and consumption of a minimum level of disposables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Payment of monthly rental fees;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asset utilization performance metric, such as performing a minimum level of procedures per month per device.</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disposable revenue stream (including sales of disposables and fees for the use of our equipment) accounted for approximately 86.8% of our total revenues for fiscal year 2010, 86.7% of our total revenues for fiscal year 2009, and 86.0% of our total revenues for fiscal year 2008.</w:t>
      </w:r>
    </w:p>
    <w:p>
      <w:pPr>
        <w:spacing w:after="0" w:line="134" w:lineRule="exact"/>
        <w:rPr>
          <w:sz w:val="20"/>
          <w:szCs w:val="20"/>
          <w:color w:val="auto"/>
        </w:rPr>
      </w:pPr>
    </w:p>
    <w:p>
      <w:pPr>
        <w:ind w:left="1180" w:hanging="493"/>
        <w:spacing w:after="0"/>
        <w:tabs>
          <w:tab w:leader="none" w:pos="11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Product Families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Although we manage our business as one operating segment, we address our customer constituents through four global product families: plasma, blood bank, hospital, and software solutions. Each of our products, platforms, and services can be marketed individually. However, our blood management solutions vision is to offer integrated solutions for blood supply chain management. Therefore, our software solutions — that is, information technology platforms and consulting services — are sold through a discreet sales force, but are also often sold through our plasma, blood bank, and hospital sales forces. Our integrated product portfolios are as follows: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Plasma Products and Solutions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plasma products include systems to collect plasma, which is then fractionated and made into bio-pharmaceuticals. Our plasma solutions include information technology platforms and consulting services that support improved operational efficiency and regulatory compliance. We market our plasma products to for-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profit plasma collectors which are frequently owned by large bio-pharmaceutical companies and often pay a fee for donations.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Systems:</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Our PCS brand systems automate the collection of plasma from donors who are most often paid a fee for their donation. The collected plasma is then processed into therapeutic pharmaceuticals. Automated plasma collection is a safe and cost-effective improvement to manual (non-automated) plasma collection which is time-consuming, labor-intensive, produces relatively poor yields, and poses risks to donors. Currently the majority of plasma collections worldwide are automated.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Solutions:</w:t>
      </w:r>
    </w:p>
    <w:p>
      <w:pPr>
        <w:spacing w:after="0" w:line="96"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Plasma was the first transfusion market we entered with information technology platforms. As a result, we have a robust portfolio of information technology platforms for plasma customers. Our plasma information technology platforms span the plasma supply chain and include products that manage donor processing, laboratory processing, back office functions, supply chain management, and distribution. Our products include: eQue</w:t>
      </w:r>
      <w:r>
        <w:rPr>
          <w:rFonts w:ascii="Arial" w:cs="Arial" w:eastAsia="Arial" w:hAnsi="Arial"/>
          <w:sz w:val="11"/>
          <w:szCs w:val="11"/>
          <w:color w:val="auto"/>
        </w:rPr>
        <w:t>®</w:t>
      </w:r>
      <w:r>
        <w:rPr>
          <w:rFonts w:ascii="Arial" w:cs="Arial" w:eastAsia="Arial" w:hAnsi="Arial"/>
          <w:sz w:val="13"/>
          <w:szCs w:val="13"/>
          <w:color w:val="auto"/>
        </w:rPr>
        <w:t xml:space="preserve"> Automated Interview and Assessment, eLynx</w:t>
      </w:r>
      <w:r>
        <w:rPr>
          <w:rFonts w:ascii="Arial" w:cs="Arial" w:eastAsia="Arial" w:hAnsi="Arial"/>
          <w:sz w:val="11"/>
          <w:szCs w:val="11"/>
          <w:color w:val="auto"/>
        </w:rPr>
        <w:t>®</w:t>
      </w:r>
      <w:r>
        <w:rPr>
          <w:rFonts w:ascii="Arial" w:cs="Arial" w:eastAsia="Arial" w:hAnsi="Arial"/>
          <w:sz w:val="13"/>
          <w:szCs w:val="13"/>
          <w:color w:val="auto"/>
        </w:rPr>
        <w:t xml:space="preserve"> Workflow Optimization, DMS Donor Management System, CaPS Cash Payment System, LOGIC, and a business intelligence dashboard. With our information technology platforms, plasma collectors are better able to manage processes across the plasma supply chain, react quickly to business dynamics, and identify increased opportunities to reduce costs. For consulting services, we offer customers business solutions to support process excellence, donor recruitment, and business design.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Blood Bank Products and Solutions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blood bank products include systems to collect plasma, platelets and red cells from blood donors. These blood components, including the plasma, are used for transfusion to patients. Our blood bank solutions include information technology platforms and consulting services that support improved operational efficiency and regulatory compliance. We market our blood bank products primarily to not-for-profit blood collectors or national health agencies.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Bank Systems: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market two MCS brand systems. The first MCS brand system automates the collection of platelets and other blood components from volunteer donors. The systems enable the donation of a larger volume of the donor’s platelets, which are then generally given to cancer patients and others with bleeding disorders. Before the advent of our automated platelet collection technology, the “pooling” or combination of platelets from 4 to 7 different donors was the only way to prepare a single therapeutic dose of platelets for transfusion to a patient. Our MCS line of products allows the collection of a sufficient number of platelets from only one donor to produce one or two therapeutic doses.</w:t>
      </w:r>
    </w:p>
    <w:p>
      <w:pPr>
        <w:spacing w:after="0" w:line="53"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market another MCS brand system as well as the Cymbal system to automate the collection of red cells from volunteer donors. These systems improve the blood collector’s operational efficiency by increasing the volume of blood components collected per donation event. Automation allows for a significantly higher number of red cells to be collected than the traditional (non-automated, whole blood) collection method. Automation helps blood collectors address red cell shortages that commonly plague health care systems. The highest sales volume product in the MCS red cell product line is our double red cell collection technology which allows for two units of red cells to be collected from one donor. Specialty protocols enabling the simultaneous collection of a unit of red cells and a unit of plasma or a unit of red cells and a unit of platelets are also available in various parts of the world.</w:t>
      </w:r>
    </w:p>
    <w:p>
      <w:pPr>
        <w:spacing w:after="0" w:line="55"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Our ACP brand systems automate the process used to freeze, thaw and wash red blood cells which enables blood collectors and the military to store frozen red cells and ultimately better manage blood inventories. The ACP systems can also be used to wash other cellular parts from red blood cells units before transfusion to patients with special transfusion requirements.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Bank Solutions: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Through internal product development and acquisition, we have significantly bolstered our blood bank information technology offerings over the past three years. Our platforms now span the blood collection supply chain and include products that manage blood drives, donor recruitment and processing, operations, and laboratory processing. Our products include: eQue</w:t>
      </w:r>
      <w:r>
        <w:rPr>
          <w:rFonts w:ascii="Arial" w:cs="Arial" w:eastAsia="Arial" w:hAnsi="Arial"/>
          <w:sz w:val="10"/>
          <w:szCs w:val="10"/>
          <w:color w:val="auto"/>
        </w:rPr>
        <w:t>®</w:t>
      </w:r>
      <w:r>
        <w:rPr>
          <w:rFonts w:ascii="Arial" w:cs="Arial" w:eastAsia="Arial" w:hAnsi="Arial"/>
          <w:sz w:val="12"/>
          <w:szCs w:val="12"/>
          <w:color w:val="auto"/>
        </w:rPr>
        <w:t xml:space="preserve"> Automated Interview and Assessment, Hemasphere, El Dorado Donor, eLynx</w:t>
      </w:r>
      <w:r>
        <w:rPr>
          <w:rFonts w:ascii="Arial" w:cs="Arial" w:eastAsia="Arial" w:hAnsi="Arial"/>
          <w:sz w:val="10"/>
          <w:szCs w:val="10"/>
          <w:color w:val="auto"/>
        </w:rPr>
        <w:t>®</w:t>
      </w:r>
      <w:r>
        <w:rPr>
          <w:rFonts w:ascii="Arial" w:cs="Arial" w:eastAsia="Arial" w:hAnsi="Arial"/>
          <w:sz w:val="12"/>
          <w:szCs w:val="12"/>
          <w:color w:val="auto"/>
        </w:rPr>
        <w:t xml:space="preserve"> Workflow Optimization, Sapanet, Surround, and Edgeblood. With our information technology platforms, blood collectors are better able to manage processes across the blood supply chain and improve safety, regulatory compliance and efficiency. For consulting services, we offer customers business solutions to support process excellence, quality control, and business design, including resource allocation and utilization.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Hospital Products and Solutions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hospital products include a surgical diagnostic system that measures hemostasis (clotting ability), giving clinicians valuable information to assess the patient’s hemostasis during surgery, and systems to collect blood during and after surgery, wash and filter unwanted substances from the blood, and prepare the blood for reinfusion to the surgical patient. Our hospital products also include a system for tracking and dispensing blood in the hospital. Our hospital solutions include IMPACT Online, an information technology platform to track blood use and best practices in blood management, as well as consulting services that assess blood management practices and recommend appropriate changes to ensure quality patient care at optimal costs. We market these hospital products to hospitals and hospital service providers.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Hospital Systems: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TEG Thrombelastograph Hemostasis Analyzer is a blood diagnostic instrument which measures a patient’s hemostasis or the ability to form and maintain blood clots. By understanding a patient’s clotting ability, clinicians can better plan for the patient’s care, deciding in advance whether to start or discontinue use of certain drugs or, if a transfusion is likely, whether to use donated blood or surgical blood salvage. Such planning supports the best possible clinical outcome, which can lead to lower hospital costs through reduced adverse transfusion reactions, shorter intensive care unit and hospital stays, and fewer needs for exploratory surgery.</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surgical blood salvage systems allow for the recovery, segregation and washing of red cells from blood lost by a patient during or after surgery, so that red cells can be made available to transfuse back to the patient if needed. In this way, a surgical patient can receive transfusions of the safest blood possible, his or her own. Our surgical blood salvage systems include: our Cell Saver brand systems for higher blood loss surgeries and trauma; our OrthoPAT brand systems for lower, slower blood loss orthopedic procedures; and our cardioPAT brand system for lower blood loss cardiovascular procedures, like beating heart surgeries. We also market the SmartSuction system which is used to clear blood and debris from the surgical field in conjunction with surgical blood salvage.</w:t>
      </w:r>
    </w:p>
    <w:p>
      <w:pPr>
        <w:spacing w:after="0" w:line="71"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BloodTrack systems manage control of blood products from the hospital blood bank through to the transfusion to the patient. “Smart” refrigerators located in operating suites, emergency rooms, and other parts of the hospital dispense blood units with just-in-time control and automated tracking for efficient documentation.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Hospital Solutions:</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the past, our information technology platforms have been focused on the blood bank and plasma businesses. This year, we launched IMPACT</w:t>
      </w:r>
      <w:r>
        <w:rPr>
          <w:rFonts w:ascii="Arial" w:cs="Arial" w:eastAsia="Arial" w:hAnsi="Arial"/>
          <w:sz w:val="7"/>
          <w:szCs w:val="7"/>
          <w:color w:val="auto"/>
        </w:rPr>
        <w:t>TM</w:t>
      </w:r>
      <w:r>
        <w:rPr>
          <w:rFonts w:ascii="Arial" w:cs="Arial" w:eastAsia="Arial" w:hAnsi="Arial"/>
          <w:sz w:val="12"/>
          <w:szCs w:val="12"/>
          <w:color w:val="auto"/>
        </w:rPr>
        <w:t xml:space="preserve"> Online which monitors and measures improvements in a hospital’s blood management practices. Where before, data was siloed across multiple information platforms, IMPACT Online compiles data from across the hospital, and provides administrators with actionable information. Also, with our recent acquisition of Global Med Technologies, we have added additional information technology offerings for the hospital. The acquisition gives us hospital inventory, cross-matching and transfusion managements systems. With our more robust offerings, hospitals are better able to manage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processes across the blood supply chain and identify increased opportunities to reduce costs and enhance processes.</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For consulting services, we offer peer to peer clinician consulting services that leverage a proprietary database of best practices in transfusion medicine to provide hospitals with a baseline view of their blood management metrics, as well as with recommendations for approaches to transfusion therapy and the avoidance of unnecessary transfusions. Our services then measure key improvements associated with recommended best practices to allow hospital customers to track progress.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Software Solutions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software solutions offerings include information technology platforms and consulting services which promote efficiency in blood management. Our software solutions address a universal customer goal — to provide the best patient care at optimal cost. We market our software solutions to plasma and blood collectors as well as to hospitals. While we employ a software solutions sales force, we also leverage our plasma, blood bank, and hospital sales force to cross-sell systems with software solutions.</w:t>
      </w:r>
    </w:p>
    <w:p>
      <w:pPr>
        <w:spacing w:after="0" w:line="5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Each of our products, platforms, and services can be marketed individually. However, as our blood management solutions vision is to offer integrated solutions for blood supply chain management, our software solutions — that is, information technology platforms and consulting services — are often integrated with the devices and sold through our plasma, blood bank, and hospital sales forces.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Financial Summary</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For the Year Ended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4"/>
              </w:rPr>
              <w:t>% Increase/</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 Increase/</w:t>
            </w:r>
          </w:p>
        </w:tc>
      </w:tr>
      <w:tr>
        <w:trPr>
          <w:trHeight w:val="81"/>
        </w:trPr>
        <w:tc>
          <w:tcPr>
            <w:tcW w:w="4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April 3,</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580" w:type="dxa"/>
            <w:vAlign w:val="bottom"/>
          </w:tcPr>
          <w:p>
            <w:pPr>
              <w:jc w:val="center"/>
              <w:ind w:right="17"/>
              <w:spacing w:after="0" w:line="81" w:lineRule="exact"/>
              <w:rPr>
                <w:sz w:val="20"/>
                <w:szCs w:val="20"/>
                <w:color w:val="auto"/>
              </w:rPr>
            </w:pPr>
            <w:r>
              <w:rPr>
                <w:rFonts w:ascii="Arial" w:cs="Arial" w:eastAsia="Arial" w:hAnsi="Arial"/>
                <w:sz w:val="9"/>
                <w:szCs w:val="9"/>
                <w:b w:val="1"/>
                <w:bCs w:val="1"/>
                <w:color w:val="auto"/>
              </w:rPr>
              <w:t>March 29,</w:t>
            </w:r>
          </w:p>
        </w:tc>
        <w:tc>
          <w:tcPr>
            <w:tcW w:w="420" w:type="dxa"/>
            <w:vAlign w:val="bottom"/>
          </w:tcPr>
          <w:p>
            <w:pPr>
              <w:spacing w:after="0"/>
              <w:rPr>
                <w:sz w:val="7"/>
                <w:szCs w:val="7"/>
                <w:color w:val="auto"/>
              </w:rPr>
            </w:pPr>
          </w:p>
        </w:tc>
        <w:tc>
          <w:tcPr>
            <w:tcW w:w="1240" w:type="dxa"/>
            <w:vAlign w:val="bottom"/>
            <w:gridSpan w:val="2"/>
          </w:tcPr>
          <w:p>
            <w:pPr>
              <w:jc w:val="center"/>
              <w:ind w:right="440"/>
              <w:spacing w:after="0" w:line="81" w:lineRule="exact"/>
              <w:rPr>
                <w:sz w:val="20"/>
                <w:szCs w:val="20"/>
                <w:color w:val="auto"/>
              </w:rPr>
            </w:pPr>
            <w:r>
              <w:rPr>
                <w:rFonts w:ascii="Arial" w:cs="Arial" w:eastAsia="Arial" w:hAnsi="Arial"/>
                <w:sz w:val="9"/>
                <w:szCs w:val="9"/>
                <w:b w:val="1"/>
                <w:bCs w:val="1"/>
                <w:color w:val="auto"/>
              </w:rPr>
              <w:t>(Decrease)</w:t>
            </w:r>
          </w:p>
        </w:tc>
        <w:tc>
          <w:tcPr>
            <w:tcW w:w="960" w:type="dxa"/>
            <w:vAlign w:val="bottom"/>
            <w:gridSpan w:val="2"/>
          </w:tcPr>
          <w:p>
            <w:pPr>
              <w:jc w:val="center"/>
              <w:ind w:right="140"/>
              <w:spacing w:after="0" w:line="81" w:lineRule="exact"/>
              <w:rPr>
                <w:sz w:val="20"/>
                <w:szCs w:val="20"/>
                <w:color w:val="auto"/>
              </w:rPr>
            </w:pPr>
            <w:r>
              <w:rPr>
                <w:rFonts w:ascii="Arial" w:cs="Arial" w:eastAsia="Arial" w:hAnsi="Arial"/>
                <w:sz w:val="9"/>
                <w:szCs w:val="9"/>
                <w:b w:val="1"/>
                <w:bCs w:val="1"/>
                <w:color w:val="auto"/>
                <w:w w:val="99"/>
              </w:rPr>
              <w:t>(Decrease)</w:t>
            </w:r>
          </w:p>
        </w:tc>
      </w:tr>
      <w:tr>
        <w:trPr>
          <w:trHeight w:val="125"/>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7"/>
              <w:spacing w:after="0"/>
              <w:rPr>
                <w:sz w:val="20"/>
                <w:szCs w:val="20"/>
                <w:color w:val="auto"/>
              </w:rPr>
            </w:pPr>
            <w:r>
              <w:rPr>
                <w:rFonts w:ascii="Arial" w:cs="Arial" w:eastAsia="Arial" w:hAnsi="Arial"/>
                <w:sz w:val="10"/>
                <w:szCs w:val="10"/>
                <w:b w:val="1"/>
                <w:bCs w:val="1"/>
                <w:color w:val="auto"/>
                <w:w w:val="98"/>
              </w:rPr>
              <w:t>2009</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7"/>
              <w:spacing w:after="0"/>
              <w:rPr>
                <w:sz w:val="20"/>
                <w:szCs w:val="20"/>
                <w:color w:val="auto"/>
              </w:rPr>
            </w:pPr>
            <w:r>
              <w:rPr>
                <w:rFonts w:ascii="Arial" w:cs="Arial" w:eastAsia="Arial" w:hAnsi="Arial"/>
                <w:sz w:val="10"/>
                <w:szCs w:val="10"/>
                <w:b w:val="1"/>
                <w:bCs w:val="1"/>
                <w:color w:val="auto"/>
              </w:rPr>
              <w:t>2008</w:t>
            </w:r>
          </w:p>
        </w:tc>
        <w:tc>
          <w:tcPr>
            <w:tcW w:w="420" w:type="dxa"/>
            <w:vAlign w:val="bottom"/>
          </w:tcPr>
          <w:p>
            <w:pPr>
              <w:spacing w:after="0"/>
              <w:rPr>
                <w:sz w:val="10"/>
                <w:szCs w:val="1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1"/>
              </w:rPr>
              <w:t>10 vs. 09</w:t>
            </w: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09 vs. 08</w:t>
            </w:r>
          </w:p>
        </w:tc>
      </w:tr>
      <w:tr>
        <w:trPr>
          <w:trHeight w:val="131"/>
        </w:trPr>
        <w:tc>
          <w:tcPr>
            <w:tcW w:w="44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3"/>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645,430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597,879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516,440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8.0%</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15.8%</w:t>
            </w: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Gross profit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337,481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308,170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257,725</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9.5%</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19.6%</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52.3%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51.5%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49.9%</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Operating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83,281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85,567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70,287</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(2.7)%</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21.7%</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12.9%</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14.3%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13.6%</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Interest expense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(742)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(64)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(377)</w:t>
            </w: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&gt;100%</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(83.0)%</w:t>
            </w: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399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5,418</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(63.7)%</w:t>
            </w: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Other income/(expense), net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(1,668)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(2,469)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1,974</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(32.4)%</w:t>
            </w: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&gt;(100)%</w:t>
            </w:r>
          </w:p>
        </w:tc>
      </w:tr>
      <w:tr>
        <w:trPr>
          <w:trHeight w:val="157"/>
        </w:trPr>
        <w:tc>
          <w:tcPr>
            <w:tcW w:w="44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taxes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81,270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85,002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77,302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w:t>
            </w: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Provision for income tax</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22,900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25,698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25,322</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(10.9)%</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pre-tax income</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28.2%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30.2%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32.8%</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4480" w:type="dxa"/>
            <w:vAlign w:val="bottom"/>
          </w:tcPr>
          <w:p>
            <w:pPr>
              <w:spacing w:after="0"/>
              <w:rPr>
                <w:sz w:val="20"/>
                <w:szCs w:val="20"/>
                <w:color w:val="auto"/>
              </w:rPr>
            </w:pPr>
            <w:r>
              <w:rPr>
                <w:rFonts w:ascii="Arial" w:cs="Arial" w:eastAsia="Arial" w:hAnsi="Arial"/>
                <w:sz w:val="13"/>
                <w:szCs w:val="13"/>
                <w:color w:val="auto"/>
              </w:rPr>
              <w:t>Net income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58,370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3"/>
                <w:szCs w:val="13"/>
                <w:color w:val="auto"/>
              </w:rPr>
              <w:t>59,304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51,980</w:t>
            </w: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(1.6)%</w:t>
            </w: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14.1%</w:t>
            </w:r>
          </w:p>
        </w:tc>
      </w:tr>
      <w:tr>
        <w:trPr>
          <w:trHeight w:val="157"/>
        </w:trPr>
        <w:tc>
          <w:tcPr>
            <w:tcW w:w="448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i w:val="1"/>
                <w:iCs w:val="1"/>
                <w:color w:val="auto"/>
              </w:rPr>
              <w:t>9.0%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9.9%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i w:val="1"/>
                <w:iCs w:val="1"/>
                <w:color w:val="auto"/>
              </w:rPr>
              <w:t>10.1%</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fiscal year ends on the Saturday closest to the last day of March. Fiscal year 2010 includes 53 weeks with each of the first three quarters having 13 weeks and the fourth quarter having 14 weeks. Fiscal years 2009 and 2008 each included 52 weeks with all four quarters having 13 weeks.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Net revenues for fiscal year 2010 increased 8.0% over fiscal year 2009. The effects of foreign exchange accounted for an increase of 1.9% over fiscal year 2009. The remaining increase of 6.1% is mainly due to increases in our disposables revenue and increased revenues as a result of acquisitions completed over the course of the year. The increase in disposables revenue resulted primarily from disposable unit increases in the plasma, platelet and diagnostic product lines. The increase in revenues attributable to acquisitions was due to the completion of three acquisitions over the course of the fiscal year, and the completion of one acquisition late in fiscal year 2009.</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Gross profit increased 9.5% over fiscal year 2009. The favorable effects of foreign exchange accounted for an increase of 4.5% over fiscal year 2009. The remaining increase of 5.0% was due to increased sales and cost reductions including the introduction of new automation in our Pittsburgh facility. This increase was partly offset by increased spending on quality initiatives.</w:t>
      </w:r>
    </w:p>
    <w:p>
      <w:pPr>
        <w:spacing w:after="0" w:line="67"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Operating income decreased 2.7% over fiscal year 2009. The effects of foreign exchange accounted for an increase in operating income of 14.8%. Without the effects of foreign exchange, operating income decreased 17.5% over fiscal year 2009. Several items contributed to the reduction in operating income, including:</w:t>
      </w:r>
    </w:p>
    <w:p>
      <w:pPr>
        <w:spacing w:after="0" w:line="59" w:lineRule="exact"/>
        <w:rPr>
          <w:sz w:val="20"/>
          <w:szCs w:val="20"/>
          <w:color w:val="auto"/>
        </w:rPr>
      </w:pPr>
    </w:p>
    <w:p>
      <w:pPr>
        <w:ind w:left="1280" w:right="80" w:hanging="190"/>
        <w:spacing w:after="0" w:line="264"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impairment of two intangible assets totaling $15.7 million: one the Symphony blood bank software system, which we will no longer market in favor of the recently acquired Global Med El Dorado blood bank software system, and software for our Portico platelet apheresis device that we have abandoned as we prioritize other faster to market initiatives.</w:t>
      </w:r>
    </w:p>
    <w:p>
      <w:pPr>
        <w:spacing w:after="0" w:line="57"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Restructuring costs, primarily separation benefits totaling $8.6 million, associated with the integration of the Global Med Acquisition (under new accounting rules, costs to separate employees of Global Med are now expensed), and the formulation of a customer solutions implementation group.</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Costs to consummate the acquisition of Global Med totaling $2.2 million.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Increased operating expenses related to new business acquisitions, blood management solutions, research and development, and our enterprise resource planning system.</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above items were partially offset by</w:t>
      </w:r>
    </w:p>
    <w:p>
      <w:pPr>
        <w:spacing w:after="0" w:line="96" w:lineRule="exact"/>
        <w:rPr>
          <w:sz w:val="20"/>
          <w:szCs w:val="20"/>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Income totaling $2.3 million resulting from the remeasurement of the fair value of contingent consideration from our Neoteric acquisition.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decrease of $6.1 million in employee bonus expense.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increases in gross profit described above</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Net income decreased 1.6% over fiscal year 2009. The main factors that affected net income were the decrease in operating income described above and an increase in other expense that resulted due to increased interest expense associated with our contingent purchase price liability and reduced interest income due to a significant reduction in the interest rate yields on cash and cash equivalents.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Market Trends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Market</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continued increase in demand for plasma derived pharmaceuticals, particularly intravenous immunoglobulin (“IVIG”), is a key driver of increased plasma collections in the worldwide commercial plasma collection markets. Various factors related to the supply of plasma and the production of plasma derived pharmaceuticals also affect the demand, including the following:</w:t>
      </w:r>
    </w:p>
    <w:p>
      <w:pPr>
        <w:spacing w:after="0" w:line="67"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During fiscal year 2010, the supply and demand balance for plasma in the U.S. and Europe were relatively stable, with slight over-collection early in the fiscal year offset by slightly lower collections in the second half of the year. In Japan, supply and demand remain in balance. However, the Japan Red Cross Society will migrate some of its plasma collections in calendar 2010 to source that plasma from plasma recovered from whole blood collections. This change will modestly reduce demand for automated plasma collections. In Asia, supply and demand remains balanced. Currently, demand for plasma-derived therapies is driving plasma collection growth of about 4-6% per year.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Bank Market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blood bank market, we sell products used in the collection of platelets and red cells.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Despite modest increases in the demand for platelets in our major markets, improved collection efficiencies that increase the yield of platelets per collection and more efficient use of collected platelets have resulted in a flat market for automated collections and these related disposables.</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After several years of modest increases in demand for red cell transfusions and a general shortage of volunteer donors, the market in fiscal year 2010 included lower demand for red cells coupled with more available donors due to both changes in regulation and economic conditions. The reduced demand for red cells experienced in fiscal year 2010 adversely impacted our red cell business. While the red cell business did not grow in fiscal year 2010, we believe that blood collectors’ imperative to improve operating efficiency and regulatory compliance, coupled with an expected return of donor shortages, will continue to provide growth opportunities for our red cell technology in the future.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Hospital Market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hospital market, we sell cardiovascular surgical blood salvage systems, orthopedic surgical blood salvage systems, and a blood diagnostics instrument.</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Cell Saver brand surgical blood salvage system is aimed at high blood loss cardiovascular procedures. This part of the surgical blood salvage market is declining and will probably continue to decline due to improved surgical techniques which minimize blood loss and a decrease in the number of open-heart bypass surgeries performed. The cardioPAT system, a surgical blood salvage system targeted at open heart surgeries when there is less blood loss, is designed to meet the market needs created by these improved surgical techniques. The cardioPAT can be used intra-operatively as well as post-operatively while the patient is in recovery.</w:t>
      </w:r>
    </w:p>
    <w:p>
      <w:pPr>
        <w:spacing w:after="0" w:line="70" w:lineRule="exact"/>
        <w:rPr>
          <w:sz w:val="20"/>
          <w:szCs w:val="20"/>
          <w:color w:val="auto"/>
        </w:rPr>
      </w:pPr>
    </w:p>
    <w:p>
      <w:pPr>
        <w:ind w:left="680" w:right="400" w:firstLine="399"/>
        <w:spacing w:after="0" w:line="296" w:lineRule="auto"/>
        <w:rPr>
          <w:sz w:val="20"/>
          <w:szCs w:val="20"/>
          <w:color w:val="auto"/>
        </w:rPr>
      </w:pPr>
      <w:r>
        <w:rPr>
          <w:rFonts w:ascii="Arial" w:cs="Arial" w:eastAsia="Arial" w:hAnsi="Arial"/>
          <w:sz w:val="12"/>
          <w:szCs w:val="12"/>
          <w:color w:val="auto"/>
        </w:rPr>
        <w:t>The penetration of our OrthoPAT technology in the lower blood loss orthopedic procedures, including hip and knee replacement surgeries, continues to be an important growth opportunity. The OrthoPAT is the only system on the market designed to collect a patient’s blood lost during and after surgery. While cell salvage is not yet a standard of care for U.S. orthopedic procedures, we are positioning this device as an effective alternative to patient pre-donation or non-washed autotransfusion systems.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Another driver of growth in our hospital market is our TEG system. The TEG system is a diagnostic tool which allows surgeons to assess a patient’s hemostasis so the surgeon can then decide the best blood-related clinical treatment for the individual patient. TEG product line sales further strengthened in fiscal year 2010. This product is a promising growth opportunity as Hospitals adopt this technology as a standard practice in their blood management programs.</w:t>
      </w:r>
    </w:p>
    <w:p>
      <w:pPr>
        <w:spacing w:after="0" w:line="142" w:lineRule="exact"/>
        <w:rPr>
          <w:sz w:val="20"/>
          <w:szCs w:val="20"/>
          <w:color w:val="auto"/>
        </w:rPr>
      </w:pPr>
    </w:p>
    <w:p>
      <w:pPr>
        <w:jc w:val="right"/>
        <w:ind w:right="82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jc w:val="right"/>
        <w:ind w:right="8240"/>
        <w:spacing w:after="0"/>
        <w:rPr>
          <w:sz w:val="20"/>
          <w:szCs w:val="20"/>
          <w:color w:val="auto"/>
        </w:rPr>
      </w:pPr>
      <w:r>
        <w:rPr>
          <w:rFonts w:ascii="Arial" w:cs="Arial" w:eastAsia="Arial" w:hAnsi="Arial"/>
          <w:sz w:val="13"/>
          <w:szCs w:val="13"/>
          <w:b w:val="1"/>
          <w:bCs w:val="1"/>
          <w:i w:val="1"/>
          <w:iCs w:val="1"/>
          <w:u w:val="single" w:color="auto"/>
          <w:color w:val="auto"/>
        </w:rPr>
        <w:t>Net Revenues by Geography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9"/>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8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10 vs. 09</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09 vs. 08</w:t>
            </w:r>
          </w:p>
        </w:tc>
      </w:tr>
      <w:tr>
        <w:trPr>
          <w:trHeight w:val="131"/>
        </w:trPr>
        <w:tc>
          <w:tcPr>
            <w:tcW w:w="4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303,682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279,029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232,865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8.8%</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w w:val="92"/>
              </w:rPr>
              <w:t>19.8%</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International</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341,748</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318,850</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283,575</w:t>
            </w:r>
          </w:p>
        </w:tc>
        <w:tc>
          <w:tcPr>
            <w:tcW w:w="1220" w:type="dxa"/>
            <w:vAlign w:val="bottom"/>
            <w:gridSpan w:val="2"/>
          </w:tcPr>
          <w:p>
            <w:pPr>
              <w:ind w:left="640"/>
              <w:spacing w:after="0"/>
              <w:rPr>
                <w:sz w:val="20"/>
                <w:szCs w:val="20"/>
                <w:color w:val="auto"/>
              </w:rPr>
            </w:pPr>
            <w:r>
              <w:rPr>
                <w:rFonts w:ascii="Arial" w:cs="Arial" w:eastAsia="Arial" w:hAnsi="Arial"/>
                <w:sz w:val="13"/>
                <w:szCs w:val="13"/>
                <w:color w:val="auto"/>
              </w:rPr>
              <w:t>7.2%</w:t>
            </w:r>
          </w:p>
        </w:tc>
        <w:tc>
          <w:tcPr>
            <w:tcW w:w="940" w:type="dxa"/>
            <w:vAlign w:val="bottom"/>
            <w:gridSpan w:val="2"/>
          </w:tcPr>
          <w:p>
            <w:pPr>
              <w:ind w:left="580"/>
              <w:spacing w:after="0"/>
              <w:rPr>
                <w:sz w:val="20"/>
                <w:szCs w:val="20"/>
                <w:color w:val="auto"/>
              </w:rPr>
            </w:pPr>
            <w:r>
              <w:rPr>
                <w:rFonts w:ascii="Arial" w:cs="Arial" w:eastAsia="Arial" w:hAnsi="Arial"/>
                <w:sz w:val="13"/>
                <w:szCs w:val="13"/>
                <w:color w:val="auto"/>
                <w:w w:val="92"/>
              </w:rPr>
              <w:t>12.4%</w:t>
            </w:r>
          </w:p>
        </w:tc>
      </w:tr>
      <w:tr>
        <w:trPr>
          <w:trHeight w:val="20"/>
        </w:trPr>
        <w:tc>
          <w:tcPr>
            <w:tcW w:w="4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645,430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597,879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516,440</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3"/>
                <w:szCs w:val="13"/>
                <w:b w:val="1"/>
                <w:bCs w:val="1"/>
                <w:color w:val="auto"/>
              </w:rPr>
              <w:t>8.0%</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3"/>
                <w:szCs w:val="13"/>
                <w:b w:val="1"/>
                <w:bCs w:val="1"/>
                <w:color w:val="auto"/>
                <w:w w:val="92"/>
              </w:rPr>
              <w:t>15.8%</w:t>
            </w:r>
          </w:p>
        </w:tc>
      </w:tr>
      <w:tr>
        <w:trPr>
          <w:trHeight w:val="29"/>
        </w:trPr>
        <w:tc>
          <w:tcPr>
            <w:tcW w:w="4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Operations and the Impact of Foreign Exchange</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Our principal operations are in the U.S., Europe, Japan and other parts of Asia. Our products are marketed in more than 80 countries around the world via a direct sales force as well as independent distributors.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Approximately 52.9%, 53.3%, and 54.9% of our revenues were generated outside the U.S. during fiscal year 2010, 2009, and 2008, respectively. During fiscal years 2010, 2009, and 2008, revenues from Japan accounted for approximately 17.0%, 16.3%, and 17.2% of our total revenues, respectively, and revenues from</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Europe comprised approximately 28.0%, 29.5%, and 30.1% of our total revenues, respectively. These sales are primarily conducted in local currencies, specifically the Japanese Yen and the Euro. Accordingly, our results of operations are significantly affected by changes in the value of the Yen and the Euro relative to the U.S. dollar. For fiscal year 2010 as compared to fiscal year 2009, the favorable effects of foreign exchange accounted for a 1.9% increase in sales. For fiscal year 2009 as compared to fiscal year 2008, the favorable effects of foreign exchange resulted in a 2.8% increase in sales.</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Please see section entitled “Foreign Exchange” in management’s discussion for a more complete discussion of how foreign currency affects our business and our strategy to manage this exposure.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Net Revenues by Product Type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center"/>
              <w:ind w:right="48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100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1000" w:type="dxa"/>
            <w:vAlign w:val="bottom"/>
            <w:gridSpan w:val="4"/>
          </w:tcPr>
          <w:p>
            <w:pPr>
              <w:jc w:val="center"/>
              <w:ind w:right="460"/>
              <w:spacing w:after="0"/>
              <w:rPr>
                <w:sz w:val="20"/>
                <w:szCs w:val="20"/>
                <w:color w:val="auto"/>
              </w:rPr>
            </w:pPr>
            <w:r>
              <w:rPr>
                <w:rFonts w:ascii="Arial" w:cs="Arial" w:eastAsia="Arial" w:hAnsi="Arial"/>
                <w:sz w:val="10"/>
                <w:szCs w:val="10"/>
                <w:b w:val="1"/>
                <w:bCs w:val="1"/>
                <w:color w:val="auto"/>
                <w:w w:val="99"/>
              </w:rPr>
              <w:t>March 29,</w:t>
            </w:r>
          </w:p>
        </w:tc>
        <w:tc>
          <w:tcPr>
            <w:tcW w:w="1220" w:type="dxa"/>
            <w:vAlign w:val="bottom"/>
            <w:gridSpan w:val="3"/>
          </w:tcPr>
          <w:p>
            <w:pPr>
              <w:jc w:val="right"/>
              <w:ind w:right="560"/>
              <w:spacing w:after="0"/>
              <w:rPr>
                <w:sz w:val="20"/>
                <w:szCs w:val="20"/>
                <w:color w:val="auto"/>
              </w:rPr>
            </w:pPr>
            <w:r>
              <w:rPr>
                <w:rFonts w:ascii="Arial" w:cs="Arial" w:eastAsia="Arial" w:hAnsi="Arial"/>
                <w:sz w:val="10"/>
                <w:szCs w:val="10"/>
                <w:b w:val="1"/>
                <w:bCs w:val="1"/>
                <w:color w:val="auto"/>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58"/>
              <w:spacing w:after="0"/>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89"/>
              </w:rPr>
              <w:t>2009</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38"/>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0"/>
                <w:szCs w:val="10"/>
                <w:b w:val="1"/>
                <w:bCs w:val="1"/>
                <w:color w:val="auto"/>
              </w:rPr>
              <w:t>10 vs. 09</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09 vs. 08</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Disposables</w:t>
            </w:r>
          </w:p>
        </w:tc>
        <w:tc>
          <w:tcPr>
            <w:tcW w:w="10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9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560,318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10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518,101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444,130</w:t>
            </w:r>
          </w:p>
        </w:tc>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8.1%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Software solutions</w:t>
            </w:r>
          </w:p>
        </w:tc>
        <w:tc>
          <w:tcPr>
            <w:tcW w:w="100" w:type="dxa"/>
            <w:vAlign w:val="bottom"/>
          </w:tcPr>
          <w:p>
            <w:pPr>
              <w:spacing w:after="0"/>
              <w:rPr>
                <w:sz w:val="13"/>
                <w:szCs w:val="13"/>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3"/>
                <w:szCs w:val="13"/>
                <w:color w:val="auto"/>
              </w:rPr>
              <w:t>35,919</w:t>
            </w:r>
          </w:p>
        </w:tc>
        <w:tc>
          <w:tcPr>
            <w:tcW w:w="80" w:type="dxa"/>
            <w:vAlign w:val="bottom"/>
          </w:tcPr>
          <w:p>
            <w:pPr>
              <w:spacing w:after="0"/>
              <w:rPr>
                <w:sz w:val="13"/>
                <w:szCs w:val="13"/>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color w:val="auto"/>
              </w:rPr>
              <w:t>31,605</w:t>
            </w:r>
          </w:p>
        </w:tc>
        <w:tc>
          <w:tcPr>
            <w:tcW w:w="80" w:type="dxa"/>
            <w:vAlign w:val="bottom"/>
          </w:tcPr>
          <w:p>
            <w:pPr>
              <w:spacing w:after="0"/>
              <w:rPr>
                <w:sz w:val="13"/>
                <w:szCs w:val="1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3"/>
                <w:szCs w:val="13"/>
                <w:color w:val="auto"/>
              </w:rPr>
              <w:t>24,173</w:t>
            </w:r>
          </w:p>
        </w:tc>
        <w:tc>
          <w:tcPr>
            <w:tcW w:w="20" w:type="dxa"/>
            <w:vAlign w:val="bottom"/>
          </w:tcPr>
          <w:p>
            <w:pPr>
              <w:spacing w:after="0"/>
              <w:rPr>
                <w:sz w:val="13"/>
                <w:szCs w:val="13"/>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3"/>
                <w:szCs w:val="13"/>
                <w:color w:val="auto"/>
              </w:rPr>
              <w:t>13.7%</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57"/>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Equipment and other</w:t>
            </w:r>
          </w:p>
        </w:tc>
        <w:tc>
          <w:tcPr>
            <w:tcW w:w="10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49,193</w:t>
            </w:r>
          </w:p>
        </w:tc>
        <w:tc>
          <w:tcPr>
            <w:tcW w:w="80" w:type="dxa"/>
            <w:vAlign w:val="bottom"/>
            <w:shd w:val="clear" w:color="auto" w:fill="CCEEFF"/>
          </w:tcPr>
          <w:p>
            <w:pPr>
              <w:spacing w:after="0"/>
              <w:rPr>
                <w:sz w:val="13"/>
                <w:szCs w:val="13"/>
                <w:color w:val="auto"/>
              </w:rPr>
            </w:pPr>
          </w:p>
        </w:tc>
        <w:tc>
          <w:tcPr>
            <w:tcW w:w="100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48,173</w:t>
            </w:r>
          </w:p>
        </w:tc>
        <w:tc>
          <w:tcPr>
            <w:tcW w:w="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48,137</w:t>
            </w:r>
          </w:p>
        </w:tc>
        <w:tc>
          <w:tcPr>
            <w:tcW w:w="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6"/>
        </w:trPr>
        <w:tc>
          <w:tcPr>
            <w:tcW w:w="4580" w:type="dxa"/>
            <w:vAlign w:val="bottom"/>
            <w:gridSpan w:val="3"/>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645,430</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597,879</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516,440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8.0%</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15.8%</w:t>
            </w: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Disposables Revenue by Product Line</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52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7"/>
                <w:szCs w:val="17"/>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7"/>
                <w:szCs w:val="17"/>
                <w:color w:val="auto"/>
              </w:rPr>
            </w:pPr>
          </w:p>
        </w:tc>
        <w:tc>
          <w:tcPr>
            <w:tcW w:w="1000" w:type="dxa"/>
            <w:vAlign w:val="bottom"/>
            <w:gridSpan w:val="4"/>
          </w:tcPr>
          <w:p>
            <w:pPr>
              <w:jc w:val="center"/>
              <w:ind w:right="500"/>
              <w:spacing w:after="0"/>
              <w:rPr>
                <w:sz w:val="20"/>
                <w:szCs w:val="20"/>
                <w:color w:val="auto"/>
              </w:rPr>
            </w:pPr>
            <w:r>
              <w:rPr>
                <w:rFonts w:ascii="Arial" w:cs="Arial" w:eastAsia="Arial" w:hAnsi="Arial"/>
                <w:sz w:val="10"/>
                <w:szCs w:val="10"/>
                <w:b w:val="1"/>
                <w:bCs w:val="1"/>
                <w:color w:val="auto"/>
                <w:w w:val="99"/>
              </w:rPr>
              <w:t>March 29,</w:t>
            </w:r>
          </w:p>
        </w:tc>
        <w:tc>
          <w:tcPr>
            <w:tcW w:w="122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58"/>
              <w:spacing w:after="0"/>
              <w:rPr>
                <w:sz w:val="20"/>
                <w:szCs w:val="20"/>
                <w:color w:val="auto"/>
              </w:rPr>
            </w:pPr>
            <w:r>
              <w:rPr>
                <w:rFonts w:ascii="Arial" w:cs="Arial" w:eastAsia="Arial" w:hAnsi="Arial"/>
                <w:sz w:val="10"/>
                <w:szCs w:val="10"/>
                <w:b w:val="1"/>
                <w:bCs w:val="1"/>
                <w:color w:val="auto"/>
              </w:rPr>
              <w:t>2008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0"/>
                <w:szCs w:val="10"/>
                <w:b w:val="1"/>
                <w:bCs w:val="1"/>
                <w:color w:val="auto"/>
              </w:rPr>
              <w:t>10 vs. 09</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09 vs. 08</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92"/>
              </w:rPr>
              <w:t>(In thousands)</w:t>
            </w:r>
          </w:p>
        </w:tc>
        <w:tc>
          <w:tcPr>
            <w:tcW w:w="42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Plasma disposables</w:t>
            </w:r>
          </w:p>
        </w:tc>
        <w:tc>
          <w:tcPr>
            <w:tcW w:w="100" w:type="dxa"/>
            <w:vAlign w:val="bottom"/>
            <w:shd w:val="clear" w:color="auto" w:fill="CCEEFF"/>
          </w:tcPr>
          <w:p>
            <w:pPr>
              <w:jc w:val="right"/>
              <w:ind w:right="22"/>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232,378</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202,176</w:t>
            </w:r>
          </w:p>
        </w:tc>
        <w:tc>
          <w:tcPr>
            <w:tcW w:w="4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ind w:right="2"/>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155,219</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14.9%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Blood bank disposables</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Platelet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151,026</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143,420</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136,148</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Red Cell</w:t>
            </w:r>
          </w:p>
        </w:tc>
        <w:tc>
          <w:tcPr>
            <w:tcW w:w="10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48,031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49,508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46,377</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3"/>
                <w:szCs w:val="13"/>
                <w:color w:val="auto"/>
              </w:rPr>
              <w:t>(3.0)%</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Subtotal</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199,057</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192,928</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182,525</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6"/>
        </w:trPr>
        <w:tc>
          <w:tcPr>
            <w:tcW w:w="4580" w:type="dxa"/>
            <w:vAlign w:val="bottom"/>
            <w:gridSpan w:val="3"/>
          </w:tcPr>
          <w:p>
            <w:pPr>
              <w:spacing w:after="0"/>
              <w:rPr>
                <w:sz w:val="20"/>
                <w:szCs w:val="20"/>
                <w:color w:val="auto"/>
              </w:rPr>
            </w:pPr>
            <w:r>
              <w:rPr>
                <w:rFonts w:ascii="Arial" w:cs="Arial" w:eastAsia="Arial" w:hAnsi="Arial"/>
                <w:sz w:val="13"/>
                <w:szCs w:val="13"/>
                <w:color w:val="auto"/>
              </w:rPr>
              <w:t>Hospital disposables</w:t>
            </w: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Surgical</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69,942</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67,697</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66,250</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3.3%</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4580" w:type="dxa"/>
            <w:vAlign w:val="bottom"/>
            <w:gridSpan w:val="3"/>
          </w:tcPr>
          <w:p>
            <w:pPr>
              <w:spacing w:after="0"/>
              <w:rPr>
                <w:sz w:val="20"/>
                <w:szCs w:val="20"/>
                <w:color w:val="auto"/>
              </w:rPr>
            </w:pPr>
            <w:r>
              <w:rPr>
                <w:rFonts w:ascii="Arial" w:cs="Arial" w:eastAsia="Arial" w:hAnsi="Arial"/>
                <w:sz w:val="13"/>
                <w:szCs w:val="13"/>
                <w:color w:val="auto"/>
              </w:rPr>
              <w:t>OrthoPAT</w:t>
            </w:r>
          </w:p>
        </w:tc>
        <w:tc>
          <w:tcPr>
            <w:tcW w:w="10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37,079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35,419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34,301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3"/>
                <w:szCs w:val="13"/>
                <w:color w:val="auto"/>
              </w:rPr>
              <w:t>4.7%</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Diagnostic</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21,862</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19,881</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5,835</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&gt;100%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vMerge w:val="restart"/>
          </w:tcPr>
          <w:p>
            <w:pPr>
              <w:jc w:val="right"/>
              <w:ind w:right="340"/>
              <w:spacing w:after="0"/>
              <w:rPr>
                <w:sz w:val="20"/>
                <w:szCs w:val="20"/>
                <w:color w:val="auto"/>
              </w:rPr>
            </w:pPr>
            <w:r>
              <w:rPr>
                <w:rFonts w:ascii="Arial" w:cs="Arial" w:eastAsia="Arial" w:hAnsi="Arial"/>
                <w:sz w:val="13"/>
                <w:szCs w:val="13"/>
                <w:color w:val="auto"/>
              </w:rPr>
              <w:t>4.8%</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15.6%</w:t>
            </w: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128,883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122,997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106,386</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5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Total disposables revenue</w:t>
            </w:r>
          </w:p>
        </w:tc>
        <w:tc>
          <w:tcPr>
            <w:tcW w:w="100" w:type="dxa"/>
            <w:vAlign w:val="bottom"/>
            <w:shd w:val="clear" w:color="auto" w:fill="CCEEFF"/>
          </w:tcPr>
          <w:p>
            <w:pPr>
              <w:jc w:val="right"/>
              <w:ind w:right="22"/>
              <w:spacing w:after="0"/>
              <w:rPr>
                <w:sz w:val="20"/>
                <w:szCs w:val="20"/>
                <w:color w:val="auto"/>
              </w:rPr>
            </w:pPr>
            <w:r>
              <w:rPr>
                <w:rFonts w:ascii="Arial" w:cs="Arial" w:eastAsia="Arial" w:hAnsi="Arial"/>
                <w:sz w:val="5"/>
                <w:szCs w:val="5"/>
                <w:b w:val="1"/>
                <w:bCs w:val="1"/>
                <w:color w:val="auto"/>
                <w:w w:val="70"/>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560,318</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518,101</w:t>
            </w:r>
          </w:p>
        </w:tc>
        <w:tc>
          <w:tcPr>
            <w:tcW w:w="4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2"/>
              <w:spacing w:after="0"/>
              <w:rPr>
                <w:sz w:val="20"/>
                <w:szCs w:val="20"/>
                <w:color w:val="auto"/>
              </w:rPr>
            </w:pPr>
            <w:r>
              <w:rPr>
                <w:rFonts w:ascii="Arial" w:cs="Arial" w:eastAsia="Arial" w:hAnsi="Arial"/>
                <w:sz w:val="5"/>
                <w:szCs w:val="5"/>
                <w:b w:val="1"/>
                <w:bCs w:val="1"/>
                <w:color w:val="auto"/>
                <w:w w:val="70"/>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444,130</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16.7%</w:t>
            </w:r>
          </w:p>
        </w:tc>
        <w:tc>
          <w:tcPr>
            <w:tcW w:w="0" w:type="dxa"/>
            <w:vAlign w:val="bottom"/>
          </w:tcPr>
          <w:p>
            <w:pPr>
              <w:spacing w:after="0"/>
              <w:rPr>
                <w:sz w:val="1"/>
                <w:szCs w:val="1"/>
                <w:color w:val="auto"/>
              </w:rPr>
            </w:pPr>
          </w:p>
        </w:tc>
      </w:tr>
      <w:tr>
        <w:trPr>
          <w:trHeight w:val="29"/>
        </w:trPr>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Plasma</w:t>
      </w:r>
    </w:p>
    <w:p>
      <w:pPr>
        <w:spacing w:after="0" w:line="96" w:lineRule="exact"/>
        <w:rPr>
          <w:sz w:val="20"/>
          <w:szCs w:val="20"/>
          <w:color w:val="auto"/>
        </w:rPr>
      </w:pPr>
    </w:p>
    <w:p>
      <w:pPr>
        <w:ind w:left="680" w:right="480" w:firstLine="399"/>
        <w:spacing w:after="0" w:line="296" w:lineRule="auto"/>
        <w:rPr>
          <w:sz w:val="20"/>
          <w:szCs w:val="20"/>
          <w:color w:val="auto"/>
        </w:rPr>
      </w:pPr>
      <w:r>
        <w:rPr>
          <w:rFonts w:ascii="Arial" w:cs="Arial" w:eastAsia="Arial" w:hAnsi="Arial"/>
          <w:sz w:val="12"/>
          <w:szCs w:val="12"/>
          <w:color w:val="auto"/>
        </w:rPr>
        <w:t>During fiscal year 2010, plasma disposable revenue increased 14.9%. Foreign exchange resulted in a 2.1% increase over fiscal year 2009. The remaining 12.8% increase was principally due to unit volume increases resulting from both market and share increases as well as price increases. The market increase is due to the demand for plasma derived pharmaceuticals. Demand for source plasma to make pharmaceuticals grew strongly earlier in the year and moderated at the end of the year.</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During fiscal year 2009, plasma disposable revenue increased 30.3%. Foreign exchange resulted in a 1.9% increase over fiscal year 2008. The main reason for the remaining 28.4% increase was unit volume increases resulting from both market and share increases as well as modest price increases.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Platelet</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fiscal year 2010, platelet disposable revenue increased 5.3%. Foreign exchange resulted in a 4.0% increase in platelet disposable revenue over fiscal year 2009. The remaining 1.3% increase was due to growth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emerging European distribution markets and Asia. These increases were partially offset by decreases due to loss of market share in Europe.</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During fiscal year 2009, platelet disposable revenue increased 5.3%. Foreign exchange resulted in a 5.6% increase in platelet disposable revenue over fiscal year 2008. Without the effect of currency, platelet revenue decreased 0.3%. This decrease was due to share loss in both Europe and Japan, as well as challenges in South Korea associated with the significant devaluation of South Korea’s currency, the Won. The decrease was partially offset by strength in North American and China and other emerging markets.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Red Cell</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During fiscal year 2010, red cell disposable revenue decreased 3.0% compared to fiscal year 2009. Foreign exchange accounted for a decrease of 0.3%. Without this effect, disposables revenue decreased 2.7%. Our red cell products are sold primarily to blood collectors, such as blood banks and government agencies. Sales are driven by the total level of red cell collections, the percentage of those collections done with apheresis devices and our market share of those automated collections. The reduced demand for red cells experienced in fiscal year 2010 adversely impacted our red cell business. While the red cell business did not grow in fiscal year 2010, we believe that blood collectors imperative to improve operating efficiency and regulatory compliance, coupled with an expected return of donor shortages, will continue to provide important growth opportunities for our red cell technology in the future.</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fiscal year 2009, red cell disposable revenue increased 6.8% compared to fiscal year 2008. Foreign exchange accounted for an increase of 0.8%. Without this effect, disposables revenue increased 6.0%. With worldwide blood donation increasing in the low single digits in fiscal year 2009, sales increases were driven primarily by collectors adopting our apheresis technology over manual whole blood collection. The non-currency related increase of 6.0% was primarily due to additional equipment placements in North America and increased direct sales in Europe.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Hospital</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hospital product line includes the following brand platforms: the Cell Saver brand, the TEG brand, the OrthoPAT brand, the cardioPAT brand, and the SmartSuction Harmony products. During fiscal year 2010, hospital disposables revenue increased 4.8% compared to fiscal year 2009. Foreign exchange resulted in a 2.2% increase over fiscal year 2009. The remaining increase of 2.6% was the result of increases in each of the product lines as discussed below.</w:t>
      </w:r>
    </w:p>
    <w:p>
      <w:pPr>
        <w:spacing w:after="0" w:line="6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During fiscal year 2009, hospital disposables revenue increased 15.6% compared to fiscal year 2008. Foreign exchange resulted in a 2.0% increase over fiscal year 2008. The remaining increase of 13.6% was the result of increases in each of the product lines and the acquisition of the TEG products.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Surgical</w:t>
      </w:r>
    </w:p>
    <w:p>
      <w:pPr>
        <w:spacing w:after="0" w:line="96"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During fiscal year 2010, revenues from our surgical disposables increased 3.3%. Surgical disposables revenue consists principally of the Cell Saver, cardioPAT, and Smart Suction Harmony products. Foreign exchange resulted in a 2.3% increase in surgical disposables revenue. Without the effect of currency, surgical disposables revenue increased 1.0%. This growth resulted from continued market share gains in Japan.</w:t>
      </w:r>
    </w:p>
    <w:p>
      <w:pPr>
        <w:spacing w:after="0" w:line="67"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During fiscal year 2009, revenues from our surgical disposables increased 2.2%. Surgical disposables revenue consists principally of the Cell Saver, cardioPAT, and Smart Suction Harmony products. Foreign exchange resulted in a 2.3% increase in surgical disposables revenue. Without the effect of currency, surgical disposables revenue decreased 0.1%.</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OrthoPAT</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During fiscal year 2010, OrthoPAT disposables revenue increased 4.7% over fiscal year 2009. Foreign exchange resulted in a 0.7% increase in OrthoPAT revenue. Without the effect of currency, OrthoPAT disposables revenue increased 4.0%. Presently North America and Europe are the largest markets for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OrthoPAT product line. North American OrthoPAT revenues increased 6.5% in fiscal year 2010. Revenue growth accelerated throughout fiscal year 2010, as we worked with more customers using our IMPACT approach which establishes the value of using the product in a standard of care setting.</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During fiscal year 2009, OrthoPAT disposables revenue increased 3.3% over fiscal year 2008. Foreign exchange resulted in a 1.8% increase in OrthoPAT revenue. Without the effect of currency, OrthoPAT disposables revenue increased 1.5%. The growth was driven by increases in Japan and European markets.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Diagnostics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fiscal year 2010, diagnostics revenue increased 10.0% over fiscal year 2009. Foreign exchange resulted in a 4.7% increase in diagnostics revenue. Without the effect of currency, diagnostics revenue increased 5.3%. Similar to our OrthoPAT product line, diagnostics revenue growth accelerated throughout fiscal year 2010 as we worked with customers using our IMPACT program to adopt this technology as a key component of their blood management program.</w:t>
      </w:r>
    </w:p>
    <w:p>
      <w:pPr>
        <w:spacing w:after="0" w:line="67"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In fiscal year 2009, the growth was driven by the impact of the acquisition of the TEG product line during fiscal year 2008. The TEG product line had sales of $19.8 million in fiscal year 2009 as compared to $5.8 million in fiscal year 2008. The TEG product line was added through its acquisition from Haemoscope Corporation in the third quarter of fiscal year 2008. In the first quarter of fiscal year 2009, Medicell (previously, Haemoscope’s UK distributor) was acquired.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Revenues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60" w:type="dxa"/>
            <w:vAlign w:val="bottom"/>
          </w:tcPr>
          <w:p>
            <w:pPr>
              <w:spacing w:after="0"/>
              <w:rPr>
                <w:sz w:val="10"/>
                <w:szCs w:val="10"/>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9"/>
              </w:rPr>
              <w:t>March 28,</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 Increase</w:t>
            </w:r>
          </w:p>
        </w:tc>
        <w:tc>
          <w:tcPr>
            <w:tcW w:w="9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 Increase</w:t>
            </w:r>
          </w:p>
        </w:tc>
      </w:tr>
      <w:tr>
        <w:trPr>
          <w:trHeight w:val="125"/>
        </w:trPr>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0"/>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10 vs. 09</w:t>
            </w:r>
          </w:p>
        </w:tc>
        <w:tc>
          <w:tcPr>
            <w:tcW w:w="94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09 vs. 08</w:t>
            </w:r>
          </w:p>
        </w:tc>
      </w:tr>
      <w:tr>
        <w:trPr>
          <w:trHeight w:val="131"/>
        </w:trPr>
        <w:tc>
          <w:tcPr>
            <w:tcW w:w="46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87"/>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Software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24,173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30.7%</w:t>
            </w:r>
          </w:p>
        </w:tc>
      </w:tr>
      <w:tr>
        <w:trPr>
          <w:trHeight w:val="157"/>
        </w:trPr>
        <w:tc>
          <w:tcPr>
            <w:tcW w:w="4680" w:type="dxa"/>
            <w:vAlign w:val="bottom"/>
          </w:tcPr>
          <w:p>
            <w:pPr>
              <w:spacing w:after="0"/>
              <w:rPr>
                <w:sz w:val="20"/>
                <w:szCs w:val="20"/>
                <w:color w:val="auto"/>
              </w:rPr>
            </w:pPr>
            <w:r>
              <w:rPr>
                <w:rFonts w:ascii="Arial" w:cs="Arial" w:eastAsia="Arial" w:hAnsi="Arial"/>
                <w:sz w:val="13"/>
                <w:szCs w:val="13"/>
                <w:color w:val="auto"/>
              </w:rPr>
              <w:t>Equipment and other</w:t>
            </w: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49,193</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48,173</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48,137</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2.1%</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0.1%</w:t>
            </w:r>
          </w:p>
        </w:tc>
      </w:tr>
      <w:tr>
        <w:trPr>
          <w:trHeight w:val="20"/>
        </w:trPr>
        <w:tc>
          <w:tcPr>
            <w:tcW w:w="4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85,112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79,778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72,310</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10.3%</w:t>
            </w:r>
          </w:p>
        </w:tc>
      </w:tr>
      <w:tr>
        <w:trPr>
          <w:trHeight w:val="29"/>
        </w:trPr>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9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Our software solutions revenues include revenue from software sales which includes per collection or monthly subscription fees for the license and support of the software as well as hosting services. Equipment and other revenue includes revenues from sales of our devices and services revenues from repairs performed under preventive maintenance contracts or emergency service visits, spare part sales, various services and training programs, and licensed technology.</w:t>
      </w:r>
    </w:p>
    <w:p>
      <w:pPr>
        <w:spacing w:after="0" w:line="67"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During fiscal year 2010, software solutions revenues increased 13.7% over fiscal year 2009. Foreign exchange had only a minor impact on the results as sales were primarily in U.S. dollars. The acquisition of Altivation and L’Attitude Medical Systems (Neoteric) contributed significantly to the software solutions growth in fiscal year 2010.</w:t>
      </w:r>
    </w:p>
    <w:p>
      <w:pPr>
        <w:spacing w:after="0" w:line="3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During fiscal year 2009, software solutions revenues increased 30.7% as compared to fiscal year 2008. Foreign exchange had only a minor impact on the results as sales were primarily in U.S. dollars. The software solutions increase during fiscal year 2009 was driven by three factors: (1) increased sales to commercial plasma customers, (2) increase sales to the U.S. Department of Defense, and (3) the recognition of $2.0 million of revenue, that would otherwise not have been recognizable until fiscal year 2010, in the fourth quarter of fiscal year 2009 as a result of a customer’s decision to forego the option year on a software development contract.</w:t>
      </w:r>
    </w:p>
    <w:p>
      <w:pPr>
        <w:spacing w:after="0" w:line="7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During fiscal year 2010, revenue from equipment and other sales increased 2.1% over fiscal year 2009. Foreign exchange resulted in a 2.6% decrease in equipment revenue. Absent the decrease attributable to foreign exchange, revenues increased 4.7% due to the acquisition of the SEBRA product lines, and revenues from a license of the Arryx technology.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year 2009, revenue from equipment and other sales were consistent with fiscal year 2008.</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Gross Profit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0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Arial" w:cs="Arial" w:eastAsia="Arial" w:hAnsi="Arial"/>
                <w:sz w:val="10"/>
                <w:szCs w:val="10"/>
                <w:b w:val="1"/>
                <w:bCs w:val="1"/>
                <w:color w:val="auto"/>
                <w:w w:val="99"/>
              </w:rPr>
              <w:t>March 28,</w:t>
            </w:r>
          </w:p>
        </w:tc>
        <w:tc>
          <w:tcPr>
            <w:tcW w:w="2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95"/>
              </w:rPr>
              <w:t>March 29,</w:t>
            </w:r>
          </w:p>
        </w:tc>
        <w:tc>
          <w:tcPr>
            <w:tcW w:w="260" w:type="dxa"/>
            <w:vAlign w:val="bottom"/>
          </w:tcPr>
          <w:p>
            <w:pPr>
              <w:spacing w:after="0"/>
              <w:rPr>
                <w:sz w:val="10"/>
                <w:szCs w:val="10"/>
                <w:color w:val="auto"/>
              </w:rPr>
            </w:pPr>
          </w:p>
        </w:tc>
        <w:tc>
          <w:tcPr>
            <w:tcW w:w="900" w:type="dxa"/>
            <w:vAlign w:val="bottom"/>
          </w:tcPr>
          <w:p>
            <w:pPr>
              <w:jc w:val="right"/>
              <w:ind w:right="148"/>
              <w:spacing w:after="0"/>
              <w:rPr>
                <w:sz w:val="20"/>
                <w:szCs w:val="20"/>
                <w:color w:val="auto"/>
              </w:rPr>
            </w:pPr>
            <w:r>
              <w:rPr>
                <w:rFonts w:ascii="Arial" w:cs="Arial" w:eastAsia="Arial" w:hAnsi="Arial"/>
                <w:sz w:val="10"/>
                <w:szCs w:val="10"/>
                <w:b w:val="1"/>
                <w:bCs w:val="1"/>
                <w:color w:val="auto"/>
              </w:rPr>
              <w:t>% Increase</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200" w:type="dxa"/>
            <w:vAlign w:val="bottom"/>
          </w:tcPr>
          <w:p>
            <w:pPr>
              <w:spacing w:after="0"/>
              <w:rPr>
                <w:sz w:val="10"/>
                <w:szCs w:val="10"/>
                <w:color w:val="auto"/>
              </w:rPr>
            </w:pPr>
          </w:p>
        </w:tc>
        <w:tc>
          <w:tcPr>
            <w:tcW w:w="960" w:type="dxa"/>
            <w:vAlign w:val="bottom"/>
          </w:tcPr>
          <w:p>
            <w:pPr>
              <w:jc w:val="right"/>
              <w:ind w:right="323"/>
              <w:spacing w:after="0"/>
              <w:rPr>
                <w:sz w:val="20"/>
                <w:szCs w:val="20"/>
                <w:color w:val="auto"/>
              </w:rPr>
            </w:pPr>
            <w:r>
              <w:rPr>
                <w:rFonts w:ascii="Arial" w:cs="Arial" w:eastAsia="Arial" w:hAnsi="Arial"/>
                <w:sz w:val="10"/>
                <w:szCs w:val="10"/>
                <w:b w:val="1"/>
                <w:bCs w:val="1"/>
                <w:color w:val="auto"/>
              </w:rPr>
              <w:t>2010</w:t>
            </w:r>
          </w:p>
        </w:tc>
        <w:tc>
          <w:tcPr>
            <w:tcW w:w="1200" w:type="dxa"/>
            <w:vAlign w:val="bottom"/>
            <w:gridSpan w:val="2"/>
          </w:tcPr>
          <w:p>
            <w:pPr>
              <w:jc w:val="center"/>
              <w:ind w:left="201"/>
              <w:spacing w:after="0"/>
              <w:rPr>
                <w:sz w:val="20"/>
                <w:szCs w:val="20"/>
                <w:color w:val="auto"/>
              </w:rPr>
            </w:pPr>
            <w:r>
              <w:rPr>
                <w:rFonts w:ascii="Arial" w:cs="Arial" w:eastAsia="Arial" w:hAnsi="Arial"/>
                <w:sz w:val="10"/>
                <w:szCs w:val="10"/>
                <w:b w:val="1"/>
                <w:bCs w:val="1"/>
                <w:color w:val="auto"/>
                <w:w w:val="98"/>
              </w:rPr>
              <w:t>2009</w:t>
            </w:r>
          </w:p>
        </w:tc>
        <w:tc>
          <w:tcPr>
            <w:tcW w:w="1220" w:type="dxa"/>
            <w:vAlign w:val="bottom"/>
            <w:gridSpan w:val="2"/>
          </w:tcPr>
          <w:p>
            <w:pPr>
              <w:jc w:val="right"/>
              <w:ind w:right="328"/>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10"/>
                <w:szCs w:val="10"/>
                <w:color w:val="auto"/>
              </w:rPr>
            </w:pPr>
          </w:p>
        </w:tc>
        <w:tc>
          <w:tcPr>
            <w:tcW w:w="900" w:type="dxa"/>
            <w:vAlign w:val="bottom"/>
          </w:tcPr>
          <w:p>
            <w:pPr>
              <w:jc w:val="right"/>
              <w:ind w:right="208"/>
              <w:spacing w:after="0"/>
              <w:rPr>
                <w:sz w:val="20"/>
                <w:szCs w:val="20"/>
                <w:color w:val="auto"/>
              </w:rPr>
            </w:pPr>
            <w:r>
              <w:rPr>
                <w:rFonts w:ascii="Arial" w:cs="Arial" w:eastAsia="Arial" w:hAnsi="Arial"/>
                <w:sz w:val="10"/>
                <w:szCs w:val="10"/>
                <w:b w:val="1"/>
                <w:bCs w:val="1"/>
                <w:color w:val="auto"/>
              </w:rPr>
              <w:t>10 vs. 09</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1"/>
              </w:rPr>
              <w:t>09 vs. 08</w:t>
            </w:r>
          </w:p>
        </w:tc>
      </w:tr>
      <w:tr>
        <w:trPr>
          <w:trHeight w:val="125"/>
        </w:trPr>
        <w:tc>
          <w:tcPr>
            <w:tcW w:w="420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2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68"/>
        </w:trPr>
        <w:tc>
          <w:tcPr>
            <w:tcW w:w="4200" w:type="dxa"/>
            <w:vAlign w:val="bottom"/>
          </w:tcPr>
          <w:p>
            <w:pPr>
              <w:spacing w:after="0"/>
              <w:rPr>
                <w:sz w:val="20"/>
                <w:szCs w:val="20"/>
                <w:color w:val="auto"/>
              </w:rPr>
            </w:pPr>
            <w:r>
              <w:rPr>
                <w:rFonts w:ascii="Arial" w:cs="Arial" w:eastAsia="Arial" w:hAnsi="Arial"/>
                <w:sz w:val="13"/>
                <w:szCs w:val="13"/>
                <w:color w:val="auto"/>
              </w:rPr>
              <w:t>Gross profit</w:t>
            </w:r>
          </w:p>
        </w:tc>
        <w:tc>
          <w:tcPr>
            <w:tcW w:w="960" w:type="dxa"/>
            <w:vAlign w:val="bottom"/>
          </w:tcPr>
          <w:p>
            <w:pPr>
              <w:jc w:val="right"/>
              <w:ind w:right="203"/>
              <w:spacing w:after="0"/>
              <w:rPr>
                <w:sz w:val="20"/>
                <w:szCs w:val="20"/>
                <w:color w:val="auto"/>
              </w:rPr>
            </w:pPr>
            <w:r>
              <w:rPr>
                <w:rFonts w:ascii="Arial" w:cs="Arial" w:eastAsia="Arial" w:hAnsi="Arial"/>
                <w:sz w:val="13"/>
                <w:szCs w:val="13"/>
                <w:color w:val="auto"/>
              </w:rPr>
              <w:t>$337,481</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$308,170</w:t>
            </w:r>
          </w:p>
        </w:tc>
        <w:tc>
          <w:tcPr>
            <w:tcW w:w="1220" w:type="dxa"/>
            <w:vAlign w:val="bottom"/>
            <w:gridSpan w:val="2"/>
          </w:tcPr>
          <w:p>
            <w:pPr>
              <w:jc w:val="right"/>
              <w:ind w:right="208"/>
              <w:spacing w:after="0"/>
              <w:rPr>
                <w:sz w:val="20"/>
                <w:szCs w:val="20"/>
                <w:color w:val="auto"/>
              </w:rPr>
            </w:pPr>
            <w:r>
              <w:rPr>
                <w:rFonts w:ascii="Arial" w:cs="Arial" w:eastAsia="Arial" w:hAnsi="Arial"/>
                <w:sz w:val="13"/>
                <w:szCs w:val="13"/>
                <w:color w:val="auto"/>
              </w:rPr>
              <w:t>$257,725</w:t>
            </w:r>
          </w:p>
        </w:tc>
        <w:tc>
          <w:tcPr>
            <w:tcW w:w="1160" w:type="dxa"/>
            <w:vAlign w:val="bottom"/>
            <w:gridSpan w:val="2"/>
          </w:tcPr>
          <w:p>
            <w:pPr>
              <w:jc w:val="right"/>
              <w:ind w:right="208"/>
              <w:spacing w:after="0"/>
              <w:rPr>
                <w:sz w:val="20"/>
                <w:szCs w:val="20"/>
                <w:color w:val="auto"/>
              </w:rPr>
            </w:pPr>
            <w:r>
              <w:rPr>
                <w:rFonts w:ascii="Arial" w:cs="Arial" w:eastAsia="Arial" w:hAnsi="Arial"/>
                <w:sz w:val="13"/>
                <w:szCs w:val="13"/>
                <w:color w:val="auto"/>
              </w:rPr>
              <w:t>9.5%</w:t>
            </w: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19.6%</w:t>
            </w:r>
          </w:p>
        </w:tc>
      </w:tr>
    </w:tbl>
    <w:p>
      <w:pPr>
        <w:spacing w:after="0" w:line="81"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fiscal year 2010, gross profit increased 9.5%. Foreign exchange resulted in a 4.5% increase from fiscal year 2009. The remaining increase of 5.0% was due primarily to the net increase in sales and manufacturing efficiencies. This increase was partly offset by increased spending on quality initiatives. Our gross profit margin percent improved 80 basis points for fiscal year 2010 as compared to fiscal year 2009. Major factors impacting the gross margin percent improvement of 80 basis points included foreign exchange, manufacturing efficiencies, and fixed cost leverage. These improvements were partly offset by changes in product mix driven by higher sales of lower gross margin plasma products and aforementioned increase in spending on quality initiatives.</w:t>
      </w:r>
    </w:p>
    <w:p>
      <w:pPr>
        <w:spacing w:after="0" w:line="71"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During fiscal year 2009, gross profit increased 19.6%. Foreign exchange resulted in a 5.8% increase from fiscal year 2008. The remaining increase of 13.8% was due primarily to the net increase in sales and manufacturing efficiencies. Our gross profit margin percent improved 160 basis points for fiscal year 2009 as compared to fiscal year 2008. Major factors impacting the gross margin percent improvement of 160 basis points included foreign exchange, manufacturing efficiencies, and fixed cost leverage.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right"/>
              <w:ind w:right="238"/>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5"/>
              </w:rPr>
              <w:t>March 28,</w:t>
            </w:r>
          </w:p>
        </w:tc>
        <w:tc>
          <w:tcPr>
            <w:tcW w:w="240" w:type="dxa"/>
            <w:vAlign w:val="bottom"/>
          </w:tcPr>
          <w:p>
            <w:pPr>
              <w:spacing w:after="0"/>
              <w:rPr>
                <w:sz w:val="10"/>
                <w:szCs w:val="10"/>
                <w:color w:val="auto"/>
              </w:rPr>
            </w:pPr>
          </w:p>
        </w:tc>
        <w:tc>
          <w:tcPr>
            <w:tcW w:w="960" w:type="dxa"/>
            <w:vAlign w:val="bottom"/>
            <w:gridSpan w:val="2"/>
            <w:vMerge w:val="restart"/>
          </w:tcPr>
          <w:p>
            <w:pPr>
              <w:jc w:val="right"/>
              <w:ind w:right="176"/>
              <w:spacing w:after="0"/>
              <w:rPr>
                <w:sz w:val="20"/>
                <w:szCs w:val="20"/>
                <w:color w:val="auto"/>
              </w:rPr>
            </w:pPr>
            <w:r>
              <w:rPr>
                <w:rFonts w:ascii="Arial" w:cs="Arial" w:eastAsia="Arial" w:hAnsi="Arial"/>
                <w:sz w:val="10"/>
                <w:szCs w:val="10"/>
                <w:b w:val="1"/>
                <w:bCs w:val="1"/>
                <w:color w:val="auto"/>
              </w:rPr>
              <w:t>March 29,</w:t>
            </w:r>
          </w:p>
        </w:tc>
        <w:tc>
          <w:tcPr>
            <w:tcW w:w="260" w:type="dxa"/>
            <w:vAlign w:val="bottom"/>
          </w:tcPr>
          <w:p>
            <w:pPr>
              <w:spacing w:after="0"/>
              <w:rPr>
                <w:sz w:val="10"/>
                <w:szCs w:val="10"/>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rPr>
              <w:t>% Increase</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 (Decrease)</w:t>
            </w:r>
          </w:p>
        </w:tc>
        <w:tc>
          <w:tcPr>
            <w:tcW w:w="0" w:type="dxa"/>
            <w:vAlign w:val="bottom"/>
          </w:tcPr>
          <w:p>
            <w:pPr>
              <w:spacing w:after="0"/>
              <w:rPr>
                <w:sz w:val="1"/>
                <w:szCs w:val="1"/>
                <w:color w:val="auto"/>
              </w:rPr>
            </w:pPr>
          </w:p>
        </w:tc>
      </w:tr>
      <w:tr>
        <w:trPr>
          <w:trHeight w:val="108"/>
        </w:trPr>
        <w:tc>
          <w:tcPr>
            <w:tcW w:w="4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/Increase</w:t>
            </w:r>
          </w:p>
        </w:tc>
        <w:tc>
          <w:tcPr>
            <w:tcW w:w="0" w:type="dxa"/>
            <w:vAlign w:val="bottom"/>
          </w:tcPr>
          <w:p>
            <w:pPr>
              <w:spacing w:after="0"/>
              <w:rPr>
                <w:sz w:val="1"/>
                <w:szCs w:val="1"/>
                <w:color w:val="auto"/>
              </w:rPr>
            </w:pPr>
          </w:p>
        </w:tc>
      </w:tr>
      <w:tr>
        <w:trPr>
          <w:trHeight w:val="125"/>
        </w:trPr>
        <w:tc>
          <w:tcPr>
            <w:tcW w:w="43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98"/>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96"/>
              <w:spacing w:after="0"/>
              <w:rPr>
                <w:sz w:val="20"/>
                <w:szCs w:val="20"/>
                <w:color w:val="auto"/>
              </w:rPr>
            </w:pPr>
            <w:r>
              <w:rPr>
                <w:rFonts w:ascii="Arial" w:cs="Arial" w:eastAsia="Arial" w:hAnsi="Arial"/>
                <w:sz w:val="10"/>
                <w:szCs w:val="10"/>
                <w:b w:val="1"/>
                <w:bCs w:val="1"/>
                <w:color w:val="auto"/>
                <w:w w:val="89"/>
              </w:rPr>
              <w:t>2009</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0"/>
                <w:szCs w:val="10"/>
                <w:b w:val="1"/>
                <w:bCs w:val="1"/>
                <w:color w:val="auto"/>
              </w:rPr>
              <w:t>2008</w:t>
            </w:r>
          </w:p>
        </w:tc>
        <w:tc>
          <w:tcPr>
            <w:tcW w:w="260" w:type="dxa"/>
            <w:vAlign w:val="bottom"/>
          </w:tcPr>
          <w:p>
            <w:pPr>
              <w:spacing w:after="0"/>
              <w:rPr>
                <w:sz w:val="10"/>
                <w:szCs w:val="10"/>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10 vs. 09</w:t>
            </w:r>
          </w:p>
        </w:tc>
        <w:tc>
          <w:tcPr>
            <w:tcW w:w="26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09 vs. 08</w:t>
            </w: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Research, development and engineering</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rPr>
              <w:t>26,376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23,859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24,322</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10.5%</w:t>
            </w:r>
          </w:p>
        </w:tc>
        <w:tc>
          <w:tcPr>
            <w:tcW w:w="124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4320" w:type="dxa"/>
            <w:vAlign w:val="bottom"/>
          </w:tcPr>
          <w:p>
            <w:pPr>
              <w:jc w:val="center"/>
              <w:ind w:right="2974"/>
              <w:spacing w:after="0"/>
              <w:rPr>
                <w:sz w:val="20"/>
                <w:szCs w:val="20"/>
                <w:color w:val="auto"/>
              </w:rPr>
            </w:pPr>
            <w:r>
              <w:rPr>
                <w:rFonts w:ascii="Arial" w:cs="Arial" w:eastAsia="Arial" w:hAnsi="Arial"/>
                <w:sz w:val="13"/>
                <w:szCs w:val="13"/>
                <w:i w:val="1"/>
                <w:iCs w:val="1"/>
                <w:color w:val="auto"/>
                <w:w w:val="87"/>
              </w:rPr>
              <w:t>% of net revenues</w:t>
            </w:r>
          </w:p>
        </w:tc>
        <w:tc>
          <w:tcPr>
            <w:tcW w:w="260" w:type="dxa"/>
            <w:vAlign w:val="bottom"/>
          </w:tcPr>
          <w:p>
            <w:pPr>
              <w:spacing w:after="0"/>
              <w:rPr>
                <w:sz w:val="13"/>
                <w:szCs w:val="13"/>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i w:val="1"/>
                <w:iCs w:val="1"/>
                <w:color w:val="auto"/>
              </w:rPr>
              <w:t>4.1%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i w:val="1"/>
                <w:iCs w:val="1"/>
                <w:color w:val="auto"/>
              </w:rPr>
              <w:t>4.0%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i w:val="1"/>
                <w:iCs w:val="1"/>
                <w:color w:val="auto"/>
              </w:rPr>
              <w:t>4.7%</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w w:val="85"/>
              </w:rPr>
              <w:t>227,824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9"/>
              </w:rPr>
              <w:t>198,744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163,116</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14.6%</w:t>
            </w: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21.8%</w:t>
            </w:r>
          </w:p>
        </w:tc>
        <w:tc>
          <w:tcPr>
            <w:tcW w:w="0" w:type="dxa"/>
            <w:vAlign w:val="bottom"/>
          </w:tcPr>
          <w:p>
            <w:pPr>
              <w:spacing w:after="0"/>
              <w:rPr>
                <w:sz w:val="1"/>
                <w:szCs w:val="1"/>
                <w:color w:val="auto"/>
              </w:rPr>
            </w:pPr>
          </w:p>
        </w:tc>
      </w:tr>
      <w:tr>
        <w:trPr>
          <w:trHeight w:val="157"/>
        </w:trPr>
        <w:tc>
          <w:tcPr>
            <w:tcW w:w="4320" w:type="dxa"/>
            <w:vAlign w:val="bottom"/>
          </w:tcPr>
          <w:p>
            <w:pPr>
              <w:jc w:val="center"/>
              <w:ind w:right="2974"/>
              <w:spacing w:after="0"/>
              <w:rPr>
                <w:sz w:val="20"/>
                <w:szCs w:val="20"/>
                <w:color w:val="auto"/>
              </w:rPr>
            </w:pPr>
            <w:r>
              <w:rPr>
                <w:rFonts w:ascii="Arial" w:cs="Arial" w:eastAsia="Arial" w:hAnsi="Arial"/>
                <w:sz w:val="13"/>
                <w:szCs w:val="13"/>
                <w:i w:val="1"/>
                <w:iCs w:val="1"/>
                <w:color w:val="auto"/>
                <w:w w:val="87"/>
              </w:rPr>
              <w:t>% of net revenues</w:t>
            </w:r>
          </w:p>
        </w:tc>
        <w:tc>
          <w:tcPr>
            <w:tcW w:w="260" w:type="dxa"/>
            <w:vAlign w:val="bottom"/>
          </w:tcPr>
          <w:p>
            <w:pPr>
              <w:spacing w:after="0"/>
              <w:rPr>
                <w:sz w:val="13"/>
                <w:szCs w:val="13"/>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i w:val="1"/>
                <w:iCs w:val="1"/>
                <w:color w:val="auto"/>
              </w:rPr>
              <w:t>35.3%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i w:val="1"/>
                <w:iCs w:val="1"/>
                <w:color w:val="auto"/>
              </w:rPr>
              <w:t>33.2%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i w:val="1"/>
                <w:iCs w:val="1"/>
                <w:color w:val="auto"/>
              </w:rPr>
              <w:t>31.6%</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jc w:val="center"/>
              <w:ind w:right="2994"/>
              <w:spacing w:after="0"/>
              <w:rPr>
                <w:sz w:val="20"/>
                <w:szCs w:val="20"/>
                <w:color w:val="auto"/>
              </w:rPr>
            </w:pPr>
            <w:r>
              <w:rPr>
                <w:rFonts w:ascii="Arial" w:cs="Arial" w:eastAsia="Arial" w:hAnsi="Arial"/>
                <w:sz w:val="13"/>
                <w:szCs w:val="13"/>
                <w:color w:val="auto"/>
                <w:w w:val="90"/>
              </w:rPr>
              <w:t>Total operating expense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8"/>
              <w:spacing w:after="0"/>
              <w:rPr>
                <w:sz w:val="20"/>
                <w:szCs w:val="20"/>
                <w:color w:val="auto"/>
              </w:rPr>
            </w:pPr>
            <w:r>
              <w:rPr>
                <w:rFonts w:ascii="Arial" w:cs="Arial" w:eastAsia="Arial" w:hAnsi="Arial"/>
                <w:sz w:val="13"/>
                <w:szCs w:val="13"/>
                <w:color w:val="auto"/>
                <w:w w:val="85"/>
              </w:rPr>
              <w:t>254,200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9"/>
              </w:rPr>
              <w:t>222,603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187,438</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14.2%</w:t>
            </w: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65"/>
        </w:trPr>
        <w:tc>
          <w:tcPr>
            <w:tcW w:w="4320" w:type="dxa"/>
            <w:vAlign w:val="bottom"/>
          </w:tcPr>
          <w:p>
            <w:pPr>
              <w:jc w:val="center"/>
              <w:ind w:right="2974"/>
              <w:spacing w:after="0"/>
              <w:rPr>
                <w:sz w:val="20"/>
                <w:szCs w:val="20"/>
                <w:color w:val="auto"/>
              </w:rPr>
            </w:pPr>
            <w:r>
              <w:rPr>
                <w:rFonts w:ascii="Arial" w:cs="Arial" w:eastAsia="Arial" w:hAnsi="Arial"/>
                <w:sz w:val="13"/>
                <w:szCs w:val="13"/>
                <w:i w:val="1"/>
                <w:iCs w:val="1"/>
                <w:color w:val="auto"/>
                <w:w w:val="87"/>
              </w:rPr>
              <w:t>% of net revenues</w:t>
            </w:r>
          </w:p>
        </w:tc>
        <w:tc>
          <w:tcPr>
            <w:tcW w:w="260" w:type="dxa"/>
            <w:vAlign w:val="bottom"/>
          </w:tcPr>
          <w:p>
            <w:pPr>
              <w:spacing w:after="0"/>
              <w:rPr>
                <w:sz w:val="14"/>
                <w:szCs w:val="14"/>
                <w:color w:val="auto"/>
              </w:rPr>
            </w:pPr>
          </w:p>
        </w:tc>
        <w:tc>
          <w:tcPr>
            <w:tcW w:w="680" w:type="dxa"/>
            <w:vAlign w:val="bottom"/>
          </w:tcPr>
          <w:p>
            <w:pPr>
              <w:jc w:val="right"/>
              <w:ind w:right="78"/>
              <w:spacing w:after="0"/>
              <w:rPr>
                <w:sz w:val="20"/>
                <w:szCs w:val="20"/>
                <w:color w:val="auto"/>
              </w:rPr>
            </w:pPr>
            <w:r>
              <w:rPr>
                <w:rFonts w:ascii="Arial" w:cs="Arial" w:eastAsia="Arial" w:hAnsi="Arial"/>
                <w:sz w:val="13"/>
                <w:szCs w:val="13"/>
                <w:i w:val="1"/>
                <w:iCs w:val="1"/>
                <w:color w:val="auto"/>
              </w:rPr>
              <w:t>39.4%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96"/>
              <w:spacing w:after="0"/>
              <w:rPr>
                <w:sz w:val="20"/>
                <w:szCs w:val="20"/>
                <w:color w:val="auto"/>
              </w:rPr>
            </w:pPr>
            <w:r>
              <w:rPr>
                <w:rFonts w:ascii="Arial" w:cs="Arial" w:eastAsia="Arial" w:hAnsi="Arial"/>
                <w:sz w:val="13"/>
                <w:szCs w:val="13"/>
                <w:i w:val="1"/>
                <w:iCs w:val="1"/>
                <w:color w:val="auto"/>
              </w:rPr>
              <w:t>37.2%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96"/>
              <w:spacing w:after="0"/>
              <w:rPr>
                <w:sz w:val="20"/>
                <w:szCs w:val="20"/>
                <w:color w:val="auto"/>
              </w:rPr>
            </w:pPr>
            <w:r>
              <w:rPr>
                <w:rFonts w:ascii="Arial" w:cs="Arial" w:eastAsia="Arial" w:hAnsi="Arial"/>
                <w:sz w:val="13"/>
                <w:szCs w:val="13"/>
                <w:i w:val="1"/>
                <w:iCs w:val="1"/>
                <w:color w:val="auto"/>
              </w:rPr>
              <w:t>36.3%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During fiscal year 2010, research, development and engineering expenses increased 10.5%. Foreign exchange resulted in a 1.4% increase in research, development and engineering during the year. The increase in fiscal year 2010 was attributable to increased new product spending on our automated whole blood collection device, and a new cell salvage system — the Cell Saver Elite</w:t>
      </w:r>
      <w:r>
        <w:rPr>
          <w:rFonts w:ascii="Arial" w:cs="Arial" w:eastAsia="Arial" w:hAnsi="Arial"/>
          <w:sz w:val="7"/>
          <w:szCs w:val="7"/>
          <w:color w:val="auto"/>
        </w:rPr>
        <w:t>TM</w:t>
      </w:r>
      <w:r>
        <w:rPr>
          <w:rFonts w:ascii="Arial" w:cs="Arial" w:eastAsia="Arial" w:hAnsi="Arial"/>
          <w:sz w:val="13"/>
          <w:szCs w:val="13"/>
          <w:color w:val="auto"/>
        </w:rPr>
        <w:t>.</w:t>
      </w:r>
    </w:p>
    <w:p>
      <w:pPr>
        <w:spacing w:after="0" w:line="67" w:lineRule="exact"/>
        <w:rPr>
          <w:sz w:val="20"/>
          <w:szCs w:val="20"/>
          <w:color w:val="auto"/>
        </w:rPr>
      </w:pPr>
    </w:p>
    <w:p>
      <w:pPr>
        <w:ind w:left="680" w:right="180" w:firstLine="399"/>
        <w:spacing w:after="0" w:line="320" w:lineRule="auto"/>
        <w:rPr>
          <w:sz w:val="20"/>
          <w:szCs w:val="20"/>
          <w:color w:val="auto"/>
        </w:rPr>
      </w:pPr>
      <w:r>
        <w:rPr>
          <w:rFonts w:ascii="Arial" w:cs="Arial" w:eastAsia="Arial" w:hAnsi="Arial"/>
          <w:sz w:val="12"/>
          <w:szCs w:val="12"/>
          <w:color w:val="auto"/>
        </w:rPr>
        <w:t>During fiscal year 2009, research, development and engineering expenses decreased 1.9%. Foreign exchange resulted in a 0.7% decrease in research, development and engineering during the year. The decrease in fiscal year 2009 was attributable to lower spending earlier in the fiscal year, as we rationalized our research and development portfolio.</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During fiscal year 2010, selling, general and administrative expenses increased 14.6%. The effect of foreign exchange accounted for an increase of 0.4%. Excluding the impact of foreign exchange, selling, general and administrative expense increased 14.2% for fiscal year 2010 as compared to fiscal year 2009. The increase was due largely to several factors identified below:</w:t>
      </w:r>
    </w:p>
    <w:p>
      <w:pPr>
        <w:spacing w:after="0" w:line="67" w:lineRule="exact"/>
        <w:rPr>
          <w:sz w:val="20"/>
          <w:szCs w:val="20"/>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selling, general and administrative costs of $6.0 million related to newly acquired businesses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Increased marketing spending behind our blood management solutions initiatives including our IMPACT selling approach and related tools.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General selling, marketing and handling costs necessary to support the increase in sales.</w:t>
      </w:r>
    </w:p>
    <w:p>
      <w:pPr>
        <w:spacing w:after="0" w:line="86" w:lineRule="exact"/>
        <w:rPr>
          <w:rFonts w:ascii="Arial" w:cs="Arial" w:eastAsia="Arial" w:hAnsi="Arial"/>
          <w:sz w:val="13"/>
          <w:szCs w:val="13"/>
          <w:color w:val="auto"/>
        </w:rPr>
      </w:pPr>
    </w:p>
    <w:p>
      <w:pPr>
        <w:ind w:left="1280" w:right="12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An increase in restructuring costs of $1.6 million. Restructuring costs, largely employee separation benefits, totaled $8.6 million in fiscal year 2010. These costs were associated with the integration of the Global Med acquisition and the formulation of a customer solutions implementation group.</w:t>
      </w:r>
    </w:p>
    <w:p>
      <w:pPr>
        <w:spacing w:after="0" w:line="49" w:lineRule="exact"/>
        <w:rPr>
          <w:rFonts w:ascii="Arial" w:cs="Arial" w:eastAsia="Arial" w:hAnsi="Arial"/>
          <w:sz w:val="13"/>
          <w:szCs w:val="13"/>
          <w:color w:val="auto"/>
        </w:rPr>
      </w:pPr>
    </w:p>
    <w:p>
      <w:pPr>
        <w:ind w:left="1280" w:right="16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Costs to consummate the acquisition of Global Med which totaled $2.2 million, and included due diligence and legal fees, as well as costs to produce the tender offer document and advertise our offer.</w:t>
      </w:r>
    </w:p>
    <w:p>
      <w:pPr>
        <w:spacing w:after="0" w:line="49" w:lineRule="exact"/>
        <w:rPr>
          <w:rFonts w:ascii="Arial" w:cs="Arial" w:eastAsia="Arial" w:hAnsi="Arial"/>
          <w:sz w:val="13"/>
          <w:szCs w:val="13"/>
          <w:color w:val="auto"/>
        </w:rPr>
      </w:pPr>
    </w:p>
    <w:p>
      <w:pPr>
        <w:ind w:left="1280" w:right="400" w:hanging="190"/>
        <w:spacing w:after="0" w:line="276"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These increases were offset by reductions in performance based compensation expense of approximately $6.1 million, as we did not offer a special bonus this year, and our financial performance was at a lower payout point against pre-established performance targets.</w:t>
      </w:r>
    </w:p>
    <w:p>
      <w:pPr>
        <w:spacing w:after="0" w:line="59"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During fiscal year 2009, selling, general and administrative expenses increased 21.8%. The effect of foreign exchange accounted for an increase of 1.5%. Excluding the impact of foreign exchange, selling, general and administrative expense increased 20.3% for fiscal year 2009 as compared to fiscal year 2008. The increase was due largely to several factors identified below:</w:t>
      </w:r>
    </w:p>
    <w:p>
      <w:pPr>
        <w:spacing w:after="0" w:line="67" w:lineRule="exact"/>
        <w:rPr>
          <w:sz w:val="20"/>
          <w:szCs w:val="20"/>
          <w:color w:val="auto"/>
        </w:rPr>
      </w:pPr>
    </w:p>
    <w:p>
      <w:pPr>
        <w:jc w:val="both"/>
        <w:ind w:left="1280" w:right="200" w:hanging="190"/>
        <w:spacing w:after="0" w:line="296" w:lineRule="auto"/>
        <w:tabs>
          <w:tab w:leader="none" w:pos="12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Increased employee performance based compensation expense of $8.8 million based on several factors, including: strong Company performance versus pre-established targets resulting in formula driven payouts to eligible employees in accordance with the terms of the management bonus plan and a $2.8 million discretionary bonus to company wide employees (excluding executive management) in fiscal year 2009, contrasted with lower than target performance in fiscal year 2008.</w:t>
      </w:r>
    </w:p>
    <w:p>
      <w:pPr>
        <w:spacing w:after="0" w:line="39" w:lineRule="exact"/>
        <w:rPr>
          <w:rFonts w:ascii="Arial" w:cs="Arial" w:eastAsia="Arial" w:hAnsi="Arial"/>
          <w:sz w:val="12"/>
          <w:szCs w:val="12"/>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Increased selling, general and administrative costs of $5.5 million relating to the acquisition of Haemoscope (including Medicell).</w:t>
      </w:r>
    </w:p>
    <w:p>
      <w:pPr>
        <w:spacing w:after="0" w:line="86"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Legal costs of $2.0 million resulting primarily from a lawsuit that sought an injunction and damages for infringement of a Haemonetics patent. In January 2009, a jury found that our patent was infringed and awarded Haemonetics $15.7 million. The court has not yet ruled on the parties’ post trial motions.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General selling, marketing and handling costs necessary to support the 15.8% increase in sales.</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fiscal year 2009, we incurred total restructuring and other transformation related costs of approximately $7.0 million at consistent levels with those costs incurred in fiscal year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Consideration Income</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 xml:space="preserve">Under new accounting rules for business combinations (specifically, ASC Topic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(formerly known as Statement No. 141(R), </w:t>
      </w:r>
      <w:r>
        <w:rPr>
          <w:rFonts w:ascii="Arial" w:cs="Arial" w:eastAsia="Arial" w:hAnsi="Arial"/>
          <w:sz w:val="11"/>
          <w:szCs w:val="11"/>
          <w:i w:val="1"/>
          <w:iCs w:val="1"/>
          <w:color w:val="auto"/>
        </w:rPr>
        <w:t>Business Combinations</w:t>
      </w:r>
      <w:r>
        <w:rPr>
          <w:rFonts w:ascii="Arial" w:cs="Arial" w:eastAsia="Arial" w:hAnsi="Arial"/>
          <w:sz w:val="11"/>
          <w:szCs w:val="11"/>
          <w:color w:val="auto"/>
        </w:rPr>
        <w:t>)), we established a liability for payments that we might make in the future to former shareholders of the L’Attitude Medical Systems that are tied to the performance of the Blood Track business for the first three years post acquisition, beginning with fiscal year 2010. During fiscal year 2010, this business did not meet the necessary thresholds of performance for the former shareholders to receive additional performance payments and we recorded an adjustment to the fair value of the contingent consideration as contingent consideration income of $2.3 million.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Impairments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fiscal year 2010 we recorded intangible asset write downs totaling $15.7 million. The impairment related to two software assets: the Symphony blood bank software system totaling $3.5 million, which we will no longer market in favor of the recently acquired Global Med El Dorado blood bank software system, and software for our Portico platelet apheresis device totaling $12.2 million, that we have abandoned as we prioritize superior research and development initiatives.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80" w:type="dxa"/>
            <w:vAlign w:val="bottom"/>
          </w:tcPr>
          <w:p>
            <w:pPr>
              <w:spacing w:after="0"/>
              <w:rPr>
                <w:sz w:val="10"/>
                <w:szCs w:val="10"/>
                <w:color w:val="auto"/>
              </w:rPr>
            </w:pPr>
          </w:p>
        </w:tc>
        <w:tc>
          <w:tcPr>
            <w:tcW w:w="900" w:type="dxa"/>
            <w:vAlign w:val="bottom"/>
          </w:tcPr>
          <w:p>
            <w:pPr>
              <w:jc w:val="right"/>
              <w:ind w:right="221"/>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9"/>
              </w:rPr>
              <w:t>March 28,</w:t>
            </w:r>
          </w:p>
        </w:tc>
        <w:tc>
          <w:tcPr>
            <w:tcW w:w="260" w:type="dxa"/>
            <w:vAlign w:val="bottom"/>
          </w:tcPr>
          <w:p>
            <w:pPr>
              <w:spacing w:after="0"/>
              <w:rPr>
                <w:sz w:val="10"/>
                <w:szCs w:val="10"/>
                <w:color w:val="auto"/>
              </w:rPr>
            </w:pPr>
          </w:p>
        </w:tc>
        <w:tc>
          <w:tcPr>
            <w:tcW w:w="900" w:type="dxa"/>
            <w:vAlign w:val="bottom"/>
          </w:tcPr>
          <w:p>
            <w:pPr>
              <w:jc w:val="right"/>
              <w:ind w:right="168"/>
              <w:spacing w:after="0"/>
              <w:rPr>
                <w:sz w:val="20"/>
                <w:szCs w:val="20"/>
                <w:color w:val="auto"/>
              </w:rPr>
            </w:pPr>
            <w:r>
              <w:rPr>
                <w:rFonts w:ascii="Arial" w:cs="Arial" w:eastAsia="Arial" w:hAnsi="Arial"/>
                <w:sz w:val="10"/>
                <w:szCs w:val="10"/>
                <w:b w:val="1"/>
                <w:bCs w:val="1"/>
                <w:color w:val="auto"/>
              </w:rPr>
              <w:t>March 29,</w:t>
            </w:r>
          </w:p>
        </w:tc>
        <w:tc>
          <w:tcPr>
            <w:tcW w:w="280" w:type="dxa"/>
            <w:vAlign w:val="bottom"/>
          </w:tcPr>
          <w:p>
            <w:pPr>
              <w:spacing w:after="0"/>
              <w:rPr>
                <w:sz w:val="10"/>
                <w:szCs w:val="10"/>
                <w:color w:val="auto"/>
              </w:rPr>
            </w:pPr>
          </w:p>
        </w:tc>
        <w:tc>
          <w:tcPr>
            <w:tcW w:w="960" w:type="dxa"/>
            <w:vAlign w:val="bottom"/>
          </w:tcPr>
          <w:p>
            <w:pPr>
              <w:jc w:val="right"/>
              <w:ind w:right="168"/>
              <w:spacing w:after="0"/>
              <w:rPr>
                <w:sz w:val="20"/>
                <w:szCs w:val="20"/>
                <w:color w:val="auto"/>
              </w:rPr>
            </w:pPr>
            <w:r>
              <w:rPr>
                <w:rFonts w:ascii="Arial" w:cs="Arial" w:eastAsia="Arial" w:hAnsi="Arial"/>
                <w:sz w:val="10"/>
                <w:szCs w:val="10"/>
                <w:b w:val="1"/>
                <w:bCs w:val="1"/>
                <w:color w:val="auto"/>
              </w:rPr>
              <w:t>% Decrease</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280" w:type="dxa"/>
            <w:vAlign w:val="bottom"/>
          </w:tcPr>
          <w:p>
            <w:pPr>
              <w:spacing w:after="0"/>
              <w:rPr>
                <w:sz w:val="10"/>
                <w:szCs w:val="10"/>
                <w:color w:val="auto"/>
              </w:rPr>
            </w:pPr>
          </w:p>
        </w:tc>
        <w:tc>
          <w:tcPr>
            <w:tcW w:w="900" w:type="dxa"/>
            <w:vAlign w:val="bottom"/>
          </w:tcPr>
          <w:p>
            <w:pPr>
              <w:jc w:val="right"/>
              <w:ind w:right="281"/>
              <w:spacing w:after="0"/>
              <w:rPr>
                <w:sz w:val="20"/>
                <w:szCs w:val="20"/>
                <w:color w:val="auto"/>
              </w:rPr>
            </w:pPr>
            <w:r>
              <w:rPr>
                <w:rFonts w:ascii="Arial" w:cs="Arial" w:eastAsia="Arial" w:hAnsi="Arial"/>
                <w:sz w:val="10"/>
                <w:szCs w:val="10"/>
                <w:b w:val="1"/>
                <w:bCs w:val="1"/>
                <w:color w:val="auto"/>
              </w:rPr>
              <w:t>2010</w:t>
            </w:r>
          </w:p>
        </w:tc>
        <w:tc>
          <w:tcPr>
            <w:tcW w:w="1160" w:type="dxa"/>
            <w:vAlign w:val="bottom"/>
            <w:gridSpan w:val="2"/>
          </w:tcPr>
          <w:p>
            <w:pPr>
              <w:jc w:val="center"/>
              <w:ind w:left="199"/>
              <w:spacing w:after="0"/>
              <w:rPr>
                <w:sz w:val="20"/>
                <w:szCs w:val="20"/>
                <w:color w:val="auto"/>
              </w:rPr>
            </w:pPr>
            <w:r>
              <w:rPr>
                <w:rFonts w:ascii="Arial" w:cs="Arial" w:eastAsia="Arial" w:hAnsi="Arial"/>
                <w:sz w:val="10"/>
                <w:szCs w:val="10"/>
                <w:b w:val="1"/>
                <w:bCs w:val="1"/>
                <w:color w:val="auto"/>
                <w:w w:val="98"/>
              </w:rPr>
              <w:t>2009</w:t>
            </w:r>
          </w:p>
        </w:tc>
        <w:tc>
          <w:tcPr>
            <w:tcW w:w="1160" w:type="dxa"/>
            <w:vAlign w:val="bottom"/>
            <w:gridSpan w:val="2"/>
          </w:tcPr>
          <w:p>
            <w:pPr>
              <w:jc w:val="right"/>
              <w:ind w:right="288"/>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960" w:type="dxa"/>
            <w:vAlign w:val="bottom"/>
          </w:tcPr>
          <w:p>
            <w:pPr>
              <w:jc w:val="right"/>
              <w:ind w:right="248"/>
              <w:spacing w:after="0"/>
              <w:rPr>
                <w:sz w:val="20"/>
                <w:szCs w:val="20"/>
                <w:color w:val="auto"/>
              </w:rPr>
            </w:pPr>
            <w:r>
              <w:rPr>
                <w:rFonts w:ascii="Arial" w:cs="Arial" w:eastAsia="Arial" w:hAnsi="Arial"/>
                <w:sz w:val="10"/>
                <w:szCs w:val="10"/>
                <w:b w:val="1"/>
                <w:bCs w:val="1"/>
                <w:color w:val="auto"/>
              </w:rPr>
              <w:t>10 vs. 09</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1"/>
              </w:rPr>
              <w:t>09 vs. 08</w:t>
            </w:r>
          </w:p>
        </w:tc>
      </w:tr>
      <w:tr>
        <w:trPr>
          <w:trHeight w:val="125"/>
        </w:trPr>
        <w:tc>
          <w:tcPr>
            <w:tcW w:w="42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61"/>
        </w:trPr>
        <w:tc>
          <w:tcPr>
            <w:tcW w:w="4280" w:type="dxa"/>
            <w:vAlign w:val="bottom"/>
          </w:tcPr>
          <w:p>
            <w:pPr>
              <w:spacing w:after="0"/>
              <w:rPr>
                <w:sz w:val="20"/>
                <w:szCs w:val="20"/>
                <w:color w:val="auto"/>
              </w:rPr>
            </w:pPr>
            <w:r>
              <w:rPr>
                <w:rFonts w:ascii="Arial" w:cs="Arial" w:eastAsia="Arial" w:hAnsi="Arial"/>
                <w:sz w:val="13"/>
                <w:szCs w:val="13"/>
                <w:color w:val="auto"/>
              </w:rPr>
              <w:t>Operating Income</w:t>
            </w:r>
          </w:p>
        </w:tc>
        <w:tc>
          <w:tcPr>
            <w:tcW w:w="900" w:type="dxa"/>
            <w:vAlign w:val="bottom"/>
          </w:tcPr>
          <w:p>
            <w:pPr>
              <w:jc w:val="right"/>
              <w:ind w:right="221"/>
              <w:spacing w:after="0"/>
              <w:rPr>
                <w:sz w:val="20"/>
                <w:szCs w:val="20"/>
                <w:color w:val="auto"/>
              </w:rPr>
            </w:pPr>
            <w:r>
              <w:rPr>
                <w:rFonts w:ascii="Arial" w:cs="Arial" w:eastAsia="Arial" w:hAnsi="Arial"/>
                <w:sz w:val="13"/>
                <w:szCs w:val="13"/>
                <w:color w:val="auto"/>
              </w:rPr>
              <w:t>$83,281</w:t>
            </w:r>
          </w:p>
        </w:tc>
        <w:tc>
          <w:tcPr>
            <w:tcW w:w="1160" w:type="dxa"/>
            <w:vAlign w:val="bottom"/>
            <w:gridSpan w:val="2"/>
          </w:tcPr>
          <w:p>
            <w:pPr>
              <w:jc w:val="right"/>
              <w:ind w:right="228"/>
              <w:spacing w:after="0"/>
              <w:rPr>
                <w:sz w:val="20"/>
                <w:szCs w:val="20"/>
                <w:color w:val="auto"/>
              </w:rPr>
            </w:pPr>
            <w:r>
              <w:rPr>
                <w:rFonts w:ascii="Arial" w:cs="Arial" w:eastAsia="Arial" w:hAnsi="Arial"/>
                <w:sz w:val="13"/>
                <w:szCs w:val="13"/>
                <w:color w:val="auto"/>
              </w:rPr>
              <w:t>$85,567</w:t>
            </w:r>
          </w:p>
        </w:tc>
        <w:tc>
          <w:tcPr>
            <w:tcW w:w="1160" w:type="dxa"/>
            <w:vAlign w:val="bottom"/>
            <w:gridSpan w:val="2"/>
          </w:tcPr>
          <w:p>
            <w:pPr>
              <w:jc w:val="right"/>
              <w:ind w:right="208"/>
              <w:spacing w:after="0"/>
              <w:rPr>
                <w:sz w:val="20"/>
                <w:szCs w:val="20"/>
                <w:color w:val="auto"/>
              </w:rPr>
            </w:pPr>
            <w:r>
              <w:rPr>
                <w:rFonts w:ascii="Arial" w:cs="Arial" w:eastAsia="Arial" w:hAnsi="Arial"/>
                <w:sz w:val="13"/>
                <w:szCs w:val="13"/>
                <w:color w:val="auto"/>
              </w:rPr>
              <w:t>$70,287</w:t>
            </w:r>
          </w:p>
        </w:tc>
        <w:tc>
          <w:tcPr>
            <w:tcW w:w="1240" w:type="dxa"/>
            <w:vAlign w:val="bottom"/>
            <w:gridSpan w:val="2"/>
          </w:tcPr>
          <w:p>
            <w:pPr>
              <w:jc w:val="right"/>
              <w:ind w:right="168"/>
              <w:spacing w:after="0"/>
              <w:rPr>
                <w:sz w:val="20"/>
                <w:szCs w:val="20"/>
                <w:color w:val="auto"/>
              </w:rPr>
            </w:pPr>
            <w:r>
              <w:rPr>
                <w:rFonts w:ascii="Arial" w:cs="Arial" w:eastAsia="Arial" w:hAnsi="Arial"/>
                <w:sz w:val="13"/>
                <w:szCs w:val="13"/>
                <w:color w:val="auto"/>
              </w:rPr>
              <w:t>(2.7)%</w:t>
            </w: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21.7%</w:t>
            </w:r>
          </w:p>
        </w:tc>
      </w:tr>
      <w:tr>
        <w:trPr>
          <w:trHeight w:val="165"/>
        </w:trPr>
        <w:tc>
          <w:tcPr>
            <w:tcW w:w="4280" w:type="dxa"/>
            <w:vAlign w:val="bottom"/>
          </w:tcPr>
          <w:p>
            <w:pPr>
              <w:spacing w:after="0"/>
              <w:rPr>
                <w:sz w:val="20"/>
                <w:szCs w:val="20"/>
                <w:color w:val="auto"/>
              </w:rPr>
            </w:pPr>
            <w:r>
              <w:rPr>
                <w:rFonts w:ascii="Arial" w:cs="Arial" w:eastAsia="Arial" w:hAnsi="Arial"/>
                <w:sz w:val="13"/>
                <w:szCs w:val="13"/>
                <w:i w:val="1"/>
                <w:iCs w:val="1"/>
                <w:color w:val="auto"/>
              </w:rPr>
              <w:t>% of net sales</w:t>
            </w:r>
          </w:p>
        </w:tc>
        <w:tc>
          <w:tcPr>
            <w:tcW w:w="900" w:type="dxa"/>
            <w:vAlign w:val="bottom"/>
          </w:tcPr>
          <w:p>
            <w:pPr>
              <w:jc w:val="right"/>
              <w:ind w:right="101"/>
              <w:spacing w:after="0"/>
              <w:rPr>
                <w:sz w:val="20"/>
                <w:szCs w:val="20"/>
                <w:color w:val="auto"/>
              </w:rPr>
            </w:pPr>
            <w:r>
              <w:rPr>
                <w:rFonts w:ascii="Arial" w:cs="Arial" w:eastAsia="Arial" w:hAnsi="Arial"/>
                <w:sz w:val="13"/>
                <w:szCs w:val="13"/>
                <w:i w:val="1"/>
                <w:iCs w:val="1"/>
                <w:color w:val="auto"/>
              </w:rPr>
              <w:t>12.9%</w:t>
            </w:r>
          </w:p>
        </w:tc>
        <w:tc>
          <w:tcPr>
            <w:tcW w:w="1160" w:type="dxa"/>
            <w:vAlign w:val="bottom"/>
            <w:gridSpan w:val="2"/>
          </w:tcPr>
          <w:p>
            <w:pPr>
              <w:jc w:val="right"/>
              <w:ind w:right="108"/>
              <w:spacing w:after="0"/>
              <w:rPr>
                <w:sz w:val="20"/>
                <w:szCs w:val="20"/>
                <w:color w:val="auto"/>
              </w:rPr>
            </w:pPr>
            <w:r>
              <w:rPr>
                <w:rFonts w:ascii="Arial" w:cs="Arial" w:eastAsia="Arial" w:hAnsi="Arial"/>
                <w:sz w:val="13"/>
                <w:szCs w:val="13"/>
                <w:i w:val="1"/>
                <w:iCs w:val="1"/>
                <w:color w:val="auto"/>
              </w:rPr>
              <w:t>14.3%</w:t>
            </w:r>
          </w:p>
        </w:tc>
        <w:tc>
          <w:tcPr>
            <w:tcW w:w="1160" w:type="dxa"/>
            <w:vAlign w:val="bottom"/>
            <w:gridSpan w:val="2"/>
          </w:tcPr>
          <w:p>
            <w:pPr>
              <w:jc w:val="right"/>
              <w:ind w:right="108"/>
              <w:spacing w:after="0"/>
              <w:rPr>
                <w:sz w:val="20"/>
                <w:szCs w:val="20"/>
                <w:color w:val="auto"/>
              </w:rPr>
            </w:pPr>
            <w:r>
              <w:rPr>
                <w:rFonts w:ascii="Arial" w:cs="Arial" w:eastAsia="Arial" w:hAnsi="Arial"/>
                <w:sz w:val="13"/>
                <w:szCs w:val="13"/>
                <w:i w:val="1"/>
                <w:iCs w:val="1"/>
                <w:color w:val="auto"/>
              </w:rPr>
              <w:t>13.6%</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year 2010, operating income decreased 2.7% compared to fiscal year 2009. Foreign exchange resulted in a 14.8% increase in operating income during the fiscal year.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Without the effects of foreign currency, operating income decreased 17.5% over fiscal year 2009. Several items contributed to the reduction in operating income, including:</w:t>
      </w:r>
    </w:p>
    <w:p>
      <w:pPr>
        <w:spacing w:after="0" w:line="89"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impairment of two intangible assets totaling $15.7 million.</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Restructuring costs totaling $8.6 million, primarily separation benefits, associated with the integration of the Global Med Acquisition (under new accounting rules costs to separate employees of Global Med are now expensed), and the implementation of a customer solutions implementation group.</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Costs to consummate the acquisition of Global Med totaling $2.2 million.</w:t>
      </w:r>
    </w:p>
    <w:p>
      <w:pPr>
        <w:spacing w:after="0" w:line="86" w:lineRule="exact"/>
        <w:rPr>
          <w:rFonts w:ascii="Arial" w:cs="Arial" w:eastAsia="Arial" w:hAnsi="Arial"/>
          <w:sz w:val="13"/>
          <w:szCs w:val="13"/>
          <w:color w:val="auto"/>
        </w:rPr>
      </w:pPr>
    </w:p>
    <w:p>
      <w:pPr>
        <w:ind w:left="1080" w:right="520" w:firstLine="10"/>
        <w:spacing w:after="0" w:line="394"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Increased operating expenses related to new business acquisitions, blood management solutions, research and development, and our enterprise resource planning system. The above items were partially offset by</w:t>
      </w: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Income totaling $2.3 million resulting from the remeasurement of the fair value of contingent consideration from our Neoteric acquisition.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decrease of $6.1 million in employee bonus expense.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increases in gross profit described above</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During fiscal year 2009, operating income increased 21.7% compared to fiscal year 2008. Foreign exchange resulted in a 16.7% increase in operating income during the fiscal year. Without the effects of foreign currency, operating income increased 5.0% over fiscal year 2008. The increase is due primarily to sales and gross profit growth, partially offset by increases in operating expenses.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Income (Expense), Net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ind w:right="482"/>
              <w:spacing w:after="0"/>
              <w:rPr>
                <w:sz w:val="20"/>
                <w:szCs w:val="20"/>
                <w:color w:val="auto"/>
              </w:rPr>
            </w:pPr>
            <w:r>
              <w:rPr>
                <w:rFonts w:ascii="Arial" w:cs="Arial" w:eastAsia="Arial" w:hAnsi="Arial"/>
                <w:sz w:val="10"/>
                <w:szCs w:val="10"/>
                <w:b w:val="1"/>
                <w:bCs w:val="1"/>
                <w:color w:val="auto"/>
              </w:rPr>
              <w:t>April 3,</w:t>
            </w:r>
          </w:p>
        </w:tc>
        <w:tc>
          <w:tcPr>
            <w:tcW w:w="6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March 28,</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9"/>
              </w:rPr>
              <w:t>March 29,</w:t>
            </w:r>
          </w:p>
        </w:tc>
        <w:tc>
          <w:tcPr>
            <w:tcW w:w="12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 Increase</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0"/>
                <w:szCs w:val="10"/>
                <w:b w:val="1"/>
                <w:bCs w:val="1"/>
                <w:color w:val="auto"/>
              </w:rPr>
              <w:t>% Decrease</w:t>
            </w: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6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3"/>
              </w:rPr>
              <w:t>/Decrease</w:t>
            </w: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139"/>
              <w:spacing w:after="0"/>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5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0"/>
                <w:szCs w:val="10"/>
                <w:b w:val="1"/>
                <w:bCs w:val="1"/>
                <w:color w:val="auto"/>
                <w:w w:val="91"/>
              </w:rPr>
              <w:t>10 vs. 09</w:t>
            </w:r>
          </w:p>
        </w:tc>
        <w:tc>
          <w:tcPr>
            <w:tcW w:w="96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09 vs. 08</w:t>
            </w: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87"/>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3"/>
                <w:szCs w:val="13"/>
                <w:color w:val="auto"/>
              </w:rPr>
              <w:t>(742)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(377)</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&gt;100%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(83.0)%</w:t>
            </w:r>
          </w:p>
        </w:tc>
        <w:tc>
          <w:tcPr>
            <w:tcW w:w="0" w:type="dxa"/>
            <w:vAlign w:val="bottom"/>
          </w:tcPr>
          <w:p>
            <w:pPr>
              <w:spacing w:after="0"/>
              <w:rPr>
                <w:sz w:val="1"/>
                <w:szCs w:val="1"/>
                <w:color w:val="auto"/>
              </w:rPr>
            </w:pPr>
          </w:p>
        </w:tc>
      </w:tr>
      <w:tr>
        <w:trPr>
          <w:trHeight w:val="157"/>
        </w:trPr>
        <w:tc>
          <w:tcPr>
            <w:tcW w:w="4620" w:type="dxa"/>
            <w:vAlign w:val="bottom"/>
          </w:tcPr>
          <w:p>
            <w:pPr>
              <w:spacing w:after="0"/>
              <w:rPr>
                <w:sz w:val="20"/>
                <w:szCs w:val="20"/>
                <w:color w:val="auto"/>
              </w:rPr>
            </w:pPr>
            <w:r>
              <w:rPr>
                <w:rFonts w:ascii="Arial" w:cs="Arial" w:eastAsia="Arial" w:hAnsi="Arial"/>
                <w:sz w:val="13"/>
                <w:szCs w:val="13"/>
                <w:color w:val="auto"/>
              </w:rPr>
              <w:t>Interest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2"/>
              <w:spacing w:after="0"/>
              <w:rPr>
                <w:sz w:val="20"/>
                <w:szCs w:val="20"/>
                <w:color w:val="auto"/>
              </w:rPr>
            </w:pPr>
            <w:r>
              <w:rPr>
                <w:rFonts w:ascii="Arial" w:cs="Arial" w:eastAsia="Arial" w:hAnsi="Arial"/>
                <w:sz w:val="13"/>
                <w:szCs w:val="13"/>
                <w:color w:val="auto"/>
              </w:rPr>
              <w:t>399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1,968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5,418</w:t>
            </w:r>
          </w:p>
        </w:tc>
        <w:tc>
          <w:tcPr>
            <w:tcW w:w="1260" w:type="dxa"/>
            <w:vAlign w:val="bottom"/>
            <w:gridSpan w:val="2"/>
          </w:tcPr>
          <w:p>
            <w:pPr>
              <w:ind w:left="520"/>
              <w:spacing w:after="0"/>
              <w:rPr>
                <w:sz w:val="20"/>
                <w:szCs w:val="20"/>
                <w:color w:val="auto"/>
              </w:rPr>
            </w:pPr>
            <w:r>
              <w:rPr>
                <w:rFonts w:ascii="Arial" w:cs="Arial" w:eastAsia="Arial" w:hAnsi="Arial"/>
                <w:sz w:val="13"/>
                <w:szCs w:val="13"/>
                <w:color w:val="auto"/>
              </w:rPr>
              <w:t>(79.7)%</w:t>
            </w:r>
          </w:p>
        </w:tc>
        <w:tc>
          <w:tcPr>
            <w:tcW w:w="960" w:type="dxa"/>
            <w:vAlign w:val="bottom"/>
            <w:gridSpan w:val="2"/>
          </w:tcPr>
          <w:p>
            <w:pPr>
              <w:jc w:val="right"/>
              <w:ind w:right="20"/>
              <w:spacing w:after="0"/>
              <w:rPr>
                <w:sz w:val="20"/>
                <w:szCs w:val="20"/>
                <w:color w:val="auto"/>
              </w:rPr>
            </w:pPr>
            <w:r>
              <w:rPr>
                <w:rFonts w:ascii="Arial" w:cs="Arial" w:eastAsia="Arial" w:hAnsi="Arial"/>
                <w:sz w:val="13"/>
                <w:szCs w:val="13"/>
                <w:color w:val="auto"/>
              </w:rPr>
              <w:t>(63.7)%</w:t>
            </w:r>
          </w:p>
        </w:tc>
        <w:tc>
          <w:tcPr>
            <w:tcW w:w="0" w:type="dxa"/>
            <w:vAlign w:val="bottom"/>
          </w:tcPr>
          <w:p>
            <w:pPr>
              <w:spacing w:after="0"/>
              <w:rPr>
                <w:sz w:val="1"/>
                <w:szCs w:val="1"/>
                <w:color w:val="auto"/>
              </w:rPr>
            </w:pP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Other (expense)/income, net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3"/>
                <w:szCs w:val="13"/>
                <w:color w:val="auto"/>
              </w:rPr>
              <w:t>(1,668)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1,974</w:t>
            </w: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(32.4)%</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&gt;(100)%</w:t>
            </w:r>
          </w:p>
        </w:tc>
        <w:tc>
          <w:tcPr>
            <w:tcW w:w="0" w:type="dxa"/>
            <w:vAlign w:val="bottom"/>
          </w:tcPr>
          <w:p>
            <w:pPr>
              <w:spacing w:after="0"/>
              <w:rPr>
                <w:sz w:val="1"/>
                <w:szCs w:val="1"/>
                <w:color w:val="auto"/>
              </w:rPr>
            </w:pPr>
          </w:p>
        </w:tc>
      </w:tr>
      <w:tr>
        <w:trPr>
          <w:trHeight w:val="157"/>
        </w:trPr>
        <w:tc>
          <w:tcPr>
            <w:tcW w:w="4620" w:type="dxa"/>
            <w:vAlign w:val="bottom"/>
          </w:tcPr>
          <w:p>
            <w:pPr>
              <w:spacing w:after="0"/>
              <w:rPr>
                <w:sz w:val="20"/>
                <w:szCs w:val="20"/>
                <w:color w:val="auto"/>
              </w:rPr>
            </w:pPr>
            <w:r>
              <w:rPr>
                <w:rFonts w:ascii="Arial" w:cs="Arial" w:eastAsia="Arial" w:hAnsi="Arial"/>
                <w:sz w:val="13"/>
                <w:szCs w:val="13"/>
                <w:b w:val="1"/>
                <w:bCs w:val="1"/>
                <w:color w:val="auto"/>
              </w:rPr>
              <w:t>Total other (expense)/income, net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(2,011</w:t>
            </w:r>
          </w:p>
        </w:tc>
        <w:tc>
          <w:tcPr>
            <w:tcW w:w="380" w:type="dxa"/>
            <w:vAlign w:val="bottom"/>
          </w:tcPr>
          <w:p>
            <w:pPr>
              <w:jc w:val="right"/>
              <w:ind w:right="302"/>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(565)</w:t>
            </w:r>
          </w:p>
        </w:tc>
        <w:tc>
          <w:tcPr>
            <w:tcW w:w="4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7,015</w:t>
            </w:r>
          </w:p>
        </w:tc>
        <w:tc>
          <w:tcPr>
            <w:tcW w:w="400" w:type="dxa"/>
            <w:vAlign w:val="bottom"/>
          </w:tcPr>
          <w:p>
            <w:pPr>
              <w:spacing w:after="0"/>
              <w:rPr>
                <w:sz w:val="13"/>
                <w:szCs w:val="13"/>
                <w:color w:val="auto"/>
              </w:rPr>
            </w:pPr>
          </w:p>
        </w:tc>
        <w:tc>
          <w:tcPr>
            <w:tcW w:w="1260" w:type="dxa"/>
            <w:vAlign w:val="bottom"/>
            <w:gridSpan w:val="2"/>
          </w:tcPr>
          <w:p>
            <w:pPr>
              <w:ind w:left="520"/>
              <w:spacing w:after="0"/>
              <w:rPr>
                <w:sz w:val="20"/>
                <w:szCs w:val="20"/>
                <w:color w:val="auto"/>
              </w:rPr>
            </w:pPr>
            <w:r>
              <w:rPr>
                <w:rFonts w:ascii="Arial" w:cs="Arial" w:eastAsia="Arial" w:hAnsi="Arial"/>
                <w:sz w:val="13"/>
                <w:szCs w:val="13"/>
                <w:b w:val="1"/>
                <w:bCs w:val="1"/>
                <w:color w:val="auto"/>
              </w:rPr>
              <w:t>&gt;100%</w:t>
            </w: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&gt;(100)%</w:t>
            </w:r>
          </w:p>
        </w:tc>
        <w:tc>
          <w:tcPr>
            <w:tcW w:w="0" w:type="dxa"/>
            <w:vAlign w:val="bottom"/>
          </w:tcPr>
          <w:p>
            <w:pPr>
              <w:spacing w:after="0"/>
              <w:rPr>
                <w:sz w:val="1"/>
                <w:szCs w:val="1"/>
                <w:color w:val="auto"/>
              </w:rPr>
            </w:pPr>
          </w:p>
        </w:tc>
      </w:tr>
      <w:tr>
        <w:trPr>
          <w:trHeight w:val="29"/>
        </w:trPr>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1"/>
          <w:szCs w:val="11"/>
          <w:color w:val="auto"/>
        </w:rPr>
        <w:t>During fiscal year 2010, total other expense, net increased by more than 100% as compared to fiscal year 2009. The main reasons for the increase is the net of (i) the increase in interest expense due to the accounting relating to the contingent consideration on a recent acquisition, (ii) the decrease in interest income due to significantly reduced investment yields, and</w:t>
      </w:r>
    </w:p>
    <w:p>
      <w:pPr>
        <w:spacing w:after="0" w:line="1" w:lineRule="exact"/>
        <w:rPr>
          <w:sz w:val="20"/>
          <w:szCs w:val="20"/>
          <w:color w:val="auto"/>
        </w:rPr>
      </w:pPr>
    </w:p>
    <w:p>
      <w:pPr>
        <w:ind w:left="680" w:right="400" w:firstLine="7"/>
        <w:spacing w:after="0" w:line="264" w:lineRule="auto"/>
        <w:tabs>
          <w:tab w:leader="none" w:pos="909"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decrease in hedge points expenses. Points on forward contracts are amounts, either expensed or earned, based on the interest rate differential between two foreign currencies in a forward hedge contract.</w:t>
      </w:r>
    </w:p>
    <w:p>
      <w:pPr>
        <w:spacing w:after="0" w:line="67" w:lineRule="exact"/>
        <w:rPr>
          <w:sz w:val="20"/>
          <w:szCs w:val="20"/>
          <w:color w:val="auto"/>
        </w:rPr>
      </w:pPr>
    </w:p>
    <w:p>
      <w:pPr>
        <w:ind w:left="680" w:right="720" w:firstLine="399"/>
        <w:spacing w:after="0" w:line="320" w:lineRule="auto"/>
        <w:rPr>
          <w:sz w:val="20"/>
          <w:szCs w:val="20"/>
          <w:color w:val="auto"/>
        </w:rPr>
      </w:pPr>
      <w:r>
        <w:rPr>
          <w:rFonts w:ascii="Arial" w:cs="Arial" w:eastAsia="Arial" w:hAnsi="Arial"/>
          <w:sz w:val="12"/>
          <w:szCs w:val="12"/>
          <w:color w:val="auto"/>
        </w:rPr>
        <w:t>During fiscal year 2009, total other expense, net decreased 108.1% as compared to fiscal year 2008 due primarily to a decrease in interest income and a decrease in other income/(expense), net. The decrease in interest income was the result of a lower investment yield. The reduction in other income/(expense), net was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result of increased foreign exchange losses on foreign currency denominated assets and lower hedge points on forward contracts.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60" w:type="dxa"/>
            <w:vAlign w:val="bottom"/>
          </w:tcPr>
          <w:p>
            <w:pPr>
              <w:spacing w:after="0"/>
              <w:rPr>
                <w:sz w:val="10"/>
                <w:szCs w:val="10"/>
                <w:color w:val="auto"/>
              </w:rPr>
            </w:pPr>
          </w:p>
        </w:tc>
        <w:tc>
          <w:tcPr>
            <w:tcW w:w="6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April 3,</w:t>
            </w:r>
          </w:p>
        </w:tc>
        <w:tc>
          <w:tcPr>
            <w:tcW w:w="280" w:type="dxa"/>
            <w:vAlign w:val="bottom"/>
          </w:tcPr>
          <w:p>
            <w:pPr>
              <w:spacing w:after="0"/>
              <w:rPr>
                <w:sz w:val="10"/>
                <w:szCs w:val="10"/>
                <w:color w:val="auto"/>
              </w:rPr>
            </w:pPr>
          </w:p>
        </w:tc>
        <w:tc>
          <w:tcPr>
            <w:tcW w:w="82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March 28,</w:t>
            </w:r>
          </w:p>
        </w:tc>
        <w:tc>
          <w:tcPr>
            <w:tcW w:w="280" w:type="dxa"/>
            <w:vAlign w:val="bottom"/>
          </w:tcPr>
          <w:p>
            <w:pPr>
              <w:spacing w:after="0"/>
              <w:rPr>
                <w:sz w:val="10"/>
                <w:szCs w:val="10"/>
                <w:color w:val="auto"/>
              </w:rPr>
            </w:pPr>
          </w:p>
        </w:tc>
        <w:tc>
          <w:tcPr>
            <w:tcW w:w="820" w:type="dxa"/>
            <w:vAlign w:val="bottom"/>
            <w:vMerge w:val="restart"/>
          </w:tcPr>
          <w:p>
            <w:pPr>
              <w:ind w:left="180"/>
              <w:spacing w:after="0"/>
              <w:rPr>
                <w:sz w:val="20"/>
                <w:szCs w:val="20"/>
                <w:color w:val="auto"/>
              </w:rPr>
            </w:pPr>
            <w:r>
              <w:rPr>
                <w:rFonts w:ascii="Arial" w:cs="Arial" w:eastAsia="Arial" w:hAnsi="Arial"/>
                <w:sz w:val="10"/>
                <w:szCs w:val="10"/>
                <w:b w:val="1"/>
                <w:bCs w:val="1"/>
                <w:color w:val="auto"/>
              </w:rPr>
              <w:t>March 29,</w:t>
            </w:r>
          </w:p>
        </w:tc>
        <w:tc>
          <w:tcPr>
            <w:tcW w:w="280" w:type="dxa"/>
            <w:vAlign w:val="bottom"/>
          </w:tcPr>
          <w:p>
            <w:pPr>
              <w:spacing w:after="0"/>
              <w:rPr>
                <w:sz w:val="10"/>
                <w:szCs w:val="10"/>
                <w:color w:val="auto"/>
              </w:rPr>
            </w:pPr>
          </w:p>
        </w:tc>
        <w:tc>
          <w:tcPr>
            <w:tcW w:w="780" w:type="dxa"/>
            <w:vAlign w:val="bottom"/>
          </w:tcPr>
          <w:p>
            <w:pPr>
              <w:ind w:left="180"/>
              <w:spacing w:after="0"/>
              <w:rPr>
                <w:sz w:val="20"/>
                <w:szCs w:val="20"/>
                <w:color w:val="auto"/>
              </w:rPr>
            </w:pPr>
            <w:r>
              <w:rPr>
                <w:rFonts w:ascii="Arial" w:cs="Arial" w:eastAsia="Arial" w:hAnsi="Arial"/>
                <w:sz w:val="10"/>
                <w:szCs w:val="10"/>
                <w:b w:val="1"/>
                <w:bCs w:val="1"/>
                <w:color w:val="auto"/>
              </w:rPr>
              <w:t>Tax Rate</w:t>
            </w:r>
          </w:p>
        </w:tc>
        <w:tc>
          <w:tcPr>
            <w:tcW w:w="26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Arial" w:cs="Arial" w:eastAsia="Arial" w:hAnsi="Arial"/>
                <w:sz w:val="10"/>
                <w:szCs w:val="10"/>
                <w:b w:val="1"/>
                <w:bCs w:val="1"/>
                <w:color w:val="auto"/>
              </w:rPr>
              <w:t>Tax Rate</w:t>
            </w:r>
          </w:p>
        </w:tc>
        <w:tc>
          <w:tcPr>
            <w:tcW w:w="0" w:type="dxa"/>
            <w:vAlign w:val="bottom"/>
          </w:tcPr>
          <w:p>
            <w:pPr>
              <w:spacing w:after="0"/>
              <w:rPr>
                <w:sz w:val="1"/>
                <w:szCs w:val="1"/>
                <w:color w:val="auto"/>
              </w:rPr>
            </w:pPr>
          </w:p>
        </w:tc>
      </w:tr>
      <w:tr>
        <w:trPr>
          <w:trHeight w:val="108"/>
        </w:trPr>
        <w:tc>
          <w:tcPr>
            <w:tcW w:w="50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ind w:left="180"/>
              <w:spacing w:after="0" w:line="108" w:lineRule="exact"/>
              <w:rPr>
                <w:sz w:val="20"/>
                <w:szCs w:val="20"/>
                <w:color w:val="auto"/>
              </w:rPr>
            </w:pPr>
            <w:r>
              <w:rPr>
                <w:rFonts w:ascii="Arial" w:cs="Arial" w:eastAsia="Arial" w:hAnsi="Arial"/>
                <w:sz w:val="10"/>
                <w:szCs w:val="10"/>
                <w:b w:val="1"/>
                <w:bCs w:val="1"/>
                <w:color w:val="auto"/>
              </w:rPr>
              <w:t>Decrease</w:t>
            </w:r>
          </w:p>
        </w:tc>
        <w:tc>
          <w:tcPr>
            <w:tcW w:w="260" w:type="dxa"/>
            <w:vAlign w:val="bottom"/>
          </w:tcPr>
          <w:p>
            <w:pPr>
              <w:spacing w:after="0"/>
              <w:rPr>
                <w:sz w:val="9"/>
                <w:szCs w:val="9"/>
                <w:color w:val="auto"/>
              </w:rPr>
            </w:pPr>
          </w:p>
        </w:tc>
        <w:tc>
          <w:tcPr>
            <w:tcW w:w="780" w:type="dxa"/>
            <w:vAlign w:val="bottom"/>
          </w:tcPr>
          <w:p>
            <w:pPr>
              <w:ind w:left="200"/>
              <w:spacing w:after="0" w:line="108" w:lineRule="exact"/>
              <w:rPr>
                <w:sz w:val="20"/>
                <w:szCs w:val="20"/>
                <w:color w:val="auto"/>
              </w:rPr>
            </w:pPr>
            <w:r>
              <w:rPr>
                <w:rFonts w:ascii="Arial" w:cs="Arial" w:eastAsia="Arial" w:hAnsi="Arial"/>
                <w:sz w:val="10"/>
                <w:szCs w:val="10"/>
                <w:b w:val="1"/>
                <w:bCs w:val="1"/>
                <w:color w:val="auto"/>
              </w:rPr>
              <w:t>Decrease</w:t>
            </w:r>
          </w:p>
        </w:tc>
        <w:tc>
          <w:tcPr>
            <w:tcW w:w="0" w:type="dxa"/>
            <w:vAlign w:val="bottom"/>
          </w:tcPr>
          <w:p>
            <w:pPr>
              <w:spacing w:after="0"/>
              <w:rPr>
                <w:sz w:val="1"/>
                <w:szCs w:val="1"/>
                <w:color w:val="auto"/>
              </w:rPr>
            </w:pPr>
          </w:p>
        </w:tc>
      </w:tr>
      <w:tr>
        <w:trPr>
          <w:trHeight w:val="125"/>
        </w:trPr>
        <w:tc>
          <w:tcPr>
            <w:tcW w:w="5060" w:type="dxa"/>
            <w:vAlign w:val="bottom"/>
          </w:tcPr>
          <w:p>
            <w:pPr>
              <w:spacing w:after="0"/>
              <w:rPr>
                <w:sz w:val="10"/>
                <w:szCs w:val="10"/>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10 vs. 09</w:t>
            </w:r>
          </w:p>
        </w:tc>
        <w:tc>
          <w:tcPr>
            <w:tcW w:w="260" w:type="dxa"/>
            <w:vAlign w:val="bottom"/>
          </w:tcPr>
          <w:p>
            <w:pPr>
              <w:spacing w:after="0"/>
              <w:rPr>
                <w:sz w:val="10"/>
                <w:szCs w:val="10"/>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09 vs. 08</w:t>
            </w:r>
          </w:p>
        </w:tc>
        <w:tc>
          <w:tcPr>
            <w:tcW w:w="0" w:type="dxa"/>
            <w:vAlign w:val="bottom"/>
          </w:tcPr>
          <w:p>
            <w:pPr>
              <w:spacing w:after="0"/>
              <w:rPr>
                <w:sz w:val="1"/>
                <w:szCs w:val="1"/>
                <w:color w:val="auto"/>
              </w:rPr>
            </w:pPr>
          </w:p>
        </w:tc>
      </w:tr>
      <w:tr>
        <w:trPr>
          <w:trHeight w:val="185"/>
        </w:trPr>
        <w:tc>
          <w:tcPr>
            <w:tcW w:w="5060" w:type="dxa"/>
            <w:vAlign w:val="bottom"/>
          </w:tcPr>
          <w:p>
            <w:pPr>
              <w:spacing w:after="0"/>
              <w:rPr>
                <w:sz w:val="20"/>
                <w:szCs w:val="20"/>
                <w:color w:val="auto"/>
              </w:rPr>
            </w:pPr>
            <w:r>
              <w:rPr>
                <w:rFonts w:ascii="Arial" w:cs="Arial" w:eastAsia="Arial" w:hAnsi="Arial"/>
                <w:sz w:val="13"/>
                <w:szCs w:val="13"/>
                <w:b w:val="1"/>
                <w:bCs w:val="1"/>
                <w:color w:val="auto"/>
              </w:rPr>
              <w:t>Reported Tax Rate</w:t>
            </w:r>
          </w:p>
        </w:tc>
        <w:tc>
          <w:tcPr>
            <w:tcW w:w="620" w:type="dxa"/>
            <w:vAlign w:val="bottom"/>
          </w:tcPr>
          <w:p>
            <w:pPr>
              <w:ind w:left="200"/>
              <w:spacing w:after="0"/>
              <w:rPr>
                <w:sz w:val="20"/>
                <w:szCs w:val="20"/>
                <w:color w:val="auto"/>
              </w:rPr>
            </w:pPr>
            <w:r>
              <w:rPr>
                <w:rFonts w:ascii="Arial" w:cs="Arial" w:eastAsia="Arial" w:hAnsi="Arial"/>
                <w:sz w:val="13"/>
                <w:szCs w:val="13"/>
                <w:color w:val="auto"/>
              </w:rPr>
              <w:t>28.2%</w:t>
            </w:r>
          </w:p>
        </w:tc>
        <w:tc>
          <w:tcPr>
            <w:tcW w:w="1100" w:type="dxa"/>
            <w:vAlign w:val="bottom"/>
            <w:gridSpan w:val="2"/>
          </w:tcPr>
          <w:p>
            <w:pPr>
              <w:ind w:left="580"/>
              <w:spacing w:after="0"/>
              <w:rPr>
                <w:sz w:val="20"/>
                <w:szCs w:val="20"/>
                <w:color w:val="auto"/>
              </w:rPr>
            </w:pPr>
            <w:r>
              <w:rPr>
                <w:rFonts w:ascii="Arial" w:cs="Arial" w:eastAsia="Arial" w:hAnsi="Arial"/>
                <w:sz w:val="13"/>
                <w:szCs w:val="13"/>
                <w:color w:val="auto"/>
              </w:rPr>
              <w:t>30.2%</w:t>
            </w:r>
          </w:p>
        </w:tc>
        <w:tc>
          <w:tcPr>
            <w:tcW w:w="1100" w:type="dxa"/>
            <w:vAlign w:val="bottom"/>
            <w:gridSpan w:val="2"/>
          </w:tcPr>
          <w:p>
            <w:pPr>
              <w:ind w:left="580"/>
              <w:spacing w:after="0"/>
              <w:rPr>
                <w:sz w:val="20"/>
                <w:szCs w:val="20"/>
                <w:color w:val="auto"/>
              </w:rPr>
            </w:pPr>
            <w:r>
              <w:rPr>
                <w:rFonts w:ascii="Arial" w:cs="Arial" w:eastAsia="Arial" w:hAnsi="Arial"/>
                <w:sz w:val="13"/>
                <w:szCs w:val="13"/>
                <w:color w:val="auto"/>
              </w:rPr>
              <w:t>32.8%</w:t>
            </w:r>
          </w:p>
        </w:tc>
        <w:tc>
          <w:tcPr>
            <w:tcW w:w="1060" w:type="dxa"/>
            <w:vAlign w:val="bottom"/>
            <w:gridSpan w:val="2"/>
          </w:tcPr>
          <w:p>
            <w:pPr>
              <w:jc w:val="right"/>
              <w:ind w:right="88"/>
              <w:spacing w:after="0"/>
              <w:rPr>
                <w:sz w:val="20"/>
                <w:szCs w:val="20"/>
                <w:color w:val="auto"/>
              </w:rPr>
            </w:pPr>
            <w:r>
              <w:rPr>
                <w:rFonts w:ascii="Arial" w:cs="Arial" w:eastAsia="Arial" w:hAnsi="Arial"/>
                <w:sz w:val="13"/>
                <w:szCs w:val="13"/>
                <w:color w:val="auto"/>
              </w:rPr>
              <w:t>(2.0)%</w:t>
            </w:r>
          </w:p>
        </w:tc>
        <w:tc>
          <w:tcPr>
            <w:tcW w:w="1040" w:type="dxa"/>
            <w:vAlign w:val="bottom"/>
            <w:gridSpan w:val="2"/>
          </w:tcPr>
          <w:p>
            <w:pPr>
              <w:jc w:val="right"/>
              <w:ind w:right="68"/>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80" w:right="140" w:firstLine="399"/>
        <w:spacing w:after="0" w:line="371" w:lineRule="auto"/>
        <w:rPr>
          <w:sz w:val="20"/>
          <w:szCs w:val="20"/>
          <w:color w:val="auto"/>
        </w:rPr>
      </w:pPr>
      <w:r>
        <w:rPr>
          <w:rFonts w:ascii="Arial" w:cs="Arial" w:eastAsia="Arial" w:hAnsi="Arial"/>
          <w:sz w:val="11"/>
          <w:szCs w:val="11"/>
          <w:color w:val="auto"/>
        </w:rPr>
        <w:t>Our reported tax rate includes two principal components: an expected annual tax rate and discrete items resulting in additional provisions or benefits that are recorded in the quarter that an event arises. Events or items that give rise to discrete recognition include finalizing audit examinations for open tax years, a statute of limitation’s expiration, or a stock acquisition.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reported tax rate was 28.2% for the current fiscal year. The reported tax rate includes:</w:t>
      </w:r>
    </w:p>
    <w:p>
      <w:pPr>
        <w:spacing w:after="0" w:line="96" w:lineRule="exact"/>
        <w:rPr>
          <w:sz w:val="20"/>
          <w:szCs w:val="20"/>
          <w:color w:val="auto"/>
        </w:rPr>
      </w:pPr>
    </w:p>
    <w:p>
      <w:pPr>
        <w:ind w:left="1280" w:right="3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29.6% effective annual rate which reflects tax benefits and expenses from foreign taxes, domestic manufacturing deduction, state provisions, and stock compensation not deductible in all jurisdictions.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$1.6 million benefit from the remittance of a Japanese dividend before the restructuring of that subsidiary.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$0.5 million increase in tax expense as a determination of our eligibility for a reduced Swiss income tax rate has not been finalized.</w:t>
      </w:r>
    </w:p>
    <w:p>
      <w:pPr>
        <w:spacing w:after="0" w:line="86" w:lineRule="exact"/>
        <w:rPr>
          <w:rFonts w:ascii="Arial" w:cs="Arial" w:eastAsia="Arial" w:hAnsi="Arial"/>
          <w:sz w:val="13"/>
          <w:szCs w:val="13"/>
          <w:color w:val="auto"/>
        </w:rPr>
      </w:pPr>
    </w:p>
    <w:p>
      <w:pPr>
        <w:ind w:left="1080" w:right="200" w:firstLine="10"/>
        <w:spacing w:after="0" w:line="394"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$0.3 million reversal of previously accrued income taxes because of the finalization of our federal and state tax returns and the expiration of domestic statutes of limitations. The reported tax rate was 30.2% for the 2009 fiscal year. The reported tax rate includes:</w:t>
      </w:r>
    </w:p>
    <w:p>
      <w:pPr>
        <w:ind w:left="1280" w:right="180" w:hanging="190"/>
        <w:spacing w:after="0" w:line="276"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32.8% effective annual rate which reflects tax benefits from foreign taxes (including our Swiss principal) and a domestic manufacturing deduction, state provision, and stock compensation expenses not deductible in all jurisdictions.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$2.1 million reversal of previously accrued income taxes because of the expiration of foreign and domestic statute of limitations.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$0.8 million benefit from the remittance of a Japanese dividend before the restructuring of that subsidiary.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$0.3 million increase in tax expense due to finalizing our prior year income tax return.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$0.7 million increase in tax expense for potential foreign and state tax assessment.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Policies</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accounting policies identified as critical are as follows: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Revenue Recognition</w:t>
      </w:r>
    </w:p>
    <w:p>
      <w:pPr>
        <w:spacing w:after="0" w:line="96" w:lineRule="exact"/>
        <w:rPr>
          <w:sz w:val="20"/>
          <w:szCs w:val="20"/>
          <w:color w:val="auto"/>
        </w:rPr>
      </w:pPr>
    </w:p>
    <w:p>
      <w:pPr>
        <w:ind w:left="680" w:right="180" w:firstLine="399"/>
        <w:spacing w:after="0" w:line="296" w:lineRule="auto"/>
        <w:rPr>
          <w:sz w:val="20"/>
          <w:szCs w:val="20"/>
          <w:color w:val="auto"/>
        </w:rPr>
      </w:pPr>
      <w:r>
        <w:rPr>
          <w:rFonts w:ascii="Arial" w:cs="Arial" w:eastAsia="Arial" w:hAnsi="Arial"/>
          <w:sz w:val="12"/>
          <w:szCs w:val="12"/>
          <w:color w:val="auto"/>
        </w:rPr>
        <w:t xml:space="preserve">Our revenue recognition policy is to recognize revenues from product sales, software and services in accordance with ASC Topic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(formerly known as SAB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and as EITF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 xml:space="preserve">), and ASC Topic 985-605, </w:t>
      </w:r>
      <w:r>
        <w:rPr>
          <w:rFonts w:ascii="Arial" w:cs="Arial" w:eastAsia="Arial" w:hAnsi="Arial"/>
          <w:sz w:val="12"/>
          <w:szCs w:val="12"/>
          <w:i w:val="1"/>
          <w:iCs w:val="1"/>
          <w:color w:val="auto"/>
        </w:rPr>
        <w:t>Software</w:t>
      </w:r>
      <w:r>
        <w:rPr>
          <w:rFonts w:ascii="Arial" w:cs="Arial" w:eastAsia="Arial" w:hAnsi="Arial"/>
          <w:sz w:val="12"/>
          <w:szCs w:val="12"/>
          <w:color w:val="auto"/>
        </w:rPr>
        <w:t xml:space="preserve"> (formerly known as Statement of Position 97-2, </w:t>
      </w:r>
      <w:r>
        <w:rPr>
          <w:rFonts w:ascii="Arial" w:cs="Arial" w:eastAsia="Arial" w:hAnsi="Arial"/>
          <w:sz w:val="12"/>
          <w:szCs w:val="12"/>
          <w:i w:val="1"/>
          <w:iCs w:val="1"/>
          <w:color w:val="auto"/>
        </w:rPr>
        <w:t>Software Revenue Recognition, as amended</w:t>
      </w:r>
      <w:r>
        <w:rPr>
          <w:rFonts w:ascii="Arial" w:cs="Arial" w:eastAsia="Arial" w:hAnsi="Arial"/>
          <w:sz w:val="12"/>
          <w:szCs w:val="12"/>
          <w:color w:val="auto"/>
        </w:rPr>
        <w:t>). These standards require that revenues are recognized when persuasive evidence of an arrangement exists, product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7" w:lineRule="auto"/>
        <w:rPr>
          <w:sz w:val="20"/>
          <w:szCs w:val="20"/>
          <w:color w:val="auto"/>
        </w:rPr>
      </w:pPr>
      <w:r>
        <w:rPr>
          <w:rFonts w:ascii="Arial" w:cs="Arial" w:eastAsia="Arial" w:hAnsi="Arial"/>
          <w:sz w:val="13"/>
          <w:szCs w:val="13"/>
          <w:color w:val="auto"/>
        </w:rPr>
        <w:t>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which constitutes vendor specific objective evidence as defined under under ASC Topic 985-605, or in cases when the item is not sold separately, by other objective evidence as defined in ASC Topic 605.</w:t>
      </w:r>
    </w:p>
    <w:p>
      <w:pPr>
        <w:spacing w:after="0" w:line="72"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Inventories</w:t>
      </w:r>
    </w:p>
    <w:p>
      <w:pPr>
        <w:spacing w:after="0" w:line="96"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Inventories are stated at the lower of the actual cost to purchase and/or manufacture or the current estimated market value of the inventory. On a quarterly basis, inventory quantities on hand are reviewed and an analysis of the provision for excess and obsolete inventory is performed based primarily on our estimates of product demand and production requirements for the next twenty-four months. A change in the estimated timing or amount of demand for our products could result in additional provisions for excess inventory quantities on hand. Any significant unanticipated changes in demand could have a significant impact on the value of our inventory and reported operating results.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Goodwill and Other Intangible Assets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67"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 xml:space="preserve">Goodwill and certain other intangible assets, determined to have an indefinite life, are not amortized. Instead these assets are reviewed for impairment at least annually in accordance with ASC Topic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xml:space="preserve"> (formerly known as Statement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We perform our annual impairment test on the first day of our fiscal fourth quarter. We have three reporting units. The test is based on a discounted cash flow analysis for each reporting unit. The test showed no evidence of impairment to our goodwill and other indefinite lived assets for either fiscal year 2010 or 2009 and demonstrated that the fair value of each reporting unit significantly exceeded the reporting unit’s carrying value in each period.</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We review our intangible assets, subject to amortization, and their related useful lives at least once a year to determine if any adverse conditions exist that would indicate the carrying value of these assets may not be recoverable. We conduct more frequent impairment assessments if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 impairment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Property, Plant and Equipment</w:t>
      </w:r>
    </w:p>
    <w:p>
      <w:pPr>
        <w:spacing w:after="0" w:line="96"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Property, plant and equipment are depreciated over their useful lives. Useful lives are based on our estimate of the period that the assets will generate revenue. Any change in conditions that would cause us to change our estimate as to the useful lives of a group or class of assets may significantly impact our depreciation expense on a prospective basis. Haemonetics’ equipment includes devices that we have placed at our customers under contractual arrangements that allow them to use the device in exchange for rental payments or the purchase of disposables. In addition to periodically reviewing the useful lives of these devices, we also periodically perform reviews to determine if a group of these devices is impaired. To conduct these reviews we must estimate the future amount and timing of demand for these devices. Changes in expected demand can result in additional depreciation expense, which is classified as cost of goods sold. Any significant unanticipated changes in demand could have a significant impact on the value of equipment and our reported operating results.</w:t>
      </w:r>
    </w:p>
    <w:p>
      <w:pPr>
        <w:spacing w:after="0" w:line="59"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Consistent with the impairment tests noted above for intangible assets subject to amortization, we review our property, plant, and equipment assets, subject to depreciation, and their related useful lives at least once a year, or more frequently if certain conditions arise, to determine if any adverse conditions exist that would indicate the carrying value of these assets may not be recoverable. There were no indicators of impairment in either fiscal year 2010 or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Capitalized Software Costs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 xml:space="preserve">Software development costs have been capitalized in accordance with ASC Topic 985-20, </w:t>
      </w:r>
      <w:r>
        <w:rPr>
          <w:rFonts w:ascii="Arial" w:cs="Arial" w:eastAsia="Arial" w:hAnsi="Arial"/>
          <w:sz w:val="12"/>
          <w:szCs w:val="12"/>
          <w:i w:val="1"/>
          <w:iCs w:val="1"/>
          <w:color w:val="auto"/>
        </w:rPr>
        <w:t>Software</w:t>
      </w:r>
      <w:r>
        <w:rPr>
          <w:rFonts w:ascii="Arial" w:cs="Arial" w:eastAsia="Arial" w:hAnsi="Arial"/>
          <w:sz w:val="12"/>
          <w:szCs w:val="12"/>
          <w:color w:val="auto"/>
        </w:rPr>
        <w:t xml:space="preserve"> (formerly known as SFAS No. 86, </w:t>
      </w:r>
      <w:r>
        <w:rPr>
          <w:rFonts w:ascii="Arial" w:cs="Arial" w:eastAsia="Arial" w:hAnsi="Arial"/>
          <w:sz w:val="12"/>
          <w:szCs w:val="12"/>
          <w:i w:val="1"/>
          <w:iCs w:val="1"/>
          <w:color w:val="auto"/>
        </w:rPr>
        <w:t>Accounting for the Cost of Computer Software</w:t>
      </w:r>
      <w:r>
        <w:rPr>
          <w:rFonts w:ascii="Arial" w:cs="Arial" w:eastAsia="Arial" w:hAnsi="Arial"/>
          <w:sz w:val="12"/>
          <w:szCs w:val="12"/>
          <w:color w:val="auto"/>
        </w:rPr>
        <w:t xml:space="preserve"> </w:t>
      </w:r>
      <w:r>
        <w:rPr>
          <w:rFonts w:ascii="Arial" w:cs="Arial" w:eastAsia="Arial" w:hAnsi="Arial"/>
          <w:sz w:val="12"/>
          <w:szCs w:val="12"/>
          <w:i w:val="1"/>
          <w:iCs w:val="1"/>
          <w:color w:val="auto"/>
        </w:rPr>
        <w:t>to be Sold, Leased, or Otherwise Marketed</w:t>
      </w:r>
      <w:r>
        <w:rPr>
          <w:rFonts w:ascii="Arial" w:cs="Arial" w:eastAsia="Arial" w:hAnsi="Arial"/>
          <w:sz w:val="12"/>
          <w:szCs w:val="12"/>
          <w:color w:val="auto"/>
        </w:rPr>
        <w:t>), which specifies that costs incurred internally in researching and developing a computer software product should be charged to expense until</w:t>
      </w:r>
      <w:r>
        <w:rPr>
          <w:rFonts w:ascii="Arial" w:cs="Arial" w:eastAsia="Arial" w:hAnsi="Arial"/>
          <w:sz w:val="12"/>
          <w:szCs w:val="12"/>
          <w:i w:val="1"/>
          <w:iCs w:val="1"/>
          <w:color w:val="auto"/>
        </w:rPr>
        <w:t xml:space="preserve"> </w:t>
      </w:r>
      <w:r>
        <w:rPr>
          <w:rFonts w:ascii="Arial" w:cs="Arial" w:eastAsia="Arial" w:hAnsi="Arial"/>
          <w:sz w:val="12"/>
          <w:szCs w:val="12"/>
          <w:color w:val="auto"/>
        </w:rPr>
        <w:t>technological feasibility has been established for the product. Technological feasibility is established when we have a detailed design of the software and when research and development activities on the underlying device, if applicable, are completed. Once technological feasibility is established, all software costs should be capitalized until the product is available for general release to customers. We review the net realizable value of capitalized software assets periodically to assess the recoverability of amounts capitalized.</w:t>
      </w:r>
    </w:p>
    <w:p>
      <w:pPr>
        <w:spacing w:after="0" w:line="55"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At the end of 2010, based on a review of ongoing development plans for our next generation platelet apheresis products (Portico), we abandoned and wrote off $12.2 million associated with previously capitalized software development costs. Additionally, in connection with the acquisition of Global Med we elected to no longer market the Symphony blood bank donation management system in favor of Global Med’s El Dorado application. As a result we wrote off the carrying value totaling approximately $3.5 million.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Income Taxes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5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1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permanent differences and interest applicable to both permanent and temporary differences. All tax reserves are analyzed periodically and adjustments are made as events occur that warrant modification.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Stock-Based Compensation</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have principally used our historical volatility as a basis to estimate expected volatility in our valuation of stock options.</w:t>
      </w:r>
    </w:p>
    <w:p>
      <w:pPr>
        <w:spacing w:after="0" w:line="96"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estimate the expected term of our options using historical exercise and forfeiture data. We believe that this historical data is currently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expected term of our new option grants.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Additionally, after determining the fair value of our stock options, we use judgment in establishing an estimated forfeiture rate, to determine the amount of stock based compensation to record each period:</w:t>
      </w:r>
    </w:p>
    <w:p>
      <w:pPr>
        <w:spacing w:after="0" w:line="59"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Estimated Forfeiture Rate </w:t>
      </w:r>
      <w:r>
        <w:rPr>
          <w:rFonts w:ascii="Arial" w:cs="Arial" w:eastAsia="Arial" w:hAnsi="Arial"/>
          <w:sz w:val="13"/>
          <w:szCs w:val="13"/>
          <w:color w:val="auto"/>
        </w:rPr>
        <w:t>— We have applied, based on an analysis of our historical forfeitures, an annual forfeiture rate of 8% to all unvested stock options as of April 3,</w:t>
      </w:r>
      <w:r>
        <w:rPr>
          <w:rFonts w:ascii="Arial" w:cs="Arial" w:eastAsia="Arial" w:hAnsi="Arial"/>
          <w:sz w:val="13"/>
          <w:szCs w:val="13"/>
          <w:i w:val="1"/>
          <w:iCs w:val="1"/>
          <w:color w:val="auto"/>
        </w:rPr>
        <w:t xml:space="preserve"> </w:t>
      </w:r>
      <w:r>
        <w:rPr>
          <w:rFonts w:ascii="Arial" w:cs="Arial" w:eastAsia="Arial" w:hAnsi="Arial"/>
          <w:sz w:val="13"/>
          <w:szCs w:val="13"/>
          <w:color w:val="auto"/>
        </w:rPr>
        <w:t>2010,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Valuation of Acquisitions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allocate the amounts we pay for each acquisition to the assets we acquire and liabilities we assume based on their fair values at the dates of acquisition, including acquired identifiable intangible assets, and purchased research and development. We base the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71" w:lineRule="exact"/>
        <w:rPr>
          <w:sz w:val="20"/>
          <w:szCs w:val="20"/>
          <w:color w:val="auto"/>
        </w:rPr>
      </w:pPr>
    </w:p>
    <w:p>
      <w:pPr>
        <w:ind w:left="680" w:right="160" w:firstLine="399"/>
        <w:spacing w:after="0" w:line="310" w:lineRule="auto"/>
        <w:rPr>
          <w:sz w:val="20"/>
          <w:szCs w:val="20"/>
          <w:color w:val="auto"/>
        </w:rPr>
      </w:pPr>
      <w:r>
        <w:rPr>
          <w:rFonts w:ascii="Arial" w:cs="Arial" w:eastAsia="Arial" w:hAnsi="Arial"/>
          <w:sz w:val="11"/>
          <w:szCs w:val="11"/>
          <w:color w:val="auto"/>
        </w:rPr>
        <w:t>In certain acquisitions, we have earn 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each quarter, we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contains certain key performance indicators that depict our liquidity and cash flow position:</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10"/>
                <w:szCs w:val="10"/>
                <w:b w:val="1"/>
                <w:bCs w:val="1"/>
                <w:color w:val="auto"/>
              </w:rPr>
              <w:t>April 3,</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92"/>
              </w:rPr>
              <w:t>(Dollars in thousands)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&amp;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141,562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156,721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133,553</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Working capital</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249,646</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289,530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261,757</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Current ratio</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Net cash position(1)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120,911</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150,683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121,190</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Days sales outstanding (DSO)</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59</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Disposables finished goods inventory turnover</w:t>
            </w:r>
          </w:p>
        </w:tc>
        <w:tc>
          <w:tcPr>
            <w:tcW w:w="14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5.4</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Net cash position is the sum of cash and cash equivalents less total debt.</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primary sources of capital include cash and cash equivalents, internally generated cash flows and bank borrowings. We believe these sources to be sufficient to fund our requirements, which are primarily capital expenditures (including enterprise resource planning systems and devices), share repurchases, including a $50.0 million share repurchase program authorized by the Board of Directors in April 2010, acquisitions, new business and product development and working capital for at least the next twelve months.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w w:val="99"/>
              </w:rPr>
              <w:t>March 28,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w w:val="95"/>
              </w:rPr>
              <w:t>March 29,</w:t>
            </w: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 Increase/</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 Increase/</w:t>
            </w:r>
          </w:p>
        </w:tc>
        <w:tc>
          <w:tcPr>
            <w:tcW w:w="0" w:type="dxa"/>
            <w:vAlign w:val="bottom"/>
          </w:tcPr>
          <w:p>
            <w:pPr>
              <w:spacing w:after="0"/>
              <w:rPr>
                <w:sz w:val="1"/>
                <w:szCs w:val="1"/>
                <w:color w:val="auto"/>
              </w:rPr>
            </w:pPr>
          </w:p>
        </w:tc>
      </w:tr>
      <w:tr>
        <w:trPr>
          <w:trHeight w:val="108"/>
        </w:trPr>
        <w:tc>
          <w:tcPr>
            <w:tcW w:w="4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(Decrease)</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98"/>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198"/>
              <w:spacing w:after="0"/>
              <w:rPr>
                <w:sz w:val="20"/>
                <w:szCs w:val="20"/>
                <w:color w:val="auto"/>
              </w:rPr>
            </w:pPr>
            <w:r>
              <w:rPr>
                <w:rFonts w:ascii="Arial" w:cs="Arial" w:eastAsia="Arial" w:hAnsi="Arial"/>
                <w:sz w:val="10"/>
                <w:szCs w:val="10"/>
                <w:b w:val="1"/>
                <w:bCs w:val="1"/>
                <w:color w:val="auto"/>
              </w:rPr>
              <w:t>2009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10 vs 09</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09 vs 08</w:t>
            </w: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Operating activities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130,668</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116,364</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77,669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14,304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38,695</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(132,335)</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(60,000)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(102,847)</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72,335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(42,847)</w:t>
            </w:r>
          </w:p>
        </w:tc>
        <w:tc>
          <w:tcPr>
            <w:tcW w:w="0" w:type="dxa"/>
            <w:vAlign w:val="bottom"/>
          </w:tcPr>
          <w:p>
            <w:pPr>
              <w:spacing w:after="0"/>
              <w:rPr>
                <w:sz w:val="1"/>
                <w:szCs w:val="1"/>
                <w:color w:val="auto"/>
              </w:rPr>
            </w:pPr>
          </w:p>
        </w:tc>
      </w:tr>
      <w:tr>
        <w:trPr>
          <w:trHeight w:val="157"/>
        </w:trPr>
        <w:tc>
          <w:tcPr>
            <w:tcW w:w="4800" w:type="dxa"/>
            <w:vAlign w:val="bottom"/>
          </w:tcPr>
          <w:p>
            <w:pPr>
              <w:ind w:left="140"/>
              <w:spacing w:after="0"/>
              <w:rPr>
                <w:sz w:val="20"/>
                <w:szCs w:val="20"/>
                <w:color w:val="auto"/>
              </w:rPr>
            </w:pPr>
            <w:r>
              <w:rPr>
                <w:rFonts w:ascii="Arial" w:cs="Arial" w:eastAsia="Arial" w:hAnsi="Arial"/>
                <w:sz w:val="13"/>
                <w:szCs w:val="13"/>
                <w:color w:val="auto"/>
              </w:rPr>
              <w:t>Financing activities</w:t>
            </w:r>
          </w:p>
        </w:tc>
        <w:tc>
          <w:tcPr>
            <w:tcW w:w="12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(13,970)</w:t>
            </w:r>
          </w:p>
        </w:tc>
        <w:tc>
          <w:tcPr>
            <w:tcW w:w="10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(30,737)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(73,228)</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(16,767)</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(42,491)</w:t>
            </w:r>
          </w:p>
        </w:tc>
        <w:tc>
          <w:tcPr>
            <w:tcW w:w="0" w:type="dxa"/>
            <w:vAlign w:val="bottom"/>
          </w:tcPr>
          <w:p>
            <w:pPr>
              <w:spacing w:after="0"/>
              <w:rPr>
                <w:sz w:val="1"/>
                <w:szCs w:val="1"/>
                <w:color w:val="auto"/>
              </w:rPr>
            </w:pPr>
          </w:p>
        </w:tc>
      </w:tr>
      <w:tr>
        <w:trPr>
          <w:trHeight w:val="157"/>
        </w:trPr>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exchange rate changes on cash</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(2,459)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2,732</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(5,191)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3"/>
                <w:szCs w:val="13"/>
                <w:color w:val="auto"/>
              </w:rPr>
              <w:t>Net increase/(decrease) in cash and cash equivalents: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0" w:type="dxa"/>
            <w:vAlign w:val="bottom"/>
            <w:vMerge w:val="continue"/>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(15,159)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23,168</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(95,674)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(38,327)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118,842</w:t>
            </w:r>
          </w:p>
        </w:tc>
        <w:tc>
          <w:tcPr>
            <w:tcW w:w="0" w:type="dxa"/>
            <w:vAlign w:val="bottom"/>
          </w:tcPr>
          <w:p>
            <w:pPr>
              <w:spacing w:after="0"/>
              <w:rPr>
                <w:sz w:val="1"/>
                <w:szCs w:val="1"/>
                <w:color w:val="auto"/>
              </w:rPr>
            </w:pPr>
          </w:p>
        </w:tc>
      </w:tr>
      <w:tr>
        <w:trPr>
          <w:trHeight w:val="30"/>
        </w:trPr>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Flow Overview:</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balance sheet is affected by spot exchange rates used to translate local currency amounts into U.S. dollars. In comparing spot exchange rates at April 3, 2010 versus March 28, 2009 and at March 28, 2009 versus March 29, 2008, (i) the European currencies, primarily the Euro, strengthened and weakened, respectively, against the U.S. dollar and (ii) the Yen strengthened against the U.S. dollar during both comparison periods.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2010, the Company repurchased approximately 0.7 million shares of its common stock for an aggregate purchase price of $40.0 million. This completed a $40.0 million share repurchase program that was announced in May 2009.</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2009, the Company repurchased approximately 1.1 million shares of its common stock for an aggregate purchase price of $60.0 million. This completed a $60.0 million share repurchase program that was announced in May 2008.</w:t>
      </w:r>
    </w:p>
    <w:p>
      <w:pPr>
        <w:spacing w:after="0" w:line="59" w:lineRule="exact"/>
        <w:rPr>
          <w:sz w:val="20"/>
          <w:szCs w:val="20"/>
          <w:color w:val="auto"/>
        </w:rPr>
      </w:pPr>
    </w:p>
    <w:p>
      <w:pPr>
        <w:ind w:left="680" w:right="720" w:firstLine="399"/>
        <w:spacing w:after="0" w:line="276" w:lineRule="auto"/>
        <w:rPr>
          <w:sz w:val="20"/>
          <w:szCs w:val="20"/>
          <w:color w:val="auto"/>
        </w:rPr>
      </w:pPr>
      <w:r>
        <w:rPr>
          <w:rFonts w:ascii="Arial" w:cs="Arial" w:eastAsia="Arial" w:hAnsi="Arial"/>
          <w:sz w:val="13"/>
          <w:szCs w:val="13"/>
          <w:color w:val="auto"/>
        </w:rPr>
        <w:t>In fiscal year 2008, the Company repurchased approximately 1.46 million shares of its common stock for an aggregate purchase price of $75.0 million. This completed a $75.0 million share repurchase that was announced in May 2007.</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Company reflects stock repurchases in its financial statements on a “trade date” basis and as Authorized Unissued shares (Haemonetics is a Massachusetts company and Massachusetts Law mandates that repurchased shares are to be treated as authorized but unissued).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April 6, 2010 press release, the Company announced that its Board of Directors approved the repurchase of up to $50.0 million worth of Company shares during fiscal year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2011.</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2010 AS COMPARED TO FISCAL YEAR 2009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provided by operating activities increased $14.3 million in 2010 as compared to 2009 due primarily to:</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Increased net income after non-cash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$4.4 million decrease in accounts receivable due to increased collections and improvements in days sales outstanding during the fiscal year,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$9.6 million decreased investment in inventory,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$10.2 million reduction in tax payments,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w:t>
      </w:r>
    </w:p>
    <w:p>
      <w:pPr>
        <w:spacing w:after="0" w:line="96" w:lineRule="exact"/>
        <w:rPr>
          <w:sz w:val="20"/>
          <w:szCs w:val="20"/>
          <w:color w:val="auto"/>
        </w:rPr>
      </w:pPr>
    </w:p>
    <w:p>
      <w:pPr>
        <w:ind w:left="128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$14.8 million decrease in accounts payable and accrued expenses primarily due to the payment of fiscal year 2009 employee performance bonuses worldwide and discretionary bonus for extraordinary performance to all employees other than the Chief Executive Officer and certain other executives,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$9.5 million increase in other assets and other long-term liabilities.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Net cash used in investing activities increased $72.3 million in 2010 as compared to 2009 due primarily to the $71.8 million cash used for acquisitions during the fiscal year which was $77.8 million in fiscal year 2010 compared to the $6.0 million in fiscal year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used by financing activities decreased by $16.8 million due to:</w:t>
      </w:r>
    </w:p>
    <w:p>
      <w:pPr>
        <w:spacing w:after="0" w:line="96"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$40.0 million used to repurchase shares of Company common stock during fiscal year 2010 as compared to the $60.0 million used in fiscal year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$7.5 million increase in short term notes payable.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w:t>
      </w:r>
    </w:p>
    <w:p>
      <w:pPr>
        <w:spacing w:after="0" w:line="96" w:lineRule="exact"/>
        <w:rPr>
          <w:sz w:val="20"/>
          <w:szCs w:val="20"/>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$8.1 million decrease in exercise of stock options.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$7.0 million decrease in tax benefit on exercise of stock options.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2009 AS COMPARED TO FISCAL YEAR 2008</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provided by operating activities increased $38.7 million in 2009 as compared to 2008 due primarily to:</w:t>
      </w:r>
    </w:p>
    <w:p>
      <w:pPr>
        <w:spacing w:after="0" w:line="96" w:lineRule="exact"/>
        <w:rPr>
          <w:sz w:val="20"/>
          <w:szCs w:val="20"/>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$7.3 million increase in net income,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$15.6 million increase in cash provided by non-cash items,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00"/>
          </w:cols>
          <w:pgMar w:left="220" w:top="343" w:right="117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$18.2 million reduced investment in accounts receivable due to improvements in days sales outstanding that outpaced business growth,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$5.2 million reduced investment in prepaid income taxes,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w:t>
      </w:r>
    </w:p>
    <w:p>
      <w:pPr>
        <w:spacing w:after="0" w:line="96" w:lineRule="exact"/>
        <w:rPr>
          <w:sz w:val="20"/>
          <w:szCs w:val="20"/>
          <w:color w:val="auto"/>
        </w:rPr>
      </w:pPr>
    </w:p>
    <w:p>
      <w:pPr>
        <w:ind w:left="1280" w:hanging="190"/>
        <w:spacing w:after="0"/>
        <w:tabs>
          <w:tab w:leader="none" w:pos="12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$8.4 million increased investment in inventories associated with increased levels of business and preparation for the subsequent implementation phase of our ERP system.</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Net cash used in investing activities decreased $42.8 million in 2009 as compared to 2008 due primarily to the $40.9 million decreased investment in acquisitions and the $1.4 million decrease in capital expenditures on property, plant and equipment.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used by financing activities decreased by $42.5 million in 2009 as compared to 2008 due primarily to:</w:t>
      </w:r>
    </w:p>
    <w:p>
      <w:pPr>
        <w:spacing w:after="0" w:line="96"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$15.0 million decrease in cash expended relating to stock repurchases,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$14.0 million increase in exercise of stock options and tax benefit of stock compensation,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$13.1 million decrease in the payments against short-term revolving credit agreements.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Contractual Obligations and Contingencies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 summary of our contractual and commercial commitments as of April 3, 2010, is as follows (for more information concerning our debt see Note 8 to the consolidated financial statements and for our operating lease obligations see Note 10):</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6"/>
          </w:tcPr>
          <w:p>
            <w:pPr>
              <w:ind w:left="960"/>
              <w:spacing w:after="0"/>
              <w:rPr>
                <w:sz w:val="20"/>
                <w:szCs w:val="20"/>
                <w:color w:val="auto"/>
              </w:rPr>
            </w:pPr>
            <w:r>
              <w:rPr>
                <w:rFonts w:ascii="Arial" w:cs="Arial" w:eastAsia="Arial" w:hAnsi="Arial"/>
                <w:sz w:val="10"/>
                <w:szCs w:val="10"/>
                <w:b w:val="1"/>
                <w:bCs w:val="1"/>
                <w:color w:val="auto"/>
              </w:rPr>
              <w:t>Payments Due by Period</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ind w:left="100"/>
              <w:spacing w:after="0" w:line="98" w:lineRule="exact"/>
              <w:rPr>
                <w:sz w:val="20"/>
                <w:szCs w:val="20"/>
                <w:color w:val="auto"/>
              </w:rPr>
            </w:pPr>
            <w:r>
              <w:rPr>
                <w:rFonts w:ascii="Arial" w:cs="Arial" w:eastAsia="Arial" w:hAnsi="Arial"/>
                <w:sz w:val="10"/>
                <w:szCs w:val="10"/>
                <w:b w:val="1"/>
                <w:bCs w:val="1"/>
                <w:color w:val="auto"/>
              </w:rPr>
              <w:t>Total</w:t>
            </w:r>
          </w:p>
        </w:tc>
        <w:tc>
          <w:tcPr>
            <w:tcW w:w="140" w:type="dxa"/>
            <w:vAlign w:val="bottom"/>
          </w:tcPr>
          <w:p>
            <w:pPr>
              <w:spacing w:after="0"/>
              <w:rPr>
                <w:sz w:val="8"/>
                <w:szCs w:val="8"/>
                <w:color w:val="auto"/>
              </w:rPr>
            </w:pPr>
          </w:p>
        </w:tc>
        <w:tc>
          <w:tcPr>
            <w:tcW w:w="1120" w:type="dxa"/>
            <w:vAlign w:val="bottom"/>
            <w:gridSpan w:val="2"/>
          </w:tcPr>
          <w:p>
            <w:pPr>
              <w:ind w:left="60"/>
              <w:spacing w:after="0" w:line="98" w:lineRule="exact"/>
              <w:rPr>
                <w:sz w:val="20"/>
                <w:szCs w:val="20"/>
                <w:color w:val="auto"/>
              </w:rPr>
            </w:pPr>
            <w:r>
              <w:rPr>
                <w:rFonts w:ascii="Arial" w:cs="Arial" w:eastAsia="Arial" w:hAnsi="Arial"/>
                <w:sz w:val="10"/>
                <w:szCs w:val="10"/>
                <w:b w:val="1"/>
                <w:bCs w:val="1"/>
                <w:color w:val="auto"/>
              </w:rPr>
              <w:t>Less Than 1 Year</w:t>
            </w:r>
          </w:p>
        </w:tc>
        <w:tc>
          <w:tcPr>
            <w:tcW w:w="32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(In</w:t>
            </w:r>
          </w:p>
        </w:tc>
        <w:tc>
          <w:tcPr>
            <w:tcW w:w="80" w:type="dxa"/>
            <w:vAlign w:val="bottom"/>
          </w:tcPr>
          <w:p>
            <w:pPr>
              <w:spacing w:after="0"/>
              <w:rPr>
                <w:sz w:val="8"/>
                <w:szCs w:val="8"/>
                <w:color w:val="auto"/>
              </w:rPr>
            </w:pPr>
          </w:p>
        </w:tc>
        <w:tc>
          <w:tcPr>
            <w:tcW w:w="90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1-3 Years</w:t>
            </w:r>
          </w:p>
        </w:tc>
        <w:tc>
          <w:tcPr>
            <w:tcW w:w="80" w:type="dxa"/>
            <w:vAlign w:val="bottom"/>
          </w:tcPr>
          <w:p>
            <w:pPr>
              <w:spacing w:after="0"/>
              <w:rPr>
                <w:sz w:val="8"/>
                <w:szCs w:val="8"/>
                <w:color w:val="auto"/>
              </w:rPr>
            </w:pPr>
          </w:p>
        </w:tc>
        <w:tc>
          <w:tcPr>
            <w:tcW w:w="92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4-5 Years</w:t>
            </w:r>
          </w:p>
        </w:tc>
        <w:tc>
          <w:tcPr>
            <w:tcW w:w="100" w:type="dxa"/>
            <w:vAlign w:val="bottom"/>
          </w:tcPr>
          <w:p>
            <w:pPr>
              <w:spacing w:after="0"/>
              <w:rPr>
                <w:sz w:val="8"/>
                <w:szCs w:val="8"/>
                <w:color w:val="auto"/>
              </w:rPr>
            </w:pPr>
          </w:p>
        </w:tc>
        <w:tc>
          <w:tcPr>
            <w:tcW w:w="78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After 5 Years</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rPr>
              <w:t>thousands)</w:t>
            </w:r>
          </w:p>
        </w:tc>
        <w:tc>
          <w:tcPr>
            <w:tcW w:w="3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20,651</w:t>
            </w: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16,062</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1,713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57"/>
        </w:trPr>
        <w:tc>
          <w:tcPr>
            <w:tcW w:w="432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21,711</w:t>
            </w:r>
          </w:p>
        </w:tc>
        <w:tc>
          <w:tcPr>
            <w:tcW w:w="42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3"/>
                <w:szCs w:val="13"/>
                <w:color w:val="auto"/>
              </w:rPr>
              <w:t>6,930</w:t>
            </w:r>
          </w:p>
        </w:tc>
        <w:tc>
          <w:tcPr>
            <w:tcW w:w="400" w:type="dxa"/>
            <w:vAlign w:val="bottom"/>
            <w:gridSpan w:val="2"/>
          </w:tcPr>
          <w:p>
            <w:pPr>
              <w:ind w:left="320"/>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8,510</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2,784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3,487</w:t>
            </w:r>
          </w:p>
        </w:tc>
        <w:tc>
          <w:tcPr>
            <w:tcW w:w="0" w:type="dxa"/>
            <w:vAlign w:val="bottom"/>
          </w:tcPr>
          <w:p>
            <w:pPr>
              <w:spacing w:after="0"/>
              <w:rPr>
                <w:sz w:val="1"/>
                <w:szCs w:val="1"/>
                <w:color w:val="auto"/>
              </w:rPr>
            </w:pPr>
          </w:p>
        </w:tc>
      </w:tr>
      <w:tr>
        <w:trPr>
          <w:trHeight w:val="157"/>
        </w:trPr>
        <w:tc>
          <w:tcPr>
            <w:tcW w:w="4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commitments*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84,331</w:t>
            </w: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84,331</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3"/>
                <w:szCs w:val="13"/>
                <w:color w:val="auto"/>
              </w:rPr>
              <w:t>Total contractual obligations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126,693</w:t>
            </w:r>
          </w:p>
        </w:tc>
        <w:tc>
          <w:tcPr>
            <w:tcW w:w="4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107,323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10,223</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4,809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4,338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0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right="260" w:hanging="213"/>
        <w:spacing w:after="0" w:line="264" w:lineRule="auto"/>
        <w:tabs>
          <w:tab w:leader="none" w:pos="9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amounts we are committed to spend on purchase orders entered in the normal course of business for capital equipment and for the purpose of manufacturing our products including contract manufacturers, specifically Nova Biomedical, for the purchase of devices and JMS Co. Ltd., and Kawasumi Laboratories for the manufacture of certain disposable products. The majority of our operating expense spending does not require any advance commitment.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Contingent Commitments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Under new accounting rules for business combinations (specifically,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known as Statement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we established a liability for payments that we might make in the future to former shareholders of the L’Attitude Medical Systems that are tied to the performance of the Blood Track business for the first three years post acquisition, beginning with fiscal year 2010. During the fourth quarter of fiscal year 2010, it became evident that the business would not achieve revenue growth milestones for fiscal year 2010. As such, we reduced the contingent liability by $2.3 million and recorded the adjustments as contingent consideration income in the statement of operations. The ending liability balance is $1.8 million at April 3, 2010.</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TPG, and Maverick Capital, Ltd. The new company which resulted from the sale was renamed Fenwal. In January 2009, a jury found that the Fenwal ALYX system infringed Haemonetics’ patent and awarded us $15.7 million in damages for past infringement. On June 2, 2009, the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court awarded pre-judgment interest at 5% on the unpaid damages awarded. On August 19, 2009, an amended judgment was issued under which Haemonetics was awarded $11.3 million for lost profits suffered as a result of the infringement, $4.4 million in royalty damages suffered as a result of the infringement, and prejudgment interest of $2.3 million for a total award of $18.0 million. Fenwal and Baxter have appealed these rulings to the United States Court of Appeals for the Federal Circuit. The damages have not been paid and the royalties are being escrowed pending a decision on the appeal. On December 16, 2009, the U.S. Patent Office granted a request by Fenwal for the ex-parte re-examination of the Haemonetics patent, and that re-examination process is proceeding.</w:t>
      </w:r>
    </w:p>
    <w:p>
      <w:pPr>
        <w:spacing w:after="0" w:line="48"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On December 7, 2009, Fenwal had announced that it began shipping a red cell collection kit with a modified separation chamber, and that it is discontinuing sales of its original ALYX consumable kit. We believe this new collection kit also infringes our patent. On December 14, 2009, we filed a new infringement suit in Massachusetts federal district court seeking an injunction and damages from Fenwal’s sale of this new consumable.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Inflation</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revenues generated outside the U.S. in local currencies approximated 52.9% for fiscal year 2010, yet our reporting currency is the U.S. dollar.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7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primary foreign currency exposures in relation to the U.S. dollar are the Euro and the Japanese Yen. In response to the sharply increased volatility in the foreign exchange rates, we entered into forward contracts to hedge the anticipated cash flows from forecasted British Pound and Canadian Dollar denominated costs.</w:t>
      </w:r>
    </w:p>
    <w:p>
      <w:pPr>
        <w:spacing w:after="0" w:line="59"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and costs. Hedging through the use of forward contracts does not eliminate the volatility of foreign exchange rates, but because we generally enter into forward contracts one year in advance of the foreign currency denominated cash flows,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64" w:lineRule="auto"/>
        <w:rPr>
          <w:sz w:val="20"/>
          <w:szCs w:val="20"/>
          <w:color w:val="auto"/>
        </w:rPr>
      </w:pPr>
      <w:r>
        <w:rPr>
          <w:rFonts w:ascii="Arial" w:cs="Arial" w:eastAsia="Arial" w:hAnsi="Arial"/>
          <w:sz w:val="13"/>
          <w:szCs w:val="13"/>
          <w:color w:val="auto"/>
        </w:rPr>
        <w:t>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67"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Presented below are the spot rates for our Euro and Japanese Yen cash flow hedges that settled in fiscal year 2010 and 2009 or are presently outstanding. These hedges cover our long foreign currency positions that result from our sales in Europe and Japan. The table also shows the relative strengthening or weakening of the spot rates associated with those hedge contracts versus the spot rates in the contracts that settled in the prior comparable period.</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220" w:type="dxa"/>
            <w:vAlign w:val="bottom"/>
          </w:tcPr>
          <w:p>
            <w:pPr>
              <w:spacing w:after="0"/>
              <w:rPr>
                <w:sz w:val="10"/>
                <w:szCs w:val="1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2"/>
              </w:rPr>
              <w:t>First</w:t>
            </w:r>
          </w:p>
        </w:tc>
        <w:tc>
          <w:tcPr>
            <w:tcW w:w="820" w:type="dxa"/>
            <w:vAlign w:val="bottom"/>
          </w:tcPr>
          <w:p>
            <w:pPr>
              <w:jc w:val="right"/>
              <w:ind w:right="99"/>
              <w:spacing w:after="0"/>
              <w:rPr>
                <w:sz w:val="20"/>
                <w:szCs w:val="20"/>
                <w:color w:val="auto"/>
              </w:rPr>
            </w:pPr>
            <w:r>
              <w:rPr>
                <w:rFonts w:ascii="Arial" w:cs="Arial" w:eastAsia="Arial" w:hAnsi="Arial"/>
                <w:sz w:val="10"/>
                <w:szCs w:val="10"/>
                <w:b w:val="1"/>
                <w:bCs w:val="1"/>
                <w:color w:val="auto"/>
              </w:rPr>
              <w:t>Strengthen</w:t>
            </w:r>
          </w:p>
        </w:tc>
        <w:tc>
          <w:tcPr>
            <w:tcW w:w="240" w:type="dxa"/>
            <w:vAlign w:val="bottom"/>
          </w:tcPr>
          <w:p>
            <w:pPr>
              <w:spacing w:after="0"/>
              <w:rPr>
                <w:sz w:val="10"/>
                <w:szCs w:val="10"/>
                <w:color w:val="auto"/>
              </w:rPr>
            </w:pPr>
          </w:p>
        </w:tc>
        <w:tc>
          <w:tcPr>
            <w:tcW w:w="960" w:type="dxa"/>
            <w:vAlign w:val="bottom"/>
          </w:tcPr>
          <w:p>
            <w:pPr>
              <w:jc w:val="right"/>
              <w:ind w:right="268"/>
              <w:spacing w:after="0"/>
              <w:rPr>
                <w:sz w:val="20"/>
                <w:szCs w:val="20"/>
                <w:color w:val="auto"/>
              </w:rPr>
            </w:pPr>
            <w:r>
              <w:rPr>
                <w:rFonts w:ascii="Arial" w:cs="Arial" w:eastAsia="Arial" w:hAnsi="Arial"/>
                <w:sz w:val="10"/>
                <w:szCs w:val="10"/>
                <w:b w:val="1"/>
                <w:bCs w:val="1"/>
                <w:color w:val="auto"/>
              </w:rPr>
              <w:t>Second</w:t>
            </w:r>
          </w:p>
        </w:tc>
        <w:tc>
          <w:tcPr>
            <w:tcW w:w="240" w:type="dxa"/>
            <w:vAlign w:val="bottom"/>
          </w:tcPr>
          <w:p>
            <w:pPr>
              <w:spacing w:after="0"/>
              <w:rPr>
                <w:sz w:val="10"/>
                <w:szCs w:val="10"/>
                <w:color w:val="auto"/>
              </w:rPr>
            </w:pPr>
          </w:p>
        </w:tc>
        <w:tc>
          <w:tcPr>
            <w:tcW w:w="780" w:type="dxa"/>
            <w:vAlign w:val="bottom"/>
          </w:tcPr>
          <w:p>
            <w:pPr>
              <w:jc w:val="right"/>
              <w:ind w:right="88"/>
              <w:spacing w:after="0"/>
              <w:rPr>
                <w:sz w:val="20"/>
                <w:szCs w:val="20"/>
                <w:color w:val="auto"/>
              </w:rPr>
            </w:pPr>
            <w:r>
              <w:rPr>
                <w:rFonts w:ascii="Arial" w:cs="Arial" w:eastAsia="Arial" w:hAnsi="Arial"/>
                <w:sz w:val="10"/>
                <w:szCs w:val="10"/>
                <w:b w:val="1"/>
                <w:bCs w:val="1"/>
                <w:color w:val="auto"/>
              </w:rPr>
              <w:t>Strengthen</w:t>
            </w:r>
          </w:p>
        </w:tc>
        <w:tc>
          <w:tcPr>
            <w:tcW w:w="240" w:type="dxa"/>
            <w:vAlign w:val="bottom"/>
          </w:tcPr>
          <w:p>
            <w:pPr>
              <w:spacing w:after="0"/>
              <w:rPr>
                <w:sz w:val="10"/>
                <w:szCs w:val="10"/>
                <w:color w:val="auto"/>
              </w:rPr>
            </w:pPr>
          </w:p>
        </w:tc>
        <w:tc>
          <w:tcPr>
            <w:tcW w:w="960" w:type="dxa"/>
            <w:vAlign w:val="bottom"/>
          </w:tcPr>
          <w:p>
            <w:pPr>
              <w:jc w:val="right"/>
              <w:ind w:right="288"/>
              <w:spacing w:after="0"/>
              <w:rPr>
                <w:sz w:val="20"/>
                <w:szCs w:val="20"/>
                <w:color w:val="auto"/>
              </w:rPr>
            </w:pPr>
            <w:r>
              <w:rPr>
                <w:rFonts w:ascii="Arial" w:cs="Arial" w:eastAsia="Arial" w:hAnsi="Arial"/>
                <w:sz w:val="10"/>
                <w:szCs w:val="10"/>
                <w:b w:val="1"/>
                <w:bCs w:val="1"/>
                <w:color w:val="auto"/>
              </w:rPr>
              <w:t>Third</w:t>
            </w:r>
          </w:p>
        </w:tc>
        <w:tc>
          <w:tcPr>
            <w:tcW w:w="240" w:type="dxa"/>
            <w:vAlign w:val="bottom"/>
          </w:tcPr>
          <w:p>
            <w:pPr>
              <w:spacing w:after="0"/>
              <w:rPr>
                <w:sz w:val="10"/>
                <w:szCs w:val="10"/>
                <w:color w:val="auto"/>
              </w:rPr>
            </w:pPr>
          </w:p>
        </w:tc>
        <w:tc>
          <w:tcPr>
            <w:tcW w:w="780" w:type="dxa"/>
            <w:vAlign w:val="bottom"/>
          </w:tcPr>
          <w:p>
            <w:pPr>
              <w:jc w:val="right"/>
              <w:ind w:right="88"/>
              <w:spacing w:after="0"/>
              <w:rPr>
                <w:sz w:val="20"/>
                <w:szCs w:val="20"/>
                <w:color w:val="auto"/>
              </w:rPr>
            </w:pPr>
            <w:r>
              <w:rPr>
                <w:rFonts w:ascii="Arial" w:cs="Arial" w:eastAsia="Arial" w:hAnsi="Arial"/>
                <w:sz w:val="10"/>
                <w:szCs w:val="10"/>
                <w:b w:val="1"/>
                <w:bCs w:val="1"/>
                <w:color w:val="auto"/>
              </w:rPr>
              <w:t>Strengthen</w:t>
            </w:r>
          </w:p>
        </w:tc>
        <w:tc>
          <w:tcPr>
            <w:tcW w:w="240" w:type="dxa"/>
            <w:vAlign w:val="bottom"/>
          </w:tcPr>
          <w:p>
            <w:pPr>
              <w:spacing w:after="0"/>
              <w:rPr>
                <w:sz w:val="10"/>
                <w:szCs w:val="10"/>
                <w:color w:val="auto"/>
              </w:rPr>
            </w:pPr>
          </w:p>
        </w:tc>
        <w:tc>
          <w:tcPr>
            <w:tcW w:w="1000" w:type="dxa"/>
            <w:vAlign w:val="bottom"/>
          </w:tcPr>
          <w:p>
            <w:pPr>
              <w:jc w:val="right"/>
              <w:ind w:right="288"/>
              <w:spacing w:after="0"/>
              <w:rPr>
                <w:sz w:val="20"/>
                <w:szCs w:val="20"/>
                <w:color w:val="auto"/>
              </w:rPr>
            </w:pPr>
            <w:r>
              <w:rPr>
                <w:rFonts w:ascii="Arial" w:cs="Arial" w:eastAsia="Arial" w:hAnsi="Arial"/>
                <w:sz w:val="10"/>
                <w:szCs w:val="10"/>
                <w:b w:val="1"/>
                <w:bCs w:val="1"/>
                <w:color w:val="auto"/>
              </w:rPr>
              <w:t>Fourth</w:t>
            </w:r>
          </w:p>
        </w:tc>
        <w:tc>
          <w:tcPr>
            <w:tcW w:w="240" w:type="dxa"/>
            <w:vAlign w:val="bottom"/>
          </w:tcPr>
          <w:p>
            <w:pPr>
              <w:spacing w:after="0"/>
              <w:rPr>
                <w:sz w:val="10"/>
                <w:szCs w:val="10"/>
                <w:color w:val="auto"/>
              </w:rPr>
            </w:pPr>
          </w:p>
        </w:tc>
        <w:tc>
          <w:tcPr>
            <w:tcW w:w="820" w:type="dxa"/>
            <w:vAlign w:val="bottom"/>
          </w:tcPr>
          <w:p>
            <w:pPr>
              <w:jc w:val="right"/>
              <w:ind w:right="108"/>
              <w:spacing w:after="0"/>
              <w:rPr>
                <w:sz w:val="20"/>
                <w:szCs w:val="20"/>
                <w:color w:val="auto"/>
              </w:rPr>
            </w:pPr>
            <w:r>
              <w:rPr>
                <w:rFonts w:ascii="Arial" w:cs="Arial" w:eastAsia="Arial" w:hAnsi="Arial"/>
                <w:sz w:val="10"/>
                <w:szCs w:val="10"/>
                <w:b w:val="1"/>
                <w:bCs w:val="1"/>
                <w:color w:val="auto"/>
              </w:rPr>
              <w:t>Strengthen</w:t>
            </w:r>
          </w:p>
        </w:tc>
      </w:tr>
      <w:tr>
        <w:trPr>
          <w:trHeight w:val="125"/>
        </w:trPr>
        <w:tc>
          <w:tcPr>
            <w:tcW w:w="1220" w:type="dxa"/>
            <w:vAlign w:val="bottom"/>
          </w:tcPr>
          <w:p>
            <w:pPr>
              <w:spacing w:after="0"/>
              <w:rPr>
                <w:sz w:val="10"/>
                <w:szCs w:val="1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9"/>
              </w:rPr>
              <w:t>Quarter</w:t>
            </w:r>
          </w:p>
        </w:tc>
        <w:tc>
          <w:tcPr>
            <w:tcW w:w="820" w:type="dxa"/>
            <w:vAlign w:val="bottom"/>
          </w:tcPr>
          <w:p>
            <w:pPr>
              <w:jc w:val="right"/>
              <w:ind w:right="119"/>
              <w:spacing w:after="0"/>
              <w:rPr>
                <w:sz w:val="20"/>
                <w:szCs w:val="20"/>
                <w:color w:val="auto"/>
              </w:rPr>
            </w:pPr>
            <w:r>
              <w:rPr>
                <w:rFonts w:ascii="Arial" w:cs="Arial" w:eastAsia="Arial" w:hAnsi="Arial"/>
                <w:sz w:val="10"/>
                <w:szCs w:val="10"/>
                <w:b w:val="1"/>
                <w:bCs w:val="1"/>
                <w:color w:val="auto"/>
              </w:rPr>
              <w:t>/(Weaken)</w:t>
            </w:r>
          </w:p>
        </w:tc>
        <w:tc>
          <w:tcPr>
            <w:tcW w:w="240" w:type="dxa"/>
            <w:vAlign w:val="bottom"/>
          </w:tcPr>
          <w:p>
            <w:pPr>
              <w:spacing w:after="0"/>
              <w:rPr>
                <w:sz w:val="10"/>
                <w:szCs w:val="10"/>
                <w:color w:val="auto"/>
              </w:rPr>
            </w:pPr>
          </w:p>
        </w:tc>
        <w:tc>
          <w:tcPr>
            <w:tcW w:w="960" w:type="dxa"/>
            <w:vAlign w:val="bottom"/>
          </w:tcPr>
          <w:p>
            <w:pPr>
              <w:jc w:val="right"/>
              <w:ind w:right="248"/>
              <w:spacing w:after="0"/>
              <w:rPr>
                <w:sz w:val="20"/>
                <w:szCs w:val="20"/>
                <w:color w:val="auto"/>
              </w:rPr>
            </w:pPr>
            <w:r>
              <w:rPr>
                <w:rFonts w:ascii="Arial" w:cs="Arial" w:eastAsia="Arial" w:hAnsi="Arial"/>
                <w:sz w:val="10"/>
                <w:szCs w:val="10"/>
                <w:b w:val="1"/>
                <w:bCs w:val="1"/>
                <w:color w:val="auto"/>
              </w:rPr>
              <w:t>Quarter</w:t>
            </w:r>
          </w:p>
        </w:tc>
        <w:tc>
          <w:tcPr>
            <w:tcW w:w="240" w:type="dxa"/>
            <w:vAlign w:val="bottom"/>
          </w:tcPr>
          <w:p>
            <w:pPr>
              <w:spacing w:after="0"/>
              <w:rPr>
                <w:sz w:val="10"/>
                <w:szCs w:val="10"/>
                <w:color w:val="auto"/>
              </w:rPr>
            </w:pPr>
          </w:p>
        </w:tc>
        <w:tc>
          <w:tcPr>
            <w:tcW w:w="780" w:type="dxa"/>
            <w:vAlign w:val="bottom"/>
          </w:tcPr>
          <w:p>
            <w:pPr>
              <w:jc w:val="right"/>
              <w:ind w:right="108"/>
              <w:spacing w:after="0"/>
              <w:rPr>
                <w:sz w:val="20"/>
                <w:szCs w:val="20"/>
                <w:color w:val="auto"/>
              </w:rPr>
            </w:pPr>
            <w:r>
              <w:rPr>
                <w:rFonts w:ascii="Arial" w:cs="Arial" w:eastAsia="Arial" w:hAnsi="Arial"/>
                <w:sz w:val="10"/>
                <w:szCs w:val="10"/>
                <w:b w:val="1"/>
                <w:bCs w:val="1"/>
                <w:color w:val="auto"/>
              </w:rPr>
              <w:t>/(Weaken)</w:t>
            </w:r>
          </w:p>
        </w:tc>
        <w:tc>
          <w:tcPr>
            <w:tcW w:w="240" w:type="dxa"/>
            <w:vAlign w:val="bottom"/>
          </w:tcPr>
          <w:p>
            <w:pPr>
              <w:spacing w:after="0"/>
              <w:rPr>
                <w:sz w:val="10"/>
                <w:szCs w:val="10"/>
                <w:color w:val="auto"/>
              </w:rPr>
            </w:pPr>
          </w:p>
        </w:tc>
        <w:tc>
          <w:tcPr>
            <w:tcW w:w="960" w:type="dxa"/>
            <w:vAlign w:val="bottom"/>
          </w:tcPr>
          <w:p>
            <w:pPr>
              <w:jc w:val="right"/>
              <w:ind w:right="248"/>
              <w:spacing w:after="0"/>
              <w:rPr>
                <w:sz w:val="20"/>
                <w:szCs w:val="20"/>
                <w:color w:val="auto"/>
              </w:rPr>
            </w:pPr>
            <w:r>
              <w:rPr>
                <w:rFonts w:ascii="Arial" w:cs="Arial" w:eastAsia="Arial" w:hAnsi="Arial"/>
                <w:sz w:val="10"/>
                <w:szCs w:val="10"/>
                <w:b w:val="1"/>
                <w:bCs w:val="1"/>
                <w:color w:val="auto"/>
              </w:rPr>
              <w:t>Quarter</w:t>
            </w:r>
          </w:p>
        </w:tc>
        <w:tc>
          <w:tcPr>
            <w:tcW w:w="240" w:type="dxa"/>
            <w:vAlign w:val="bottom"/>
          </w:tcPr>
          <w:p>
            <w:pPr>
              <w:spacing w:after="0"/>
              <w:rPr>
                <w:sz w:val="10"/>
                <w:szCs w:val="10"/>
                <w:color w:val="auto"/>
              </w:rPr>
            </w:pPr>
          </w:p>
        </w:tc>
        <w:tc>
          <w:tcPr>
            <w:tcW w:w="780" w:type="dxa"/>
            <w:vAlign w:val="bottom"/>
          </w:tcPr>
          <w:p>
            <w:pPr>
              <w:jc w:val="right"/>
              <w:ind w:right="108"/>
              <w:spacing w:after="0"/>
              <w:rPr>
                <w:sz w:val="20"/>
                <w:szCs w:val="20"/>
                <w:color w:val="auto"/>
              </w:rPr>
            </w:pPr>
            <w:r>
              <w:rPr>
                <w:rFonts w:ascii="Arial" w:cs="Arial" w:eastAsia="Arial" w:hAnsi="Arial"/>
                <w:sz w:val="10"/>
                <w:szCs w:val="10"/>
                <w:b w:val="1"/>
                <w:bCs w:val="1"/>
                <w:color w:val="auto"/>
              </w:rPr>
              <w:t>/(Weaken)</w:t>
            </w:r>
          </w:p>
        </w:tc>
        <w:tc>
          <w:tcPr>
            <w:tcW w:w="240" w:type="dxa"/>
            <w:vAlign w:val="bottom"/>
          </w:tcPr>
          <w:p>
            <w:pPr>
              <w:spacing w:after="0"/>
              <w:rPr>
                <w:sz w:val="10"/>
                <w:szCs w:val="10"/>
                <w:color w:val="auto"/>
              </w:rPr>
            </w:pPr>
          </w:p>
        </w:tc>
        <w:tc>
          <w:tcPr>
            <w:tcW w:w="1000" w:type="dxa"/>
            <w:vAlign w:val="bottom"/>
          </w:tcPr>
          <w:p>
            <w:pPr>
              <w:jc w:val="right"/>
              <w:ind w:right="268"/>
              <w:spacing w:after="0"/>
              <w:rPr>
                <w:sz w:val="20"/>
                <w:szCs w:val="20"/>
                <w:color w:val="auto"/>
              </w:rPr>
            </w:pPr>
            <w:r>
              <w:rPr>
                <w:rFonts w:ascii="Arial" w:cs="Arial" w:eastAsia="Arial" w:hAnsi="Arial"/>
                <w:sz w:val="10"/>
                <w:szCs w:val="10"/>
                <w:b w:val="1"/>
                <w:bCs w:val="1"/>
                <w:color w:val="auto"/>
              </w:rPr>
              <w:t>Quarter</w:t>
            </w:r>
          </w:p>
        </w:tc>
        <w:tc>
          <w:tcPr>
            <w:tcW w:w="240" w:type="dxa"/>
            <w:vAlign w:val="bottom"/>
          </w:tcPr>
          <w:p>
            <w:pPr>
              <w:spacing w:after="0"/>
              <w:rPr>
                <w:sz w:val="10"/>
                <w:szCs w:val="10"/>
                <w:color w:val="auto"/>
              </w:rPr>
            </w:pPr>
          </w:p>
        </w:tc>
        <w:tc>
          <w:tcPr>
            <w:tcW w:w="820" w:type="dxa"/>
            <w:vAlign w:val="bottom"/>
          </w:tcPr>
          <w:p>
            <w:pPr>
              <w:jc w:val="right"/>
              <w:ind w:right="128"/>
              <w:spacing w:after="0"/>
              <w:rPr>
                <w:sz w:val="20"/>
                <w:szCs w:val="20"/>
                <w:color w:val="auto"/>
              </w:rPr>
            </w:pPr>
            <w:r>
              <w:rPr>
                <w:rFonts w:ascii="Arial" w:cs="Arial" w:eastAsia="Arial" w:hAnsi="Arial"/>
                <w:sz w:val="10"/>
                <w:szCs w:val="10"/>
                <w:b w:val="1"/>
                <w:bCs w:val="1"/>
                <w:color w:val="auto"/>
              </w:rPr>
              <w:t>/(Weaken)</w:t>
            </w:r>
          </w:p>
        </w:tc>
      </w:tr>
      <w:tr>
        <w:trPr>
          <w:trHeight w:val="29"/>
        </w:trPr>
        <w:tc>
          <w:tcPr>
            <w:tcW w:w="122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r>
      <w:tr>
        <w:trPr>
          <w:trHeight w:val="157"/>
        </w:trPr>
        <w:tc>
          <w:tcPr>
            <w:tcW w:w="24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6"/>
              </w:rPr>
              <w:t>Euro — Hedge Spot Rate (US$ per Euro)</w:t>
            </w: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1220" w:type="dxa"/>
            <w:vAlign w:val="bottom"/>
          </w:tcPr>
          <w:p>
            <w:pPr>
              <w:spacing w:after="0"/>
              <w:rPr>
                <w:sz w:val="20"/>
                <w:szCs w:val="20"/>
                <w:color w:val="auto"/>
              </w:rPr>
            </w:pPr>
            <w:r>
              <w:rPr>
                <w:rFonts w:ascii="Arial" w:cs="Arial" w:eastAsia="Arial" w:hAnsi="Arial"/>
                <w:sz w:val="13"/>
                <w:szCs w:val="13"/>
                <w:color w:val="auto"/>
              </w:rPr>
              <w:t>FY09</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1.3453</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1.3704</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1.4396</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1.4908</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1220" w:type="dxa"/>
            <w:vAlign w:val="bottom"/>
            <w:shd w:val="clear" w:color="auto" w:fill="CCEEFF"/>
          </w:tcPr>
          <w:p>
            <w:pPr>
              <w:spacing w:after="0"/>
              <w:rPr>
                <w:sz w:val="20"/>
                <w:szCs w:val="20"/>
                <w:color w:val="auto"/>
              </w:rPr>
            </w:pPr>
            <w:r>
              <w:rPr>
                <w:rFonts w:ascii="Arial" w:cs="Arial" w:eastAsia="Arial" w:hAnsi="Arial"/>
                <w:sz w:val="13"/>
                <w:szCs w:val="13"/>
                <w:color w:val="auto"/>
              </w:rPr>
              <w:t>FY10</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1.5681</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16.6%</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1.4890</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8.6%</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1.3192</w:t>
            </w:r>
          </w:p>
        </w:tc>
        <w:tc>
          <w:tcPr>
            <w:tcW w:w="10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(8.4)%</w:t>
            </w: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1.2812</w:t>
            </w: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(14.1)%</w:t>
            </w:r>
          </w:p>
        </w:tc>
      </w:tr>
      <w:tr>
        <w:trPr>
          <w:trHeight w:val="157"/>
        </w:trPr>
        <w:tc>
          <w:tcPr>
            <w:tcW w:w="1220" w:type="dxa"/>
            <w:vAlign w:val="bottom"/>
          </w:tcPr>
          <w:p>
            <w:pPr>
              <w:spacing w:after="0"/>
              <w:rPr>
                <w:sz w:val="20"/>
                <w:szCs w:val="20"/>
                <w:color w:val="auto"/>
              </w:rPr>
            </w:pPr>
            <w:r>
              <w:rPr>
                <w:rFonts w:ascii="Arial" w:cs="Arial" w:eastAsia="Arial" w:hAnsi="Arial"/>
                <w:sz w:val="13"/>
                <w:szCs w:val="13"/>
                <w:color w:val="auto"/>
              </w:rPr>
              <w:t>FY11</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1.3582</w:t>
            </w:r>
          </w:p>
        </w:tc>
        <w:tc>
          <w:tcPr>
            <w:tcW w:w="240" w:type="dxa"/>
            <w:vAlign w:val="bottom"/>
          </w:tcPr>
          <w:p>
            <w:pPr>
              <w:spacing w:after="0"/>
              <w:rPr>
                <w:sz w:val="13"/>
                <w:szCs w:val="13"/>
                <w:color w:val="auto"/>
              </w:rPr>
            </w:pPr>
          </w:p>
        </w:tc>
        <w:tc>
          <w:tcPr>
            <w:tcW w:w="820" w:type="dxa"/>
            <w:vAlign w:val="bottom"/>
          </w:tcPr>
          <w:p>
            <w:pPr>
              <w:jc w:val="right"/>
              <w:ind w:right="59"/>
              <w:spacing w:after="0"/>
              <w:rPr>
                <w:sz w:val="20"/>
                <w:szCs w:val="20"/>
                <w:color w:val="auto"/>
              </w:rPr>
            </w:pPr>
            <w:r>
              <w:rPr>
                <w:rFonts w:ascii="Arial" w:cs="Arial" w:eastAsia="Arial" w:hAnsi="Arial"/>
                <w:sz w:val="13"/>
                <w:szCs w:val="13"/>
                <w:color w:val="auto"/>
              </w:rPr>
              <w:t>(13.4)%</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1.4272</w:t>
            </w:r>
          </w:p>
        </w:tc>
        <w:tc>
          <w:tcPr>
            <w:tcW w:w="1020" w:type="dxa"/>
            <w:vAlign w:val="bottom"/>
            <w:gridSpan w:val="2"/>
          </w:tcPr>
          <w:p>
            <w:pPr>
              <w:jc w:val="right"/>
              <w:ind w:right="68"/>
              <w:spacing w:after="0"/>
              <w:rPr>
                <w:sz w:val="20"/>
                <w:szCs w:val="20"/>
                <w:color w:val="auto"/>
              </w:rPr>
            </w:pPr>
            <w:r>
              <w:rPr>
                <w:rFonts w:ascii="Arial" w:cs="Arial" w:eastAsia="Arial" w:hAnsi="Arial"/>
                <w:sz w:val="13"/>
                <w:szCs w:val="13"/>
                <w:color w:val="auto"/>
              </w:rPr>
              <w:t>(4.2)%</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1.4817</w:t>
            </w:r>
          </w:p>
        </w:tc>
        <w:tc>
          <w:tcPr>
            <w:tcW w:w="1020" w:type="dxa"/>
            <w:vAlign w:val="bottom"/>
            <w:gridSpan w:val="2"/>
          </w:tcPr>
          <w:p>
            <w:pPr>
              <w:jc w:val="right"/>
              <w:ind w:right="108"/>
              <w:spacing w:after="0"/>
              <w:rPr>
                <w:sz w:val="20"/>
                <w:szCs w:val="20"/>
                <w:color w:val="auto"/>
              </w:rPr>
            </w:pPr>
            <w:r>
              <w:rPr>
                <w:rFonts w:ascii="Arial" w:cs="Arial" w:eastAsia="Arial" w:hAnsi="Arial"/>
                <w:sz w:val="13"/>
                <w:szCs w:val="13"/>
                <w:color w:val="auto"/>
              </w:rPr>
              <w:t>12.3%</w:t>
            </w: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1.3689</w:t>
            </w:r>
          </w:p>
        </w:tc>
        <w:tc>
          <w:tcPr>
            <w:tcW w:w="1060" w:type="dxa"/>
            <w:vAlign w:val="bottom"/>
            <w:gridSpan w:val="2"/>
          </w:tcPr>
          <w:p>
            <w:pPr>
              <w:jc w:val="right"/>
              <w:ind w:right="108"/>
              <w:spacing w:after="0"/>
              <w:rPr>
                <w:sz w:val="20"/>
                <w:szCs w:val="20"/>
                <w:color w:val="auto"/>
              </w:rPr>
            </w:pPr>
            <w:r>
              <w:rPr>
                <w:rFonts w:ascii="Arial" w:cs="Arial" w:eastAsia="Arial" w:hAnsi="Arial"/>
                <w:sz w:val="13"/>
                <w:szCs w:val="13"/>
                <w:color w:val="auto"/>
              </w:rPr>
              <w:t>6.8%</w:t>
            </w:r>
          </w:p>
        </w:tc>
      </w:tr>
      <w:tr>
        <w:trPr>
          <w:trHeight w:val="157"/>
        </w:trPr>
        <w:tc>
          <w:tcPr>
            <w:tcW w:w="3240" w:type="dxa"/>
            <w:vAlign w:val="bottom"/>
            <w:gridSpan w:val="4"/>
            <w:shd w:val="clear" w:color="auto" w:fill="CCEEFF"/>
          </w:tcPr>
          <w:p>
            <w:pPr>
              <w:spacing w:after="0"/>
              <w:rPr>
                <w:sz w:val="20"/>
                <w:szCs w:val="20"/>
                <w:color w:val="auto"/>
              </w:rPr>
            </w:pPr>
            <w:r>
              <w:rPr>
                <w:rFonts w:ascii="Arial" w:cs="Arial" w:eastAsia="Arial" w:hAnsi="Arial"/>
                <w:sz w:val="13"/>
                <w:szCs w:val="13"/>
                <w:b w:val="1"/>
                <w:bCs w:val="1"/>
                <w:color w:val="auto"/>
              </w:rPr>
              <w:t>Japanese Yen — Hedge Spot Rate (JPY per US$)</w:t>
            </w: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7"/>
        </w:trPr>
        <w:tc>
          <w:tcPr>
            <w:tcW w:w="1220" w:type="dxa"/>
            <w:vAlign w:val="bottom"/>
          </w:tcPr>
          <w:p>
            <w:pPr>
              <w:spacing w:after="0"/>
              <w:rPr>
                <w:sz w:val="20"/>
                <w:szCs w:val="20"/>
                <w:color w:val="auto"/>
              </w:rPr>
            </w:pPr>
            <w:r>
              <w:rPr>
                <w:rFonts w:ascii="Arial" w:cs="Arial" w:eastAsia="Arial" w:hAnsi="Arial"/>
                <w:sz w:val="13"/>
                <w:szCs w:val="13"/>
                <w:color w:val="auto"/>
              </w:rPr>
              <w:t>FY09</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120.6432</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116.7411</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112.8810</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106.2511</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1220" w:type="dxa"/>
            <w:vAlign w:val="bottom"/>
            <w:shd w:val="clear" w:color="auto" w:fill="CCEEFF"/>
          </w:tcPr>
          <w:p>
            <w:pPr>
              <w:spacing w:after="0"/>
              <w:rPr>
                <w:sz w:val="20"/>
                <w:szCs w:val="20"/>
                <w:color w:val="auto"/>
              </w:rPr>
            </w:pPr>
            <w:r>
              <w:rPr>
                <w:rFonts w:ascii="Arial" w:cs="Arial" w:eastAsia="Arial" w:hAnsi="Arial"/>
                <w:sz w:val="13"/>
                <w:szCs w:val="13"/>
                <w:color w:val="auto"/>
              </w:rPr>
              <w:t>FY10</w:t>
            </w:r>
          </w:p>
        </w:tc>
        <w:tc>
          <w:tcPr>
            <w:tcW w:w="960" w:type="dxa"/>
            <w:vAlign w:val="bottom"/>
            <w:shd w:val="clear" w:color="auto" w:fill="CCEEFF"/>
          </w:tcPr>
          <w:p>
            <w:pPr>
              <w:jc w:val="right"/>
              <w:ind w:right="178"/>
              <w:spacing w:after="0"/>
              <w:rPr>
                <w:sz w:val="20"/>
                <w:szCs w:val="20"/>
                <w:color w:val="auto"/>
              </w:rPr>
            </w:pPr>
            <w:r>
              <w:rPr>
                <w:rFonts w:ascii="Arial" w:cs="Arial" w:eastAsia="Arial" w:hAnsi="Arial"/>
                <w:sz w:val="13"/>
                <w:szCs w:val="13"/>
                <w:color w:val="auto"/>
              </w:rPr>
              <w:t>105.2792</w:t>
            </w: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auto"/>
              </w:rPr>
              <w:t>12.7%</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105.1132</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10.0%</w:t>
            </w:r>
          </w:p>
        </w:tc>
        <w:tc>
          <w:tcPr>
            <w:tcW w:w="120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96.3791</w:t>
            </w: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14.6%</w:t>
            </w:r>
          </w:p>
        </w:tc>
        <w:tc>
          <w:tcPr>
            <w:tcW w:w="124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93.4950</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3"/>
                <w:szCs w:val="13"/>
                <w:color w:val="auto"/>
              </w:rPr>
              <w:t>12.0%</w:t>
            </w:r>
          </w:p>
        </w:tc>
      </w:tr>
      <w:tr>
        <w:trPr>
          <w:trHeight w:val="165"/>
        </w:trPr>
        <w:tc>
          <w:tcPr>
            <w:tcW w:w="1220" w:type="dxa"/>
            <w:vAlign w:val="bottom"/>
          </w:tcPr>
          <w:p>
            <w:pPr>
              <w:spacing w:after="0"/>
              <w:rPr>
                <w:sz w:val="20"/>
                <w:szCs w:val="20"/>
                <w:color w:val="auto"/>
              </w:rPr>
            </w:pPr>
            <w:r>
              <w:rPr>
                <w:rFonts w:ascii="Arial" w:cs="Arial" w:eastAsia="Arial" w:hAnsi="Arial"/>
                <w:sz w:val="13"/>
                <w:szCs w:val="13"/>
                <w:color w:val="auto"/>
              </w:rPr>
              <w:t>FY11</w:t>
            </w:r>
          </w:p>
        </w:tc>
        <w:tc>
          <w:tcPr>
            <w:tcW w:w="960" w:type="dxa"/>
            <w:vAlign w:val="bottom"/>
          </w:tcPr>
          <w:p>
            <w:pPr>
              <w:jc w:val="right"/>
              <w:ind w:right="178"/>
              <w:spacing w:after="0"/>
              <w:rPr>
                <w:sz w:val="20"/>
                <w:szCs w:val="20"/>
                <w:color w:val="auto"/>
              </w:rPr>
            </w:pPr>
            <w:r>
              <w:rPr>
                <w:rFonts w:ascii="Arial" w:cs="Arial" w:eastAsia="Arial" w:hAnsi="Arial"/>
                <w:sz w:val="13"/>
                <w:szCs w:val="13"/>
                <w:color w:val="auto"/>
              </w:rPr>
              <w:t>98.1677</w:t>
            </w:r>
          </w:p>
        </w:tc>
        <w:tc>
          <w:tcPr>
            <w:tcW w:w="240" w:type="dxa"/>
            <w:vAlign w:val="bottom"/>
          </w:tcPr>
          <w:p>
            <w:pPr>
              <w:spacing w:after="0"/>
              <w:rPr>
                <w:sz w:val="14"/>
                <w:szCs w:val="14"/>
                <w:color w:val="auto"/>
              </w:rPr>
            </w:pPr>
          </w:p>
        </w:tc>
        <w:tc>
          <w:tcPr>
            <w:tcW w:w="820" w:type="dxa"/>
            <w:vAlign w:val="bottom"/>
          </w:tcPr>
          <w:p>
            <w:pPr>
              <w:jc w:val="right"/>
              <w:ind w:right="99"/>
              <w:spacing w:after="0"/>
              <w:rPr>
                <w:sz w:val="20"/>
                <w:szCs w:val="20"/>
                <w:color w:val="auto"/>
              </w:rPr>
            </w:pPr>
            <w:r>
              <w:rPr>
                <w:rFonts w:ascii="Arial" w:cs="Arial" w:eastAsia="Arial" w:hAnsi="Arial"/>
                <w:sz w:val="13"/>
                <w:szCs w:val="13"/>
                <w:color w:val="auto"/>
              </w:rPr>
              <w:t>6.8%</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94.9066</w:t>
            </w:r>
          </w:p>
        </w:tc>
        <w:tc>
          <w:tcPr>
            <w:tcW w:w="1020" w:type="dxa"/>
            <w:vAlign w:val="bottom"/>
            <w:gridSpan w:val="2"/>
          </w:tcPr>
          <w:p>
            <w:pPr>
              <w:jc w:val="right"/>
              <w:ind w:right="108"/>
              <w:spacing w:after="0"/>
              <w:rPr>
                <w:sz w:val="20"/>
                <w:szCs w:val="20"/>
                <w:color w:val="auto"/>
              </w:rPr>
            </w:pPr>
            <w:r>
              <w:rPr>
                <w:rFonts w:ascii="Arial" w:cs="Arial" w:eastAsia="Arial" w:hAnsi="Arial"/>
                <w:sz w:val="13"/>
                <w:szCs w:val="13"/>
                <w:color w:val="auto"/>
              </w:rPr>
              <w:t>9.7%</w:t>
            </w:r>
          </w:p>
        </w:tc>
        <w:tc>
          <w:tcPr>
            <w:tcW w:w="1200" w:type="dxa"/>
            <w:vAlign w:val="bottom"/>
            <w:gridSpan w:val="2"/>
          </w:tcPr>
          <w:p>
            <w:pPr>
              <w:jc w:val="right"/>
              <w:ind w:right="188"/>
              <w:spacing w:after="0"/>
              <w:rPr>
                <w:sz w:val="20"/>
                <w:szCs w:val="20"/>
                <w:color w:val="auto"/>
              </w:rPr>
            </w:pPr>
            <w:r>
              <w:rPr>
                <w:rFonts w:ascii="Arial" w:cs="Arial" w:eastAsia="Arial" w:hAnsi="Arial"/>
                <w:sz w:val="13"/>
                <w:szCs w:val="13"/>
                <w:color w:val="auto"/>
              </w:rPr>
              <w:t>89.13</w:t>
            </w:r>
          </w:p>
        </w:tc>
        <w:tc>
          <w:tcPr>
            <w:tcW w:w="1020" w:type="dxa"/>
            <w:vAlign w:val="bottom"/>
            <w:gridSpan w:val="2"/>
          </w:tcPr>
          <w:p>
            <w:pPr>
              <w:jc w:val="right"/>
              <w:ind w:right="108"/>
              <w:spacing w:after="0"/>
              <w:rPr>
                <w:sz w:val="20"/>
                <w:szCs w:val="20"/>
                <w:color w:val="auto"/>
              </w:rPr>
            </w:pPr>
            <w:r>
              <w:rPr>
                <w:rFonts w:ascii="Arial" w:cs="Arial" w:eastAsia="Arial" w:hAnsi="Arial"/>
                <w:sz w:val="13"/>
                <w:szCs w:val="13"/>
                <w:color w:val="auto"/>
              </w:rPr>
              <w:t>7.5%</w:t>
            </w: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89.7839</w:t>
            </w:r>
          </w:p>
        </w:tc>
        <w:tc>
          <w:tcPr>
            <w:tcW w:w="1060" w:type="dxa"/>
            <w:vAlign w:val="bottom"/>
            <w:gridSpan w:val="2"/>
          </w:tcPr>
          <w:p>
            <w:pPr>
              <w:jc w:val="right"/>
              <w:ind w:right="108"/>
              <w:spacing w:after="0"/>
              <w:rPr>
                <w:sz w:val="20"/>
                <w:szCs w:val="20"/>
                <w:color w:val="auto"/>
              </w:rPr>
            </w:pPr>
            <w:r>
              <w:rPr>
                <w:rFonts w:ascii="Arial" w:cs="Arial" w:eastAsia="Arial" w:hAnsi="Arial"/>
                <w:sz w:val="13"/>
                <w:szCs w:val="13"/>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900" w:right="240" w:hanging="213"/>
        <w:spacing w:after="0" w:line="276" w:lineRule="auto"/>
        <w:tabs>
          <w:tab w:leader="none" w:pos="9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We generally place our cash flow hedge contracts on a rolling twelve month basis. Accordingly, the only hedge contracts placed for fiscal year 2011 are for the first, second, and third quarters.</w:t>
      </w:r>
    </w:p>
    <w:p>
      <w:pPr>
        <w:spacing w:after="0" w:line="59"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During the fiscal year ended March 28, 2009, in response to the global economic turmoil and sharply increased volatility in the foreign exchange rates, we added to our hedging program. In addition to hedging the anticipated cash flows from forecasted Japanese Yen and Euro denominated sales, we entered into forward contracts to hedge the anticipated cash flows from forecasted British Pound and Canadian Dollar denominated expenses. The index referenced above does not include the British Pound hedge spot rates.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Recent Accounting Pronouncements</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 xml:space="preserve">In February 2010, the FASB issued Accounting Standards Update No. 2010-09,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an amendment to ASC Topic 855, </w:t>
      </w:r>
      <w:r>
        <w:rPr>
          <w:rFonts w:ascii="Arial" w:cs="Arial" w:eastAsia="Arial" w:hAnsi="Arial"/>
          <w:sz w:val="13"/>
          <w:szCs w:val="13"/>
          <w:i w:val="1"/>
          <w:iCs w:val="1"/>
          <w:color w:val="auto"/>
        </w:rPr>
        <w:t>Subsequent Events</w:t>
      </w:r>
      <w:r>
        <w:rPr>
          <w:rFonts w:ascii="Arial" w:cs="Arial" w:eastAsia="Arial" w:hAnsi="Arial"/>
          <w:sz w:val="13"/>
          <w:szCs w:val="13"/>
          <w:color w:val="auto"/>
        </w:rPr>
        <w:t>. This update addresses practice issues for evaluating and disclosing subsequent events with respect to processes around issuing financial statements and SEC registration requirements. The guidance is effective immediately.</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 xml:space="preserve">In January 2010, the FASB issued Accounting Standards Update No. 2010-06, </w:t>
      </w:r>
      <w:r>
        <w:rPr>
          <w:rFonts w:ascii="Arial" w:cs="Arial" w:eastAsia="Arial" w:hAnsi="Arial"/>
          <w:sz w:val="13"/>
          <w:szCs w:val="13"/>
          <w:i w:val="1"/>
          <w:iCs w:val="1"/>
          <w:color w:val="auto"/>
        </w:rPr>
        <w:t>Improving Disclosures about Fair Value Measurements</w:t>
      </w:r>
      <w:r>
        <w:rPr>
          <w:rFonts w:ascii="Arial" w:cs="Arial" w:eastAsia="Arial" w:hAnsi="Arial"/>
          <w:sz w:val="13"/>
          <w:szCs w:val="13"/>
          <w:color w:val="auto"/>
        </w:rPr>
        <w:t xml:space="preserve">. This update amends ASC Topic 820, </w:t>
      </w:r>
      <w:r>
        <w:rPr>
          <w:rFonts w:ascii="Arial" w:cs="Arial" w:eastAsia="Arial" w:hAnsi="Arial"/>
          <w:sz w:val="13"/>
          <w:szCs w:val="13"/>
          <w:i w:val="1"/>
          <w:iCs w:val="1"/>
          <w:color w:val="auto"/>
        </w:rPr>
        <w:t>Fair</w:t>
      </w:r>
      <w:r>
        <w:rPr>
          <w:rFonts w:ascii="Arial" w:cs="Arial" w:eastAsia="Arial" w:hAnsi="Arial"/>
          <w:sz w:val="13"/>
          <w:szCs w:val="13"/>
          <w:color w:val="auto"/>
        </w:rPr>
        <w:t xml:space="preserve"> </w:t>
      </w:r>
      <w:r>
        <w:rPr>
          <w:rFonts w:ascii="Arial" w:cs="Arial" w:eastAsia="Arial" w:hAnsi="Arial"/>
          <w:sz w:val="13"/>
          <w:szCs w:val="13"/>
          <w:i w:val="1"/>
          <w:iCs w:val="1"/>
          <w:color w:val="auto"/>
        </w:rPr>
        <w:t>Value Measurements and Disclosures</w:t>
      </w:r>
      <w:r>
        <w:rPr>
          <w:rFonts w:ascii="Arial" w:cs="Arial" w:eastAsia="Arial" w:hAnsi="Arial"/>
          <w:sz w:val="13"/>
          <w:szCs w:val="13"/>
          <w:color w:val="auto"/>
        </w:rPr>
        <w:t>, to require a number of additional disclosures regarding fair value measurements. Specifically, the update requires entities to disclose (i) the amounts of</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transfers between Level 1 and Level 2 of the fair value hierarchy and the reasons for these transfers, (ii) the reasons for any transfers in or out of Level 3, and (iii) information in the reconciliation of recurring Level 3 measurements about purchases, sales, issuances and settlements on a gross basis. In addition to these new disclosures, the update also amends ASC Topic 820 to clarify certain existing disclosure requirements. The update became effective for our fiscal year 2010 and its impact is reflected in the notes to our consolidated financial statements for the year ended April 3, 2010.</w:t>
      </w:r>
    </w:p>
    <w:p>
      <w:pPr>
        <w:spacing w:after="0" w:line="72"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 xml:space="preserve">In October 2009, the FASB issued Accounting Standards Update No. 2009-13, </w:t>
      </w:r>
      <w:r>
        <w:rPr>
          <w:rFonts w:ascii="Arial" w:cs="Arial" w:eastAsia="Arial" w:hAnsi="Arial"/>
          <w:sz w:val="13"/>
          <w:szCs w:val="13"/>
          <w:i w:val="1"/>
          <w:iCs w:val="1"/>
          <w:color w:val="auto"/>
        </w:rPr>
        <w:t>Multiple-Deliverable Revenue Arrangements</w:t>
      </w:r>
      <w:r>
        <w:rPr>
          <w:rFonts w:ascii="Arial" w:cs="Arial" w:eastAsia="Arial" w:hAnsi="Arial"/>
          <w:sz w:val="13"/>
          <w:szCs w:val="13"/>
          <w:color w:val="auto"/>
        </w:rPr>
        <w:t xml:space="preserve">, an amendment to FASB ASC topic 605,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Recognition</w:t>
      </w:r>
      <w:r>
        <w:rPr>
          <w:rFonts w:ascii="Arial" w:cs="Arial" w:eastAsia="Arial" w:hAnsi="Arial"/>
          <w:sz w:val="13"/>
          <w:szCs w:val="13"/>
          <w:color w:val="auto"/>
        </w:rPr>
        <w:t>, and Update No. 2009-14,</w:t>
      </w:r>
      <w:r>
        <w:rPr>
          <w:rFonts w:ascii="Arial" w:cs="Arial" w:eastAsia="Arial" w:hAnsi="Arial"/>
          <w:sz w:val="13"/>
          <w:szCs w:val="13"/>
          <w:i w:val="1"/>
          <w:iCs w:val="1"/>
          <w:color w:val="auto"/>
        </w:rPr>
        <w:t xml:space="preserve"> Certain Revenue Arrangements That Include Software Elements</w:t>
      </w:r>
      <w:r>
        <w:rPr>
          <w:rFonts w:ascii="Arial" w:cs="Arial" w:eastAsia="Arial" w:hAnsi="Arial"/>
          <w:sz w:val="13"/>
          <w:szCs w:val="13"/>
          <w:color w:val="auto"/>
        </w:rPr>
        <w:t>, an amendment to FASB ASC subtopic 985-605,</w:t>
      </w:r>
      <w:r>
        <w:rPr>
          <w:rFonts w:ascii="Arial" w:cs="Arial" w:eastAsia="Arial" w:hAnsi="Arial"/>
          <w:sz w:val="13"/>
          <w:szCs w:val="13"/>
          <w:i w:val="1"/>
          <w:iCs w:val="1"/>
          <w:color w:val="auto"/>
        </w:rPr>
        <w:t xml:space="preserve"> Software — Revenue Recognition </w:t>
      </w:r>
      <w:r>
        <w:rPr>
          <w:rFonts w:ascii="Arial" w:cs="Arial" w:eastAsia="Arial" w:hAnsi="Arial"/>
          <w:sz w:val="13"/>
          <w:szCs w:val="13"/>
          <w:color w:val="auto"/>
        </w:rPr>
        <w:t>(the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81" w:lineRule="auto"/>
        <w:rPr>
          <w:sz w:val="20"/>
          <w:szCs w:val="20"/>
          <w:color w:val="auto"/>
        </w:rPr>
      </w:pPr>
      <w:r>
        <w:rPr>
          <w:rFonts w:ascii="Arial" w:cs="Arial" w:eastAsia="Arial" w:hAnsi="Arial"/>
          <w:sz w:val="12"/>
          <w:szCs w:val="12"/>
          <w:color w:val="auto"/>
        </w:rPr>
        <w:t>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58"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Under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known as FASB Statement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FASB requires that all business combinations use the acquisition method (formerly the purchase method) and that an acquiring entity be identified in all business combinations. ASC Topic 805 also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This statement became effective for our fiscal year 2010 and its impact is reflected in our financial position and results of operations for the year ended April 3, 2010. The Company’s acquisition of L’Attitude Medical Systems, Inc. (“Neoteric”), asset acquisition of the blood collection and processing business unit of Engineering and Research Associates, Inc. (“SEBRA”), and stock purchase of Global Med Technoligies, Inc. (“Global Med”) during fiscal year 2010 were accounted for in accordance to the requirements of ASC Topic 805 — see Note 3.</w:t>
      </w:r>
    </w:p>
    <w:p>
      <w:pPr>
        <w:spacing w:after="0" w:line="7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 xml:space="preserve">In December 2009, the FASB issued Accounting Standards Update No. 2009-17, </w:t>
      </w:r>
      <w:r>
        <w:rPr>
          <w:rFonts w:ascii="Arial" w:cs="Arial" w:eastAsia="Arial" w:hAnsi="Arial"/>
          <w:sz w:val="12"/>
          <w:szCs w:val="12"/>
          <w:i w:val="1"/>
          <w:iCs w:val="1"/>
          <w:color w:val="auto"/>
        </w:rPr>
        <w:t>Improvements to Financial Reporting by Enterprises Involved with Variable Interest Entities</w:t>
      </w:r>
      <w:r>
        <w:rPr>
          <w:rFonts w:ascii="Arial" w:cs="Arial" w:eastAsia="Arial" w:hAnsi="Arial"/>
          <w:sz w:val="12"/>
          <w:szCs w:val="12"/>
          <w:color w:val="auto"/>
        </w:rPr>
        <w:t xml:space="preserve">, an amendment to FASB ASC Topic 810, </w:t>
      </w:r>
      <w:r>
        <w:rPr>
          <w:rFonts w:ascii="Arial" w:cs="Arial" w:eastAsia="Arial" w:hAnsi="Arial"/>
          <w:sz w:val="12"/>
          <w:szCs w:val="12"/>
          <w:i w:val="1"/>
          <w:iCs w:val="1"/>
          <w:color w:val="auto"/>
        </w:rPr>
        <w:t>Consolidations</w:t>
      </w:r>
      <w:r>
        <w:rPr>
          <w:rFonts w:ascii="Arial" w:cs="Arial" w:eastAsia="Arial" w:hAnsi="Arial"/>
          <w:sz w:val="12"/>
          <w:szCs w:val="12"/>
          <w:color w:val="auto"/>
        </w:rPr>
        <w:t>. ASU No. 2009-17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 ASU No. 2009-17 is effective for fiscal years beginning after November 15, 2009, which is the outset for fiscal year 2011 for the Company. The Company is currently evaluating the impact, if any, that ASU No. 2009-17 may have on the Company’s financial condition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Cautionary Statement Regarding Forward-Looking Information</w:t>
      </w:r>
    </w:p>
    <w:p>
      <w:pPr>
        <w:spacing w:after="0" w:line="96"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exposures relative to market risk are due principally to foreign exchange risk and interest rate risk.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Exchange Risk</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April 3, 2010, we held the following significant foreign exchange contracts to hedge the anticipated cash flows from forecasted foreign currency denominated sales outstanding:</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620" w:type="dxa"/>
            <w:vAlign w:val="bottom"/>
          </w:tcPr>
          <w:p>
            <w:pPr>
              <w:spacing w:after="0"/>
              <w:rPr>
                <w:sz w:val="10"/>
                <w:szCs w:val="10"/>
                <w:color w:val="auto"/>
              </w:rPr>
            </w:pP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(BUY)/SELL</w:t>
            </w:r>
          </w:p>
        </w:tc>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20" w:type="dxa"/>
            <w:vAlign w:val="bottom"/>
            <w:vMerge w:val="restart"/>
          </w:tcPr>
          <w:p>
            <w:pPr>
              <w:spacing w:after="0"/>
              <w:rPr>
                <w:sz w:val="20"/>
                <w:szCs w:val="20"/>
                <w:color w:val="auto"/>
              </w:rPr>
            </w:pPr>
            <w:r>
              <w:rPr>
                <w:rFonts w:ascii="Arial" w:cs="Arial" w:eastAsia="Arial" w:hAnsi="Arial"/>
                <w:sz w:val="10"/>
                <w:szCs w:val="10"/>
                <w:b w:val="1"/>
                <w:bCs w:val="1"/>
                <w:color w:val="auto"/>
              </w:rPr>
              <w:t>Hedged Currency</w:t>
            </w:r>
          </w:p>
        </w:tc>
        <w:tc>
          <w:tcPr>
            <w:tcW w:w="1420" w:type="dxa"/>
            <w:vAlign w:val="bottom"/>
            <w:gridSpan w:val="2"/>
            <w:vMerge w:val="continue"/>
          </w:tcPr>
          <w:p>
            <w:pPr>
              <w:spacing w:after="0"/>
              <w:rPr>
                <w:sz w:val="10"/>
                <w:szCs w:val="1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Spot</w:t>
            </w:r>
          </w:p>
        </w:tc>
        <w:tc>
          <w:tcPr>
            <w:tcW w:w="14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Forward</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20" w:type="dxa"/>
            <w:vAlign w:val="bottom"/>
            <w:vMerge w:val="continue"/>
          </w:tcPr>
          <w:p>
            <w:pPr>
              <w:spacing w:after="0"/>
              <w:rPr>
                <w:sz w:val="10"/>
                <w:szCs w:val="1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Local Currency</w:t>
            </w:r>
          </w:p>
        </w:tc>
        <w:tc>
          <w:tcPr>
            <w:tcW w:w="14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Contract Rate</w:t>
            </w:r>
          </w:p>
        </w:tc>
        <w:tc>
          <w:tcPr>
            <w:tcW w:w="14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Contract Rate</w:t>
            </w:r>
          </w:p>
        </w:tc>
        <w:tc>
          <w:tcPr>
            <w:tcW w:w="120" w:type="dxa"/>
            <w:vAlign w:val="bottom"/>
          </w:tcPr>
          <w:p>
            <w:pPr>
              <w:spacing w:after="0"/>
              <w:rPr>
                <w:sz w:val="10"/>
                <w:szCs w:val="1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Fair Value</w:t>
            </w:r>
          </w:p>
        </w:tc>
        <w:tc>
          <w:tcPr>
            <w:tcW w:w="178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6,633,736</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1.371</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1.369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183,168</w:t>
            </w:r>
          </w:p>
        </w:tc>
        <w:tc>
          <w:tcPr>
            <w:tcW w:w="4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Apr 2010 - May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8,816,747</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1.427</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1.428</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744,964</w:t>
            </w:r>
          </w:p>
        </w:tc>
        <w:tc>
          <w:tcPr>
            <w:tcW w:w="40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Jun 2010 - Aug 2010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10,242,532</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1.482</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1.478</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1,348,293</w:t>
            </w:r>
          </w:p>
        </w:tc>
        <w:tc>
          <w:tcPr>
            <w:tcW w:w="4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Sep 2010 - Nov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Euro</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10,370,808</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1.369</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1.367</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255,659</w:t>
            </w:r>
          </w:p>
        </w:tc>
        <w:tc>
          <w:tcPr>
            <w:tcW w:w="40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Dec 2010 - Feb 2011</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948,098,509</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98.02 per US$</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97.31 per US$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(466,466)</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Apr 2010 -May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1,392,004,698</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94.91 per US$</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94.35 per US$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(245,008)</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Jun 2010 -Aug 2010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1,527,960,999</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89.13 per US$</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88.77 per US$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698,245</w:t>
            </w:r>
          </w:p>
        </w:tc>
        <w:tc>
          <w:tcPr>
            <w:tcW w:w="4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Sep 2010 -Nov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Japanese Yen</w:t>
            </w:r>
          </w:p>
        </w:tc>
        <w:tc>
          <w:tcPr>
            <w:tcW w:w="1420" w:type="dxa"/>
            <w:vAlign w:val="bottom"/>
            <w:gridSpan w:val="2"/>
          </w:tcPr>
          <w:p>
            <w:pPr>
              <w:jc w:val="right"/>
              <w:ind w:right="420"/>
              <w:spacing w:after="0"/>
              <w:rPr>
                <w:sz w:val="20"/>
                <w:szCs w:val="20"/>
                <w:color w:val="auto"/>
              </w:rPr>
            </w:pPr>
            <w:r>
              <w:rPr>
                <w:rFonts w:ascii="Arial" w:cs="Arial" w:eastAsia="Arial" w:hAnsi="Arial"/>
                <w:sz w:val="12"/>
                <w:szCs w:val="12"/>
                <w:color w:val="auto"/>
              </w:rPr>
              <w:t>1,487,690,000</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89.78 per US$</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89.43 per US$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528,324</w:t>
            </w:r>
          </w:p>
        </w:tc>
        <w:tc>
          <w:tcPr>
            <w:tcW w:w="40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Dec 2010 -Feb 2011</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(763,689)</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1.579</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1.576</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(53,532)</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Apr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(2,727,724)</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1.653</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1.652</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(393,430)</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May 2010 - Jul 2010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(2,645,949)</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1.632</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1.630</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(320,475)</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Aug 2010 - Oct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(2,602,543)</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1.586</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1.582</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tcPr>
          <w:p>
            <w:pPr>
              <w:jc w:val="right"/>
              <w:ind w:right="360"/>
              <w:spacing w:after="0"/>
              <w:rPr>
                <w:sz w:val="20"/>
                <w:szCs w:val="20"/>
                <w:color w:val="auto"/>
              </w:rPr>
            </w:pPr>
            <w:r>
              <w:rPr>
                <w:rFonts w:ascii="Arial" w:cs="Arial" w:eastAsia="Arial" w:hAnsi="Arial"/>
                <w:sz w:val="12"/>
                <w:szCs w:val="12"/>
                <w:color w:val="auto"/>
              </w:rPr>
              <w:t>(194,893)</w:t>
            </w: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Nov 2010 - Jan 2011</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(796,222)</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1.506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1.503</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(90)</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Feb 2011</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CAD</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(2,985,642)</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1.096 per US$</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1.095 per US$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199,400</w:t>
            </w:r>
          </w:p>
        </w:tc>
        <w:tc>
          <w:tcPr>
            <w:tcW w:w="40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Apr 2010 - Jun 2010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CAD</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(3,475,271)</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1.085 per US$</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1.086 per US$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200,582</w:t>
            </w:r>
          </w:p>
        </w:tc>
        <w:tc>
          <w:tcPr>
            <w:tcW w:w="4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Jul 2010 - Sep 2010</w:t>
            </w:r>
          </w:p>
        </w:tc>
        <w:tc>
          <w:tcPr>
            <w:tcW w:w="0" w:type="dxa"/>
            <w:vAlign w:val="bottom"/>
          </w:tcPr>
          <w:p>
            <w:pPr>
              <w:spacing w:after="0"/>
              <w:rPr>
                <w:sz w:val="1"/>
                <w:szCs w:val="1"/>
                <w:color w:val="auto"/>
              </w:rPr>
            </w:pPr>
          </w:p>
        </w:tc>
      </w:tr>
      <w:tr>
        <w:trPr>
          <w:trHeight w:val="147"/>
        </w:trPr>
        <w:tc>
          <w:tcPr>
            <w:tcW w:w="2620" w:type="dxa"/>
            <w:vAlign w:val="bottom"/>
          </w:tcPr>
          <w:p>
            <w:pPr>
              <w:spacing w:after="0"/>
              <w:rPr>
                <w:sz w:val="20"/>
                <w:szCs w:val="20"/>
                <w:color w:val="auto"/>
              </w:rPr>
            </w:pPr>
            <w:r>
              <w:rPr>
                <w:rFonts w:ascii="Arial" w:cs="Arial" w:eastAsia="Arial" w:hAnsi="Arial"/>
                <w:sz w:val="12"/>
                <w:szCs w:val="12"/>
                <w:color w:val="auto"/>
              </w:rPr>
              <w:t>CAD</w:t>
            </w: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(3,241,542)</w:t>
            </w:r>
          </w:p>
        </w:tc>
        <w:tc>
          <w:tcPr>
            <w:tcW w:w="1480" w:type="dxa"/>
            <w:vAlign w:val="bottom"/>
            <w:gridSpan w:val="2"/>
          </w:tcPr>
          <w:p>
            <w:pPr>
              <w:jc w:val="right"/>
              <w:ind w:right="400"/>
              <w:spacing w:after="0"/>
              <w:rPr>
                <w:sz w:val="20"/>
                <w:szCs w:val="20"/>
                <w:color w:val="auto"/>
              </w:rPr>
            </w:pPr>
            <w:r>
              <w:rPr>
                <w:rFonts w:ascii="Arial" w:cs="Arial" w:eastAsia="Arial" w:hAnsi="Arial"/>
                <w:sz w:val="12"/>
                <w:szCs w:val="12"/>
                <w:color w:val="auto"/>
              </w:rPr>
              <w:t>1.065 per US$</w:t>
            </w: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1.067 per US$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126,902</w:t>
            </w:r>
          </w:p>
        </w:tc>
        <w:tc>
          <w:tcPr>
            <w:tcW w:w="400" w:type="dxa"/>
            <w:vAlign w:val="bottom"/>
          </w:tcPr>
          <w:p>
            <w:pPr>
              <w:spacing w:after="0"/>
              <w:rPr>
                <w:sz w:val="12"/>
                <w:szCs w:val="12"/>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2"/>
                <w:szCs w:val="12"/>
                <w:color w:val="auto"/>
              </w:rPr>
              <w:t>Oct 2010 - Dec 2010</w:t>
            </w:r>
          </w:p>
        </w:tc>
        <w:tc>
          <w:tcPr>
            <w:tcW w:w="0" w:type="dxa"/>
            <w:vAlign w:val="bottom"/>
          </w:tcPr>
          <w:p>
            <w:pPr>
              <w:spacing w:after="0"/>
              <w:rPr>
                <w:sz w:val="1"/>
                <w:szCs w:val="1"/>
                <w:color w:val="auto"/>
              </w:rPr>
            </w:pPr>
          </w:p>
        </w:tc>
      </w:tr>
      <w:tr>
        <w:trPr>
          <w:trHeight w:val="147"/>
        </w:trPr>
        <w:tc>
          <w:tcPr>
            <w:tcW w:w="2620" w:type="dxa"/>
            <w:vAlign w:val="bottom"/>
            <w:shd w:val="clear" w:color="auto" w:fill="CCEEFF"/>
          </w:tcPr>
          <w:p>
            <w:pPr>
              <w:spacing w:after="0"/>
              <w:rPr>
                <w:sz w:val="20"/>
                <w:szCs w:val="20"/>
                <w:color w:val="auto"/>
              </w:rPr>
            </w:pPr>
            <w:r>
              <w:rPr>
                <w:rFonts w:ascii="Arial" w:cs="Arial" w:eastAsia="Arial" w:hAnsi="Arial"/>
                <w:sz w:val="12"/>
                <w:szCs w:val="12"/>
                <w:color w:val="auto"/>
              </w:rPr>
              <w:t>CAD</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(2,108,438)</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1.048 per US$</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1.050 per US$</w:t>
            </w: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48,489</w:t>
            </w:r>
          </w:p>
        </w:tc>
        <w:tc>
          <w:tcPr>
            <w:tcW w:w="4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Jan 2011 - Feb 2011</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2,660,133</w:t>
            </w:r>
          </w:p>
        </w:tc>
        <w:tc>
          <w:tcPr>
            <w:tcW w:w="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-1746885</wp:posOffset>
            </wp:positionV>
            <wp:extent cx="1841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$10.2 million increase in the fair value of the forward contracts; whereas a 10% weakening of the U.S. dollar would result in a $11.7 million decrease in the fair value of the forward contracts.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All of our long-term debt is at fixed interest rates. Accordingly, a change in interest rates has an insignificant effect on our interest expense amounts. The fair value of our long-term debt, however, does change in response to interest rates movements due to its fixed rate nature. At April 3, 2010, the fair value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60"/>
        <w:spacing w:after="0" w:line="276" w:lineRule="auto"/>
        <w:rPr>
          <w:sz w:val="20"/>
          <w:szCs w:val="20"/>
          <w:color w:val="auto"/>
        </w:rPr>
      </w:pPr>
      <w:r>
        <w:rPr>
          <w:rFonts w:ascii="Arial" w:cs="Arial" w:eastAsia="Arial" w:hAnsi="Arial"/>
          <w:sz w:val="13"/>
          <w:szCs w:val="13"/>
          <w:color w:val="auto"/>
        </w:rPr>
        <w:t>our long-term debt was approximately $0.5 million higher than the value of the debt reflected on our financial statements. This higher fair market is entirely related to our $4.6 million, 8.41% real estate mortgage.</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Using scenario analysis, if we changed the interest rate on all long-term maturities by 10% from the rate levels that existed at April 3, 2010 the fair value of our long-term debt would not significantly change from the value reflected on our financial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Concentration of Credit Risk and Significant Customers</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primarily of cash equivalents, accounts receivable and investment in sales type lease receivables. Sales to one unaffiliated Japanese customer, the Japanese Red Cross Society, amounted to $92.6 million, $87.6 million, and $73.3 million for 2010, 2009, and 2008, respectively. Accounts receivable balances attributable to this customer accounted for 12.6%, 17.5%, and 15.9% of our consolidated accounts receivable at fiscal year ended 2010, 2009, and 2008. While the accounts receivable related to the Japanese Red Cross Society may be significant, we do not believe the credit loss risk to be significant given the consistent payment history by this customer.</w:t>
      </w:r>
    </w:p>
    <w:p>
      <w:pPr>
        <w:spacing w:after="0" w:line="71"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Certain other markets and industries can expose us to concentrations of credit risk. For example, in our plasma business, we tend to have only a few customers in total but they are large in size. As a result, our accounts receivable extended to any one of these commercial plasma customers can be somewhat significant at any point in time.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2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INCOME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8"/>
              </w:rPr>
              <w:t>Year Ended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right"/>
              <w:ind w:right="600"/>
              <w:spacing w:after="0" w:line="81" w:lineRule="exact"/>
              <w:rPr>
                <w:sz w:val="20"/>
                <w:szCs w:val="20"/>
                <w:color w:val="auto"/>
              </w:rPr>
            </w:pPr>
            <w:r>
              <w:rPr>
                <w:rFonts w:ascii="Arial" w:cs="Arial" w:eastAsia="Arial" w:hAnsi="Arial"/>
                <w:sz w:val="9"/>
                <w:szCs w:val="9"/>
                <w:b w:val="1"/>
                <w:bCs w:val="1"/>
                <w:color w:val="auto"/>
              </w:rPr>
              <w:t>April 3</w:t>
            </w:r>
          </w:p>
        </w:tc>
        <w:tc>
          <w:tcPr>
            <w:tcW w:w="6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580" w:type="dxa"/>
            <w:vAlign w:val="bottom"/>
          </w:tcPr>
          <w:p>
            <w:pPr>
              <w:jc w:val="center"/>
              <w:ind w:right="36"/>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6"/>
          </w:tcPr>
          <w:p>
            <w:pPr>
              <w:jc w:val="center"/>
              <w:ind w:left="397"/>
              <w:spacing w:after="0"/>
              <w:rPr>
                <w:sz w:val="20"/>
                <w:szCs w:val="20"/>
                <w:color w:val="auto"/>
              </w:rPr>
            </w:pPr>
            <w:r>
              <w:rPr>
                <w:rFonts w:ascii="Arial" w:cs="Arial" w:eastAsia="Arial" w:hAnsi="Arial"/>
                <w:sz w:val="10"/>
                <w:szCs w:val="10"/>
                <w:b w:val="1"/>
                <w:bCs w:val="1"/>
                <w:color w:val="auto"/>
                <w:w w:val="93"/>
              </w:rPr>
              <w:t>(In thousands, except per share data)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645,430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597,879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516,440</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Cost of goods sold</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307,949</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289,709</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258,715</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337,481</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308,170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257,725</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Research, development, and engineering</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26,376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23,859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24,322</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214,483</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198,744</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163,116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 income</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Asset impairment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15,686</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operating expenses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254,200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222,603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187,438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Operating income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83,281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85,567</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70,287</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(742)</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1,968</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5,418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(expense)/income, net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(1,668)</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(2,469)</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1,974</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Income before provision for income taxes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81,270</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85,002</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77,302</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22,900</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25,698</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25,322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58,370</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59,304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51,980</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income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per common share assuming dilution</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 average shares outstanding</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25,451</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25,389</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25,824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26,063</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26,173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26,746</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7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2010</w:t>
            </w:r>
          </w:p>
        </w:tc>
        <w:tc>
          <w:tcPr>
            <w:tcW w:w="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(In thousands, except share data)</w:t>
            </w:r>
          </w:p>
        </w:tc>
        <w:tc>
          <w:tcPr>
            <w:tcW w:w="0" w:type="dxa"/>
            <w:vAlign w:val="bottom"/>
          </w:tcPr>
          <w:p>
            <w:pPr>
              <w:spacing w:after="0"/>
              <w:rPr>
                <w:sz w:val="1"/>
                <w:szCs w:val="1"/>
                <w:color w:val="auto"/>
              </w:rPr>
            </w:pPr>
          </w:p>
        </w:tc>
      </w:tr>
      <w:tr>
        <w:trPr>
          <w:trHeight w:val="153"/>
        </w:trPr>
        <w:tc>
          <w:tcPr>
            <w:tcW w:w="7800" w:type="dxa"/>
            <w:vAlign w:val="bottom"/>
            <w:shd w:val="clear" w:color="auto" w:fill="CCEEFF"/>
          </w:tcPr>
          <w:p>
            <w:pPr>
              <w:ind w:left="4780"/>
              <w:spacing w:after="0"/>
              <w:rPr>
                <w:sz w:val="20"/>
                <w:szCs w:val="20"/>
                <w:color w:val="auto"/>
              </w:rPr>
            </w:pPr>
            <w:r>
              <w:rPr>
                <w:rFonts w:ascii="Arial" w:cs="Arial" w:eastAsia="Arial" w:hAnsi="Arial"/>
                <w:sz w:val="12"/>
                <w:szCs w:val="12"/>
                <w:b w:val="1"/>
                <w:bCs w:val="1"/>
                <w:color w:val="auto"/>
              </w:rPr>
              <w:t>ASSETS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141,562</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156,721</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Accounts receivable, less allowance of $2,554 in 2010 and $2,312 in 2009</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118,684</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113,598</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Inventories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79,953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76,522</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assets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10,985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7,190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34,959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28,362</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386,143</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382,393</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Property, plant and equipment</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Land, building and building &amp; leasehold improvements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49,292</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42,540</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Plant equipment and machinery</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113,534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108,572</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Office equipment and information technology</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74,008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52,461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Haemonetics equipment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206,267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194,290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color w:val="auto"/>
              </w:rPr>
              <w:t>Total property, plant and equipment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443,101</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397,863</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color w:val="auto"/>
              </w:rPr>
              <w:t>Less accumulated depreciation</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(289,803)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(260,056)</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Net property, plant and equipment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153,298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137,807</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Other intangibles, less accumulated amortization of $32,693 in 2010 and $25,508 in 2009</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86,102</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65,261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Goodwill</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120,543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56,426</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assets, long-term</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4,910</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3,007</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long-term assets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9,664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4,799</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other assets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221,219</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129,493</w:t>
            </w:r>
          </w:p>
        </w:tc>
        <w:tc>
          <w:tcPr>
            <w:tcW w:w="0" w:type="dxa"/>
            <w:vAlign w:val="bottom"/>
          </w:tcPr>
          <w:p>
            <w:pPr>
              <w:spacing w:after="0"/>
              <w:rPr>
                <w:sz w:val="1"/>
                <w:szCs w:val="1"/>
                <w:color w:val="auto"/>
              </w:rPr>
            </w:pPr>
          </w:p>
        </w:tc>
      </w:tr>
      <w:tr>
        <w:trPr>
          <w:trHeight w:val="22"/>
        </w:trPr>
        <w:tc>
          <w:tcPr>
            <w:tcW w:w="7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Total 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760,660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649,693</w:t>
            </w:r>
          </w:p>
        </w:tc>
        <w:tc>
          <w:tcPr>
            <w:tcW w:w="0" w:type="dxa"/>
            <w:vAlign w:val="bottom"/>
          </w:tcPr>
          <w:p>
            <w:pPr>
              <w:spacing w:after="0"/>
              <w:rPr>
                <w:sz w:val="1"/>
                <w:szCs w:val="1"/>
                <w:color w:val="auto"/>
              </w:rPr>
            </w:pPr>
          </w:p>
        </w:tc>
      </w:tr>
      <w:tr>
        <w:trPr>
          <w:trHeight w:val="273"/>
        </w:trPr>
        <w:tc>
          <w:tcPr>
            <w:tcW w:w="7800" w:type="dxa"/>
            <w:vAlign w:val="bottom"/>
          </w:tcPr>
          <w:p>
            <w:pPr>
              <w:ind w:left="3720"/>
              <w:spacing w:after="0"/>
              <w:rPr>
                <w:sz w:val="20"/>
                <w:szCs w:val="20"/>
                <w:color w:val="auto"/>
              </w:rPr>
            </w:pPr>
            <w:r>
              <w:rPr>
                <w:rFonts w:ascii="Arial" w:cs="Arial" w:eastAsia="Arial" w:hAnsi="Arial"/>
                <w:sz w:val="12"/>
                <w:szCs w:val="12"/>
                <w:b w:val="1"/>
                <w:bCs w:val="1"/>
                <w:color w:val="auto"/>
              </w:rPr>
              <w:t>LIABILITIES AND STOCKHOLDERS’ EQUITY</w:t>
            </w: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Notes payable and current maturities of long-term debt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16,062</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695</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25,590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20,652</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Accrued payroll and related costs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39,046</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30,771</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Accrued income taxes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5,092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2,833</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liability</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68</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accrued liabilities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50,639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37,895</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136,497</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92,863</w:t>
            </w:r>
          </w:p>
        </w:tc>
        <w:tc>
          <w:tcPr>
            <w:tcW w:w="0" w:type="dxa"/>
            <w:vAlign w:val="bottom"/>
          </w:tcPr>
          <w:p>
            <w:pPr>
              <w:spacing w:after="0"/>
              <w:rPr>
                <w:sz w:val="1"/>
                <w:szCs w:val="1"/>
                <w:color w:val="auto"/>
              </w:rPr>
            </w:pPr>
          </w:p>
        </w:tc>
      </w:tr>
      <w:tr>
        <w:trPr>
          <w:trHeight w:val="150"/>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Long-term debt, net of current maturities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4,589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5,343</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Deferred tax liability, long-term</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13,535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3,129</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long-term liabilities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12,915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8,474</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Commitments and contingencies (Note 10)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Common stock, $.01 par value; Authorized — 150,000,000 shares; Issued 25,440,856 in April 3, 2010 and 25,622,449 in 2009</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256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252,323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226,829</w:t>
            </w:r>
          </w:p>
        </w:tc>
        <w:tc>
          <w:tcPr>
            <w:tcW w:w="0" w:type="dxa"/>
            <w:vAlign w:val="bottom"/>
          </w:tcPr>
          <w:p>
            <w:pPr>
              <w:spacing w:after="0"/>
              <w:rPr>
                <w:sz w:val="1"/>
                <w:szCs w:val="1"/>
                <w:color w:val="auto"/>
              </w:rPr>
            </w:pPr>
          </w:p>
        </w:tc>
      </w:tr>
      <w:tr>
        <w:trPr>
          <w:trHeight w:val="147"/>
        </w:trPr>
        <w:tc>
          <w:tcPr>
            <w:tcW w:w="7800" w:type="dxa"/>
            <w:vAlign w:val="bottom"/>
          </w:tcPr>
          <w:p>
            <w:pPr>
              <w:ind w:left="120"/>
              <w:spacing w:after="0"/>
              <w:rPr>
                <w:sz w:val="20"/>
                <w:szCs w:val="20"/>
                <w:color w:val="auto"/>
              </w:rPr>
            </w:pPr>
            <w:r>
              <w:rPr>
                <w:rFonts w:ascii="Arial" w:cs="Arial" w:eastAsia="Arial" w:hAnsi="Arial"/>
                <w:sz w:val="12"/>
                <w:szCs w:val="12"/>
                <w:color w:val="auto"/>
              </w:rPr>
              <w:t>Retained earnings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334,641</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309,516</w:t>
            </w:r>
          </w:p>
        </w:tc>
        <w:tc>
          <w:tcPr>
            <w:tcW w:w="0" w:type="dxa"/>
            <w:vAlign w:val="bottom"/>
          </w:tcPr>
          <w:p>
            <w:pPr>
              <w:spacing w:after="0"/>
              <w:rPr>
                <w:sz w:val="1"/>
                <w:szCs w:val="1"/>
                <w:color w:val="auto"/>
              </w:rPr>
            </w:pPr>
          </w:p>
        </w:tc>
      </w:tr>
      <w:tr>
        <w:trPr>
          <w:trHeight w:val="147"/>
        </w:trPr>
        <w:tc>
          <w:tcPr>
            <w:tcW w:w="78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5,905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3,283</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593,124</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539,884</w:t>
            </w:r>
          </w:p>
        </w:tc>
        <w:tc>
          <w:tcPr>
            <w:tcW w:w="0" w:type="dxa"/>
            <w:vAlign w:val="bottom"/>
          </w:tcPr>
          <w:p>
            <w:pPr>
              <w:spacing w:after="0"/>
              <w:rPr>
                <w:sz w:val="1"/>
                <w:szCs w:val="1"/>
                <w:color w:val="auto"/>
              </w:rPr>
            </w:pPr>
          </w:p>
        </w:tc>
      </w:tr>
      <w:tr>
        <w:trPr>
          <w:trHeight w:val="22"/>
        </w:trPr>
        <w:tc>
          <w:tcPr>
            <w:tcW w:w="7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80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Total liabilities and stockholders’ equity</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760,660</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649,693</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STOCKHOLDERS’ EQUITY AND COMPREHENSIVE INCOME</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400" w:type="dxa"/>
            <w:vAlign w:val="bottom"/>
          </w:tcPr>
          <w:p>
            <w:pPr>
              <w:spacing w:after="0"/>
              <w:rPr>
                <w:sz w:val="8"/>
                <w:szCs w:val="8"/>
                <w:color w:val="auto"/>
              </w:rPr>
            </w:pPr>
          </w:p>
        </w:tc>
        <w:tc>
          <w:tcPr>
            <w:tcW w:w="1040" w:type="dxa"/>
            <w:vAlign w:val="bottom"/>
            <w:gridSpan w:val="5"/>
          </w:tcPr>
          <w:p>
            <w:pPr>
              <w:jc w:val="right"/>
              <w:ind w:right="440"/>
              <w:spacing w:after="0" w:line="98" w:lineRule="exact"/>
              <w:rPr>
                <w:sz w:val="20"/>
                <w:szCs w:val="20"/>
                <w:color w:val="auto"/>
              </w:rPr>
            </w:pPr>
            <w:r>
              <w:rPr>
                <w:rFonts w:ascii="Arial" w:cs="Arial" w:eastAsia="Arial" w:hAnsi="Arial"/>
                <w:sz w:val="9"/>
                <w:szCs w:val="9"/>
                <w:b w:val="1"/>
                <w:bCs w:val="1"/>
                <w:color w:val="auto"/>
              </w:rPr>
              <w:t>Common</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8"/>
                <w:szCs w:val="8"/>
                <w:color w:val="auto"/>
              </w:rPr>
            </w:pPr>
          </w:p>
        </w:tc>
        <w:tc>
          <w:tcPr>
            <w:tcW w:w="920" w:type="dxa"/>
            <w:vAlign w:val="bottom"/>
            <w:gridSpan w:val="2"/>
          </w:tcPr>
          <w:p>
            <w:pPr>
              <w:jc w:val="center"/>
              <w:ind w:right="280"/>
              <w:spacing w:after="0" w:line="98" w:lineRule="exact"/>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400" w:type="dxa"/>
            <w:vAlign w:val="bottom"/>
          </w:tcPr>
          <w:p>
            <w:pPr>
              <w:spacing w:after="0"/>
              <w:rPr>
                <w:sz w:val="9"/>
                <w:szCs w:val="9"/>
                <w:color w:val="auto"/>
              </w:rPr>
            </w:pP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9"/>
                <w:szCs w:val="9"/>
                <w:b w:val="1"/>
                <w:bCs w:val="1"/>
                <w:color w:val="auto"/>
              </w:rPr>
              <w:t>Stock</w:t>
            </w:r>
          </w:p>
        </w:tc>
        <w:tc>
          <w:tcPr>
            <w:tcW w:w="2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9"/>
                <w:szCs w:val="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9"/>
                <w:szCs w:val="9"/>
                <w:b w:val="1"/>
                <w:bCs w:val="1"/>
                <w:color w:val="auto"/>
                <w:w w:val="89"/>
              </w:rPr>
              <w:t>Retained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9"/>
                <w:szCs w:val="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0"/>
              </w:rPr>
              <w:t>Stockholders’</w:t>
            </w:r>
          </w:p>
        </w:tc>
        <w:tc>
          <w:tcPr>
            <w:tcW w:w="80" w:type="dxa"/>
            <w:vAlign w:val="bottom"/>
          </w:tcPr>
          <w:p>
            <w:pPr>
              <w:spacing w:after="0"/>
              <w:rPr>
                <w:sz w:val="9"/>
                <w:szCs w:val="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9"/>
                <w:szCs w:val="9"/>
                <w:b w:val="1"/>
                <w:bCs w:val="1"/>
                <w:color w:val="auto"/>
                <w:w w:val="94"/>
              </w:rPr>
              <w:t>Comprehensive</w:t>
            </w:r>
          </w:p>
        </w:tc>
      </w:tr>
      <w:tr>
        <w:trPr>
          <w:trHeight w:val="88"/>
        </w:trPr>
        <w:tc>
          <w:tcPr>
            <w:tcW w:w="4400" w:type="dxa"/>
            <w:vAlign w:val="bottom"/>
          </w:tcPr>
          <w:p>
            <w:pPr>
              <w:spacing w:after="0"/>
              <w:rPr>
                <w:sz w:val="7"/>
                <w:szCs w:val="7"/>
                <w:color w:val="auto"/>
              </w:rPr>
            </w:pPr>
          </w:p>
        </w:tc>
        <w:tc>
          <w:tcPr>
            <w:tcW w:w="380" w:type="dxa"/>
            <w:vAlign w:val="bottom"/>
            <w:tcBorders>
              <w:bottom w:val="single" w:sz="8" w:color="auto"/>
            </w:tcBorders>
          </w:tcPr>
          <w:p>
            <w:pPr>
              <w:jc w:val="right"/>
              <w:ind w:right="8"/>
              <w:spacing w:after="0" w:line="88" w:lineRule="exact"/>
              <w:rPr>
                <w:sz w:val="20"/>
                <w:szCs w:val="20"/>
                <w:color w:val="auto"/>
              </w:rPr>
            </w:pPr>
            <w:r>
              <w:rPr>
                <w:rFonts w:ascii="Arial" w:cs="Arial" w:eastAsia="Arial" w:hAnsi="Arial"/>
                <w:sz w:val="9"/>
                <w:szCs w:val="9"/>
                <w:b w:val="1"/>
                <w:bCs w:val="1"/>
                <w:color w:val="auto"/>
                <w:w w:val="99"/>
              </w:rPr>
              <w:t>Shares</w:t>
            </w:r>
          </w:p>
        </w:tc>
        <w:tc>
          <w:tcPr>
            <w:tcW w:w="200" w:type="dxa"/>
            <w:vAlign w:val="bottom"/>
            <w:gridSpan w:val="2"/>
          </w:tcPr>
          <w:p>
            <w:pPr>
              <w:spacing w:after="0"/>
              <w:rPr>
                <w:sz w:val="7"/>
                <w:szCs w:val="7"/>
                <w:color w:val="auto"/>
              </w:rPr>
            </w:pPr>
          </w:p>
        </w:tc>
        <w:tc>
          <w:tcPr>
            <w:tcW w:w="26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rPr>
              <w:t>$’s</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rPr>
              <w:t>Capital</w:t>
            </w: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w w:val="88"/>
              </w:rPr>
              <w:t>Earnings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w w:val="91"/>
              </w:rPr>
              <w:t>Income/(Loss)</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28"/>
              <w:spacing w:after="0" w:line="88" w:lineRule="exact"/>
              <w:rPr>
                <w:sz w:val="20"/>
                <w:szCs w:val="20"/>
                <w:color w:val="auto"/>
              </w:rPr>
            </w:pPr>
            <w:r>
              <w:rPr>
                <w:rFonts w:ascii="Arial" w:cs="Arial" w:eastAsia="Arial" w:hAnsi="Arial"/>
                <w:sz w:val="9"/>
                <w:szCs w:val="9"/>
                <w:b w:val="1"/>
                <w:bCs w:val="1"/>
                <w:color w:val="auto"/>
              </w:rPr>
              <w:t>Equity</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jc w:val="right"/>
              <w:ind w:right="248"/>
              <w:spacing w:after="0" w:line="88" w:lineRule="exact"/>
              <w:rPr>
                <w:sz w:val="20"/>
                <w:szCs w:val="20"/>
                <w:color w:val="auto"/>
              </w:rPr>
            </w:pPr>
            <w:r>
              <w:rPr>
                <w:rFonts w:ascii="Arial" w:cs="Arial" w:eastAsia="Arial" w:hAnsi="Arial"/>
                <w:sz w:val="9"/>
                <w:szCs w:val="9"/>
                <w:b w:val="1"/>
                <w:bCs w:val="1"/>
                <w:color w:val="auto"/>
              </w:rPr>
              <w:t>Income</w:t>
            </w:r>
          </w:p>
        </w:tc>
        <w:tc>
          <w:tcPr>
            <w:tcW w:w="100" w:type="dxa"/>
            <w:vAlign w:val="bottom"/>
          </w:tcPr>
          <w:p>
            <w:pPr>
              <w:spacing w:after="0"/>
              <w:rPr>
                <w:sz w:val="7"/>
                <w:szCs w:val="7"/>
                <w:color w:val="auto"/>
              </w:rPr>
            </w:pPr>
          </w:p>
        </w:tc>
      </w:tr>
      <w:tr>
        <w:trPr>
          <w:trHeight w:val="117"/>
        </w:trPr>
        <w:tc>
          <w:tcPr>
            <w:tcW w:w="4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3"/>
          </w:tcPr>
          <w:p>
            <w:pPr>
              <w:jc w:val="right"/>
              <w:ind w:right="328"/>
              <w:spacing w:after="0"/>
              <w:rPr>
                <w:sz w:val="20"/>
                <w:szCs w:val="20"/>
                <w:color w:val="auto"/>
              </w:rPr>
            </w:pPr>
            <w:r>
              <w:rPr>
                <w:rFonts w:ascii="Arial" w:cs="Arial" w:eastAsia="Arial" w:hAnsi="Arial"/>
                <w:sz w:val="9"/>
                <w:szCs w:val="9"/>
                <w:b w:val="1"/>
                <w:bCs w:val="1"/>
                <w:color w:val="auto"/>
                <w:w w:val="96"/>
              </w:rPr>
              <w:t>(In thousands)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8"/>
        </w:trPr>
        <w:tc>
          <w:tcPr>
            <w:tcW w:w="4400" w:type="dxa"/>
            <w:vAlign w:val="bottom"/>
            <w:shd w:val="clear" w:color="auto" w:fill="CCEEFF"/>
          </w:tcPr>
          <w:p>
            <w:pPr>
              <w:spacing w:after="0"/>
              <w:rPr>
                <w:sz w:val="20"/>
                <w:szCs w:val="20"/>
                <w:color w:val="auto"/>
              </w:rPr>
            </w:pPr>
            <w:r>
              <w:rPr>
                <w:rFonts w:ascii="Arial" w:cs="Arial" w:eastAsia="Arial" w:hAnsi="Arial"/>
                <w:sz w:val="10"/>
                <w:szCs w:val="10"/>
                <w:color w:val="auto"/>
              </w:rPr>
              <w:t>Balance, March 31, 2007</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26,517</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95"/>
              </w:rPr>
              <w:t>$ 265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163,815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315,767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479,648</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18"/>
        </w:trPr>
        <w:tc>
          <w:tcPr>
            <w:tcW w:w="4400" w:type="dxa"/>
            <w:vAlign w:val="bottom"/>
          </w:tcPr>
          <w:p>
            <w:pPr>
              <w:ind w:left="120"/>
              <w:spacing w:after="0"/>
              <w:rPr>
                <w:sz w:val="20"/>
                <w:szCs w:val="20"/>
                <w:color w:val="auto"/>
              </w:rPr>
            </w:pPr>
            <w:r>
              <w:rPr>
                <w:rFonts w:ascii="Arial" w:cs="Arial" w:eastAsia="Arial" w:hAnsi="Arial"/>
                <w:sz w:val="10"/>
                <w:szCs w:val="10"/>
                <w:color w:val="auto"/>
              </w:rPr>
              <w:t>Employee stock purchase plan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56</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2,208</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2,209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5"/>
        </w:trPr>
        <w:tc>
          <w:tcPr>
            <w:tcW w:w="440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rPr>
              <w:t>Exercise of stock options, release of restricted stock units, vesting of restricted stock award, and</w:t>
            </w: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44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related tax benefit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575</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20,488</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20,493</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Shares repurchased — Authorized Unissued</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(1,463)</w:t>
            </w: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(15)</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(9,430)</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(65,551)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(74,996)</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restricted stock, net of cancellations</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10</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9,852</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9,852</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51,980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51,980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51,980</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276</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276</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276</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11,748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11,748</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11,748</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Unrealized loss on hedges,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(10,055)</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(10,055)</w:t>
            </w: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(10,055)</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Reclassification of hedge loss to earnings</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3,033</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3,033</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3,033</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56,982</w:t>
            </w:r>
          </w:p>
        </w:tc>
        <w:tc>
          <w:tcPr>
            <w:tcW w:w="100" w:type="dxa"/>
            <w:vAlign w:val="bottom"/>
          </w:tcPr>
          <w:p>
            <w:pPr>
              <w:spacing w:after="0"/>
              <w:rPr>
                <w:sz w:val="9"/>
                <w:szCs w:val="9"/>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March 29, 2008</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25,695</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5"/>
              </w:rPr>
              <w:t>$ 256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186,933</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302,196</w:t>
            </w:r>
          </w:p>
        </w:tc>
        <w:tc>
          <w:tcPr>
            <w:tcW w:w="2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4,803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494,188</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4400" w:type="dxa"/>
            <w:vAlign w:val="bottom"/>
          </w:tcPr>
          <w:p>
            <w:pPr>
              <w:ind w:left="120"/>
              <w:spacing w:after="0"/>
              <w:rPr>
                <w:sz w:val="20"/>
                <w:szCs w:val="20"/>
                <w:color w:val="auto"/>
              </w:rPr>
            </w:pPr>
            <w:r>
              <w:rPr>
                <w:rFonts w:ascii="Arial" w:cs="Arial" w:eastAsia="Arial" w:hAnsi="Arial"/>
                <w:sz w:val="10"/>
                <w:szCs w:val="10"/>
                <w:color w:val="auto"/>
              </w:rPr>
              <w:t>Employee stock purchase plan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2,658</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2,659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5"/>
        </w:trPr>
        <w:tc>
          <w:tcPr>
            <w:tcW w:w="440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rPr>
              <w:t>Exercise of stock options, release of restricted stock units, vesting of restricted stock award, and</w:t>
            </w: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44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related tax benefit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950</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35,060</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35,070</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Shares repurchased — Authorized Unissued</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(1,100)</w:t>
            </w: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(8,003)</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(51,984)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(59,998)</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restricted stock, net of cancellations</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18</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10,181</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10,181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59,304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59,304</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(697)</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(697)</w:t>
            </w: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(697)</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(10,045)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(10,045)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(10,045)</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Unrealized gain on hedges,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4,858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4,858</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4,858</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Reclassification of hedge loss to earnings</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4,364</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4,364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4,364</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57,784</w:t>
            </w:r>
          </w:p>
        </w:tc>
        <w:tc>
          <w:tcPr>
            <w:tcW w:w="100" w:type="dxa"/>
            <w:vAlign w:val="bottom"/>
          </w:tcPr>
          <w:p>
            <w:pPr>
              <w:spacing w:after="0"/>
              <w:rPr>
                <w:sz w:val="9"/>
                <w:szCs w:val="9"/>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March 28, 2009</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25,622</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5"/>
              </w:rPr>
              <w:t>$ 256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226,829</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309,516</w:t>
            </w:r>
          </w:p>
        </w:tc>
        <w:tc>
          <w:tcPr>
            <w:tcW w:w="2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3,283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539,884</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18"/>
        </w:trPr>
        <w:tc>
          <w:tcPr>
            <w:tcW w:w="4400" w:type="dxa"/>
            <w:vAlign w:val="bottom"/>
          </w:tcPr>
          <w:p>
            <w:pPr>
              <w:ind w:left="120"/>
              <w:spacing w:after="0"/>
              <w:rPr>
                <w:sz w:val="20"/>
                <w:szCs w:val="20"/>
                <w:color w:val="auto"/>
              </w:rPr>
            </w:pPr>
            <w:r>
              <w:rPr>
                <w:rFonts w:ascii="Arial" w:cs="Arial" w:eastAsia="Arial" w:hAnsi="Arial"/>
                <w:sz w:val="10"/>
                <w:szCs w:val="10"/>
                <w:color w:val="auto"/>
              </w:rPr>
              <w:t>Employee stock purchase plan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66</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2,908</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95"/>
        </w:trPr>
        <w:tc>
          <w:tcPr>
            <w:tcW w:w="4400" w:type="dxa"/>
            <w:vAlign w:val="bottom"/>
            <w:shd w:val="clear" w:color="auto" w:fill="CCEEFF"/>
          </w:tcPr>
          <w:p>
            <w:pPr>
              <w:ind w:left="120"/>
              <w:spacing w:after="0" w:line="95" w:lineRule="exact"/>
              <w:rPr>
                <w:sz w:val="20"/>
                <w:szCs w:val="20"/>
                <w:color w:val="auto"/>
              </w:rPr>
            </w:pPr>
            <w:r>
              <w:rPr>
                <w:rFonts w:ascii="Arial" w:cs="Arial" w:eastAsia="Arial" w:hAnsi="Arial"/>
                <w:sz w:val="10"/>
                <w:szCs w:val="10"/>
                <w:color w:val="auto"/>
              </w:rPr>
              <w:t>Exercise of stock options, release of restricted stock units, vesting of restricted stock award, and</w:t>
            </w:r>
          </w:p>
        </w:tc>
        <w:tc>
          <w:tcPr>
            <w:tcW w:w="3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121"/>
        </w:trPr>
        <w:tc>
          <w:tcPr>
            <w:tcW w:w="44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related tax benefit</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color w:val="auto"/>
              </w:rPr>
              <w:t>488</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19,067</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19,072</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Shares repurchased — Authorized Unissued</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(735)</w:t>
            </w: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(6,748)</w:t>
            </w:r>
          </w:p>
        </w:tc>
        <w:tc>
          <w:tcPr>
            <w:tcW w:w="60" w:type="dxa"/>
            <w:vAlign w:val="bottom"/>
          </w:tcPr>
          <w:p>
            <w:pPr>
              <w:spacing w:after="0"/>
              <w:rPr>
                <w:sz w:val="9"/>
                <w:szCs w:val="9"/>
                <w:color w:val="auto"/>
              </w:rPr>
            </w:pPr>
          </w:p>
        </w:tc>
        <w:tc>
          <w:tcPr>
            <w:tcW w:w="5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(33,245)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(40,000)</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10,267</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10,267</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58,370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58,370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58,370</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(309)</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(309)</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2,599</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2,599</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2,599</w:t>
            </w: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loss on hedges,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(477)</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(477)</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(477)</w:t>
            </w: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of hedge loss to earnings</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809</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809</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809</w:t>
            </w: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60,992</w:t>
            </w:r>
          </w:p>
        </w:tc>
      </w:tr>
      <w:tr>
        <w:trPr>
          <w:trHeight w:val="117"/>
        </w:trPr>
        <w:tc>
          <w:tcPr>
            <w:tcW w:w="4400" w:type="dxa"/>
            <w:vAlign w:val="bottom"/>
          </w:tcPr>
          <w:p>
            <w:pPr>
              <w:spacing w:after="0" w:line="108" w:lineRule="exact"/>
              <w:rPr>
                <w:sz w:val="20"/>
                <w:szCs w:val="20"/>
                <w:color w:val="auto"/>
              </w:rPr>
            </w:pPr>
            <w:r>
              <w:rPr>
                <w:rFonts w:ascii="Arial" w:cs="Arial" w:eastAsia="Arial" w:hAnsi="Arial"/>
                <w:sz w:val="10"/>
                <w:szCs w:val="10"/>
                <w:color w:val="auto"/>
              </w:rPr>
              <w:t>Balance, April 3, 2010</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25,441</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$ 255</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252,323</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334,641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5,905</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593,124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0"/>
                <w:szCs w:val="10"/>
                <w:b w:val="1"/>
                <w:bCs w:val="1"/>
                <w:color w:val="auto"/>
                <w:w w:val="83"/>
              </w:rPr>
              <w:t>Year Ended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April 3,</w:t>
            </w:r>
          </w:p>
        </w:tc>
        <w:tc>
          <w:tcPr>
            <w:tcW w:w="280" w:type="dxa"/>
            <w:vAlign w:val="bottom"/>
          </w:tcPr>
          <w:p>
            <w:pPr>
              <w:spacing w:after="0"/>
              <w:rPr>
                <w:sz w:val="7"/>
                <w:szCs w:val="7"/>
                <w:color w:val="auto"/>
              </w:rPr>
            </w:pPr>
          </w:p>
        </w:tc>
        <w:tc>
          <w:tcPr>
            <w:tcW w:w="920" w:type="dxa"/>
            <w:vAlign w:val="bottom"/>
            <w:gridSpan w:val="2"/>
          </w:tcPr>
          <w:p>
            <w:pPr>
              <w:jc w:val="right"/>
              <w:ind w:right="460"/>
              <w:spacing w:after="0" w:line="81" w:lineRule="exact"/>
              <w:rPr>
                <w:sz w:val="20"/>
                <w:szCs w:val="20"/>
                <w:color w:val="auto"/>
              </w:rPr>
            </w:pPr>
            <w:r>
              <w:rPr>
                <w:rFonts w:ascii="Arial" w:cs="Arial" w:eastAsia="Arial" w:hAnsi="Arial"/>
                <w:sz w:val="9"/>
                <w:szCs w:val="9"/>
                <w:b w:val="1"/>
                <w:bCs w:val="1"/>
                <w:color w:val="auto"/>
              </w:rPr>
              <w:t>March 28,</w:t>
            </w:r>
          </w:p>
        </w:tc>
        <w:tc>
          <w:tcPr>
            <w:tcW w:w="6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58,370</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59,304</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51,980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b w:val="1"/>
                <w:bCs w:val="1"/>
                <w:color w:val="auto"/>
              </w:rPr>
              <w:t>Non cash items: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43,236</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36,462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31,197</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Stock compensation expense</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10,267</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10,181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9,852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tax expense/(benefit)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2,592</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1,645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(Gain)/Loss on sales of property, plant and equipment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(435)</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(124)</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loss/(gain) from hedging activities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(1,368)</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3,812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(3,995)</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Contingent consideration income</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(2,345)</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Accretion of intererst expense on contingent consideration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588</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Asset impairment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15,686</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operating assets and liabilities: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Decrease/(Increase) in accounts receivable, net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4,364</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2</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(18,229)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 in inventories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(1,665)</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(11,236)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(2,874)</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(Increase)/Decrease in prepaid income taxes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7,254</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(2,913)</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(8,082)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Decrease/(Increase) in other assets and other long-term liabilities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(13,809)</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(4,241)</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6,439</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Tax benefit of exercise of stock options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2,670</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3,368</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1,586</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Increase/(Decrease) in accounts payable and accrued expenses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5,263</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20,104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10,455</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130,668</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116,364</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77,669</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Capital expenditures on property, plant and equipment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(56,304)</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(56,379)</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(57,790)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1,785</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2,383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1,834</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Global Med Technologies</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(58,052)</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SEBRA</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(12,845)</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Neoteric</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(6,613)</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Altivation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(3,545)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Medicell</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(306)</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(2,459)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HaemoScope</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(45,591)</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Infonale</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(1,300)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(132,335)</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(60,000)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(102,847)</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Payments on long-term real estate mortgage</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(754)</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(694)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Net decrease in short-term revolving credit agreements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6,184</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(5,580)</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(18,709)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Employee stock purchase plan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2,909</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2,659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2,209</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Exercise of stock options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17,270</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25,406</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17,245</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Excess tax benefit on exercise of stock options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421</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7,470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1,661</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Stock repurchase</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(40,000)</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(59,998)</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(74,996)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Net cash used in financing activities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(13,970)</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(30,737)</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(73,228)</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478</w:t>
            </w:r>
          </w:p>
        </w:tc>
        <w:tc>
          <w:tcPr>
            <w:tcW w:w="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2"/>
                <w:szCs w:val="12"/>
                <w:color w:val="auto"/>
              </w:rPr>
              <w:t>(2,459)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2,732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Increase/(Decrease) in Cash and Cash Equivalents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(15,159)</w:t>
            </w:r>
          </w:p>
        </w:tc>
        <w:tc>
          <w:tcPr>
            <w:tcW w:w="28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23,168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(95,674)</w:t>
            </w: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b w:val="1"/>
                <w:bCs w:val="1"/>
                <w:color w:val="auto"/>
              </w:rPr>
              <w:t>Cash and Cash Equivalents at Beginning of Year</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156,721</w:t>
            </w:r>
          </w:p>
        </w:tc>
        <w:tc>
          <w:tcPr>
            <w:tcW w:w="280" w:type="dxa"/>
            <w:vAlign w:val="bottom"/>
          </w:tcPr>
          <w:p>
            <w:pPr>
              <w:spacing w:after="0"/>
              <w:rPr>
                <w:sz w:val="12"/>
                <w:szCs w:val="12"/>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133,553</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229,227</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141,562</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156,721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133,553</w:t>
            </w:r>
          </w:p>
        </w:tc>
        <w:tc>
          <w:tcPr>
            <w:tcW w:w="0" w:type="dxa"/>
            <w:vAlign w:val="bottom"/>
          </w:tcPr>
          <w:p>
            <w:pPr>
              <w:spacing w:after="0"/>
              <w:rPr>
                <w:sz w:val="1"/>
                <w:szCs w:val="1"/>
                <w:color w:val="auto"/>
              </w:rPr>
            </w:pPr>
          </w:p>
        </w:tc>
      </w:tr>
      <w:tr>
        <w:trPr>
          <w:trHeight w:val="155"/>
        </w:trPr>
        <w:tc>
          <w:tcPr>
            <w:tcW w:w="7300" w:type="dxa"/>
            <w:vAlign w:val="bottom"/>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Transfers from inventory to fixed assets for placements of Haemonetics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5,132</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6,818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1,672</w:t>
            </w:r>
          </w:p>
        </w:tc>
        <w:tc>
          <w:tcPr>
            <w:tcW w:w="0" w:type="dxa"/>
            <w:vAlign w:val="bottom"/>
          </w:tcPr>
          <w:p>
            <w:pPr>
              <w:spacing w:after="0"/>
              <w:rPr>
                <w:sz w:val="1"/>
                <w:szCs w:val="1"/>
                <w:color w:val="auto"/>
              </w:rPr>
            </w:pPr>
          </w:p>
        </w:tc>
      </w:tr>
      <w:tr>
        <w:trPr>
          <w:trHeight w:val="29"/>
        </w:trPr>
        <w:tc>
          <w:tcPr>
            <w:tcW w:w="7300" w:type="dxa"/>
            <w:vAlign w:val="bottom"/>
            <w:vMerge w:val="restart"/>
          </w:tcPr>
          <w:p>
            <w:pPr>
              <w:ind w:left="120"/>
              <w:spacing w:after="0"/>
              <w:rPr>
                <w:sz w:val="20"/>
                <w:szCs w:val="20"/>
                <w:color w:val="auto"/>
              </w:rPr>
            </w:pPr>
            <w:r>
              <w:rPr>
                <w:rFonts w:ascii="Arial" w:cs="Arial" w:eastAsia="Arial" w:hAnsi="Arial"/>
                <w:sz w:val="12"/>
                <w:szCs w:val="12"/>
                <w:color w:val="auto"/>
              </w:rPr>
              <w:t>Debt assumed from acquisition</w:t>
            </w: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7,833</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Interest paid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563</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545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991</w:t>
            </w:r>
          </w:p>
        </w:tc>
        <w:tc>
          <w:tcPr>
            <w:tcW w:w="0" w:type="dxa"/>
            <w:vAlign w:val="bottom"/>
          </w:tcPr>
          <w:p>
            <w:pPr>
              <w:spacing w:after="0"/>
              <w:rPr>
                <w:sz w:val="1"/>
                <w:szCs w:val="1"/>
                <w:color w:val="auto"/>
              </w:rPr>
            </w:pPr>
          </w:p>
        </w:tc>
      </w:tr>
      <w:tr>
        <w:trPr>
          <w:trHeight w:val="34"/>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21,519</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19,391</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23,851</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BUSINESS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Haemonetics is a global healthcare company dedicated to providing innovative blood management solutions for our customers — plasma collectors, blood collectors, and hospitals. Anchored by our strong brand name in medical device systems for the transfusion industry, we also provide information technology platforms and valued added services to provide customers with business solutions which support improved clinical outcomes for patients and efficiency in the blood supply chain.</w:t>
      </w:r>
    </w:p>
    <w:p>
      <w:pPr>
        <w:spacing w:after="0" w:line="67"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Our systems automate the collection and processing of donated blood; perform blood diagnostics; salvage and process surgical patient blood; and dispense blood within the hospital. These systems include devices and single-use, proprietary disposable sets that operate only on our specialized equipment. Our blood processing systems allow users to collect and process only the blood component(s) they target — plasma, platelets, or red blood cells — increasing donor and patient safety as well as collection efficiencies. Our blood diagnostics system assesses the likelihood of a patient’s blood loss allowing clinicians to make informed decisions about a patient’s treatment as it relates to blood loss in surgery. Our surgical blood salvage systems collect blood lost by a patient in surgery, clean the blood, and make it available for reinfusion to the patient, in this way giving the patient the safest blood possible — his or her own. Our blood distribution systems are “smart” refrigerators located throughout hospitals which automate the storage, inventory tracking, and dispositioning of blood in key blood use areas.</w:t>
      </w:r>
    </w:p>
    <w:p>
      <w:pPr>
        <w:spacing w:after="0" w:line="45"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Our information technology platforms are used by blood and plasma collectors to improve the safety and efficiency of blood collection logistics by eliminating previously manual functions at not-for-profit blood banks and commercial plasma centers. Our platforms are also used by hospitals to enable hospital administrators to monitor and measure blood management practices and to manage processes within transfusion services. Our information technology platforms allow all customers to better manage processes across the blood supply chain, comply with regulatory requirements, and identify increased opportunities to reduce costs.</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business services include consulting, Six Sigma, and LEAN manufacturing offerings that support our customers’ needs for regulatory compliance and operational efficiency in the blood supply chain and best practice in blood management.</w:t>
      </w:r>
    </w:p>
    <w:p>
      <w:pPr>
        <w:spacing w:after="0" w:line="134"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fiscal year ends on the Saturday closest to the last day of March. Fiscal year 2010 includes 53 weeks with each of the first three quarters having 13 weeks and the fourth quarter having 14 weeks. Fiscal years 2009 and 2008 each included 52 weeks with all four quarters having 13 weeks.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accompanying consolidated financial statements include all accounts including those of our subsidiaries. All significant intercompany accounts and transactions have been eliminated in consolidation.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to prior years’ amounts to conform to the current year’s presentation.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 xml:space="preserve">Our revenue recognition policy is to recognize revenues from product sales, software and services in accordance with ASC Topic 605, </w:t>
      </w:r>
      <w:r>
        <w:rPr>
          <w:rFonts w:ascii="Arial" w:cs="Arial" w:eastAsia="Arial" w:hAnsi="Arial"/>
          <w:sz w:val="11"/>
          <w:szCs w:val="11"/>
          <w:i w:val="1"/>
          <w:iCs w:val="1"/>
          <w:color w:val="auto"/>
        </w:rPr>
        <w:t>Revenue Recognition</w:t>
      </w:r>
      <w:r>
        <w:rPr>
          <w:rFonts w:ascii="Arial" w:cs="Arial" w:eastAsia="Arial" w:hAnsi="Arial"/>
          <w:sz w:val="11"/>
          <w:szCs w:val="11"/>
          <w:color w:val="auto"/>
        </w:rPr>
        <w:t xml:space="preserve"> (formerly known as SAB No. 104, </w:t>
      </w:r>
      <w:r>
        <w:rPr>
          <w:rFonts w:ascii="Arial" w:cs="Arial" w:eastAsia="Arial" w:hAnsi="Arial"/>
          <w:sz w:val="11"/>
          <w:szCs w:val="11"/>
          <w:i w:val="1"/>
          <w:iCs w:val="1"/>
          <w:color w:val="auto"/>
        </w:rPr>
        <w:t>Revenue Recognition,</w:t>
      </w:r>
      <w:r>
        <w:rPr>
          <w:rFonts w:ascii="Arial" w:cs="Arial" w:eastAsia="Arial" w:hAnsi="Arial"/>
          <w:sz w:val="11"/>
          <w:szCs w:val="11"/>
          <w:color w:val="auto"/>
        </w:rPr>
        <w:t xml:space="preserve"> and as EITF 00-21, </w:t>
      </w:r>
      <w:r>
        <w:rPr>
          <w:rFonts w:ascii="Arial" w:cs="Arial" w:eastAsia="Arial" w:hAnsi="Arial"/>
          <w:sz w:val="11"/>
          <w:szCs w:val="11"/>
          <w:i w:val="1"/>
          <w:iCs w:val="1"/>
          <w:color w:val="auto"/>
        </w:rPr>
        <w:t>Revenue Arrangements with Multiple Deliverables</w:t>
      </w:r>
      <w:r>
        <w:rPr>
          <w:rFonts w:ascii="Arial" w:cs="Arial" w:eastAsia="Arial" w:hAnsi="Arial"/>
          <w:sz w:val="11"/>
          <w:szCs w:val="11"/>
          <w:color w:val="auto"/>
        </w:rPr>
        <w:t xml:space="preserve">), and ASC Topic 985-605, </w:t>
      </w:r>
      <w:r>
        <w:rPr>
          <w:rFonts w:ascii="Arial" w:cs="Arial" w:eastAsia="Arial" w:hAnsi="Arial"/>
          <w:sz w:val="11"/>
          <w:szCs w:val="11"/>
          <w:i w:val="1"/>
          <w:iCs w:val="1"/>
          <w:color w:val="auto"/>
        </w:rPr>
        <w:t>Software</w:t>
      </w:r>
      <w:r>
        <w:rPr>
          <w:rFonts w:ascii="Arial" w:cs="Arial" w:eastAsia="Arial" w:hAnsi="Arial"/>
          <w:sz w:val="11"/>
          <w:szCs w:val="11"/>
          <w:color w:val="auto"/>
        </w:rPr>
        <w:t xml:space="preserve"> (formerly known as Statement of Position 97-2, </w:t>
      </w:r>
      <w:r>
        <w:rPr>
          <w:rFonts w:ascii="Arial" w:cs="Arial" w:eastAsia="Arial" w:hAnsi="Arial"/>
          <w:sz w:val="11"/>
          <w:szCs w:val="11"/>
          <w:i w:val="1"/>
          <w:iCs w:val="1"/>
          <w:color w:val="auto"/>
        </w:rPr>
        <w:t>Software Revenue Recognition, as amended</w:t>
      </w:r>
      <w:r>
        <w:rPr>
          <w:rFonts w:ascii="Arial" w:cs="Arial" w:eastAsia="Arial" w:hAnsi="Arial"/>
          <w:sz w:val="11"/>
          <w:szCs w:val="11"/>
          <w:color w:val="auto"/>
        </w:rPr>
        <w:t>).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Collection of Taxes from Customers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are required to collect sales or valued added taxes in connection with the sale of certain of our products. We report revenues net of these amounts as they are promptly remitted to the relevant taxing authority.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 Solutions and Services Revenues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At this time, our software solutions business principally provides support to our plasma and blood collection customers and hospitals. Through our Haemonetics Software Solutions unit,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for the period for which the service is provided. Our software solutions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All assets and liabilities of foreign subsidiaries are translated at the rate of exchange at year-end while sales and expenses are translated at an average rate in effect during the year.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net effect of these translation adjustments is shown in the accompanying financial statements as a component of stockholders’ equity.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Cash and cash equivalents are recorded at cost, which approximates fair market value. As of April 3, 2010, Haemonetics’ cash and cash equivalents consisted solely of investments in money market funds invested in United States Government Agency securities. Throughout the year, cash equivalents may include various instruments such as money market funds, U.S. government obligations and commercial paper with maturities of three months or less at date of acquisition.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We establish percentages for balances not yet due and past due accounts based on past experience.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 and Significant Customers</w:t>
      </w:r>
    </w:p>
    <w:p>
      <w:pPr>
        <w:spacing w:after="0" w:line="96"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equivalents and accounts receivable. Sales to one unaffiliated Japanese customer, the Japanese Red Cross Society, amounted to $92.6 million, $87.6 million, and $73.3 million for 2010, 2009, and 2008, respectively. Accounts receivable balances attributable to this customer accounted for 12.6%, 17.5%, and 15.9% of our consolidated accounts receivable at fiscal year ended 2010, 2009, and 2008. While the accounts receivable related to the Japanese Red Cross Society may be significant, we do not believe the credit loss risk to be significant given the consistent payment history by this customer.</w:t>
      </w:r>
    </w:p>
    <w:p>
      <w:pPr>
        <w:spacing w:after="0" w:line="53" w:lineRule="exact"/>
        <w:rPr>
          <w:sz w:val="20"/>
          <w:szCs w:val="20"/>
          <w:color w:val="auto"/>
        </w:rPr>
      </w:pPr>
    </w:p>
    <w:p>
      <w:pPr>
        <w:ind w:left="680" w:right="800" w:firstLine="399"/>
        <w:spacing w:after="0" w:line="320" w:lineRule="auto"/>
        <w:rPr>
          <w:sz w:val="20"/>
          <w:szCs w:val="20"/>
          <w:color w:val="auto"/>
        </w:rPr>
      </w:pPr>
      <w:r>
        <w:rPr>
          <w:rFonts w:ascii="Arial" w:cs="Arial" w:eastAsia="Arial" w:hAnsi="Arial"/>
          <w:sz w:val="12"/>
          <w:szCs w:val="12"/>
          <w:color w:val="auto"/>
        </w:rPr>
        <w:t>Certain other markets and industries can expose us to concentrations of credit risk. For example, in our commercial plasma business, we tend to have only a few customers in total but they are large in size. As a result, our accounts receivable extended to any one of these commercial plasma customers can be somewhat significant at any point in time.</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1300" w:firstLine="399"/>
        <w:spacing w:after="0" w:line="276" w:lineRule="auto"/>
        <w:rPr>
          <w:sz w:val="20"/>
          <w:szCs w:val="20"/>
          <w:color w:val="auto"/>
        </w:rPr>
      </w:pPr>
      <w:r>
        <w:rPr>
          <w:rFonts w:ascii="Arial" w:cs="Arial" w:eastAsia="Arial" w:hAnsi="Arial"/>
          <w:sz w:val="13"/>
          <w:szCs w:val="13"/>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680" w:type="dxa"/>
            <w:vAlign w:val="bottom"/>
          </w:tcPr>
          <w:p>
            <w:pPr>
              <w:spacing w:after="0"/>
              <w:rPr>
                <w:sz w:val="10"/>
                <w:szCs w:val="10"/>
                <w:color w:val="auto"/>
              </w:rPr>
            </w:pPr>
          </w:p>
        </w:tc>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 Classification</w:t>
            </w:r>
          </w:p>
        </w:tc>
        <w:tc>
          <w:tcPr>
            <w:tcW w:w="5320" w:type="dxa"/>
            <w:vAlign w:val="bottom"/>
          </w:tcPr>
          <w:p>
            <w:pPr>
              <w:spacing w:after="0"/>
              <w:rPr>
                <w:sz w:val="10"/>
                <w:szCs w:val="1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Estimated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680" w:type="dxa"/>
            <w:vAlign w:val="bottom"/>
            <w:gridSpan w:val="2"/>
            <w:vMerge w:val="continue"/>
          </w:tcPr>
          <w:p>
            <w:pPr>
              <w:spacing w:after="0"/>
              <w:rPr>
                <w:sz w:val="10"/>
                <w:szCs w:val="10"/>
                <w:color w:val="auto"/>
              </w:rPr>
            </w:pPr>
          </w:p>
        </w:tc>
        <w:tc>
          <w:tcPr>
            <w:tcW w:w="5320" w:type="dxa"/>
            <w:vAlign w:val="bottom"/>
          </w:tcPr>
          <w:p>
            <w:pPr>
              <w:spacing w:after="0"/>
              <w:rPr>
                <w:sz w:val="10"/>
                <w:szCs w:val="1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Useful Lives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5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Building</w:t>
            </w:r>
          </w:p>
        </w:tc>
        <w:tc>
          <w:tcPr>
            <w:tcW w:w="5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Building improvements</w:t>
            </w:r>
          </w:p>
        </w:tc>
        <w:tc>
          <w:tcPr>
            <w:tcW w:w="53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5-20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5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Plant equipment and machinery</w:t>
            </w:r>
          </w:p>
        </w:tc>
        <w:tc>
          <w:tcPr>
            <w:tcW w:w="532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3-10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Office equipment and information technology</w:t>
            </w:r>
          </w:p>
        </w:tc>
        <w:tc>
          <w:tcPr>
            <w:tcW w:w="53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 Years</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Haemonetics equipment</w:t>
            </w:r>
          </w:p>
        </w:tc>
        <w:tc>
          <w:tcPr>
            <w:tcW w:w="532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3"/>
                <w:szCs w:val="13"/>
                <w:color w:val="auto"/>
              </w:rPr>
              <w:t>2-6 Years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320" w:type="dxa"/>
            <w:vAlign w:val="bottom"/>
          </w:tcPr>
          <w:p>
            <w:pPr>
              <w:jc w:val="right"/>
              <w:ind w:right="3874"/>
              <w:spacing w:after="0"/>
              <w:rPr>
                <w:sz w:val="20"/>
                <w:szCs w:val="20"/>
                <w:color w:val="auto"/>
              </w:rPr>
            </w:pPr>
            <w:r>
              <w:rPr>
                <w:rFonts w:ascii="Arial" w:cs="Arial" w:eastAsia="Arial" w:hAnsi="Arial"/>
                <w:sz w:val="13"/>
                <w:szCs w:val="13"/>
                <w:color w:val="auto"/>
              </w:rPr>
              <w:t>54</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53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$35.5 million, $30.5 million, and $27.2 million for fiscal years 2010, 2009, and 2008, respectively.</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Leasehold improvements are amortized over the lesser of their useful lives or the term of the lease. Maintenance and repairs are expensed to operations as incurred. When equipment and improvements are sold or otherwise disposed of, the asset cost and accumulated depreciation are removed from the accounts, and the resulting gain or loss, if any, is included in the statements of income. Fully depreciated assets are removed from the accounts when they are no longer in use.</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installed base of devices includes devices owned by us and devices sold to the customer. The asset on our balance sheet entitled Haemonetics equipment consists of medical devices installed at customer sites but owned by Haemonetics (these devices remain our property). Generally the customer has the right to use it for a period of time as long as they meet the conditions we have established, which among other things, generally include one or more of the following:</w:t>
      </w:r>
    </w:p>
    <w:p>
      <w:pPr>
        <w:spacing w:after="0" w:line="67" w:lineRule="exact"/>
        <w:rPr>
          <w:sz w:val="20"/>
          <w:szCs w:val="20"/>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Purchase and consumption of a certain level of disposable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Payment of monthly rental fees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 asset utilization performance metric, such as performing a minimum level of procedures per month per device</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Consistent with the impairment tests noted for goodwill and other intangible assets subject to amortization, we review our property, plant, and equipment assets, subject to depreciation, and their related useful lives at least once a year, or more if certain conditions arise, to determine if any adverse conditions exist that would indicate the carrying value of these assets may not be recoverable. To conduct these reviews we estimate the future amount and timing of demand for these devices. Changes in expected demand can result in additional depreciation expense, which is classified as cost of goods sold. Any significant unanticipated changes in demand could impact the value of our devices and our reported operating results. There were no indicators of impairment in either fiscal year 2010 or 2009. Expenditures for normal maintenance and repairs are charged to expense as incurred.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67"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 xml:space="preserve">Goodwill and certain other intangible assets, determined to have an indefinite life, are not amortized. Instead these assets are reviewed for impairment at least annually in accordance with ASC Topic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xml:space="preserve"> (formerly known as Statement No.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We perform our annual impairment test on the first day of our fiscal fourth quarter. We have three reporting units. The test is based on a discounted cash flow analysis for each reporting unit. The test showed no evidence of impairment to our goodwill and other indefinite lived assets for either fiscal year 2010 or 2009.</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review our intangible assets, subject to amortization, and their related useful lives at least once a year to determine if any adverse conditions exist that would indicate the carrying value of these assets may not be recoverable. We conduct more frequent impairment assessments if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 impairment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the Costs of Computer Software to be Sold, Leased, or Otherwise Marketed</w:t>
      </w:r>
    </w:p>
    <w:p>
      <w:pPr>
        <w:spacing w:after="0" w:line="9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ASC Topic 985-20, </w:t>
      </w:r>
      <w:r>
        <w:rPr>
          <w:rFonts w:ascii="Arial" w:cs="Arial" w:eastAsia="Arial" w:hAnsi="Arial"/>
          <w:sz w:val="13"/>
          <w:szCs w:val="13"/>
          <w:i w:val="1"/>
          <w:iCs w:val="1"/>
          <w:color w:val="auto"/>
        </w:rPr>
        <w:t>Software</w:t>
      </w:r>
      <w:r>
        <w:rPr>
          <w:rFonts w:ascii="Arial" w:cs="Arial" w:eastAsia="Arial" w:hAnsi="Arial"/>
          <w:sz w:val="13"/>
          <w:szCs w:val="13"/>
          <w:color w:val="auto"/>
        </w:rPr>
        <w:t xml:space="preserve"> (formerly known as SFAS No. 86, </w:t>
      </w:r>
      <w:r>
        <w:rPr>
          <w:rFonts w:ascii="Arial" w:cs="Arial" w:eastAsia="Arial" w:hAnsi="Arial"/>
          <w:sz w:val="13"/>
          <w:szCs w:val="13"/>
          <w:i w:val="1"/>
          <w:iCs w:val="1"/>
          <w:color w:val="auto"/>
        </w:rPr>
        <w:t>Accounting for the Cost of Computer Software to be Sold, Leased or Otherwise Marketed</w:t>
      </w:r>
      <w:r>
        <w:rPr>
          <w:rFonts w:ascii="Arial" w:cs="Arial" w:eastAsia="Arial" w:hAnsi="Arial"/>
          <w:sz w:val="13"/>
          <w:szCs w:val="13"/>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Technological feasibility is established when we have a detailed design of the software and when research and development activities on the underlying device, if applicable, are completed. We review the net realizable value of capitalized assets periodically to assess the recoverability of amounts capitalized.</w:t>
      </w:r>
    </w:p>
    <w:p>
      <w:pPr>
        <w:spacing w:after="0" w:line="71"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At the end of fiscal year 2010, based on a review of ongoing development plans for our next generation platelet apheresis products (Portico), we abandoned and wrote off $12.2 million associated with previously capitalized software development costs. Additionally, in connection with the acquisition of Global Med we elected to no longer market the Symphony blood bank donation management system in favor of Global Med’s El Dorado application. As a result, we wrote off the carrying value of the Symphony intangible asset totaling approximately $3.5 million.</w:t>
      </w:r>
    </w:p>
    <w:p>
      <w:pPr>
        <w:spacing w:after="0" w:line="70"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Additionally, the Company has capitalized $4.7 million in other software development costs during fiscal year 2010 for ongoing initiatives. At April 3, 2010, we have a total of $7.6 million of costs capitalized related to other in process software development initiatives. The costs capitalized for each project are included in intangible assets in the consolidated financial statements.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Accrued Liabilities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Other accrued liabilities represent costs incurred within the current year and payable within the next twelve months. Other accrued liabilities were $50.6 million and $37.9 million as of April 3, 2010 and March 28, 2009,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items included in the fiscal year end balances were: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(In thousands)</w:t>
            </w: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VAT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9,802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6,696</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Forward Contract Loss</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1,747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2,914</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19,548</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10,833</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All Other</w:t>
            </w:r>
          </w:p>
        </w:tc>
        <w:tc>
          <w:tcPr>
            <w:tcW w:w="10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19,542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17,452</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50,639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37,895</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 Expenses</w:t>
      </w:r>
    </w:p>
    <w:p>
      <w:pPr>
        <w:spacing w:after="0" w:line="96"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All research, development and engineering costs are expensed as incurred with the exception of the capitalization of software development cost (see Note 17). Research, development and engineering expense was $26.4 million for fiscal year 2010, $23.9 million for fiscal year 2009, and $24.3 million for fiscal year 2008.</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Shipping and Handling Costs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Shipping and handling costs are included in costs of goods sold with the exception of $11.2 million for fiscal year 2010, $11.9 million for fiscal year 2009, and $9.8 million for fiscal year 2008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firstLine="399"/>
        <w:spacing w:after="0" w:line="289" w:lineRule="auto"/>
        <w:rPr>
          <w:sz w:val="20"/>
          <w:szCs w:val="20"/>
          <w:color w:val="auto"/>
        </w:rPr>
      </w:pPr>
      <w:r>
        <w:rPr>
          <w:rFonts w:ascii="Arial" w:cs="Arial" w:eastAsia="Arial" w:hAnsi="Arial"/>
          <w:sz w:val="12"/>
          <w:szCs w:val="12"/>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53"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12"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We recognize all derivative financial instruments in our consolidated financial statements at fair value in accordance with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xml:space="preserve"> (formerly known as FASB Statement No. 133, </w:t>
      </w:r>
      <w:r>
        <w:rPr>
          <w:rFonts w:ascii="Arial" w:cs="Arial" w:eastAsia="Arial" w:hAnsi="Arial"/>
          <w:sz w:val="13"/>
          <w:szCs w:val="13"/>
          <w:i w:val="1"/>
          <w:iCs w:val="1"/>
          <w:color w:val="auto"/>
        </w:rPr>
        <w:t>Accounting for Derivative Instruments and Hedging Activities</w:t>
      </w:r>
      <w:r>
        <w:rPr>
          <w:rFonts w:ascii="Arial" w:cs="Arial" w:eastAsia="Arial" w:hAnsi="Arial"/>
          <w:sz w:val="13"/>
          <w:szCs w:val="13"/>
          <w:color w:val="auto"/>
        </w:rPr>
        <w:t>). In accordance with ASC Topic 815, for those derivative instruments that are designated and qualify as hedging instruments, the hedging instrument must be designated, based upon the exposure being hedged, as a fair value hedge, cash flow hedge, or a hedge of a net investment in a foreign operation.</w:t>
      </w:r>
    </w:p>
    <w:p>
      <w:pPr>
        <w:spacing w:after="0" w:line="7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accounting for changes in the fair value (i.e., gains or losses) of a derivative instrument depends on whether it has been designated and qualifies as part of a hedging relationship. The gains or losses on the forward exchange contracts designated as hedges are recorded in net revenues in our consolidated statements of income when the underlying hedged transaction affects earnings.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The Company recorded foreign currency losses of $2.2 million and $2.3 million in fiscal year 2010 and fiscal year 2009, respectively.</w:t>
      </w:r>
    </w:p>
    <w:p>
      <w:pPr>
        <w:spacing w:after="0" w:line="72"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have principally used our historical volatility as a basis to estimate expected volatility in our valuation of stock options.</w:t>
      </w:r>
    </w:p>
    <w:p>
      <w:pPr>
        <w:spacing w:after="0" w:line="96"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estimate the expected term of our options using historical exercise and forfeiture data. We believe that this historical data is currently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expected term of our new option grants.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Additionally, after determining the fair value of our stock options, we use judgment in establishing an estimated forfeiture rate, to determine the amount of stock based compensation to record each period:</w:t>
      </w:r>
    </w:p>
    <w:p>
      <w:pPr>
        <w:spacing w:after="0" w:line="59"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Estimated Forfeiture Rate </w:t>
      </w:r>
      <w:r>
        <w:rPr>
          <w:rFonts w:ascii="Arial" w:cs="Arial" w:eastAsia="Arial" w:hAnsi="Arial"/>
          <w:sz w:val="13"/>
          <w:szCs w:val="13"/>
          <w:color w:val="auto"/>
        </w:rPr>
        <w:t>— We have applied, based on an analysis of our historical forfeitures, an annual forfeiture rate of 8% to all unvested stock options as of April 3,</w:t>
      </w:r>
      <w:r>
        <w:rPr>
          <w:rFonts w:ascii="Arial" w:cs="Arial" w:eastAsia="Arial" w:hAnsi="Arial"/>
          <w:sz w:val="13"/>
          <w:szCs w:val="13"/>
          <w:i w:val="1"/>
          <w:iCs w:val="1"/>
          <w:color w:val="auto"/>
        </w:rPr>
        <w:t xml:space="preserve"> </w:t>
      </w:r>
      <w:r>
        <w:rPr>
          <w:rFonts w:ascii="Arial" w:cs="Arial" w:eastAsia="Arial" w:hAnsi="Arial"/>
          <w:sz w:val="13"/>
          <w:szCs w:val="13"/>
          <w:color w:val="auto"/>
        </w:rPr>
        <w:t>2010,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Acquisitions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allocate the amounts we pay for each acquisition to the assets we acquire and liabilities we assume based on their fair values at the dates of acquisition, including acquired identifiable intangible assets, and purchased research and development. We base the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71" w:lineRule="exact"/>
        <w:rPr>
          <w:sz w:val="20"/>
          <w:szCs w:val="20"/>
          <w:color w:val="auto"/>
        </w:rPr>
      </w:pPr>
    </w:p>
    <w:p>
      <w:pPr>
        <w:ind w:left="680" w:right="160" w:firstLine="399"/>
        <w:spacing w:after="0" w:line="310" w:lineRule="auto"/>
        <w:rPr>
          <w:sz w:val="20"/>
          <w:szCs w:val="20"/>
          <w:color w:val="auto"/>
        </w:rPr>
      </w:pPr>
      <w:r>
        <w:rPr>
          <w:rFonts w:ascii="Arial" w:cs="Arial" w:eastAsia="Arial" w:hAnsi="Arial"/>
          <w:sz w:val="11"/>
          <w:szCs w:val="11"/>
          <w:color w:val="auto"/>
        </w:rPr>
        <w:t>In certain acquisitions, we have earn 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each quarter, we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 xml:space="preserve">In February 2010, the FASB issued Accounting Standards Update No. 2010-09, </w:t>
      </w:r>
      <w:r>
        <w:rPr>
          <w:rFonts w:ascii="Arial" w:cs="Arial" w:eastAsia="Arial" w:hAnsi="Arial"/>
          <w:sz w:val="13"/>
          <w:szCs w:val="13"/>
          <w:i w:val="1"/>
          <w:iCs w:val="1"/>
          <w:color w:val="auto"/>
        </w:rPr>
        <w:t>Subsequent Events</w:t>
      </w:r>
      <w:r>
        <w:rPr>
          <w:rFonts w:ascii="Arial" w:cs="Arial" w:eastAsia="Arial" w:hAnsi="Arial"/>
          <w:sz w:val="13"/>
          <w:szCs w:val="13"/>
          <w:color w:val="auto"/>
        </w:rPr>
        <w:t xml:space="preserve">, an amendment to ASC Topic 855, </w:t>
      </w:r>
      <w:r>
        <w:rPr>
          <w:rFonts w:ascii="Arial" w:cs="Arial" w:eastAsia="Arial" w:hAnsi="Arial"/>
          <w:sz w:val="13"/>
          <w:szCs w:val="13"/>
          <w:i w:val="1"/>
          <w:iCs w:val="1"/>
          <w:color w:val="auto"/>
        </w:rPr>
        <w:t>Subsequent Events</w:t>
      </w:r>
      <w:r>
        <w:rPr>
          <w:rFonts w:ascii="Arial" w:cs="Arial" w:eastAsia="Arial" w:hAnsi="Arial"/>
          <w:sz w:val="13"/>
          <w:szCs w:val="13"/>
          <w:color w:val="auto"/>
        </w:rPr>
        <w:t>. This update addresses practice issues for evaluating and disclosing subsequent events with respect to processes around issuing financial statements and SEC registration requirements. The guidance is effective immediately.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In January 2010, the FASB issued Accounting Standards Update No. 2010-06, </w:t>
      </w:r>
      <w:r>
        <w:rPr>
          <w:rFonts w:ascii="Arial" w:cs="Arial" w:eastAsia="Arial" w:hAnsi="Arial"/>
          <w:sz w:val="13"/>
          <w:szCs w:val="13"/>
          <w:i w:val="1"/>
          <w:iCs w:val="1"/>
          <w:color w:val="auto"/>
        </w:rPr>
        <w:t>Improving Disclosures about Fair Value Measurements</w:t>
      </w:r>
      <w:r>
        <w:rPr>
          <w:rFonts w:ascii="Arial" w:cs="Arial" w:eastAsia="Arial" w:hAnsi="Arial"/>
          <w:sz w:val="13"/>
          <w:szCs w:val="13"/>
          <w:color w:val="auto"/>
        </w:rPr>
        <w:t xml:space="preserve">. This update amends ASC Topic 820, </w:t>
      </w:r>
      <w:r>
        <w:rPr>
          <w:rFonts w:ascii="Arial" w:cs="Arial" w:eastAsia="Arial" w:hAnsi="Arial"/>
          <w:sz w:val="13"/>
          <w:szCs w:val="13"/>
          <w:i w:val="1"/>
          <w:iCs w:val="1"/>
          <w:color w:val="auto"/>
        </w:rPr>
        <w:t>Fair</w:t>
      </w:r>
      <w:r>
        <w:rPr>
          <w:rFonts w:ascii="Arial" w:cs="Arial" w:eastAsia="Arial" w:hAnsi="Arial"/>
          <w:sz w:val="13"/>
          <w:szCs w:val="13"/>
          <w:color w:val="auto"/>
        </w:rPr>
        <w:t xml:space="preserve"> </w:t>
      </w:r>
      <w:r>
        <w:rPr>
          <w:rFonts w:ascii="Arial" w:cs="Arial" w:eastAsia="Arial" w:hAnsi="Arial"/>
          <w:sz w:val="13"/>
          <w:szCs w:val="13"/>
          <w:i w:val="1"/>
          <w:iCs w:val="1"/>
          <w:color w:val="auto"/>
        </w:rPr>
        <w:t>Value Measurements and Disclosures</w:t>
      </w:r>
      <w:r>
        <w:rPr>
          <w:rFonts w:ascii="Arial" w:cs="Arial" w:eastAsia="Arial" w:hAnsi="Arial"/>
          <w:sz w:val="13"/>
          <w:szCs w:val="13"/>
          <w:color w:val="auto"/>
        </w:rPr>
        <w:t>, to require a number of additional disclosures regarding fair value measurements. Specifically, the update requires entities to disclose (i) the amounts of</w:t>
      </w:r>
      <w:r>
        <w:rPr>
          <w:rFonts w:ascii="Arial" w:cs="Arial" w:eastAsia="Arial" w:hAnsi="Arial"/>
          <w:sz w:val="13"/>
          <w:szCs w:val="13"/>
          <w:i w:val="1"/>
          <w:iCs w:val="1"/>
          <w:color w:val="auto"/>
        </w:rPr>
        <w:t xml:space="preserve"> </w:t>
      </w:r>
      <w:r>
        <w:rPr>
          <w:rFonts w:ascii="Arial" w:cs="Arial" w:eastAsia="Arial" w:hAnsi="Arial"/>
          <w:sz w:val="13"/>
          <w:szCs w:val="13"/>
          <w:color w:val="auto"/>
        </w:rPr>
        <w:t>significant transfers between Level 1 and Level 2 of the fair value hierarchy and the reasons for these transfers, (ii) the reasons for any transfers in or out of Level 3, and (iii) information in the reconciliation of recurring Level 3 measurements about purchases, sales, issuances and settlements on a gross basis. In addition to these new disclosures, the update also amends ASC Topic 820 to clarify certain existing disclosure requirements. The update became effective for our fiscal year 2010 and its impact is reflected in the notes to our consolidated financial statements for the year ended April 3, 2010.</w:t>
      </w:r>
    </w:p>
    <w:p>
      <w:pPr>
        <w:spacing w:after="0" w:line="72"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 xml:space="preserve">In October 2009, the FASB issued Accounting Standards Update No. 2009-13, </w:t>
      </w:r>
      <w:r>
        <w:rPr>
          <w:rFonts w:ascii="Arial" w:cs="Arial" w:eastAsia="Arial" w:hAnsi="Arial"/>
          <w:sz w:val="12"/>
          <w:szCs w:val="12"/>
          <w:i w:val="1"/>
          <w:iCs w:val="1"/>
          <w:color w:val="auto"/>
        </w:rPr>
        <w:t>Multiple-Deliverable Revenue Arrangements</w:t>
      </w:r>
      <w:r>
        <w:rPr>
          <w:rFonts w:ascii="Arial" w:cs="Arial" w:eastAsia="Arial" w:hAnsi="Arial"/>
          <w:sz w:val="12"/>
          <w:szCs w:val="12"/>
          <w:color w:val="auto"/>
        </w:rPr>
        <w:t xml:space="preserve">, an amendment to FASB ASC topic 605, </w:t>
      </w:r>
      <w:r>
        <w:rPr>
          <w:rFonts w:ascii="Arial" w:cs="Arial" w:eastAsia="Arial" w:hAnsi="Arial"/>
          <w:sz w:val="12"/>
          <w:szCs w:val="12"/>
          <w:i w:val="1"/>
          <w:iCs w:val="1"/>
          <w:color w:val="auto"/>
        </w:rPr>
        <w:t>Revenue</w:t>
      </w:r>
      <w:r>
        <w:rPr>
          <w:rFonts w:ascii="Arial" w:cs="Arial" w:eastAsia="Arial" w:hAnsi="Arial"/>
          <w:sz w:val="12"/>
          <w:szCs w:val="12"/>
          <w:color w:val="auto"/>
        </w:rPr>
        <w:t xml:space="preserve"> </w:t>
      </w:r>
      <w:r>
        <w:rPr>
          <w:rFonts w:ascii="Arial" w:cs="Arial" w:eastAsia="Arial" w:hAnsi="Arial"/>
          <w:sz w:val="12"/>
          <w:szCs w:val="12"/>
          <w:i w:val="1"/>
          <w:iCs w:val="1"/>
          <w:color w:val="auto"/>
        </w:rPr>
        <w:t>Recognition</w:t>
      </w:r>
      <w:r>
        <w:rPr>
          <w:rFonts w:ascii="Arial" w:cs="Arial" w:eastAsia="Arial" w:hAnsi="Arial"/>
          <w:sz w:val="12"/>
          <w:szCs w:val="12"/>
          <w:color w:val="auto"/>
        </w:rPr>
        <w:t>, and Update No. 2009-14,</w:t>
      </w:r>
      <w:r>
        <w:rPr>
          <w:rFonts w:ascii="Arial" w:cs="Arial" w:eastAsia="Arial" w:hAnsi="Arial"/>
          <w:sz w:val="12"/>
          <w:szCs w:val="12"/>
          <w:i w:val="1"/>
          <w:iCs w:val="1"/>
          <w:color w:val="auto"/>
        </w:rPr>
        <w:t xml:space="preserve"> Certain Revenue Arrangements That Include Software Elements</w:t>
      </w:r>
      <w:r>
        <w:rPr>
          <w:rFonts w:ascii="Arial" w:cs="Arial" w:eastAsia="Arial" w:hAnsi="Arial"/>
          <w:sz w:val="12"/>
          <w:szCs w:val="12"/>
          <w:color w:val="auto"/>
        </w:rPr>
        <w:t>, an amendment to FASB ASC subtopic 985-605,</w:t>
      </w:r>
      <w:r>
        <w:rPr>
          <w:rFonts w:ascii="Arial" w:cs="Arial" w:eastAsia="Arial" w:hAnsi="Arial"/>
          <w:sz w:val="12"/>
          <w:szCs w:val="12"/>
          <w:i w:val="1"/>
          <w:iCs w:val="1"/>
          <w:color w:val="auto"/>
        </w:rPr>
        <w:t xml:space="preserve"> Software — Revenue Recognition </w:t>
      </w:r>
      <w:r>
        <w:rPr>
          <w:rFonts w:ascii="Arial" w:cs="Arial" w:eastAsia="Arial" w:hAnsi="Arial"/>
          <w:sz w:val="12"/>
          <w:szCs w:val="12"/>
          <w:color w:val="auto"/>
        </w:rPr>
        <w:t>(the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60" w:lineRule="exact"/>
        <w:rPr>
          <w:sz w:val="20"/>
          <w:szCs w:val="20"/>
          <w:color w:val="auto"/>
        </w:rPr>
      </w:pPr>
    </w:p>
    <w:p>
      <w:pPr>
        <w:ind w:left="680" w:firstLine="399"/>
        <w:spacing w:after="0" w:line="255" w:lineRule="auto"/>
        <w:rPr>
          <w:sz w:val="20"/>
          <w:szCs w:val="20"/>
          <w:color w:val="auto"/>
        </w:rPr>
      </w:pPr>
      <w:r>
        <w:rPr>
          <w:rFonts w:ascii="Arial" w:cs="Arial" w:eastAsia="Arial" w:hAnsi="Arial"/>
          <w:sz w:val="13"/>
          <w:szCs w:val="13"/>
          <w:color w:val="auto"/>
        </w:rPr>
        <w:t xml:space="preserve">Under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known as FASB Statement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the FASB requires that all business combinations use the acquisition method (formerly the purchase method) and that an acquiring entity be identified in all business combinations. ASC Topic 805 also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This statement became effective for our fiscal year 2010 and its impact is reflected in our financial position and results of operations for the year ended April 3, 2010. The Company’s acquisition of L’Attitude Medical Systems, Inc. (“Neoteric”), asset acquisition of the blood collection and processing business unit of Engineering and Research Associates, Inc. (“SEBRA”), and stock purchase of Global Med Technologies, Inc. (“Global Med”) during fiscal year 2010 were accounted for in accordance to the requirements of ASC Topic 805 — see Note 3.</w:t>
      </w:r>
    </w:p>
    <w:p>
      <w:pPr>
        <w:spacing w:after="0" w:line="76" w:lineRule="exact"/>
        <w:rPr>
          <w:sz w:val="20"/>
          <w:szCs w:val="20"/>
          <w:color w:val="auto"/>
        </w:rPr>
      </w:pPr>
    </w:p>
    <w:p>
      <w:pPr>
        <w:ind w:left="680" w:right="20" w:firstLine="399"/>
        <w:spacing w:after="0" w:line="322" w:lineRule="auto"/>
        <w:rPr>
          <w:sz w:val="20"/>
          <w:szCs w:val="20"/>
          <w:color w:val="auto"/>
        </w:rPr>
      </w:pPr>
      <w:r>
        <w:rPr>
          <w:rFonts w:ascii="Arial" w:cs="Arial" w:eastAsia="Arial" w:hAnsi="Arial"/>
          <w:sz w:val="11"/>
          <w:szCs w:val="11"/>
          <w:color w:val="auto"/>
        </w:rPr>
        <w:t xml:space="preserve">In December 2009, the FASB issued Accounting Standards Update No. 2009-17, </w:t>
      </w:r>
      <w:r>
        <w:rPr>
          <w:rFonts w:ascii="Arial" w:cs="Arial" w:eastAsia="Arial" w:hAnsi="Arial"/>
          <w:sz w:val="11"/>
          <w:szCs w:val="11"/>
          <w:i w:val="1"/>
          <w:iCs w:val="1"/>
          <w:color w:val="auto"/>
        </w:rPr>
        <w:t>Improvements to Financial Reporting by Enterprises Involved with Variable Interest Entities</w:t>
      </w:r>
      <w:r>
        <w:rPr>
          <w:rFonts w:ascii="Arial" w:cs="Arial" w:eastAsia="Arial" w:hAnsi="Arial"/>
          <w:sz w:val="11"/>
          <w:szCs w:val="11"/>
          <w:color w:val="auto"/>
        </w:rPr>
        <w:t xml:space="preserve">, an amendment to FASB ASC Topic 810, </w:t>
      </w:r>
      <w:r>
        <w:rPr>
          <w:rFonts w:ascii="Arial" w:cs="Arial" w:eastAsia="Arial" w:hAnsi="Arial"/>
          <w:sz w:val="11"/>
          <w:szCs w:val="11"/>
          <w:i w:val="1"/>
          <w:iCs w:val="1"/>
          <w:color w:val="auto"/>
        </w:rPr>
        <w:t>Consolidations</w:t>
      </w:r>
      <w:r>
        <w:rPr>
          <w:rFonts w:ascii="Arial" w:cs="Arial" w:eastAsia="Arial" w:hAnsi="Arial"/>
          <w:sz w:val="11"/>
          <w:szCs w:val="11"/>
          <w:color w:val="auto"/>
        </w:rPr>
        <w:t>. ASU No. 2009-17 requires an enterprise to perform an analysis to determine whether the enterprise’s variable interest or interests give it a controlling financial interest in a variable interest entity. Additionally, an enterprise is required to assess whether it has an implicit financial responsibility to ensure that a variable interest entity operates as designed when determining whether it has the power to direct the activities of the variable interest entity that most significantly impact the entity’s economic performance.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60"/>
        <w:spacing w:after="0" w:line="276" w:lineRule="auto"/>
        <w:rPr>
          <w:sz w:val="20"/>
          <w:szCs w:val="20"/>
          <w:color w:val="auto"/>
        </w:rPr>
      </w:pPr>
      <w:r>
        <w:rPr>
          <w:rFonts w:ascii="Arial" w:cs="Arial" w:eastAsia="Arial" w:hAnsi="Arial"/>
          <w:sz w:val="13"/>
          <w:szCs w:val="13"/>
          <w:color w:val="auto"/>
        </w:rPr>
        <w:t>ASU No. 2009-17 is effective for fiscal years beginning after November 15, 2009, which is the outset for fiscal year 2011 for the Company. The Company is currently evaluating the impact, if any, that ASU No. 2009-17 may have on the Company’s financial condition and results of operations.</w:t>
      </w:r>
    </w:p>
    <w:p>
      <w:pPr>
        <w:spacing w:after="0" w:line="134" w:lineRule="exact"/>
        <w:rPr>
          <w:sz w:val="20"/>
          <w:szCs w:val="20"/>
          <w:color w:val="auto"/>
        </w:rPr>
      </w:pPr>
    </w:p>
    <w:p>
      <w:pPr>
        <w:ind w:left="1000" w:hanging="313"/>
        <w:spacing w:after="0"/>
        <w:tabs>
          <w:tab w:leader="none" w:pos="100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Haemoscope Corporation Acquisition</w:t>
      </w:r>
    </w:p>
    <w:p>
      <w:pPr>
        <w:spacing w:after="0" w:line="94" w:lineRule="exact"/>
        <w:rPr>
          <w:sz w:val="20"/>
          <w:szCs w:val="20"/>
          <w:color w:val="auto"/>
        </w:rPr>
      </w:pPr>
    </w:p>
    <w:p>
      <w:pPr>
        <w:ind w:left="680" w:right="920" w:firstLine="399"/>
        <w:spacing w:after="0" w:line="261" w:lineRule="auto"/>
        <w:rPr>
          <w:sz w:val="20"/>
          <w:szCs w:val="20"/>
          <w:color w:val="auto"/>
        </w:rPr>
      </w:pPr>
      <w:r>
        <w:rPr>
          <w:rFonts w:ascii="Arial" w:cs="Arial" w:eastAsia="Arial" w:hAnsi="Arial"/>
          <w:sz w:val="13"/>
          <w:szCs w:val="13"/>
          <w:color w:val="auto"/>
        </w:rPr>
        <w:t>On November 20, 2007 the Company acquired Haemoscope Corporation’s TEG</w:t>
      </w:r>
      <w:r>
        <w:rPr>
          <w:rFonts w:ascii="Arial" w:cs="Arial" w:eastAsia="Arial" w:hAnsi="Arial"/>
          <w:sz w:val="11"/>
          <w:szCs w:val="11"/>
          <w:color w:val="auto"/>
        </w:rPr>
        <w:t>®</w:t>
      </w:r>
      <w:r>
        <w:rPr>
          <w:rFonts w:ascii="Arial" w:cs="Arial" w:eastAsia="Arial" w:hAnsi="Arial"/>
          <w:sz w:val="13"/>
          <w:szCs w:val="13"/>
          <w:color w:val="auto"/>
        </w:rPr>
        <w:t xml:space="preserve"> Thrombelastograph</w:t>
      </w:r>
      <w:r>
        <w:rPr>
          <w:rFonts w:ascii="Arial" w:cs="Arial" w:eastAsia="Arial" w:hAnsi="Arial"/>
          <w:sz w:val="11"/>
          <w:szCs w:val="11"/>
          <w:color w:val="auto"/>
        </w:rPr>
        <w:t>®</w:t>
      </w:r>
      <w:r>
        <w:rPr>
          <w:rFonts w:ascii="Arial" w:cs="Arial" w:eastAsia="Arial" w:hAnsi="Arial"/>
          <w:sz w:val="13"/>
          <w:szCs w:val="13"/>
          <w:color w:val="auto"/>
        </w:rPr>
        <w:t xml:space="preserve"> Hemostasis Analyzer business for approximately $45.6 million in cash. Haemoscope Corporation is a provider of whole blood hemostasis monitoring systems. The TEG system can assess a patient’s hemostasis. Information which informs blood management, identifies potential thrombotic complications, and facilitates individualized therapy. The results of Haemoscope’s operations have been included in our consolidated financial statements for periods after the acquisition date.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Price</w:t>
      </w:r>
    </w:p>
    <w:p>
      <w:pPr>
        <w:spacing w:after="0" w:line="96" w:lineRule="exact"/>
        <w:rPr>
          <w:sz w:val="20"/>
          <w:szCs w:val="20"/>
          <w:color w:val="auto"/>
        </w:rPr>
      </w:pPr>
    </w:p>
    <w:p>
      <w:pPr>
        <w:ind w:left="680" w:right="860" w:firstLine="399"/>
        <w:spacing w:after="0" w:line="371" w:lineRule="auto"/>
        <w:rPr>
          <w:sz w:val="20"/>
          <w:szCs w:val="20"/>
          <w:color w:val="auto"/>
        </w:rPr>
      </w:pPr>
      <w:r>
        <w:rPr>
          <w:rFonts w:ascii="Arial" w:cs="Arial" w:eastAsia="Arial" w:hAnsi="Arial"/>
          <w:sz w:val="11"/>
          <w:szCs w:val="11"/>
          <w:color w:val="auto"/>
        </w:rPr>
        <w:t>The Company has accounted for the acquisition of Haemoscope Corporation as the purchase of a business under U.S. Generally Accepted Accounting Principles. Under the purchase method of accounting, the assets and liabilities of Haemoscope Corporation were recorded as of the acquisition date, at their respective fair values, and consolidated with the Company’s.</w:t>
      </w:r>
    </w:p>
    <w:p>
      <w:pPr>
        <w:spacing w:after="0" w:line="12"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purchase price is based upon estimates of the fair value of assets acquired and liabilities assumed. The valuation relies on significant assumptions and estimates. Critical estimates included, but were not limited to, future expected cash flows, including product revenues, costs and operating expenses and the applicable discount rates. These estimates were based on assumptions that the Company believes to be reasonable. However, actual results may differ from these estimates.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purchase price components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80" w:type="dxa"/>
            <w:vAlign w:val="bottom"/>
          </w:tcPr>
          <w:p>
            <w:pPr>
              <w:spacing w:after="0"/>
              <w:rPr>
                <w:sz w:val="11"/>
                <w:szCs w:val="11"/>
                <w:color w:val="auto"/>
              </w:rPr>
            </w:pPr>
          </w:p>
        </w:tc>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800" w:type="dxa"/>
            <w:vAlign w:val="bottom"/>
          </w:tcPr>
          <w:p>
            <w:pPr>
              <w:spacing w:after="0"/>
              <w:rPr>
                <w:sz w:val="11"/>
                <w:szCs w:val="11"/>
                <w:color w:val="auto"/>
              </w:rPr>
            </w:pPr>
          </w:p>
        </w:tc>
      </w:tr>
      <w:tr>
        <w:trPr>
          <w:trHeight w:val="29"/>
        </w:trPr>
        <w:tc>
          <w:tcPr>
            <w:tcW w:w="6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Consideration for Haemoscope Corporation</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Cash portion of consideration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45,080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Other acquisition-related costs:</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Acquisition-related costs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 acquisition related costs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45,591</w:t>
            </w:r>
          </w:p>
        </w:tc>
        <w:tc>
          <w:tcPr>
            <w:tcW w:w="800" w:type="dxa"/>
            <w:vAlign w:val="bottom"/>
          </w:tcPr>
          <w:p>
            <w:pPr>
              <w:spacing w:after="0"/>
              <w:rPr>
                <w:sz w:val="13"/>
                <w:szCs w:val="13"/>
                <w:color w:val="auto"/>
              </w:rPr>
            </w:pPr>
          </w:p>
        </w:tc>
      </w:tr>
      <w:tr>
        <w:trPr>
          <w:trHeight w:val="323"/>
        </w:trPr>
        <w:tc>
          <w:tcPr>
            <w:tcW w:w="680" w:type="dxa"/>
            <w:vAlign w:val="bottom"/>
          </w:tcPr>
          <w:p>
            <w:pPr>
              <w:spacing w:after="0"/>
              <w:rPr>
                <w:sz w:val="24"/>
                <w:szCs w:val="24"/>
                <w:color w:val="auto"/>
              </w:rPr>
            </w:pPr>
          </w:p>
        </w:tc>
        <w:tc>
          <w:tcPr>
            <w:tcW w:w="89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Purchase Price Allocation</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8900" w:type="dxa"/>
            <w:vAlign w:val="bottom"/>
          </w:tcPr>
          <w:p>
            <w:pPr>
              <w:ind w:left="400"/>
              <w:spacing w:after="0"/>
              <w:rPr>
                <w:sz w:val="20"/>
                <w:szCs w:val="20"/>
                <w:color w:val="auto"/>
              </w:rPr>
            </w:pPr>
            <w:r>
              <w:rPr>
                <w:rFonts w:ascii="Arial" w:cs="Arial" w:eastAsia="Arial" w:hAnsi="Arial"/>
                <w:sz w:val="13"/>
                <w:szCs w:val="13"/>
                <w:color w:val="auto"/>
              </w:rPr>
              <w:t>The following chart summarizes the purchase price allocation, including the valuation of intangible assets:</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18"/>
        </w:trPr>
        <w:tc>
          <w:tcPr>
            <w:tcW w:w="68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800" w:type="dxa"/>
            <w:vAlign w:val="bottom"/>
          </w:tcPr>
          <w:p>
            <w:pPr>
              <w:spacing w:after="0"/>
              <w:rPr>
                <w:sz w:val="18"/>
                <w:szCs w:val="18"/>
                <w:color w:val="auto"/>
              </w:rPr>
            </w:pPr>
          </w:p>
        </w:tc>
      </w:tr>
      <w:tr>
        <w:trPr>
          <w:trHeight w:val="29"/>
        </w:trPr>
        <w:tc>
          <w:tcPr>
            <w:tcW w:w="68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Intangible assets subject to amortization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17,530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2,876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900" w:type="dxa"/>
            <w:vAlign w:val="bottom"/>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(875)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45,591</w:t>
            </w:r>
          </w:p>
        </w:tc>
        <w:tc>
          <w:tcPr>
            <w:tcW w:w="800" w:type="dxa"/>
            <w:vAlign w:val="bottom"/>
          </w:tcPr>
          <w:p>
            <w:pPr>
              <w:spacing w:after="0"/>
              <w:rPr>
                <w:sz w:val="13"/>
                <w:szCs w:val="13"/>
                <w:color w:val="auto"/>
              </w:rPr>
            </w:pPr>
          </w:p>
        </w:tc>
      </w:tr>
      <w:tr>
        <w:trPr>
          <w:trHeight w:val="450"/>
        </w:trPr>
        <w:tc>
          <w:tcPr>
            <w:tcW w:w="680" w:type="dxa"/>
            <w:vAlign w:val="bottom"/>
          </w:tcPr>
          <w:p>
            <w:pPr>
              <w:spacing w:after="0"/>
              <w:rPr>
                <w:sz w:val="24"/>
                <w:szCs w:val="24"/>
                <w:color w:val="auto"/>
              </w:rPr>
            </w:pPr>
          </w:p>
        </w:tc>
        <w:tc>
          <w:tcPr>
            <w:tcW w:w="8900" w:type="dxa"/>
            <w:vAlign w:val="bottom"/>
          </w:tcPr>
          <w:p>
            <w:pPr>
              <w:ind w:left="4940"/>
              <w:spacing w:after="0"/>
              <w:rPr>
                <w:sz w:val="20"/>
                <w:szCs w:val="20"/>
                <w:color w:val="auto"/>
              </w:rPr>
            </w:pPr>
            <w:r>
              <w:rPr>
                <w:rFonts w:ascii="Arial" w:cs="Arial" w:eastAsia="Arial" w:hAnsi="Arial"/>
                <w:sz w:val="13"/>
                <w:szCs w:val="13"/>
                <w:color w:val="auto"/>
              </w:rPr>
              <w:t>60</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excess of the purchase price over the fair value of net tangible assets acquired was allocated to specific intangible asset categories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Weighted Average</w:t>
            </w:r>
          </w:p>
        </w:tc>
        <w:tc>
          <w:tcPr>
            <w:tcW w:w="280" w:type="dxa"/>
            <w:vAlign w:val="bottom"/>
          </w:tcPr>
          <w:p>
            <w:pPr>
              <w:spacing w:after="0"/>
              <w:rPr>
                <w:sz w:val="10"/>
                <w:szCs w:val="10"/>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8"/>
              </w:rPr>
              <w:t>Risk-Adjusted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900" w:type="dxa"/>
            <w:vAlign w:val="bottom"/>
            <w:gridSpan w:val="2"/>
            <w:vMerge w:val="restart"/>
          </w:tcPr>
          <w:p>
            <w:pPr>
              <w:jc w:val="right"/>
              <w:ind w:right="194"/>
              <w:spacing w:after="0"/>
              <w:rPr>
                <w:sz w:val="20"/>
                <w:szCs w:val="20"/>
                <w:color w:val="auto"/>
              </w:rPr>
            </w:pPr>
            <w:r>
              <w:rPr>
                <w:rFonts w:ascii="Arial" w:cs="Arial" w:eastAsia="Arial" w:hAnsi="Arial"/>
                <w:sz w:val="10"/>
                <w:szCs w:val="10"/>
                <w:b w:val="1"/>
                <w:bCs w:val="1"/>
                <w:color w:val="auto"/>
              </w:rPr>
              <w:t>Amount</w:t>
            </w:r>
          </w:p>
        </w:tc>
        <w:tc>
          <w:tcPr>
            <w:tcW w:w="2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Discount Rate Used</w:t>
            </w:r>
          </w:p>
        </w:tc>
        <w:tc>
          <w:tcPr>
            <w:tcW w:w="0" w:type="dxa"/>
            <w:vAlign w:val="bottom"/>
          </w:tcPr>
          <w:p>
            <w:pPr>
              <w:spacing w:after="0"/>
              <w:rPr>
                <w:sz w:val="1"/>
                <w:szCs w:val="1"/>
                <w:color w:val="auto"/>
              </w:rPr>
            </w:pPr>
          </w:p>
        </w:tc>
      </w:tr>
      <w:tr>
        <w:trPr>
          <w:trHeight w:val="108"/>
        </w:trPr>
        <w:tc>
          <w:tcPr>
            <w:tcW w:w="53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Amortization</w:t>
            </w:r>
          </w:p>
        </w:tc>
        <w:tc>
          <w:tcPr>
            <w:tcW w:w="28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in Purchase Price</w:t>
            </w:r>
          </w:p>
        </w:tc>
        <w:tc>
          <w:tcPr>
            <w:tcW w:w="0" w:type="dxa"/>
            <w:vAlign w:val="bottom"/>
          </w:tcPr>
          <w:p>
            <w:pPr>
              <w:spacing w:after="0"/>
              <w:rPr>
                <w:sz w:val="1"/>
                <w:szCs w:val="1"/>
                <w:color w:val="auto"/>
              </w:rPr>
            </w:pPr>
          </w:p>
        </w:tc>
      </w:tr>
      <w:tr>
        <w:trPr>
          <w:trHeight w:val="125"/>
        </w:trPr>
        <w:tc>
          <w:tcPr>
            <w:tcW w:w="5320" w:type="dxa"/>
            <w:vAlign w:val="bottom"/>
          </w:tcPr>
          <w:p>
            <w:pPr>
              <w:spacing w:after="0"/>
              <w:rPr>
                <w:sz w:val="10"/>
                <w:szCs w:val="10"/>
                <w:color w:val="auto"/>
              </w:rPr>
            </w:pPr>
          </w:p>
        </w:tc>
        <w:tc>
          <w:tcPr>
            <w:tcW w:w="90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0"/>
                <w:szCs w:val="10"/>
                <w:b w:val="1"/>
                <w:bCs w:val="1"/>
                <w:color w:val="auto"/>
              </w:rPr>
              <w:t>Assigned</w:t>
            </w:r>
          </w:p>
        </w:tc>
        <w:tc>
          <w:tcPr>
            <w:tcW w:w="260" w:type="dxa"/>
            <w:vAlign w:val="bottom"/>
          </w:tcPr>
          <w:p>
            <w:pPr>
              <w:spacing w:after="0"/>
              <w:rPr>
                <w:sz w:val="10"/>
                <w:szCs w:val="1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Period</w:t>
            </w:r>
          </w:p>
        </w:tc>
        <w:tc>
          <w:tcPr>
            <w:tcW w:w="280" w:type="dxa"/>
            <w:vAlign w:val="bottom"/>
          </w:tcPr>
          <w:p>
            <w:pPr>
              <w:spacing w:after="0"/>
              <w:rPr>
                <w:sz w:val="10"/>
                <w:szCs w:val="10"/>
                <w:color w:val="auto"/>
              </w:rPr>
            </w:pPr>
          </w:p>
        </w:tc>
        <w:tc>
          <w:tcPr>
            <w:tcW w:w="154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Allocation</w:t>
            </w: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ind w:left="840"/>
              <w:spacing w:after="0"/>
              <w:rPr>
                <w:sz w:val="20"/>
                <w:szCs w:val="20"/>
                <w:color w:val="auto"/>
              </w:rPr>
            </w:pPr>
            <w:r>
              <w:rPr>
                <w:rFonts w:ascii="Arial" w:cs="Arial" w:eastAsia="Arial" w:hAnsi="Arial"/>
                <w:sz w:val="10"/>
                <w:szCs w:val="10"/>
                <w:b w:val="1"/>
                <w:bCs w:val="1"/>
                <w:color w:val="auto"/>
              </w:rPr>
              <w:t>(In thousands)</w:t>
            </w:r>
          </w:p>
        </w:tc>
        <w:tc>
          <w:tcPr>
            <w:tcW w:w="2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Amortizable intangible assets</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Technology — developed</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4"/>
              <w:spacing w:after="0"/>
              <w:rPr>
                <w:sz w:val="20"/>
                <w:szCs w:val="20"/>
                <w:color w:val="auto"/>
              </w:rPr>
            </w:pPr>
            <w:r>
              <w:rPr>
                <w:rFonts w:ascii="Arial" w:cs="Arial" w:eastAsia="Arial" w:hAnsi="Arial"/>
                <w:sz w:val="13"/>
                <w:szCs w:val="13"/>
                <w:color w:val="auto"/>
              </w:rPr>
              <w:t>9,500</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8"/>
              </w:rPr>
              <w:t>12.0 years</w:t>
            </w:r>
          </w:p>
        </w:tc>
        <w:tc>
          <w:tcPr>
            <w:tcW w:w="1820" w:type="dxa"/>
            <w:vAlign w:val="bottom"/>
            <w:gridSpan w:val="2"/>
          </w:tcPr>
          <w:p>
            <w:pPr>
              <w:jc w:val="right"/>
              <w:ind w:right="488"/>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Customer relationships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5"/>
              </w:rPr>
              <w:t>15,960</w:t>
            </w: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11.0 years</w:t>
            </w:r>
          </w:p>
        </w:tc>
        <w:tc>
          <w:tcPr>
            <w:tcW w:w="1820" w:type="dxa"/>
            <w:vAlign w:val="bottom"/>
            <w:gridSpan w:val="2"/>
            <w:shd w:val="clear" w:color="auto" w:fill="CCEEFF"/>
          </w:tcPr>
          <w:p>
            <w:pPr>
              <w:jc w:val="right"/>
              <w:ind w:right="488"/>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5320" w:type="dxa"/>
            <w:vAlign w:val="bottom"/>
          </w:tcPr>
          <w:p>
            <w:pPr>
              <w:spacing w:after="0"/>
              <w:rPr>
                <w:sz w:val="20"/>
                <w:szCs w:val="20"/>
                <w:color w:val="auto"/>
              </w:rPr>
            </w:pPr>
            <w:r>
              <w:rPr>
                <w:rFonts w:ascii="Arial" w:cs="Arial" w:eastAsia="Arial" w:hAnsi="Arial"/>
                <w:sz w:val="13"/>
                <w:szCs w:val="13"/>
                <w:color w:val="auto"/>
              </w:rPr>
              <w:t>Trade names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4"/>
              <w:spacing w:after="0"/>
              <w:rPr>
                <w:sz w:val="20"/>
                <w:szCs w:val="20"/>
                <w:color w:val="auto"/>
              </w:rPr>
            </w:pPr>
            <w:r>
              <w:rPr>
                <w:rFonts w:ascii="Arial" w:cs="Arial" w:eastAsia="Arial" w:hAnsi="Arial"/>
                <w:sz w:val="13"/>
                <w:szCs w:val="13"/>
                <w:color w:val="auto"/>
              </w:rPr>
              <w:t>600</w:t>
            </w: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Arial" w:cs="Arial" w:eastAsia="Arial" w:hAnsi="Arial"/>
                <w:sz w:val="13"/>
                <w:szCs w:val="13"/>
                <w:color w:val="auto"/>
                <w:w w:val="88"/>
              </w:rPr>
              <w:t>12.0 years</w:t>
            </w:r>
          </w:p>
        </w:tc>
        <w:tc>
          <w:tcPr>
            <w:tcW w:w="1820" w:type="dxa"/>
            <w:vAlign w:val="bottom"/>
            <w:gridSpan w:val="2"/>
          </w:tcPr>
          <w:p>
            <w:pPr>
              <w:jc w:val="right"/>
              <w:ind w:right="488"/>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532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4"/>
              <w:spacing w:after="0"/>
              <w:rPr>
                <w:sz w:val="20"/>
                <w:szCs w:val="20"/>
                <w:color w:val="auto"/>
              </w:rPr>
            </w:pPr>
            <w:r>
              <w:rPr>
                <w:rFonts w:ascii="Arial" w:cs="Arial" w:eastAsia="Arial" w:hAnsi="Arial"/>
                <w:sz w:val="13"/>
                <w:szCs w:val="13"/>
                <w:color w:val="auto"/>
                <w:w w:val="85"/>
              </w:rPr>
              <w:t>17,530</w:t>
            </w:r>
          </w:p>
        </w:tc>
        <w:tc>
          <w:tcPr>
            <w:tcW w:w="26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believes that the estimated intangible assets represent the fair value at the date of acquisition and do not exceed the amount a third party would pay for the assets. The Company used the income approach to determine the fair value of the amortizable intangible assets.</w:t>
      </w:r>
    </w:p>
    <w:p>
      <w:pPr>
        <w:spacing w:after="0" w:line="59"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Various factors contributed to the establishment of goodwill, including: the value of Haemoscope Corporation’s highly trained work force as of the acquisition date, the expected business plans and associated revenue from future products. The goodwill acquired is deductible for tax purposes.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The amount assigned to developed technology acquired represents the value associated with currently marketed product, the TEG system. This system includes a patented device, application software and assays. The system is used by hospitals and laboratories to assess a patient’s hemostatis. We also acquired the customer relationships that Haemoscope developed. Haemoscope conducted the majority of its business on the basis of purchase orders and repeat purchases of consumable supplies, such as reagents necessary for conducting the tests. These customer relationships are predicated on the technology that the customer has invested in, both through the initial purchase of the TEG device, but also the investment in the training and staff development associated with using a technology like the TEG device. The Company used the income approach to estimate the fair value of the developed technology and customer relationships as of the acquisition date. The Company determined that the estimated useful life of the intangible assets ranges from 11-12 years and are amortized over the period of the estimated economic benefit.</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Infonalé, Inc. Acquisition</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On July 9, 2007, the Company acquired the assets of Infonalé, Inc. (“Infonalé”) for approximately $1.3 million in cash plus contingent consideration based upon future operating performance. Infonalé was a leading developer of software and consulting services for optimizing hospital blood use and management. The purchase price was principally allocated to intangible assets including other technology and goodwill. The results of the Infonalé operations are included in our consolidated results for periods after the acquisition date.</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Medicell Limited Acquisition</w:t>
      </w:r>
    </w:p>
    <w:p>
      <w:pPr>
        <w:spacing w:after="0" w:line="96"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On April 4, 2008, the Company acquired Medicell Limited (“Medicell”) for approximately $2.5 million in cash plus contingent consideration based upon future operating performance. Medicell was the exclusive distributor in the United Kingdom for the Haemoscope product line since 1998. The purchase price was principally allocated to intangible assets including goodwill. The results of the Medicell operations are included in our consolidated results for periods after the acquisition date.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Altivation Software Acquisition</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On March 27, 2009, the Company acquired Altivation Software (“Altivation”) for approximately $3.5 million in cash plus contingent consideration based upon future operating performance. Altivation is a provider of blood drive and resource management software for blood collectors. The purchase price was principally allocated to intangible assets including goodwill. The results of the Altivation operations are included in our consolidated results for periods after the acquisition date.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Neoteric Acquisition</w:t>
      </w:r>
    </w:p>
    <w:p>
      <w:pPr>
        <w:spacing w:after="0" w:line="96"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On April 16, 2009, Haemonetics acquired the outstanding shares of L’Attitude Medical Systems Inc.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$6.6 million plus contingent consideration.</w:t>
      </w:r>
    </w:p>
    <w:p>
      <w:pPr>
        <w:spacing w:after="0" w:line="50"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The contingent consideration is based upon estimated annual revenue growth for the three years following the acquisition, at established profitability thresholds. Using projected revenues for fiscal years 2010, 2011, and 2012, an analysis was performed that probability weighted three performance outcomes for the noted years. The performance outcomes were then discounted using a discount rate commensurate with the risks associated with Neoteric to arrive at a recorded $5.0 million fair value for the contingent consideration.</w:t>
      </w:r>
    </w:p>
    <w:p>
      <w:pPr>
        <w:spacing w:after="0" w:line="5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contingent consideration is based upon estimated future operating performance and is not contractually limited. The purchase price including contingent consideration was allocated to other intangible assets of $5.0 million, deferred tax liabilities of $1.6 million, and goodwill of $8.7 million. Net revenues of the Neoteric operations after the acquisition date are included in our consolidated results for fiscal year 2010. The Company is required to reassess the fair value of contingent consideration on a periodic basis. During the fourth quarter of fiscal year 2010, it became evident that the business would not achieve forecasted revenue growth milestones for fiscal year 2010. As such, we reduced the contingent liability by $2.3 million and recorded the adjustments as contingent consideration income in the statement of operations. The ending liability balance is $4.1 million at April 3, 2010.</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SEBRA Acquisition</w:t>
      </w:r>
    </w:p>
    <w:p>
      <w:pPr>
        <w:spacing w:after="0" w:line="96" w:lineRule="exact"/>
        <w:rPr>
          <w:sz w:val="20"/>
          <w:szCs w:val="20"/>
          <w:color w:val="auto"/>
        </w:rPr>
      </w:pPr>
    </w:p>
    <w:p>
      <w:pPr>
        <w:ind w:left="680" w:right="40" w:firstLine="399"/>
        <w:spacing w:after="0" w:line="334" w:lineRule="auto"/>
        <w:rPr>
          <w:sz w:val="20"/>
          <w:szCs w:val="20"/>
          <w:color w:val="auto"/>
        </w:rPr>
      </w:pPr>
      <w:r>
        <w:rPr>
          <w:rFonts w:ascii="Arial" w:cs="Arial" w:eastAsia="Arial" w:hAnsi="Arial"/>
          <w:sz w:val="11"/>
          <w:szCs w:val="11"/>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 in blood collection and processing, complement Haemonetics’ portfolio and add depth to Haemonetics blood bank and plasma product lines. The purchase price was $12.8 million.</w:t>
      </w:r>
    </w:p>
    <w:p>
      <w:pPr>
        <w:spacing w:after="0" w:line="32"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The purchase price was preliminarily allocated to core technology of $2.0 million, customer relationships of $4.6 million, trade name intangible of $0.4 million, trade accounts receivables of $1.0 million, inventory of $1.3 million, and goodwill of $3.5 million. The Company is still in the process of evaluating the information necessary to determine the allocation of fair value of the assets and liabilities acquired. The preliminary purchase price allocation will be finalized once the Company has completed this evaluation, which will occur not later than one year from the acquisition date. Net revenues for the SEBRA operations after the acquisition date are included in our consolidated results for fiscal year 2010.</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Global Med Acquisition</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On March 31, 2010 the Company completed its cash tender offer for the shares of Global Med Technologies, Inc. (“Global Med”). The total acquisition cost for the shares and outstanding warrants of Global Med was approximately $60.3 million.</w:t>
      </w:r>
    </w:p>
    <w:p>
      <w:pPr>
        <w:spacing w:after="0" w:line="59"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Global Med is an international healthcare information technology company which develops regulated and non-regulated products and services for the healthcare industry, including software solutions and services for blood collection, the hospital transfusion center and the patient care environment. Global Med’s subsidiaries and products include Wyndgate Technologies</w:t>
      </w:r>
      <w:r>
        <w:rPr>
          <w:rFonts w:ascii="Arial" w:cs="Arial" w:eastAsia="Arial" w:hAnsi="Arial"/>
          <w:sz w:val="10"/>
          <w:szCs w:val="10"/>
          <w:color w:val="auto"/>
        </w:rPr>
        <w:t>®</w:t>
      </w:r>
      <w:r>
        <w:rPr>
          <w:rFonts w:ascii="Arial" w:cs="Arial" w:eastAsia="Arial" w:hAnsi="Arial"/>
          <w:sz w:val="12"/>
          <w:szCs w:val="12"/>
          <w:color w:val="auto"/>
        </w:rPr>
        <w:t>, a provider of software products and services for donor centers and hospital transfusion services; eDonor</w:t>
      </w:r>
      <w:r>
        <w:rPr>
          <w:rFonts w:ascii="Arial" w:cs="Arial" w:eastAsia="Arial" w:hAnsi="Arial"/>
          <w:sz w:val="10"/>
          <w:szCs w:val="10"/>
          <w:color w:val="auto"/>
        </w:rPr>
        <w:t>®</w:t>
      </w:r>
      <w:r>
        <w:rPr>
          <w:rFonts w:ascii="Arial" w:cs="Arial" w:eastAsia="Arial" w:hAnsi="Arial"/>
          <w:sz w:val="12"/>
          <w:szCs w:val="12"/>
          <w:color w:val="auto"/>
        </w:rPr>
        <w:t>, which offers web-based donor relationship management systems; PeopleMed</w:t>
      </w:r>
      <w:r>
        <w:rPr>
          <w:rFonts w:ascii="Arial" w:cs="Arial" w:eastAsia="Arial" w:hAnsi="Arial"/>
          <w:sz w:val="10"/>
          <w:szCs w:val="10"/>
          <w:color w:val="auto"/>
        </w:rPr>
        <w:t>®</w:t>
      </w:r>
      <w:r>
        <w:rPr>
          <w:rFonts w:ascii="Arial" w:cs="Arial" w:eastAsia="Arial" w:hAnsi="Arial"/>
          <w:sz w:val="12"/>
          <w:szCs w:val="12"/>
          <w:color w:val="auto"/>
        </w:rPr>
        <w:t>, which implements cost-effective software validation, consulting and compliance solutions to hospitals and donor centers, and Hemo-Net</w:t>
      </w:r>
      <w:r>
        <w:rPr>
          <w:rFonts w:ascii="Arial" w:cs="Arial" w:eastAsia="Arial" w:hAnsi="Arial"/>
          <w:sz w:val="10"/>
          <w:szCs w:val="10"/>
          <w:color w:val="auto"/>
        </w:rPr>
        <w:t>®</w:t>
      </w:r>
      <w:r>
        <w:rPr>
          <w:rFonts w:ascii="Arial" w:cs="Arial" w:eastAsia="Arial" w:hAnsi="Arial"/>
          <w:sz w:val="12"/>
          <w:szCs w:val="12"/>
          <w:color w:val="auto"/>
        </w:rPr>
        <w:t>, which offers hosting solutions for those customers wishing to outsource the operation and maintenance of their databases. Global Med’s European subsidiary, Inlog SA, is a leading developer of donor center and transfusion management systems as well as cellular therapy software, laboratory information systems and quality assurance medical software systems internationally.</w:t>
      </w:r>
    </w:p>
    <w:p>
      <w:pPr>
        <w:spacing w:after="0" w:line="59"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Goodwill was preliminarily determined by comparing the purchase price with the preliminarily determined fair value of the assets and liabilities acquired. Once the purchase price allocation is finalized, the carrying preliminary value of the related goodwill may be adjusted accordingly. At April 3, 2010, goodwill recorded after our preliminary purchase price allocation was $50.1 million and is not tax deductible. Global Med has an in-place workforce with extensive knowledge and experience in the development and support of blood management software. The acquisition was a unique strategic fit for the Company given our global presence and customer relationships in blood management.</w:t>
      </w:r>
    </w:p>
    <w:p>
      <w:pPr>
        <w:spacing w:after="0" w:line="9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Preliminary Purchase Price Allocation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chart summarizes the preliminary purchase price allocation: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50,109</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Intangible assets subject to amortization</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25,962</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Trade accounts receivable</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6,344</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10,526</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taxes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(9,087)</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Notes payable</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(7,833)</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(8,064)</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(7,676)</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60,281</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The Company is still in the process of evaluating the information necessary to determine the allocation of fair value of the assets and liabilities acquired. The preliminary purchase price allocation will be finalized once the Company has completed this evaluation, which will occur not later than one year from the acquisition date. When finalized, the purchase price will be more specifically allocated to identified intangible assets acquired, the value of tangible assets and liabilities acquired may be adjusted, and the value of the tax attributes acquired may be diminished. The impact of these adjustments may result in a change in the preliminary value attributed to goodwill. The results of Global Med’s operations are included in our consolidated financial statements for approximately one week in fiscal year 2010 and are not material to the Company’s fiscal year 2010 operating results.</w:t>
      </w:r>
    </w:p>
    <w:p>
      <w:pPr>
        <w:spacing w:after="0" w:line="130" w:lineRule="exact"/>
        <w:rPr>
          <w:sz w:val="20"/>
          <w:szCs w:val="20"/>
          <w:color w:val="auto"/>
        </w:rPr>
      </w:pPr>
    </w:p>
    <w:p>
      <w:pPr>
        <w:ind w:left="1000" w:hanging="313"/>
        <w:spacing w:after="0"/>
        <w:tabs>
          <w:tab w:leader="none" w:pos="10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Generally, we provide a warranty on parts and labor for one year after the sale and installation of each device. We also warrant our disposable products through their use or expiration. We estimate our potential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warranty expense based on our historical warranty experience, and we periodically assess the adequacy of our warranty accrual and make adjustments as necessary.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as of the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929</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Warranty provision</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1,313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2,155</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Warranty spending</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(2,245)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(1,249)</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Warranty accrual as of the end of the period</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903</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 NET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Inventories are stated at the lower of cost or market and include the cost of material, labor and manufacturing overhead. Cost is determined on the first-in, first-out basis.</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consist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April 3,</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r>
      <w:tr>
        <w:trPr>
          <w:trHeight w:val="125"/>
        </w:trPr>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0"/>
                <w:szCs w:val="10"/>
                <w:b w:val="1"/>
                <w:bCs w:val="1"/>
                <w:color w:val="auto"/>
              </w:rPr>
              <w:t>(In thousands)</w:t>
            </w:r>
          </w:p>
        </w:tc>
      </w:tr>
      <w:tr>
        <w:trPr>
          <w:trHeight w:val="163"/>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25,850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23,778</w:t>
            </w:r>
          </w:p>
        </w:tc>
      </w:tr>
      <w:tr>
        <w:trPr>
          <w:trHeight w:val="157"/>
        </w:trPr>
        <w:tc>
          <w:tcPr>
            <w:tcW w:w="8200" w:type="dxa"/>
            <w:vAlign w:val="bottom"/>
            <w:gridSpan w:val="3"/>
          </w:tcPr>
          <w:p>
            <w:pPr>
              <w:spacing w:after="0"/>
              <w:rPr>
                <w:sz w:val="20"/>
                <w:szCs w:val="20"/>
                <w:color w:val="auto"/>
              </w:rPr>
            </w:pPr>
            <w:r>
              <w:rPr>
                <w:rFonts w:ascii="Arial" w:cs="Arial" w:eastAsia="Arial" w:hAnsi="Arial"/>
                <w:sz w:val="13"/>
                <w:szCs w:val="13"/>
                <w:color w:val="auto"/>
              </w:rPr>
              <w:t>Work-in-process</w:t>
            </w: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3,825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8,732</w:t>
            </w:r>
          </w:p>
        </w:tc>
        <w:tc>
          <w:tcPr>
            <w:tcW w:w="100" w:type="dxa"/>
            <w:vAlign w:val="bottom"/>
          </w:tcPr>
          <w:p>
            <w:pPr>
              <w:spacing w:after="0"/>
              <w:rPr>
                <w:sz w:val="13"/>
                <w:szCs w:val="13"/>
                <w:color w:val="auto"/>
              </w:rPr>
            </w:pP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50,278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44,012</w:t>
            </w: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9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79,953</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76,522</w:t>
            </w:r>
          </w:p>
        </w:tc>
      </w:tr>
      <w:tr>
        <w:trPr>
          <w:trHeight w:val="324"/>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8000" w:type="dxa"/>
            <w:vAlign w:val="bottom"/>
            <w:gridSpan w:val="2"/>
          </w:tcPr>
          <w:p>
            <w:pPr>
              <w:ind w:left="120"/>
              <w:spacing w:after="0"/>
              <w:rPr>
                <w:sz w:val="20"/>
                <w:szCs w:val="20"/>
                <w:color w:val="auto"/>
              </w:rPr>
            </w:pPr>
            <w:r>
              <w:rPr>
                <w:rFonts w:ascii="Arial" w:cs="Arial" w:eastAsia="Arial" w:hAnsi="Arial"/>
                <w:sz w:val="13"/>
                <w:szCs w:val="13"/>
                <w:b w:val="1"/>
                <w:bCs w:val="1"/>
                <w:color w:val="auto"/>
              </w:rPr>
              <w:t>GOODWILL AND OTHER INTANGIBLE ASSETS</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0" w:type="dxa"/>
            <w:vAlign w:val="bottom"/>
          </w:tcPr>
          <w:p>
            <w:pPr>
              <w:spacing w:after="0"/>
              <w:rPr>
                <w:sz w:val="21"/>
                <w:szCs w:val="21"/>
                <w:color w:val="auto"/>
              </w:rPr>
            </w:pPr>
          </w:p>
        </w:tc>
        <w:tc>
          <w:tcPr>
            <w:tcW w:w="8000" w:type="dxa"/>
            <w:vAlign w:val="bottom"/>
            <w:gridSpan w:val="2"/>
          </w:tcPr>
          <w:p>
            <w:pPr>
              <w:ind w:left="200"/>
              <w:spacing w:after="0"/>
              <w:rPr>
                <w:sz w:val="20"/>
                <w:szCs w:val="20"/>
                <w:color w:val="auto"/>
              </w:rPr>
            </w:pPr>
            <w:r>
              <w:rPr>
                <w:rFonts w:ascii="Arial" w:cs="Arial" w:eastAsia="Arial" w:hAnsi="Arial"/>
                <w:sz w:val="13"/>
                <w:szCs w:val="13"/>
                <w:color w:val="auto"/>
              </w:rPr>
              <w:t>The changes in the carrying amount of goodwill for fiscal year 2009, 2008 and 2007 are as follows:</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8"/>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1300" w:type="dxa"/>
            <w:vAlign w:val="bottom"/>
            <w:gridSpan w:val="2"/>
          </w:tcPr>
          <w:p>
            <w:pPr>
              <w:spacing w:after="0"/>
              <w:rPr>
                <w:sz w:val="2"/>
                <w:szCs w:val="2"/>
                <w:color w:val="auto"/>
              </w:rPr>
            </w:pPr>
          </w:p>
        </w:tc>
        <w:tc>
          <w:tcPr>
            <w:tcW w:w="6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Carrying amount as of March 29, 2008</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54,222</w:t>
            </w:r>
          </w:p>
        </w:tc>
      </w:tr>
      <w:tr>
        <w:trPr>
          <w:trHeight w:val="157"/>
        </w:trPr>
        <w:tc>
          <w:tcPr>
            <w:tcW w:w="8200" w:type="dxa"/>
            <w:vAlign w:val="bottom"/>
            <w:gridSpan w:val="3"/>
          </w:tcPr>
          <w:p>
            <w:pPr>
              <w:spacing w:after="0"/>
              <w:rPr>
                <w:sz w:val="20"/>
                <w:szCs w:val="20"/>
                <w:color w:val="auto"/>
              </w:rPr>
            </w:pPr>
            <w:r>
              <w:rPr>
                <w:rFonts w:ascii="Arial" w:cs="Arial" w:eastAsia="Arial" w:hAnsi="Arial"/>
                <w:sz w:val="13"/>
                <w:szCs w:val="13"/>
                <w:color w:val="auto"/>
              </w:rPr>
              <w:t>Medicell Ltd.(a)</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1,238</w:t>
            </w:r>
          </w:p>
        </w:tc>
        <w:tc>
          <w:tcPr>
            <w:tcW w:w="100" w:type="dxa"/>
            <w:vAlign w:val="bottom"/>
          </w:tcPr>
          <w:p>
            <w:pPr>
              <w:spacing w:after="0"/>
              <w:rPr>
                <w:sz w:val="13"/>
                <w:szCs w:val="13"/>
                <w:color w:val="auto"/>
              </w:rPr>
            </w:pP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Altivation Software Inc.(b)</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w:t>
            </w:r>
          </w:p>
        </w:tc>
        <w:tc>
          <w:tcPr>
            <w:tcW w:w="100" w:type="dxa"/>
            <w:vAlign w:val="bottom"/>
            <w:shd w:val="clear" w:color="auto" w:fill="CCEEFF"/>
          </w:tcPr>
          <w:p>
            <w:pPr>
              <w:spacing w:after="0"/>
              <w:rPr>
                <w:sz w:val="13"/>
                <w:szCs w:val="13"/>
                <w:color w:val="auto"/>
              </w:rPr>
            </w:pPr>
          </w:p>
        </w:tc>
      </w:tr>
      <w:tr>
        <w:trPr>
          <w:trHeight w:val="157"/>
        </w:trPr>
        <w:tc>
          <w:tcPr>
            <w:tcW w:w="8200" w:type="dxa"/>
            <w:vAlign w:val="bottom"/>
            <w:gridSpan w:val="3"/>
          </w:tcPr>
          <w:p>
            <w:pPr>
              <w:spacing w:after="0"/>
              <w:rPr>
                <w:sz w:val="20"/>
                <w:szCs w:val="20"/>
                <w:color w:val="auto"/>
              </w:rPr>
            </w:pPr>
            <w:r>
              <w:rPr>
                <w:rFonts w:ascii="Arial" w:cs="Arial" w:eastAsia="Arial" w:hAnsi="Arial"/>
                <w:sz w:val="13"/>
                <w:szCs w:val="13"/>
                <w:color w:val="auto"/>
              </w:rPr>
              <w:t>Effect of change in rates used for translation</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(724)</w:t>
            </w: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Carrying amount as of March 28, 2009</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56,426</w:t>
            </w:r>
          </w:p>
        </w:tc>
      </w:tr>
      <w:tr>
        <w:trPr>
          <w:trHeight w:val="157"/>
        </w:trPr>
        <w:tc>
          <w:tcPr>
            <w:tcW w:w="8200" w:type="dxa"/>
            <w:vAlign w:val="bottom"/>
            <w:gridSpan w:val="3"/>
          </w:tcPr>
          <w:p>
            <w:pPr>
              <w:spacing w:after="0"/>
              <w:rPr>
                <w:sz w:val="20"/>
                <w:szCs w:val="20"/>
                <w:color w:val="auto"/>
              </w:rPr>
            </w:pPr>
            <w:r>
              <w:rPr>
                <w:rFonts w:ascii="Arial" w:cs="Arial" w:eastAsia="Arial" w:hAnsi="Arial"/>
                <w:sz w:val="13"/>
                <w:szCs w:val="13"/>
                <w:color w:val="auto"/>
              </w:rPr>
              <w:t>Global Med(c)</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50,109</w:t>
            </w: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SEBRA(d)</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w:t>
            </w:r>
          </w:p>
        </w:tc>
        <w:tc>
          <w:tcPr>
            <w:tcW w:w="100" w:type="dxa"/>
            <w:vAlign w:val="bottom"/>
            <w:shd w:val="clear" w:color="auto" w:fill="CCEEFF"/>
          </w:tcPr>
          <w:p>
            <w:pPr>
              <w:spacing w:after="0"/>
              <w:rPr>
                <w:sz w:val="13"/>
                <w:szCs w:val="13"/>
                <w:color w:val="auto"/>
              </w:rPr>
            </w:pPr>
          </w:p>
        </w:tc>
      </w:tr>
      <w:tr>
        <w:trPr>
          <w:trHeight w:val="157"/>
        </w:trPr>
        <w:tc>
          <w:tcPr>
            <w:tcW w:w="8200" w:type="dxa"/>
            <w:vAlign w:val="bottom"/>
            <w:gridSpan w:val="3"/>
          </w:tcPr>
          <w:p>
            <w:pPr>
              <w:spacing w:after="0"/>
              <w:rPr>
                <w:sz w:val="20"/>
                <w:szCs w:val="20"/>
                <w:color w:val="auto"/>
              </w:rPr>
            </w:pPr>
            <w:r>
              <w:rPr>
                <w:rFonts w:ascii="Arial" w:cs="Arial" w:eastAsia="Arial" w:hAnsi="Arial"/>
                <w:sz w:val="13"/>
                <w:szCs w:val="13"/>
                <w:color w:val="auto"/>
              </w:rPr>
              <w:t>L’Attitude Medical Systems Inc. (Neoteric)(e)</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8,672</w:t>
            </w:r>
          </w:p>
        </w:tc>
        <w:tc>
          <w:tcPr>
            <w:tcW w:w="100" w:type="dxa"/>
            <w:vAlign w:val="bottom"/>
          </w:tcPr>
          <w:p>
            <w:pPr>
              <w:spacing w:after="0"/>
              <w:rPr>
                <w:sz w:val="13"/>
                <w:szCs w:val="13"/>
                <w:color w:val="auto"/>
              </w:rPr>
            </w:pP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Altivation Software Inc.(b)</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2,110</w:t>
            </w:r>
          </w:p>
        </w:tc>
      </w:tr>
      <w:tr>
        <w:trPr>
          <w:trHeight w:val="157"/>
        </w:trPr>
        <w:tc>
          <w:tcPr>
            <w:tcW w:w="8200" w:type="dxa"/>
            <w:vAlign w:val="bottom"/>
            <w:gridSpan w:val="3"/>
          </w:tcPr>
          <w:p>
            <w:pPr>
              <w:spacing w:after="0"/>
              <w:rPr>
                <w:sz w:val="20"/>
                <w:szCs w:val="20"/>
                <w:color w:val="auto"/>
              </w:rPr>
            </w:pPr>
            <w:r>
              <w:rPr>
                <w:rFonts w:ascii="Arial" w:cs="Arial" w:eastAsia="Arial" w:hAnsi="Arial"/>
                <w:sz w:val="13"/>
                <w:szCs w:val="13"/>
                <w:color w:val="auto"/>
              </w:rPr>
              <w:t>Medicell Ltd.(a)</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3"/>
                <w:szCs w:val="13"/>
                <w:color w:val="auto"/>
              </w:rPr>
            </w:pPr>
          </w:p>
        </w:tc>
      </w:tr>
      <w:tr>
        <w:trPr>
          <w:trHeight w:val="157"/>
        </w:trPr>
        <w:tc>
          <w:tcPr>
            <w:tcW w:w="8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Effect of change in rates used for translation</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(878)</w:t>
            </w:r>
          </w:p>
        </w:tc>
      </w:tr>
      <w:tr>
        <w:trPr>
          <w:trHeight w:val="156"/>
        </w:trPr>
        <w:tc>
          <w:tcPr>
            <w:tcW w:w="8200" w:type="dxa"/>
            <w:vAlign w:val="bottom"/>
            <w:gridSpan w:val="3"/>
          </w:tcPr>
          <w:p>
            <w:pPr>
              <w:spacing w:after="0"/>
              <w:rPr>
                <w:sz w:val="20"/>
                <w:szCs w:val="20"/>
                <w:color w:val="auto"/>
              </w:rPr>
            </w:pPr>
            <w:r>
              <w:rPr>
                <w:rFonts w:ascii="Arial" w:cs="Arial" w:eastAsia="Arial" w:hAnsi="Arial"/>
                <w:sz w:val="13"/>
                <w:szCs w:val="13"/>
                <w:color w:val="auto"/>
              </w:rPr>
              <w:t>Carrying amount as of April 3, 2010</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120,543</w:t>
            </w:r>
          </w:p>
        </w:tc>
        <w:tc>
          <w:tcPr>
            <w:tcW w:w="100" w:type="dxa"/>
            <w:vAlign w:val="bottom"/>
          </w:tcPr>
          <w:p>
            <w:pPr>
              <w:spacing w:after="0"/>
              <w:rPr>
                <w:sz w:val="13"/>
                <w:szCs w:val="13"/>
                <w:color w:val="auto"/>
              </w:rPr>
            </w:pPr>
          </w:p>
        </w:tc>
      </w:tr>
      <w:tr>
        <w:trPr>
          <w:trHeight w:val="99"/>
        </w:trPr>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40" w:lineRule="exact"/>
        <w:rPr>
          <w:sz w:val="20"/>
          <w:szCs w:val="20"/>
          <w:color w:val="auto"/>
        </w:rPr>
      </w:pPr>
    </w:p>
    <w:p>
      <w:pPr>
        <w:ind w:left="1080" w:hanging="393"/>
        <w:spacing w:after="0"/>
        <w:tabs>
          <w:tab w:leader="none" w:pos="10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Medicell Limited (“Medicell”), which occurred on April 4, 2008.</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Altivation Software (“Altivation”), which occurred on March 27,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080" w:hanging="393"/>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Global Med Technologies, Inc.(“Global Med”), which occurred on March 31, 2010.</w:t>
      </w:r>
    </w:p>
    <w:p>
      <w:pPr>
        <w:spacing w:after="0" w:line="44" w:lineRule="exact"/>
        <w:rPr>
          <w:rFonts w:ascii="Arial" w:cs="Arial" w:eastAsia="Arial" w:hAnsi="Arial"/>
          <w:sz w:val="13"/>
          <w:szCs w:val="13"/>
          <w:color w:val="auto"/>
        </w:rPr>
      </w:pPr>
    </w:p>
    <w:p>
      <w:pPr>
        <w:ind w:left="1080" w:hanging="393"/>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the SEBRA</w:t>
      </w:r>
      <w:r>
        <w:rPr>
          <w:rFonts w:ascii="Arial" w:cs="Arial" w:eastAsia="Arial" w:hAnsi="Arial"/>
          <w:sz w:val="11"/>
          <w:szCs w:val="11"/>
          <w:color w:val="auto"/>
        </w:rPr>
        <w:t>®</w:t>
      </w:r>
      <w:r>
        <w:rPr>
          <w:rFonts w:ascii="Arial" w:cs="Arial" w:eastAsia="Arial" w:hAnsi="Arial"/>
          <w:sz w:val="13"/>
          <w:szCs w:val="13"/>
          <w:color w:val="auto"/>
        </w:rPr>
        <w:t xml:space="preserve"> assets, which occurred on September 4, 2009.</w:t>
      </w:r>
    </w:p>
    <w:p>
      <w:pPr>
        <w:spacing w:after="0" w:line="49" w:lineRule="exact"/>
        <w:rPr>
          <w:rFonts w:ascii="Arial" w:cs="Arial" w:eastAsia="Arial" w:hAnsi="Arial"/>
          <w:sz w:val="13"/>
          <w:szCs w:val="13"/>
          <w:color w:val="auto"/>
        </w:rPr>
      </w:pPr>
    </w:p>
    <w:p>
      <w:pPr>
        <w:ind w:left="1080" w:hanging="393"/>
        <w:spacing w:after="0"/>
        <w:tabs>
          <w:tab w:leader="none" w:pos="10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L’Attitude Medical Systems, Inc. (“Neoteric”), which occurred on April 16, 2009.</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Other intangible assets include the value assigned to license rights and other technology, patents, customer contracts and relationships, software technology, and a trade name. The estimated useful lives for all of these intangible assets are 5 to 20 years.</w:t>
      </w:r>
    </w:p>
    <w:p>
      <w:pPr>
        <w:spacing w:after="0" w:line="59"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Aggregate amortization expense for amortized other intangible assets for fiscal year 2010, 2009, and 2008 was $7.7 million, $6.0 million, and $4.1 million, respectively. Future annual amortization expense on other intangible assets is expected to approximate $11.7 million for fiscal year 2011, $11.2 million for fiscal year 2012, $11.1 million for fiscal year 2013, $10.8 million for fiscal year 2014 and $9.6 million for fiscal year 2015.</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Gross Carrying</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Accumulated</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Amortization</w:t>
            </w: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Useful Life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 of April 3, 2010</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Amortized Intangibles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Patents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11,928</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Capitalized software</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7,642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498</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technology</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51,826</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14,187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Customer contracts and related relationships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45,897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11,549</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Trade name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Total Intangibles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10</w:t>
            </w: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118,795</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32,693</w:t>
            </w: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6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jc w:val="center"/>
              <w:ind w:right="119"/>
              <w:spacing w:after="0"/>
              <w:rPr>
                <w:sz w:val="20"/>
                <w:szCs w:val="20"/>
                <w:color w:val="auto"/>
              </w:rPr>
            </w:pPr>
            <w:r>
              <w:rPr>
                <w:rFonts w:ascii="Arial" w:cs="Arial" w:eastAsia="Arial" w:hAnsi="Arial"/>
                <w:sz w:val="10"/>
                <w:szCs w:val="10"/>
                <w:b w:val="1"/>
                <w:bCs w:val="1"/>
                <w:color w:val="auto"/>
                <w:w w:val="96"/>
              </w:rPr>
              <w:t>Gross Carrying</w:t>
            </w:r>
          </w:p>
        </w:tc>
        <w:tc>
          <w:tcPr>
            <w:tcW w:w="4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2"/>
              </w:rPr>
              <w:t>Accumulated</w:t>
            </w:r>
          </w:p>
        </w:tc>
        <w:tc>
          <w:tcPr>
            <w:tcW w:w="400" w:type="dxa"/>
            <w:vAlign w:val="bottom"/>
          </w:tcPr>
          <w:p>
            <w:pPr>
              <w:spacing w:after="0"/>
              <w:rPr>
                <w:sz w:val="23"/>
                <w:szCs w:val="23"/>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 Average</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Amortization</w:t>
            </w: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Useful Life</w:t>
            </w: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 of March 28, 2009</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Amortized Intangibles</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Patents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12,008</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4,945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Capitalized software</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18,994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572</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Other technology</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28,784</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Customer contracts and related relationships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29,886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8,240</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Trade name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1,097</w:t>
            </w:r>
          </w:p>
        </w:tc>
        <w:tc>
          <w:tcPr>
            <w:tcW w:w="4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Total Intangibles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90,769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25,508</w:t>
            </w: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DERIVATIVES AND FAIR VALUE MEASUREMENTS</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We manufacture, market and sell our products globally. Approximately 52.9%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lesser extent the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Designated Foreign Currency Hedges</w:t>
      </w:r>
    </w:p>
    <w:p>
      <w:pPr>
        <w:spacing w:after="0" w:line="96"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 xml:space="preserve">All of our designated currency hedge contracts as of April 3, 2010 and March 28, 2009 were cash flow hedges under ASC Topic 815, </w:t>
      </w:r>
      <w:r>
        <w:rPr>
          <w:rFonts w:ascii="Arial" w:cs="Arial" w:eastAsia="Arial" w:hAnsi="Arial"/>
          <w:sz w:val="11"/>
          <w:szCs w:val="11"/>
          <w:i w:val="1"/>
          <w:iCs w:val="1"/>
          <w:color w:val="auto"/>
        </w:rPr>
        <w:t>Derivatives and Hedging</w:t>
      </w:r>
      <w:r>
        <w:rPr>
          <w:rFonts w:ascii="Arial" w:cs="Arial" w:eastAsia="Arial" w:hAnsi="Arial"/>
          <w:sz w:val="11"/>
          <w:szCs w:val="11"/>
          <w:color w:val="auto"/>
        </w:rPr>
        <w:t xml:space="preserve"> (formerly known as FASB Statement No. 133, </w:t>
      </w:r>
      <w:r>
        <w:rPr>
          <w:rFonts w:ascii="Arial" w:cs="Arial" w:eastAsia="Arial" w:hAnsi="Arial"/>
          <w:sz w:val="11"/>
          <w:szCs w:val="11"/>
          <w:i w:val="1"/>
          <w:iCs w:val="1"/>
          <w:color w:val="auto"/>
        </w:rPr>
        <w:t>Accounting for Derivative Instruments and Hedging Activities</w:t>
      </w:r>
      <w:r>
        <w:rPr>
          <w:rFonts w:ascii="Arial" w:cs="Arial" w:eastAsia="Arial" w:hAnsi="Arial"/>
          <w:sz w:val="11"/>
          <w:szCs w:val="11"/>
          <w:color w:val="auto"/>
        </w:rPr>
        <w:t>). We record the effective portion of any change in the fair value of designated foreign currency hedge contracts in other comprehensive income (OCI) in the Statement of Stockholders’ Equity and Comprehensive Income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currency derivative instruments designated as cash flow hedges outstanding in the contract amount of $135.4 million as of April 3, 2010 and $117.1 million as of March 28, 2009.</w:t>
      </w:r>
    </w:p>
    <w:p>
      <w:pPr>
        <w:spacing w:after="0" w:line="45"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color w:val="auto"/>
        </w:rPr>
        <w:t>During fiscal year 2010, we recognized net losses of $3.4 million in earnings on our cash flow hedges. All currency cash flow hedges outstanding as of April 3, 2010 mature within twelve months. As of April 3, 2010, $1.4 million of net gains, net of tax, were recorded in OCI to recognize the effective portion of the fair value of any currency derivative instruments that are, or previously were, designated as foreign currency cash flow hedges, as compared to net gains of $4.9 million as of March 28, 2009. As of April 3, 2010, $1.4 million of net gains, net of tax, may be reclassified to earnings within the next twelve months.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Non-designated Foreign Currency Contracts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currency derivative instruments not designated as hedges under ASC Topic 815 outstanding in the contract amount of $29.6 million as of April 3, 2010 and $51.6 million as of March 28, 2009.</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Fair Value of Derivative Instruments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following tables present the effect of our derivative instruments designated as cash flow hedges and those not designated as hedging instruments under ASC Topic 815 in our consolidated statement of income for fiscal year 2010.</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8"/>
              </w:rPr>
              <w:t>Amount of Gain</w:t>
            </w: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Amount of Loss</w:t>
            </w: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Earnings on</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Amount of</w:t>
            </w: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Ineffective</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Reclassified</w:t>
            </w:r>
          </w:p>
        </w:tc>
        <w:tc>
          <w:tcPr>
            <w:tcW w:w="4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Portion and</w:t>
            </w: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5"/>
              </w:rPr>
              <w:t>Loss</w:t>
            </w:r>
          </w:p>
        </w:tc>
        <w:tc>
          <w:tcPr>
            <w:tcW w:w="4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OCI into</w:t>
            </w:r>
          </w:p>
        </w:tc>
        <w:tc>
          <w:tcPr>
            <w:tcW w:w="400" w:type="dxa"/>
            <w:vAlign w:val="bottom"/>
          </w:tcPr>
          <w:p>
            <w:pPr>
              <w:spacing w:after="0"/>
              <w:rPr>
                <w:sz w:val="9"/>
                <w:szCs w:val="9"/>
                <w:color w:val="auto"/>
              </w:rPr>
            </w:pPr>
          </w:p>
        </w:tc>
        <w:tc>
          <w:tcPr>
            <w:tcW w:w="108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Location in</w:t>
            </w: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Location in</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1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42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Earnings</w:t>
            </w:r>
          </w:p>
        </w:tc>
        <w:tc>
          <w:tcPr>
            <w:tcW w:w="4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Excluded from</w:t>
            </w:r>
          </w:p>
        </w:tc>
        <w:tc>
          <w:tcPr>
            <w:tcW w:w="4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420" w:type="dxa"/>
            <w:vAlign w:val="bottom"/>
            <w:vMerge w:val="restart"/>
          </w:tcPr>
          <w:p>
            <w:pPr>
              <w:spacing w:after="0"/>
              <w:rPr>
                <w:sz w:val="20"/>
                <w:szCs w:val="20"/>
                <w:color w:val="auto"/>
              </w:rPr>
            </w:pPr>
            <w:r>
              <w:rPr>
                <w:rFonts w:ascii="Arial" w:cs="Arial" w:eastAsia="Arial" w:hAnsi="Arial"/>
                <w:sz w:val="10"/>
                <w:szCs w:val="10"/>
                <w:b w:val="1"/>
                <w:bCs w:val="1"/>
                <w:color w:val="auto"/>
              </w:rPr>
              <w:t>Cash Flow Hedges</w:t>
            </w:r>
          </w:p>
        </w:tc>
        <w:tc>
          <w:tcPr>
            <w:tcW w:w="1100" w:type="dxa"/>
            <w:vAlign w:val="bottom"/>
          </w:tcPr>
          <w:p>
            <w:pPr>
              <w:jc w:val="center"/>
              <w:spacing w:after="0"/>
              <w:rPr>
                <w:sz w:val="20"/>
                <w:szCs w:val="20"/>
                <w:color w:val="auto"/>
              </w:rPr>
            </w:pPr>
            <w:r>
              <w:rPr>
                <w:rFonts w:ascii="Arial" w:cs="Arial" w:eastAsia="Arial" w:hAnsi="Arial"/>
                <w:sz w:val="10"/>
                <w:szCs w:val="10"/>
                <w:b w:val="1"/>
                <w:bCs w:val="1"/>
                <w:color w:val="auto"/>
              </w:rPr>
              <w:t>OCI (Effective</w:t>
            </w:r>
          </w:p>
        </w:tc>
        <w:tc>
          <w:tcPr>
            <w:tcW w:w="420" w:type="dxa"/>
            <w:vAlign w:val="bottom"/>
          </w:tcPr>
          <w:p>
            <w:pPr>
              <w:spacing w:after="0"/>
              <w:rPr>
                <w:sz w:val="10"/>
                <w:szCs w:val="10"/>
                <w:color w:val="auto"/>
              </w:rPr>
            </w:pP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7"/>
              </w:rPr>
              <w:t>(Effective</w:t>
            </w:r>
          </w:p>
        </w:tc>
        <w:tc>
          <w:tcPr>
            <w:tcW w:w="400" w:type="dxa"/>
            <w:vAlign w:val="bottom"/>
          </w:tcPr>
          <w:p>
            <w:pPr>
              <w:spacing w:after="0"/>
              <w:rPr>
                <w:sz w:val="10"/>
                <w:szCs w:val="10"/>
                <w:color w:val="auto"/>
              </w:rPr>
            </w:pPr>
          </w:p>
        </w:tc>
        <w:tc>
          <w:tcPr>
            <w:tcW w:w="1080" w:type="dxa"/>
            <w:vAlign w:val="bottom"/>
          </w:tcPr>
          <w:p>
            <w:pPr>
              <w:ind w:left="260"/>
              <w:spacing w:after="0"/>
              <w:rPr>
                <w:sz w:val="20"/>
                <w:szCs w:val="20"/>
                <w:color w:val="auto"/>
              </w:rPr>
            </w:pPr>
            <w:r>
              <w:rPr>
                <w:rFonts w:ascii="Arial" w:cs="Arial" w:eastAsia="Arial" w:hAnsi="Arial"/>
                <w:sz w:val="10"/>
                <w:szCs w:val="10"/>
                <w:b w:val="1"/>
                <w:bCs w:val="1"/>
                <w:color w:val="auto"/>
              </w:rPr>
              <w:t>Statement of</w:t>
            </w:r>
          </w:p>
        </w:tc>
        <w:tc>
          <w:tcPr>
            <w:tcW w:w="400" w:type="dxa"/>
            <w:vAlign w:val="bottom"/>
          </w:tcPr>
          <w:p>
            <w:pPr>
              <w:spacing w:after="0"/>
              <w:rPr>
                <w:sz w:val="10"/>
                <w:szCs w:val="10"/>
                <w:color w:val="auto"/>
              </w:rPr>
            </w:pP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89"/>
              </w:rPr>
              <w:t>Effectiveness</w:t>
            </w:r>
          </w:p>
        </w:tc>
        <w:tc>
          <w:tcPr>
            <w:tcW w:w="40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Arial" w:cs="Arial" w:eastAsia="Arial" w:hAnsi="Arial"/>
                <w:sz w:val="10"/>
                <w:szCs w:val="10"/>
                <w:b w:val="1"/>
                <w:bCs w:val="1"/>
                <w:color w:val="auto"/>
                <w:w w:val="92"/>
              </w:rPr>
              <w:t>Statement of</w:t>
            </w:r>
          </w:p>
        </w:tc>
        <w:tc>
          <w:tcPr>
            <w:tcW w:w="0" w:type="dxa"/>
            <w:vAlign w:val="bottom"/>
          </w:tcPr>
          <w:p>
            <w:pPr>
              <w:spacing w:after="0"/>
              <w:rPr>
                <w:sz w:val="1"/>
                <w:szCs w:val="1"/>
                <w:color w:val="auto"/>
              </w:rPr>
            </w:pPr>
          </w:p>
        </w:tc>
      </w:tr>
      <w:tr>
        <w:trPr>
          <w:trHeight w:val="125"/>
        </w:trPr>
        <w:tc>
          <w:tcPr>
            <w:tcW w:w="2420" w:type="dxa"/>
            <w:vAlign w:val="bottom"/>
            <w:vMerge w:val="continue"/>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Portion)</w:t>
            </w:r>
          </w:p>
        </w:tc>
        <w:tc>
          <w:tcPr>
            <w:tcW w:w="420" w:type="dxa"/>
            <w:vAlign w:val="bottom"/>
          </w:tcPr>
          <w:p>
            <w:pPr>
              <w:spacing w:after="0"/>
              <w:rPr>
                <w:sz w:val="10"/>
                <w:szCs w:val="1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Portion)</w:t>
            </w:r>
          </w:p>
        </w:tc>
        <w:tc>
          <w:tcPr>
            <w:tcW w:w="400" w:type="dxa"/>
            <w:vAlign w:val="bottom"/>
          </w:tcPr>
          <w:p>
            <w:pPr>
              <w:spacing w:after="0"/>
              <w:rPr>
                <w:sz w:val="10"/>
                <w:szCs w:val="10"/>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Operations</w:t>
            </w:r>
          </w:p>
        </w:tc>
        <w:tc>
          <w:tcPr>
            <w:tcW w:w="400" w:type="dxa"/>
            <w:vAlign w:val="bottom"/>
          </w:tcPr>
          <w:p>
            <w:pPr>
              <w:spacing w:after="0"/>
              <w:rPr>
                <w:sz w:val="10"/>
                <w:szCs w:val="1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Testing (*)</w:t>
            </w:r>
          </w:p>
        </w:tc>
        <w:tc>
          <w:tcPr>
            <w:tcW w:w="400" w:type="dxa"/>
            <w:vAlign w:val="bottom"/>
          </w:tcPr>
          <w:p>
            <w:pPr>
              <w:spacing w:after="0"/>
              <w:rPr>
                <w:sz w:val="10"/>
                <w:szCs w:val="1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Operations</w:t>
            </w:r>
          </w:p>
        </w:tc>
        <w:tc>
          <w:tcPr>
            <w:tcW w:w="0" w:type="dxa"/>
            <w:vAlign w:val="bottom"/>
          </w:tcPr>
          <w:p>
            <w:pPr>
              <w:spacing w:after="0"/>
              <w:rPr>
                <w:sz w:val="1"/>
                <w:szCs w:val="1"/>
                <w:color w:val="auto"/>
              </w:rPr>
            </w:pPr>
          </w:p>
        </w:tc>
      </w:tr>
      <w:tr>
        <w:trPr>
          <w:trHeight w:val="125"/>
        </w:trPr>
        <w:tc>
          <w:tcPr>
            <w:tcW w:w="24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tcPr>
          <w:p>
            <w:pPr>
              <w:ind w:left="28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-91440</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p>
      <w:pPr>
        <w:spacing w:after="0" w:line="3"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2420" w:type="dxa"/>
            <w:vAlign w:val="bottom"/>
            <w:gridSpan w:val="2"/>
          </w:tcPr>
          <w:p>
            <w:pPr>
              <w:spacing w:after="0"/>
              <w:rPr>
                <w:sz w:val="20"/>
                <w:szCs w:val="20"/>
                <w:color w:val="auto"/>
              </w:rPr>
            </w:pPr>
            <w:r>
              <w:rPr>
                <w:rFonts w:ascii="Arial" w:cs="Arial" w:eastAsia="Arial" w:hAnsi="Arial"/>
                <w:sz w:val="13"/>
                <w:szCs w:val="13"/>
                <w:color w:val="auto"/>
              </w:rPr>
              <w:t>Foreign exchange contracts</w:t>
            </w:r>
          </w:p>
        </w:tc>
        <w:tc>
          <w:tcPr>
            <w:tcW w:w="460" w:type="dxa"/>
            <w:vAlign w:val="bottom"/>
          </w:tcPr>
          <w:p>
            <w:pPr>
              <w:jc w:val="right"/>
              <w:ind w:right="35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(477)</w:t>
            </w:r>
          </w:p>
        </w:tc>
        <w:tc>
          <w:tcPr>
            <w:tcW w:w="520" w:type="dxa"/>
            <w:vAlign w:val="bottom"/>
          </w:tcPr>
          <w:p>
            <w:pPr>
              <w:jc w:val="right"/>
              <w:ind w:right="4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3"/>
                <w:szCs w:val="13"/>
                <w:color w:val="auto"/>
              </w:rPr>
              <w:t>(809)</w:t>
            </w:r>
          </w:p>
        </w:tc>
        <w:tc>
          <w:tcPr>
            <w:tcW w:w="1060" w:type="dxa"/>
            <w:vAlign w:val="bottom"/>
          </w:tcPr>
          <w:p>
            <w:pPr>
              <w:ind w:left="380"/>
              <w:spacing w:after="0"/>
              <w:rPr>
                <w:sz w:val="20"/>
                <w:szCs w:val="20"/>
                <w:color w:val="auto"/>
              </w:rPr>
            </w:pPr>
            <w:r>
              <w:rPr>
                <w:rFonts w:ascii="Arial" w:cs="Arial" w:eastAsia="Arial" w:hAnsi="Arial"/>
                <w:sz w:val="13"/>
                <w:szCs w:val="13"/>
                <w:color w:val="auto"/>
                <w:w w:val="85"/>
              </w:rPr>
              <w:t>Net revenues</w:t>
            </w:r>
          </w:p>
        </w:tc>
      </w:tr>
      <w:tr>
        <w:trPr>
          <w:trHeight w:val="158"/>
        </w:trPr>
        <w:tc>
          <w:tcPr>
            <w:tcW w:w="1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b w:val="1"/>
                <w:bCs w:val="1"/>
                <w:color w:val="auto"/>
                <w:w w:val="72"/>
              </w:rPr>
              <w:t>(477)</w:t>
            </w:r>
          </w:p>
        </w:tc>
        <w:tc>
          <w:tcPr>
            <w:tcW w:w="42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b w:val="1"/>
                <w:bCs w:val="1"/>
                <w:color w:val="auto"/>
                <w:w w:val="72"/>
              </w:rPr>
              <w:t>(809)</w:t>
            </w: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  We exclude the difference between the spot rate and hedge rate from our effectiveness testing.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did not have fair value hedges or net investment hedges outstanding as of April 3, 2010 or March 28, 2009.</w:t>
      </w:r>
    </w:p>
    <w:p>
      <w:pPr>
        <w:spacing w:after="0" w:line="20" w:lineRule="exact"/>
        <w:rPr>
          <w:sz w:val="20"/>
          <w:szCs w:val="20"/>
          <w:color w:val="auto"/>
        </w:rPr>
      </w:pPr>
      <w:r>
        <w:rPr>
          <w:sz w:val="20"/>
          <w:szCs w:val="20"/>
          <w:color w:val="auto"/>
        </w:rPr>
        <w:br w:type="column"/>
      </w:r>
    </w:p>
    <w:p>
      <w:pPr>
        <w:ind w:left="4"/>
        <w:spacing w:after="0"/>
        <w:tabs>
          <w:tab w:leader="none" w:pos="963" w:val="left"/>
          <w:tab w:leader="none" w:pos="2103"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529</w:t>
      </w:r>
      <w:r>
        <w:rPr>
          <w:sz w:val="20"/>
          <w:szCs w:val="20"/>
          <w:color w:val="auto"/>
        </w:rPr>
        <w:tab/>
      </w:r>
      <w:r>
        <w:rPr>
          <w:rFonts w:ascii="Arial" w:cs="Arial" w:eastAsia="Arial" w:hAnsi="Arial"/>
          <w:sz w:val="11"/>
          <w:szCs w:val="11"/>
          <w:color w:val="auto"/>
        </w:rPr>
        <w:t>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5501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3" w:lineRule="exact"/>
        <w:rPr>
          <w:sz w:val="20"/>
          <w:szCs w:val="20"/>
          <w:color w:val="auto"/>
        </w:rPr>
      </w:pPr>
    </w:p>
    <w:p>
      <w:pPr>
        <w:ind w:left="984" w:hanging="984"/>
        <w:spacing w:after="0"/>
        <w:tabs>
          <w:tab w:leader="none" w:pos="984"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5501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5015" cy="6350"/>
                    </a:xfrm>
                    <a:prstGeom prst="rect">
                      <a:avLst/>
                    </a:prstGeom>
                    <a:noFill/>
                  </pic:spPr>
                </pic:pic>
              </a:graphicData>
            </a:graphic>
          </wp:anchor>
        </w:drawing>
      </w:r>
    </w:p>
    <w:p>
      <w:pPr>
        <w:spacing w:after="0" w:line="680" w:lineRule="exact"/>
        <w:rPr>
          <w:sz w:val="20"/>
          <w:szCs w:val="20"/>
          <w:color w:val="auto"/>
        </w:rPr>
      </w:pPr>
    </w:p>
    <w:p>
      <w:pPr>
        <w:sectPr>
          <w:pgSz w:w="11900" w:h="16838" w:orient="portrait"/>
          <w:cols w:equalWidth="0" w:num="2">
            <w:col w:w="7300" w:space="396"/>
            <w:col w:w="2924"/>
          </w:cols>
          <w:pgMar w:left="220" w:top="343" w:right="1059" w:bottom="1440" w:gutter="0" w:footer="0" w:header="0"/>
          <w:type w:val="continuous"/>
        </w:sectPr>
      </w:pPr>
    </w:p>
    <w:p>
      <w:pPr>
        <w:ind w:left="680" w:firstLine="399"/>
        <w:spacing w:after="0" w:line="255" w:lineRule="auto"/>
        <w:rPr>
          <w:sz w:val="20"/>
          <w:szCs w:val="20"/>
          <w:color w:val="auto"/>
        </w:rPr>
      </w:pPr>
      <w:r>
        <w:rPr>
          <w:rFonts w:ascii="Arial" w:cs="Arial" w:eastAsia="Arial" w:hAnsi="Arial"/>
          <w:sz w:val="13"/>
          <w:szCs w:val="13"/>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xml:space="preserve"> (formerly known as FASB Statement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April 3, 2010,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type w:val="continuous"/>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180" w:firstLine="399"/>
        <w:spacing w:after="0" w:line="276" w:lineRule="auto"/>
        <w:rPr>
          <w:sz w:val="20"/>
          <w:szCs w:val="20"/>
          <w:color w:val="auto"/>
        </w:rPr>
      </w:pPr>
      <w:r>
        <w:rPr>
          <w:rFonts w:ascii="Arial" w:cs="Arial" w:eastAsia="Arial" w:hAnsi="Arial"/>
          <w:sz w:val="13"/>
          <w:szCs w:val="13"/>
          <w:color w:val="auto"/>
        </w:rPr>
        <w:t>The following tables present the fair value of our derivative instruments as they appear in our consolidated balance sheets as of April 3, 2010 by type of contract and whether it is a qualifying hedge under ASC Topic 815.</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00" w:type="dxa"/>
            <w:vAlign w:val="bottom"/>
          </w:tcPr>
          <w:p>
            <w:pPr>
              <w:spacing w:after="0"/>
              <w:rPr>
                <w:sz w:val="10"/>
                <w:szCs w:val="10"/>
                <w:color w:val="auto"/>
              </w:rPr>
            </w:pPr>
          </w:p>
        </w:tc>
        <w:tc>
          <w:tcPr>
            <w:tcW w:w="1460" w:type="dxa"/>
            <w:vAlign w:val="bottom"/>
          </w:tcPr>
          <w:p>
            <w:pPr>
              <w:jc w:val="center"/>
              <w:ind w:left="781"/>
              <w:spacing w:after="0"/>
              <w:rPr>
                <w:sz w:val="20"/>
                <w:szCs w:val="20"/>
                <w:color w:val="auto"/>
              </w:rPr>
            </w:pPr>
            <w:r>
              <w:rPr>
                <w:rFonts w:ascii="Arial" w:cs="Arial" w:eastAsia="Arial" w:hAnsi="Arial"/>
                <w:sz w:val="10"/>
                <w:szCs w:val="10"/>
                <w:b w:val="1"/>
                <w:bCs w:val="1"/>
                <w:color w:val="auto"/>
                <w:w w:val="93"/>
              </w:rPr>
              <w:t>Location in</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80"/>
              <w:spacing w:after="0"/>
              <w:rPr>
                <w:sz w:val="20"/>
                <w:szCs w:val="20"/>
                <w:color w:val="auto"/>
              </w:rPr>
            </w:pPr>
            <w:r>
              <w:rPr>
                <w:rFonts w:ascii="Arial" w:cs="Arial" w:eastAsia="Arial" w:hAnsi="Arial"/>
                <w:sz w:val="10"/>
                <w:szCs w:val="10"/>
                <w:b w:val="1"/>
                <w:bCs w:val="1"/>
                <w:color w:val="auto"/>
              </w:rPr>
              <w:t>Balance as of</w:t>
            </w:r>
          </w:p>
        </w:tc>
      </w:tr>
      <w:tr>
        <w:trPr>
          <w:trHeight w:val="125"/>
        </w:trPr>
        <w:tc>
          <w:tcPr>
            <w:tcW w:w="6300" w:type="dxa"/>
            <w:vAlign w:val="bottom"/>
          </w:tcPr>
          <w:p>
            <w:pPr>
              <w:spacing w:after="0"/>
              <w:rPr>
                <w:sz w:val="10"/>
                <w:szCs w:val="10"/>
                <w:color w:val="auto"/>
              </w:rPr>
            </w:pPr>
          </w:p>
        </w:tc>
        <w:tc>
          <w:tcPr>
            <w:tcW w:w="1460" w:type="dxa"/>
            <w:vAlign w:val="bottom"/>
          </w:tcPr>
          <w:p>
            <w:pPr>
              <w:jc w:val="center"/>
              <w:ind w:left="781"/>
              <w:spacing w:after="0"/>
              <w:rPr>
                <w:sz w:val="20"/>
                <w:szCs w:val="20"/>
                <w:color w:val="auto"/>
              </w:rPr>
            </w:pPr>
            <w:r>
              <w:rPr>
                <w:rFonts w:ascii="Arial" w:cs="Arial" w:eastAsia="Arial" w:hAnsi="Arial"/>
                <w:sz w:val="10"/>
                <w:szCs w:val="10"/>
                <w:b w:val="1"/>
                <w:bCs w:val="1"/>
                <w:color w:val="auto"/>
                <w:w w:val="90"/>
              </w:rPr>
              <w:t>Balance Sheet</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80"/>
              <w:spacing w:after="0"/>
              <w:rPr>
                <w:sz w:val="20"/>
                <w:szCs w:val="20"/>
                <w:color w:val="auto"/>
              </w:rPr>
            </w:pPr>
            <w:r>
              <w:rPr>
                <w:rFonts w:ascii="Arial" w:cs="Arial" w:eastAsia="Arial" w:hAnsi="Arial"/>
                <w:sz w:val="10"/>
                <w:szCs w:val="10"/>
                <w:b w:val="1"/>
                <w:bCs w:val="1"/>
                <w:color w:val="auto"/>
              </w:rPr>
              <w:t>April 3, 2010</w:t>
            </w:r>
          </w:p>
        </w:tc>
      </w:tr>
      <w:tr>
        <w:trPr>
          <w:trHeight w:val="131"/>
        </w:trPr>
        <w:tc>
          <w:tcPr>
            <w:tcW w:w="630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(In thousands)</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3"/>
        </w:trPr>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Derivative Assets:</w:t>
            </w:r>
          </w:p>
        </w:tc>
        <w:tc>
          <w:tcPr>
            <w:tcW w:w="1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Designated Hedging Instruments</w:t>
            </w:r>
          </w:p>
        </w:tc>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Currency Exchange Contracts</w:t>
            </w: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Other current assets</w:t>
            </w:r>
          </w:p>
        </w:tc>
        <w:tc>
          <w:tcPr>
            <w:tcW w:w="1260" w:type="dxa"/>
            <w:vAlign w:val="bottom"/>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4,407</w:t>
            </w:r>
          </w:p>
        </w:tc>
        <w:tc>
          <w:tcPr>
            <w:tcW w:w="80" w:type="dxa"/>
            <w:vAlign w:val="bottom"/>
            <w:shd w:val="clear" w:color="auto" w:fill="CCEEFF"/>
          </w:tcPr>
          <w:p>
            <w:pPr>
              <w:spacing w:after="0"/>
              <w:rPr>
                <w:sz w:val="13"/>
                <w:szCs w:val="13"/>
                <w:color w:val="auto"/>
              </w:rPr>
            </w:pPr>
          </w:p>
        </w:tc>
      </w:tr>
      <w:tr>
        <w:trPr>
          <w:trHeight w:val="157"/>
        </w:trPr>
        <w:tc>
          <w:tcPr>
            <w:tcW w:w="6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4,407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Derivative Liabilities:</w:t>
            </w:r>
          </w:p>
        </w:tc>
        <w:tc>
          <w:tcPr>
            <w:tcW w:w="1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6300" w:type="dxa"/>
            <w:vAlign w:val="bottom"/>
          </w:tcPr>
          <w:p>
            <w:pPr>
              <w:spacing w:after="0"/>
              <w:rPr>
                <w:sz w:val="20"/>
                <w:szCs w:val="20"/>
                <w:color w:val="auto"/>
              </w:rPr>
            </w:pPr>
            <w:r>
              <w:rPr>
                <w:rFonts w:ascii="Arial" w:cs="Arial" w:eastAsia="Arial" w:hAnsi="Arial"/>
                <w:sz w:val="13"/>
                <w:szCs w:val="13"/>
                <w:color w:val="auto"/>
              </w:rPr>
              <w:t>Designated Hedging Instruments</w:t>
            </w:r>
          </w:p>
        </w:tc>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6300" w:type="dxa"/>
            <w:vAlign w:val="bottom"/>
            <w:shd w:val="clear" w:color="auto" w:fill="CCEEFF"/>
          </w:tcPr>
          <w:p>
            <w:pPr>
              <w:spacing w:after="0"/>
              <w:rPr>
                <w:sz w:val="20"/>
                <w:szCs w:val="20"/>
                <w:color w:val="auto"/>
              </w:rPr>
            </w:pPr>
            <w:r>
              <w:rPr>
                <w:rFonts w:ascii="Arial" w:cs="Arial" w:eastAsia="Arial" w:hAnsi="Arial"/>
                <w:sz w:val="13"/>
                <w:szCs w:val="13"/>
                <w:color w:val="auto"/>
              </w:rPr>
              <w:t>Currency Exchange Contracts</w:t>
            </w:r>
          </w:p>
        </w:tc>
        <w:tc>
          <w:tcPr>
            <w:tcW w:w="1460" w:type="dxa"/>
            <w:vAlign w:val="bottom"/>
            <w:shd w:val="clear" w:color="auto" w:fill="CCEEFF"/>
          </w:tcPr>
          <w:p>
            <w:pPr>
              <w:spacing w:after="0"/>
              <w:rPr>
                <w:sz w:val="20"/>
                <w:szCs w:val="20"/>
                <w:color w:val="auto"/>
              </w:rPr>
            </w:pPr>
            <w:r>
              <w:rPr>
                <w:rFonts w:ascii="Arial" w:cs="Arial" w:eastAsia="Arial" w:hAnsi="Arial"/>
                <w:sz w:val="13"/>
                <w:szCs w:val="13"/>
                <w:color w:val="auto"/>
              </w:rPr>
              <w:t>Other accrued liabilities</w:t>
            </w:r>
          </w:p>
        </w:tc>
        <w:tc>
          <w:tcPr>
            <w:tcW w:w="1260" w:type="dxa"/>
            <w:vAlign w:val="bottom"/>
            <w:gridSpan w:val="3"/>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1,747</w:t>
            </w:r>
          </w:p>
        </w:tc>
        <w:tc>
          <w:tcPr>
            <w:tcW w:w="80" w:type="dxa"/>
            <w:vAlign w:val="bottom"/>
            <w:shd w:val="clear" w:color="auto" w:fill="CCEEFF"/>
          </w:tcPr>
          <w:p>
            <w:pPr>
              <w:spacing w:after="0"/>
              <w:rPr>
                <w:sz w:val="13"/>
                <w:szCs w:val="13"/>
                <w:color w:val="auto"/>
              </w:rPr>
            </w:pPr>
          </w:p>
        </w:tc>
      </w:tr>
      <w:tr>
        <w:trPr>
          <w:trHeight w:val="157"/>
        </w:trPr>
        <w:tc>
          <w:tcPr>
            <w:tcW w:w="6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1,747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Other Fair Value Measurements</w:t>
      </w:r>
    </w:p>
    <w:p>
      <w:pPr>
        <w:spacing w:after="0" w:line="96" w:lineRule="exact"/>
        <w:rPr>
          <w:sz w:val="20"/>
          <w:szCs w:val="20"/>
          <w:color w:val="auto"/>
        </w:rPr>
      </w:pPr>
    </w:p>
    <w:p>
      <w:pPr>
        <w:jc w:val="both"/>
        <w:ind w:left="680" w:right="180" w:firstLine="399"/>
        <w:spacing w:after="0" w:line="285" w:lineRule="auto"/>
        <w:rPr>
          <w:sz w:val="20"/>
          <w:szCs w:val="20"/>
          <w:color w:val="auto"/>
        </w:rPr>
      </w:pPr>
      <w:r>
        <w:rPr>
          <w:rFonts w:ascii="Arial" w:cs="Arial" w:eastAsia="Arial" w:hAnsi="Arial"/>
          <w:sz w:val="12"/>
          <w:szCs w:val="12"/>
          <w:color w:val="auto"/>
        </w:rPr>
        <w:t xml:space="preserve">We adopted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xml:space="preserve"> (formerly known as FASB Statement No. 157, </w:t>
      </w:r>
      <w:r>
        <w:rPr>
          <w:rFonts w:ascii="Arial" w:cs="Arial" w:eastAsia="Arial" w:hAnsi="Arial"/>
          <w:sz w:val="12"/>
          <w:szCs w:val="12"/>
          <w:i w:val="1"/>
          <w:iCs w:val="1"/>
          <w:color w:val="auto"/>
        </w:rPr>
        <w:t>Fair Value Measurement</w:t>
      </w:r>
      <w:r>
        <w:rPr>
          <w:rFonts w:ascii="Arial" w:cs="Arial" w:eastAsia="Arial" w:hAnsi="Arial"/>
          <w:sz w:val="12"/>
          <w:szCs w:val="12"/>
          <w:color w:val="auto"/>
        </w:rPr>
        <w:t>) as of March 30, 2008. ASC Topic 820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fiscal year ended April 3, 2010,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55"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3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59" w:lineRule="exact"/>
        <w:rPr>
          <w:sz w:val="20"/>
          <w:szCs w:val="20"/>
          <w:color w:val="auto"/>
        </w:rPr>
      </w:pPr>
    </w:p>
    <w:p>
      <w:pPr>
        <w:ind w:left="1280" w:hanging="190"/>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Inputs to the valuation methodology are quoted market prices for identical assets or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50"/>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to the valuation methodology are other observable inputs, including quoted market prices for similar assets or liabilities and market-corroborated inputs.</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Inputs to the valuation methodology are unobservable inputs based on management’s best estimate of inputs market participants would use in pricing the asset or</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liability at the measurement date, including assumptions about risk.</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money market funds carried at fair value are generally classified within Level 1 of the fair value hierarchy because they are valued using quoted market prices.</w:t>
      </w:r>
    </w:p>
    <w:p>
      <w:pPr>
        <w:spacing w:after="0" w:line="96" w:lineRule="exact"/>
        <w:rPr>
          <w:sz w:val="20"/>
          <w:szCs w:val="20"/>
          <w:color w:val="auto"/>
        </w:rPr>
      </w:pPr>
    </w:p>
    <w:p>
      <w:pPr>
        <w:ind w:left="680" w:right="800" w:firstLine="399"/>
        <w:spacing w:after="0" w:line="282" w:lineRule="auto"/>
        <w:rPr>
          <w:sz w:val="20"/>
          <w:szCs w:val="20"/>
          <w:color w:val="auto"/>
        </w:rPr>
      </w:pPr>
      <w:r>
        <w:rPr>
          <w:rFonts w:ascii="Arial" w:cs="Arial" w:eastAsia="Arial" w:hAnsi="Arial"/>
          <w:sz w:val="12"/>
          <w:szCs w:val="12"/>
          <w:color w:val="auto"/>
        </w:rPr>
        <w:t xml:space="preserve">We recognize all derivative financial instruments in our consolidated financial statements at fair value in accordance with ASC Topic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xml:space="preserve"> (formerly known as FASB Statement No. 133, </w:t>
      </w:r>
      <w:r>
        <w:rPr>
          <w:rFonts w:ascii="Arial" w:cs="Arial" w:eastAsia="Arial" w:hAnsi="Arial"/>
          <w:sz w:val="12"/>
          <w:szCs w:val="12"/>
          <w:i w:val="1"/>
          <w:iCs w:val="1"/>
          <w:color w:val="auto"/>
        </w:rPr>
        <w:t>Accounting for Derivative Instruments and Hedging Activities</w:t>
      </w:r>
      <w:r>
        <w:rPr>
          <w:rFonts w:ascii="Arial" w:cs="Arial" w:eastAsia="Arial" w:hAnsi="Arial"/>
          <w:sz w:val="12"/>
          <w:szCs w:val="12"/>
          <w:color w:val="auto"/>
        </w:rPr>
        <w:t>). We determine the fair value of these instruments using the framework prescribed by ASC Topic 820 by considering the estimated amount we would 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fiscal year ended April 3, 2010, we have classified our other liabilities — contingent consideration relating to our acquisition of Neoteric within Level 3 of the fair value hierarchy because the value is determined using significant unobservable inputs.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Measured on a Recurring Basis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Financial assets and financial liabilities measured at fair value on a recurring basis consist of the following as of April 3,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Quoted</w:t>
            </w:r>
          </w:p>
        </w:tc>
        <w:tc>
          <w:tcPr>
            <w:tcW w:w="100" w:type="dxa"/>
            <w:vAlign w:val="bottom"/>
          </w:tcPr>
          <w:p>
            <w:pPr>
              <w:spacing w:after="0"/>
              <w:rPr>
                <w:sz w:val="10"/>
                <w:szCs w:val="10"/>
                <w:color w:val="auto"/>
              </w:rPr>
            </w:pPr>
          </w:p>
        </w:tc>
        <w:tc>
          <w:tcPr>
            <w:tcW w:w="11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3"/>
              </w:rPr>
              <w:t>Significant</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7"/>
              </w:rPr>
              <w:t>Significant</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Market Prices</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for Identical</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85"/>
              </w:rPr>
              <w:t>Assets</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9"/>
              </w:rPr>
              <w:t>Inputs</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(Level 1)</w:t>
            </w:r>
          </w:p>
        </w:tc>
        <w:tc>
          <w:tcPr>
            <w:tcW w:w="100" w:type="dxa"/>
            <w:vAlign w:val="bottom"/>
          </w:tcPr>
          <w:p>
            <w:pPr>
              <w:spacing w:after="0"/>
              <w:rPr>
                <w:sz w:val="10"/>
                <w:szCs w:val="10"/>
                <w:color w:val="auto"/>
              </w:rPr>
            </w:pPr>
          </w:p>
        </w:tc>
        <w:tc>
          <w:tcPr>
            <w:tcW w:w="11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(Level 3)</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Money market funds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109,564</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109,564</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Forward currency exchange contracts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4,407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4,407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109,564</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4,407</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113,971</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Forward currency exchange contracts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1,747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 — 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4,101</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1,747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4,101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5,848</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A description of the methods used to determine the fair value of the Level 3 liabilities (other liabilities — contingent consideration) is included within Note 3 — Acquisitions. The table below provides a reconciliation of the beginning and ending Level 3 liabilities for the fiscal year ended April 3, 2010.</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Measurements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Using Significant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9"/>
              </w:rPr>
              <w:t>Inputs</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(Level 3)</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Transfers into Level 3</w:t>
            </w: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4,988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Accretion of interest expense on contingent consideration</w:t>
            </w:r>
          </w:p>
        </w:tc>
        <w:tc>
          <w:tcPr>
            <w:tcW w:w="4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80" w:type="dxa"/>
            <w:vAlign w:val="bottom"/>
          </w:tcPr>
          <w:p>
            <w:pPr>
              <w:spacing w:after="0"/>
              <w:rPr>
                <w:sz w:val="20"/>
                <w:szCs w:val="20"/>
                <w:color w:val="auto"/>
              </w:rPr>
            </w:pPr>
            <w:r>
              <w:rPr>
                <w:rFonts w:ascii="Arial" w:cs="Arial" w:eastAsia="Arial" w:hAnsi="Arial"/>
                <w:sz w:val="13"/>
                <w:szCs w:val="13"/>
                <w:color w:val="auto"/>
              </w:rPr>
              <w:t>Contingent consideration income</w:t>
            </w:r>
          </w:p>
        </w:tc>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(2,345)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3"/>
                <w:szCs w:val="13"/>
                <w:color w:val="auto"/>
              </w:rPr>
              <w:t>Currency translation adjustment</w:t>
            </w:r>
          </w:p>
        </w:tc>
        <w:tc>
          <w:tcPr>
            <w:tcW w:w="4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98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4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980" w:type="dxa"/>
            <w:vAlign w:val="bottom"/>
            <w:vMerge w:val="continue"/>
          </w:tcPr>
          <w:p>
            <w:pPr>
              <w:spacing w:after="0"/>
              <w:rPr>
                <w:sz w:val="14"/>
                <w:szCs w:val="14"/>
                <w:color w:val="auto"/>
              </w:rPr>
            </w:pPr>
          </w:p>
        </w:tc>
        <w:tc>
          <w:tcPr>
            <w:tcW w:w="4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4,101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720" w:type="dxa"/>
            <w:vAlign w:val="bottom"/>
          </w:tcPr>
          <w:p>
            <w:pPr>
              <w:jc w:val="right"/>
              <w:ind w:right="3574"/>
              <w:spacing w:after="0"/>
              <w:rPr>
                <w:sz w:val="20"/>
                <w:szCs w:val="20"/>
                <w:color w:val="auto"/>
              </w:rPr>
            </w:pPr>
            <w:r>
              <w:rPr>
                <w:rFonts w:ascii="Arial" w:cs="Arial" w:eastAsia="Arial" w:hAnsi="Arial"/>
                <w:sz w:val="13"/>
                <w:szCs w:val="13"/>
                <w:color w:val="auto"/>
              </w:rPr>
              <w:t>69</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980" w:type="dxa"/>
            <w:vAlign w:val="bottom"/>
            <w:tcBorders>
              <w:bottom w:val="single" w:sz="8" w:color="808080"/>
            </w:tcBorders>
          </w:tcPr>
          <w:p>
            <w:pPr>
              <w:spacing w:after="0"/>
              <w:rPr>
                <w:sz w:val="14"/>
                <w:szCs w:val="14"/>
                <w:color w:val="auto"/>
              </w:rPr>
            </w:pPr>
          </w:p>
        </w:tc>
        <w:tc>
          <w:tcPr>
            <w:tcW w:w="47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ASC Topic 825</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 xml:space="preserve">In February 2007, the FASB issued 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xml:space="preserve"> (formerly known as FASB Statement No. 159, </w:t>
      </w:r>
      <w:r>
        <w:rPr>
          <w:rFonts w:ascii="Arial" w:cs="Arial" w:eastAsia="Arial" w:hAnsi="Arial"/>
          <w:sz w:val="12"/>
          <w:szCs w:val="12"/>
          <w:i w:val="1"/>
          <w:iCs w:val="1"/>
          <w:color w:val="auto"/>
        </w:rPr>
        <w:t>The Fair Value Option for Financial Assets and 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Liabilities, including an amendment of FASB Statement No. 115</w:t>
      </w:r>
      <w:r>
        <w:rPr>
          <w:rFonts w:ascii="Arial" w:cs="Arial" w:eastAsia="Arial" w:hAnsi="Arial"/>
          <w:sz w:val="12"/>
          <w:szCs w:val="12"/>
          <w:color w:val="auto"/>
        </w:rPr>
        <w:t>) which allows an entity to elect to record financial assets and financial liabilities at fair value upon their initial recognition on</w:t>
      </w:r>
      <w:r>
        <w:rPr>
          <w:rFonts w:ascii="Arial" w:cs="Arial" w:eastAsia="Arial" w:hAnsi="Arial"/>
          <w:sz w:val="12"/>
          <w:szCs w:val="12"/>
          <w:i w:val="1"/>
          <w:iCs w:val="1"/>
          <w:color w:val="auto"/>
        </w:rPr>
        <w:t xml:space="preserve"> </w:t>
      </w:r>
      <w:r>
        <w:rPr>
          <w:rFonts w:ascii="Arial" w:cs="Arial" w:eastAsia="Arial" w:hAnsi="Arial"/>
          <w:sz w:val="12"/>
          <w:szCs w:val="12"/>
          <w:color w:val="auto"/>
        </w:rPr>
        <w:t>a contract-by-contract basis. We adopted ASC Topic 825 as of March 30, 2008 and did not elect the fair value option for our eligible financial assets and financial liabilities.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Fair Value Disclosures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fair value of our long-term debt obligations was $5.1 million and $6.2 million at April 3, 2010 and March 28, 2009, respectively. Refer to Note 8 — Notes Payable and Long-Term Debt for a discussion of our debt obligations.</w:t>
      </w:r>
    </w:p>
    <w:p>
      <w:pPr>
        <w:spacing w:after="0" w:line="134"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NOTES PAYABLE AND LONG-TERM 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payable and 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31"/>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(In thousands)</w:t>
            </w: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Real estate mortgage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6,038</w:t>
            </w: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Short-term notes payable</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7,474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Notes payable assumed in acquisition</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20,651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6,038</w:t>
            </w:r>
          </w:p>
        </w:tc>
      </w:tr>
      <w:tr>
        <w:trPr>
          <w:trHeight w:val="158"/>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Less — Current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16,062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695</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4,589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5,343</w:t>
            </w:r>
          </w:p>
        </w:tc>
      </w:tr>
      <w:tr>
        <w:trPr>
          <w:trHeight w:val="20"/>
        </w:trPr>
        <w:tc>
          <w:tcPr>
            <w:tcW w:w="8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Real Estate Mortgage Agreement</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entire balance of the loan may be repaid at any time after February 1, 2006, subject to a prepayment premium, which is calculated based upon the change in the current weekly average yield of Ten (10)-year U.S. Treasury Constant Maturities, the principal balance due and the remaining loan term. The Mortgage Agreement provides for interest to accrue on the unpaid principal balance at a rate of 8.41% per annum. Borrowings under the Mortgage Agreement are secured by the land, building and building improvements at our headquarters and manufacturing facility in the U.S. with a collective carrying value of approximately $5.3 million and $4.4 million as of April 3, 2010 and March 28, 2009, respectively. There are no financial covenants in the terms and conditions of this agreement.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Notes Payable.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3, 2010, our subsidiary, Haemonetics Japan Co. Ltd., had $7.5 million outstanding in unsecured debt.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Notes Payable Assumed in Acquisition</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As of April 3, 2010, Global Med had $7.8 million outstanding in loan and security agreements. These agreements provided for a revolving line of credit and term loans. Subsequent to April 3, 2010, as part of our integration of Global Med, we paid the outstanding balances under this obligation.</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weighted average short-term rates for U.S. and non-U.S. borrowings were 0.54%, 1.03%, and 2.23% as of April 3, 2010, March 28, 2009, and March 29, 2008, respectively.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60" w:type="dxa"/>
            <w:vAlign w:val="bottom"/>
          </w:tcPr>
          <w:p>
            <w:pPr>
              <w:ind w:left="100"/>
              <w:spacing w:after="0"/>
              <w:rPr>
                <w:sz w:val="20"/>
                <w:szCs w:val="20"/>
                <w:color w:val="auto"/>
              </w:rPr>
            </w:pPr>
            <w:r>
              <w:rPr>
                <w:rFonts w:ascii="Arial" w:cs="Arial" w:eastAsia="Arial" w:hAnsi="Arial"/>
                <w:sz w:val="13"/>
                <w:szCs w:val="13"/>
                <w:color w:val="auto"/>
              </w:rPr>
              <w:t>As of April 3, 2010, notes payable and long-term debt matures as follows:</w:t>
            </w: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66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Fiscal Year Ending</w:t>
            </w: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w w:val="96"/>
              </w:rPr>
              <w:t>2011</w:t>
            </w:r>
          </w:p>
        </w:tc>
        <w:tc>
          <w:tcPr>
            <w:tcW w:w="4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11"/>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16,062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2012</w:t>
            </w:r>
          </w:p>
        </w:tc>
        <w:tc>
          <w:tcPr>
            <w:tcW w:w="43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w w:val="96"/>
              </w:rPr>
              <w:t>2013</w:t>
            </w:r>
          </w:p>
        </w:tc>
        <w:tc>
          <w:tcPr>
            <w:tcW w:w="4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892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2014</w:t>
            </w:r>
          </w:p>
        </w:tc>
        <w:tc>
          <w:tcPr>
            <w:tcW w:w="43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w w:val="96"/>
              </w:rPr>
              <w:t>2015</w:t>
            </w:r>
          </w:p>
        </w:tc>
        <w:tc>
          <w:tcPr>
            <w:tcW w:w="4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2016 and thereafter</w:t>
            </w: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20,651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6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3"/>
                <w:szCs w:val="13"/>
                <w:b w:val="1"/>
                <w:bCs w:val="1"/>
                <w:color w:val="auto"/>
              </w:rPr>
              <w:t>9.</w:t>
            </w:r>
          </w:p>
        </w:tc>
        <w:tc>
          <w:tcPr>
            <w:tcW w:w="436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60" w:type="dxa"/>
            <w:vAlign w:val="bottom"/>
          </w:tcPr>
          <w:p>
            <w:pPr>
              <w:ind w:left="100"/>
              <w:spacing w:after="0"/>
              <w:rPr>
                <w:sz w:val="20"/>
                <w:szCs w:val="20"/>
                <w:color w:val="auto"/>
              </w:rPr>
            </w:pPr>
            <w:r>
              <w:rPr>
                <w:rFonts w:ascii="Arial" w:cs="Arial" w:eastAsia="Arial" w:hAnsi="Arial"/>
                <w:sz w:val="13"/>
                <w:szCs w:val="13"/>
                <w:color w:val="auto"/>
                <w:w w:val="99"/>
              </w:rPr>
              <w:t>Domestic and foreign income before provision for income tax is as follows:</w:t>
            </w:r>
          </w:p>
        </w:tc>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6"/>
                <w:szCs w:val="16"/>
                <w:color w:val="auto"/>
              </w:rPr>
            </w:pPr>
          </w:p>
        </w:tc>
        <w:tc>
          <w:tcPr>
            <w:tcW w:w="820" w:type="dxa"/>
            <w:vAlign w:val="bottom"/>
            <w:gridSpan w:val="3"/>
          </w:tcPr>
          <w:p>
            <w:pPr>
              <w:jc w:val="center"/>
              <w:ind w:right="231"/>
              <w:spacing w:after="0"/>
              <w:rPr>
                <w:sz w:val="20"/>
                <w:szCs w:val="20"/>
                <w:color w:val="auto"/>
              </w:rPr>
            </w:pPr>
            <w:r>
              <w:rPr>
                <w:rFonts w:ascii="Arial" w:cs="Arial" w:eastAsia="Arial" w:hAnsi="Arial"/>
                <w:sz w:val="10"/>
                <w:szCs w:val="10"/>
                <w:b w:val="1"/>
                <w:bCs w:val="1"/>
                <w:color w:val="auto"/>
                <w:w w:val="99"/>
              </w:rPr>
              <w:t>March 28,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29,</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center"/>
              <w:ind w:left="10"/>
              <w:spacing w:after="0"/>
              <w:rPr>
                <w:sz w:val="20"/>
                <w:szCs w:val="20"/>
                <w:color w:val="auto"/>
              </w:rPr>
            </w:pPr>
            <w:r>
              <w:rPr>
                <w:rFonts w:ascii="Arial" w:cs="Arial" w:eastAsia="Arial" w:hAnsi="Arial"/>
                <w:sz w:val="10"/>
                <w:szCs w:val="10"/>
                <w:b w:val="1"/>
                <w:bCs w:val="1"/>
                <w:color w:val="auto"/>
                <w:w w:val="89"/>
              </w:rPr>
              <w:t>(In thousands)</w:t>
            </w:r>
          </w:p>
        </w:tc>
        <w:tc>
          <w:tcPr>
            <w:tcW w:w="2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Domestic</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55,240</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53,365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39,011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29,762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23,937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9"/>
              </w:rPr>
              <w:t>Total</w:t>
            </w:r>
          </w:p>
        </w:tc>
        <w:tc>
          <w:tcPr>
            <w:tcW w:w="4360" w:type="dxa"/>
            <w:vAlign w:val="bottom"/>
            <w:shd w:val="clear" w:color="auto" w:fill="CCEEFF"/>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81,270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85,002</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77,302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360" w:type="dxa"/>
            <w:vAlign w:val="bottom"/>
          </w:tcPr>
          <w:p>
            <w:pPr>
              <w:ind w:left="100"/>
              <w:spacing w:after="0"/>
              <w:rPr>
                <w:sz w:val="20"/>
                <w:szCs w:val="20"/>
                <w:color w:val="auto"/>
              </w:rPr>
            </w:pPr>
            <w:r>
              <w:rPr>
                <w:rFonts w:ascii="Arial" w:cs="Arial" w:eastAsia="Arial" w:hAnsi="Arial"/>
                <w:sz w:val="13"/>
                <w:szCs w:val="13"/>
                <w:color w:val="auto"/>
              </w:rPr>
              <w:t>The income tax provision contains the following components:</w:t>
            </w:r>
          </w:p>
        </w:tc>
        <w:tc>
          <w:tcPr>
            <w:tcW w:w="24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171"/>
              <w:spacing w:after="0"/>
              <w:rPr>
                <w:sz w:val="20"/>
                <w:szCs w:val="20"/>
                <w:color w:val="auto"/>
              </w:rPr>
            </w:pPr>
            <w:r>
              <w:rPr>
                <w:rFonts w:ascii="Arial" w:cs="Arial" w:eastAsia="Arial" w:hAnsi="Arial"/>
                <w:sz w:val="10"/>
                <w:szCs w:val="10"/>
                <w:b w:val="1"/>
                <w:bCs w:val="1"/>
                <w:color w:val="auto"/>
                <w:w w:val="94"/>
              </w:rPr>
              <w:t>Year Ended</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April 3,</w:t>
            </w:r>
          </w:p>
        </w:tc>
        <w:tc>
          <w:tcPr>
            <w:tcW w:w="80" w:type="dxa"/>
            <w:vAlign w:val="bottom"/>
          </w:tcPr>
          <w:p>
            <w:pPr>
              <w:spacing w:after="0"/>
              <w:rPr>
                <w:sz w:val="7"/>
                <w:szCs w:val="7"/>
                <w:color w:val="auto"/>
              </w:rPr>
            </w:pPr>
          </w:p>
        </w:tc>
        <w:tc>
          <w:tcPr>
            <w:tcW w:w="820" w:type="dxa"/>
            <w:vAlign w:val="bottom"/>
            <w:gridSpan w:val="3"/>
          </w:tcPr>
          <w:p>
            <w:pPr>
              <w:jc w:val="center"/>
              <w:ind w:right="231"/>
              <w:spacing w:after="0" w:line="81" w:lineRule="exact"/>
              <w:rPr>
                <w:sz w:val="20"/>
                <w:szCs w:val="20"/>
                <w:color w:val="auto"/>
              </w:rPr>
            </w:pPr>
            <w:r>
              <w:rPr>
                <w:rFonts w:ascii="Arial" w:cs="Arial" w:eastAsia="Arial" w:hAnsi="Arial"/>
                <w:sz w:val="9"/>
                <w:szCs w:val="9"/>
                <w:b w:val="1"/>
                <w:bCs w:val="1"/>
                <w:color w:val="auto"/>
              </w:rPr>
              <w:t>March 28,</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jc w:val="center"/>
              <w:ind w:left="10"/>
              <w:spacing w:after="0"/>
              <w:rPr>
                <w:sz w:val="20"/>
                <w:szCs w:val="20"/>
                <w:color w:val="auto"/>
              </w:rPr>
            </w:pPr>
            <w:r>
              <w:rPr>
                <w:rFonts w:ascii="Arial" w:cs="Arial" w:eastAsia="Arial" w:hAnsi="Arial"/>
                <w:sz w:val="10"/>
                <w:szCs w:val="10"/>
                <w:b w:val="1"/>
                <w:bCs w:val="1"/>
                <w:color w:val="auto"/>
                <w:w w:val="89"/>
              </w:rPr>
              <w:t>(In thousands)</w:t>
            </w:r>
          </w:p>
        </w:tc>
        <w:tc>
          <w:tcPr>
            <w:tcW w:w="2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Federal</w:t>
            </w:r>
          </w:p>
        </w:tc>
        <w:tc>
          <w:tcPr>
            <w:tcW w:w="2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10,088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16,809</w:t>
            </w:r>
          </w:p>
        </w:tc>
        <w:tc>
          <w:tcPr>
            <w:tcW w:w="12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18,763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2"/>
              </w:rPr>
              <w:t>State</w:t>
            </w:r>
          </w:p>
        </w:tc>
        <w:tc>
          <w:tcPr>
            <w:tcW w:w="436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9,333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5,476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5,855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w:t>
            </w: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20,308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24,053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26,204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66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2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w:t>
            </w: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1,779</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3"/>
                <w:szCs w:val="13"/>
                <w:color w:val="auto"/>
                <w:w w:val="92"/>
              </w:rPr>
              <w:t>State</w:t>
            </w:r>
          </w:p>
        </w:tc>
        <w:tc>
          <w:tcPr>
            <w:tcW w:w="43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w:t>
            </w:r>
          </w:p>
        </w:tc>
        <w:tc>
          <w:tcPr>
            <w:tcW w:w="2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660" w:type="dxa"/>
            <w:vAlign w:val="bottom"/>
            <w:gridSpan w:val="2"/>
            <w:vMerge w:val="restart"/>
          </w:tcPr>
          <w:p>
            <w:pPr>
              <w:spacing w:after="0"/>
              <w:rPr>
                <w:sz w:val="20"/>
                <w:szCs w:val="20"/>
                <w:color w:val="auto"/>
              </w:rPr>
            </w:pPr>
            <w:r>
              <w:rPr>
                <w:rFonts w:ascii="Arial" w:cs="Arial" w:eastAsia="Arial" w:hAnsi="Arial"/>
                <w:sz w:val="13"/>
                <w:szCs w:val="13"/>
                <w:color w:val="auto"/>
              </w:rPr>
              <w:t>Total deferred</w:t>
            </w: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660" w:type="dxa"/>
            <w:vAlign w:val="bottom"/>
            <w:gridSpan w:val="2"/>
            <w:vMerge w:val="continue"/>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2,592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1,645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24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25,698</w:t>
            </w: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25,322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40" w:type="dxa"/>
            <w:vAlign w:val="bottom"/>
          </w:tcPr>
          <w:p>
            <w:pPr>
              <w:jc w:val="right"/>
              <w:ind w:right="1974"/>
              <w:spacing w:after="0"/>
              <w:rPr>
                <w:sz w:val="20"/>
                <w:szCs w:val="20"/>
                <w:color w:val="auto"/>
              </w:rPr>
            </w:pPr>
            <w:r>
              <w:rPr>
                <w:rFonts w:ascii="Arial" w:cs="Arial" w:eastAsia="Arial" w:hAnsi="Arial"/>
                <w:sz w:val="13"/>
                <w:szCs w:val="13"/>
                <w:color w:val="auto"/>
              </w:rPr>
              <w:t>71</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60" w:firstLine="399"/>
        <w:spacing w:after="0" w:line="264" w:lineRule="auto"/>
        <w:rPr>
          <w:sz w:val="20"/>
          <w:szCs w:val="20"/>
          <w:color w:val="auto"/>
        </w:rPr>
      </w:pPr>
      <w:r>
        <w:rPr>
          <w:rFonts w:ascii="Arial" w:cs="Arial" w:eastAsia="Arial" w:hAnsi="Arial"/>
          <w:sz w:val="13"/>
          <w:szCs w:val="13"/>
          <w:color w:val="auto"/>
        </w:rPr>
        <w:t>Included in the domestic income before provision for income tax and federal income tax provisions for fiscal years 2010, 2009 and 2008 are approximately $8.1 million, $6.8 million and $1.7 million, respectively, provided on foreign source income of approximately $23.2 million, $19.6 million and $6.0 million for fiscal year 2010, 2009 and 2008, respectively, for taxes which are payable in the United States.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Tax affected, significant temporary differences comprising the net deferred tax asset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28,</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(8,317)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(3,345)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3"/>
                <w:szCs w:val="13"/>
                <w:color w:val="auto"/>
              </w:rPr>
              <w:t>(14,996)</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(8,985)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1,169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Hedging</w:t>
            </w:r>
          </w:p>
        </w:tc>
        <w:tc>
          <w:tcPr>
            <w:tcW w:w="120" w:type="dxa"/>
            <w:vAlign w:val="bottom"/>
          </w:tcPr>
          <w:p>
            <w:pPr>
              <w:spacing w:after="0"/>
              <w:rPr>
                <w:sz w:val="13"/>
                <w:szCs w:val="13"/>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3"/>
                <w:szCs w:val="13"/>
                <w:color w:val="auto"/>
              </w:rPr>
              <w:t>(1,329)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Accruals and reserves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9,419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5,126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operating loss carryforward</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6,904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3,861</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8,226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7,087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Tax credit carryforward, net</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1,594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2,580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Gross deferred taxes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7,429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Less valuation allowance</w:t>
            </w:r>
          </w:p>
        </w:tc>
        <w:tc>
          <w:tcPr>
            <w:tcW w:w="120" w:type="dxa"/>
            <w:vAlign w:val="bottom"/>
          </w:tcPr>
          <w:p>
            <w:pPr>
              <w:spacing w:after="0"/>
              <w:rPr>
                <w:sz w:val="13"/>
                <w:szCs w:val="13"/>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3"/>
                <w:szCs w:val="13"/>
                <w:color w:val="auto"/>
              </w:rPr>
              <w:t>(378)</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2,292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7,051</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920" w:firstLine="399"/>
        <w:spacing w:after="0" w:line="276" w:lineRule="auto"/>
        <w:rPr>
          <w:sz w:val="20"/>
          <w:szCs w:val="20"/>
          <w:color w:val="auto"/>
        </w:rPr>
      </w:pPr>
      <w:r>
        <w:rPr>
          <w:rFonts w:ascii="Arial" w:cs="Arial" w:eastAsia="Arial" w:hAnsi="Arial"/>
          <w:sz w:val="13"/>
          <w:szCs w:val="13"/>
          <w:color w:val="auto"/>
        </w:rPr>
        <w:t>As of April 3, 2010, we have approximately $17.9 million in U.S. acquisition and approximately $1.4 million in Canada acquisition related net operating loss carry forwards subject to separate limitations that will expire beginning in 2020. We have $1.6 million in gross federal and state tax credits available to offset future tax.</w:t>
      </w:r>
    </w:p>
    <w:p>
      <w:pPr>
        <w:spacing w:after="0" w:line="59" w:lineRule="exact"/>
        <w:rPr>
          <w:sz w:val="20"/>
          <w:szCs w:val="20"/>
          <w:color w:val="auto"/>
        </w:rPr>
      </w:pPr>
    </w:p>
    <w:p>
      <w:pPr>
        <w:jc w:val="both"/>
        <w:ind w:left="680" w:right="900" w:firstLine="399"/>
        <w:spacing w:after="0" w:line="264" w:lineRule="auto"/>
        <w:rPr>
          <w:sz w:val="20"/>
          <w:szCs w:val="20"/>
          <w:color w:val="auto"/>
        </w:rPr>
      </w:pPr>
      <w:r>
        <w:rPr>
          <w:rFonts w:ascii="Arial" w:cs="Arial" w:eastAsia="Arial" w:hAnsi="Arial"/>
          <w:sz w:val="13"/>
          <w:szCs w:val="13"/>
          <w:color w:val="auto"/>
        </w:rPr>
        <w:t>Approximately $106 million of our foreign subsidiary undistributed earnings are deemed to be indefinitely reinvested outside the US. Accordingly we have not provided US income taxes on these earnings. In fiscal year 2009 and early fiscal year 2010, we did repatriate dividends from Japan of approximately $20.8 million in anticipation of our Japanese reorganization that we completed this year. No additional US income taxes were due upon repatriation.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income tax provision from operations differs from a tax provision computed at the 35% U.S. federal statutory income tax rate due to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0"/>
                <w:szCs w:val="10"/>
                <w:b w:val="1"/>
                <w:bCs w:val="1"/>
                <w:color w:val="auto"/>
                <w:w w:val="94"/>
              </w:rPr>
              <w:t>Year Ended</w:t>
            </w: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tcPr>
          <w:p>
            <w:pPr>
              <w:jc w:val="right"/>
              <w:ind w:right="140"/>
              <w:spacing w:after="0" w:line="81" w:lineRule="exact"/>
              <w:rPr>
                <w:sz w:val="20"/>
                <w:szCs w:val="20"/>
                <w:color w:val="auto"/>
              </w:rPr>
            </w:pPr>
            <w:r>
              <w:rPr>
                <w:rFonts w:ascii="Arial" w:cs="Arial" w:eastAsia="Arial" w:hAnsi="Arial"/>
                <w:sz w:val="9"/>
                <w:szCs w:val="9"/>
                <w:b w:val="1"/>
                <w:bCs w:val="1"/>
                <w:color w:val="auto"/>
              </w:rPr>
              <w:t>April 3,</w:t>
            </w: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tcPr>
          <w:p>
            <w:pPr>
              <w:jc w:val="center"/>
              <w:ind w:left="79"/>
              <w:spacing w:after="0" w:line="81" w:lineRule="exact"/>
              <w:rPr>
                <w:sz w:val="20"/>
                <w:szCs w:val="20"/>
                <w:color w:val="auto"/>
              </w:rPr>
            </w:pPr>
            <w:r>
              <w:rPr>
                <w:rFonts w:ascii="Arial" w:cs="Arial" w:eastAsia="Arial" w:hAnsi="Arial"/>
                <w:sz w:val="9"/>
                <w:szCs w:val="9"/>
                <w:b w:val="1"/>
                <w:bCs w:val="1"/>
                <w:color w:val="auto"/>
              </w:rPr>
              <w:t>March 29,</w:t>
            </w: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tcPr>
          <w:p>
            <w:pPr>
              <w:jc w:val="right"/>
              <w:ind w:right="80"/>
              <w:spacing w:after="0" w:line="81" w:lineRule="exact"/>
              <w:rPr>
                <w:sz w:val="20"/>
                <w:szCs w:val="20"/>
                <w:color w:val="auto"/>
              </w:rPr>
            </w:pPr>
            <w:r>
              <w:rPr>
                <w:rFonts w:ascii="Arial" w:cs="Arial" w:eastAsia="Arial" w:hAnsi="Arial"/>
                <w:sz w:val="9"/>
                <w:szCs w:val="9"/>
                <w:b w:val="1"/>
                <w:bCs w:val="1"/>
                <w:color w:val="auto"/>
              </w:rPr>
              <w:t>March 29,</w:t>
            </w: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2010</w:t>
            </w:r>
          </w:p>
        </w:tc>
        <w:tc>
          <w:tcPr>
            <w:tcW w:w="3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0"/>
                <w:szCs w:val="10"/>
                <w:b w:val="1"/>
                <w:bCs w:val="1"/>
                <w:color w:val="auto"/>
                <w:w w:val="89"/>
              </w:rPr>
              <w:t>2008</w:t>
            </w:r>
          </w:p>
        </w:tc>
        <w:tc>
          <w:tcPr>
            <w:tcW w:w="2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2008</w:t>
            </w: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0"/>
                <w:szCs w:val="10"/>
                <w:b w:val="1"/>
                <w:bCs w:val="1"/>
                <w:color w:val="auto"/>
                <w:w w:val="92"/>
              </w:rPr>
              <w:t>(In thousands)</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Tax at federal statutory rate</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28,444</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29,751</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7"/>
              </w:rPr>
              <w:t>35.0%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27,044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Domestic manufacturing deduction and extraterritorial income exclusion</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(883)</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(1,396)</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(987)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Difference between U.S. and foreign tax</w:t>
            </w: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(5,145)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(4,267)</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(1,099)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764</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color w:val="auto"/>
              </w:rPr>
              <w:t>1,461</w:t>
            </w: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1.7%</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1,192</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Tax exempt interest</w:t>
            </w: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Arial" w:cs="Arial" w:eastAsia="Arial" w:hAnsi="Arial"/>
                <w:sz w:val="13"/>
                <w:szCs w:val="13"/>
                <w:color w:val="auto"/>
              </w:rPr>
              <w:t>Japan dividend</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(1,574)</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(795)</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3"/>
                <w:szCs w:val="13"/>
                <w:color w:val="auto"/>
              </w:rPr>
              <w:t>Other, net</w:t>
            </w: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c>
          <w:tcPr>
            <w:tcW w:w="3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944</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380" w:type="dxa"/>
            <w:vAlign w:val="bottom"/>
            <w:vMerge w:val="restart"/>
          </w:tcPr>
          <w:p>
            <w:pPr>
              <w:spacing w:after="0"/>
              <w:rPr>
                <w:sz w:val="20"/>
                <w:szCs w:val="20"/>
                <w:color w:val="auto"/>
              </w:rPr>
            </w:pPr>
            <w:r>
              <w:rPr>
                <w:rFonts w:ascii="Arial" w:cs="Arial" w:eastAsia="Arial" w:hAnsi="Arial"/>
                <w:sz w:val="13"/>
                <w:szCs w:val="13"/>
                <w:color w:val="auto"/>
              </w:rPr>
              <w:t>Income tax provision</w:t>
            </w: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22,900</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28.2%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440"/>
              <w:spacing w:after="0"/>
              <w:rPr>
                <w:sz w:val="20"/>
                <w:szCs w:val="20"/>
                <w:color w:val="auto"/>
              </w:rPr>
            </w:pPr>
            <w:r>
              <w:rPr>
                <w:rFonts w:ascii="Arial" w:cs="Arial" w:eastAsia="Arial" w:hAnsi="Arial"/>
                <w:sz w:val="13"/>
                <w:szCs w:val="13"/>
                <w:color w:val="auto"/>
              </w:rPr>
              <w:t>25,698</w:t>
            </w: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w w:val="97"/>
              </w:rPr>
              <w:t>30.2%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25,322</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32.8%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72</w:t>
            </w: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8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Unrecognized Tax Benefits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Unrecognized tax benefits represent uncertain tax positions for which reserves have been established. As of April 3, 2010, we had $4.6 million of unrecognized tax benefits, of which $4.2 million will impact the effective tax rate, if recognized. As of March 28, 2009, we had $3.9 million of unrecognized tax benefits, of which $3.2 million will impact the effective tax rate, if recognized.</w:t>
      </w:r>
    </w:p>
    <w:p>
      <w:pPr>
        <w:spacing w:after="0" w:line="67"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Each year the statute of limitations for income tax returns filed in various jurisdictions closes, sometimes without adjustments. During the year ended April 3, 2010 our unrecognized tax benefits were reduced by $2.3 million as a result of the expiration of the statute of limitations in several jurisdictions. This was offset in part by the establishment of reserves of $3.0 million for various matters. Total unrecognized tax benefits on April 3, 2010 were $4.6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activity related to our gross unrecognized tax benefits for the years ending March 28, 2009 and April 3, 2010.</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c>
          <w:tcPr>
            <w:tcW w:w="0" w:type="dxa"/>
            <w:vAlign w:val="bottom"/>
          </w:tcPr>
          <w:p>
            <w:pPr>
              <w:spacing w:after="0"/>
              <w:rPr>
                <w:sz w:val="1"/>
                <w:szCs w:val="1"/>
                <w:color w:val="auto"/>
              </w:rPr>
            </w:pPr>
          </w:p>
        </w:tc>
      </w:tr>
      <w:tr>
        <w:trPr>
          <w:trHeight w:val="125"/>
        </w:trPr>
        <w:tc>
          <w:tcPr>
            <w:tcW w:w="8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jc w:val="right"/>
              <w:ind w:right="600"/>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163"/>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4,965</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Additions based upon positions related to the current year</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1,722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293</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57"/>
        </w:trPr>
        <w:tc>
          <w:tcPr>
            <w:tcW w:w="8200" w:type="dxa"/>
            <w:vAlign w:val="bottom"/>
          </w:tcPr>
          <w:p>
            <w:pPr>
              <w:spacing w:after="0"/>
              <w:rPr>
                <w:sz w:val="20"/>
                <w:szCs w:val="20"/>
                <w:color w:val="auto"/>
              </w:rPr>
            </w:pPr>
            <w:r>
              <w:rPr>
                <w:rFonts w:ascii="Arial" w:cs="Arial" w:eastAsia="Arial" w:hAnsi="Arial"/>
                <w:sz w:val="13"/>
                <w:szCs w:val="13"/>
                <w:color w:val="auto"/>
              </w:rPr>
              <w:t>Settlements with taxing authorities</w:t>
            </w: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(924)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200" w:type="dxa"/>
            <w:vAlign w:val="bottom"/>
            <w:shd w:val="clear" w:color="auto" w:fill="CCEEFF"/>
          </w:tcPr>
          <w:p>
            <w:pPr>
              <w:spacing w:after="0"/>
              <w:rPr>
                <w:sz w:val="20"/>
                <w:szCs w:val="20"/>
                <w:color w:val="auto"/>
              </w:rPr>
            </w:pPr>
            <w:r>
              <w:rPr>
                <w:rFonts w:ascii="Arial" w:cs="Arial" w:eastAsia="Arial" w:hAnsi="Arial"/>
                <w:sz w:val="13"/>
                <w:szCs w:val="13"/>
                <w:color w:val="auto"/>
              </w:rPr>
              <w:t>Closure of statute of limitations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(1,403)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(2,084)</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3"/>
                <w:szCs w:val="13"/>
                <w:color w:val="auto"/>
              </w:rPr>
              <w:t>Ending Balance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4,620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3,890</w:t>
            </w:r>
          </w:p>
        </w:tc>
        <w:tc>
          <w:tcPr>
            <w:tcW w:w="0" w:type="dxa"/>
            <w:vAlign w:val="bottom"/>
          </w:tcPr>
          <w:p>
            <w:pPr>
              <w:spacing w:after="0"/>
              <w:rPr>
                <w:sz w:val="1"/>
                <w:szCs w:val="1"/>
                <w:color w:val="auto"/>
              </w:rPr>
            </w:pPr>
          </w:p>
        </w:tc>
      </w:tr>
      <w:tr>
        <w:trPr>
          <w:trHeight w:val="30"/>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276" w:lineRule="auto"/>
        <w:rPr>
          <w:sz w:val="20"/>
          <w:szCs w:val="20"/>
          <w:color w:val="auto"/>
        </w:rPr>
      </w:pPr>
      <w:r>
        <w:rPr>
          <w:rFonts w:ascii="Arial" w:cs="Arial" w:eastAsia="Arial" w:hAnsi="Arial"/>
          <w:sz w:val="13"/>
          <w:szCs w:val="13"/>
          <w:color w:val="auto"/>
        </w:rPr>
        <w:t>As of April 3, 2010 we anticipate that the liability for unrecognized tax benefits for uncertain tax positions could change by up to $1.2 million in the next twelve months, as a result of the resolution of state positions as well as the closure of various statutes of limitations.</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historic practice has been and continues to be to recognize interest and penalties related to Federal, state and foreign income tax matters in income tax expense. Approximately $0.6 million and $0.8 million is accrued for interest at April 3, 2010 and March 28, 2009, respectively and is not included in the amounts above.</w:t>
      </w:r>
    </w:p>
    <w:p>
      <w:pPr>
        <w:spacing w:after="0" w:line="59"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color w:val="auto"/>
        </w:rPr>
        <w:t>We conduct business globally and, as a result, file consolidated and separate Federal, state and foreign income tax returns in multiple jurisdictions. In the normal course of business, we are subject to examination by taxing authorities throughout the world in jurisdictions including the U.S., Japan, Germany, France, the United Kingdom, and Switzerland. With a few exceptions overseas, we are no longer subject to U.S. federal, state and local, or foreign income tax examinations for years before 2006.</w:t>
      </w:r>
    </w:p>
    <w:p>
      <w:pPr>
        <w:spacing w:after="0" w:line="124"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lease facilities and certain equipment under operating leases expiring at various dates through fiscal year 2016. Facility leases require us to pay certain insurance expenses, maintenance costs and real estate taxes.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900" w:type="dxa"/>
            <w:vAlign w:val="bottom"/>
          </w:tcPr>
          <w:p>
            <w:pPr>
              <w:ind w:left="3360"/>
              <w:spacing w:after="0"/>
              <w:rPr>
                <w:sz w:val="20"/>
                <w:szCs w:val="20"/>
                <w:color w:val="auto"/>
              </w:rPr>
            </w:pPr>
            <w:r>
              <w:rPr>
                <w:rFonts w:ascii="Arial" w:cs="Arial" w:eastAsia="Arial" w:hAnsi="Arial"/>
                <w:sz w:val="13"/>
                <w:szCs w:val="13"/>
                <w:b w:val="1"/>
                <w:bCs w:val="1"/>
                <w:color w:val="auto"/>
              </w:rPr>
              <w:t>HAEMONETICS CORPORATION AND SUBSIDIARIES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8900" w:type="dxa"/>
            <w:vAlign w:val="bottom"/>
          </w:tcPr>
          <w:p>
            <w:pPr>
              <w:ind w:left="2840"/>
              <w:spacing w:after="0"/>
              <w:rPr>
                <w:sz w:val="20"/>
                <w:szCs w:val="20"/>
                <w:color w:val="auto"/>
              </w:rPr>
            </w:pPr>
            <w:r>
              <w:rPr>
                <w:rFonts w:ascii="Arial" w:cs="Arial" w:eastAsia="Arial" w:hAnsi="Arial"/>
                <w:sz w:val="13"/>
                <w:szCs w:val="13"/>
                <w:b w:val="1"/>
                <w:bCs w:val="1"/>
                <w:color w:val="auto"/>
              </w:rPr>
              <w:t>NOTES TO CONSOLIDATED FINANCIAL STATEMENTS — (Continued)</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8900" w:type="dxa"/>
            <w:vAlign w:val="bottom"/>
          </w:tcPr>
          <w:p>
            <w:pPr>
              <w:ind w:left="400"/>
              <w:spacing w:after="0"/>
              <w:rPr>
                <w:sz w:val="20"/>
                <w:szCs w:val="20"/>
                <w:color w:val="auto"/>
              </w:rPr>
            </w:pPr>
            <w:r>
              <w:rPr>
                <w:rFonts w:ascii="Arial" w:cs="Arial" w:eastAsia="Arial" w:hAnsi="Arial"/>
                <w:sz w:val="13"/>
                <w:szCs w:val="13"/>
                <w:color w:val="auto"/>
              </w:rPr>
              <w:t>Approximate future basic rental commitments under operating leases as of April 3, 2010 are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Ending</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6,930</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5,137</w:t>
            </w: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2013</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3,373</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2014</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w:t>
            </w:r>
          </w:p>
        </w:tc>
        <w:tc>
          <w:tcPr>
            <w:tcW w:w="100" w:type="dxa"/>
            <w:vAlign w:val="bottom"/>
            <w:shd w:val="clear" w:color="auto" w:fill="CCEEFF"/>
          </w:tcPr>
          <w:p>
            <w:pPr>
              <w:spacing w:after="0"/>
              <w:rPr>
                <w:sz w:val="13"/>
                <w:szCs w:val="13"/>
                <w:color w:val="auto"/>
              </w:rPr>
            </w:pP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2015</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1,088</w:t>
            </w:r>
          </w:p>
        </w:tc>
        <w:tc>
          <w:tcPr>
            <w:tcW w:w="100" w:type="dxa"/>
            <w:vAlign w:val="bottom"/>
          </w:tcPr>
          <w:p>
            <w:pPr>
              <w:spacing w:after="0"/>
              <w:rPr>
                <w:sz w:val="13"/>
                <w:szCs w:val="13"/>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3,487</w:t>
            </w:r>
          </w:p>
        </w:tc>
        <w:tc>
          <w:tcPr>
            <w:tcW w:w="100" w:type="dxa"/>
            <w:vAlign w:val="bottom"/>
            <w:shd w:val="clear" w:color="auto" w:fill="CCEEFF"/>
          </w:tcPr>
          <w:p>
            <w:pPr>
              <w:spacing w:after="0"/>
              <w:rPr>
                <w:sz w:val="13"/>
                <w:szCs w:val="13"/>
                <w:color w:val="auto"/>
              </w:rPr>
            </w:pPr>
          </w:p>
        </w:tc>
      </w:tr>
      <w:tr>
        <w:trPr>
          <w:trHeight w:val="166"/>
        </w:trPr>
        <w:tc>
          <w:tcPr>
            <w:tcW w:w="890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21,711</w:t>
            </w:r>
          </w:p>
        </w:tc>
        <w:tc>
          <w:tcPr>
            <w:tcW w:w="100" w:type="dxa"/>
            <w:vAlign w:val="bottom"/>
          </w:tcPr>
          <w:p>
            <w:pPr>
              <w:spacing w:after="0"/>
              <w:rPr>
                <w:sz w:val="14"/>
                <w:szCs w:val="14"/>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in fiscal year 2010, 2009, and 2008 was $8.4 million, $8.0 million, and $8.8 million, respectively.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Under new accounting rules for business combinations (specifically, ASC Topic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(formerly known as Statement No. 141(R), </w:t>
      </w:r>
      <w:r>
        <w:rPr>
          <w:rFonts w:ascii="Arial" w:cs="Arial" w:eastAsia="Arial" w:hAnsi="Arial"/>
          <w:sz w:val="13"/>
          <w:szCs w:val="13"/>
          <w:i w:val="1"/>
          <w:iCs w:val="1"/>
          <w:color w:val="auto"/>
        </w:rPr>
        <w:t>Business Combinations</w:t>
      </w:r>
      <w:r>
        <w:rPr>
          <w:rFonts w:ascii="Arial" w:cs="Arial" w:eastAsia="Arial" w:hAnsi="Arial"/>
          <w:sz w:val="13"/>
          <w:szCs w:val="13"/>
          <w:color w:val="auto"/>
        </w:rPr>
        <w:t>)), we established a liability for payments that we might make in the future to former shareholders of the L’Attitude Medical Systems that are tied to the performance of the Blood Track business for the first three years post acquisition, beginning with fiscal year 2010. During the fourth quarter of fiscal year 2010, it became evident that the business would not achieve revenue growth milestones for fiscal year 2010. As such, we reduced the contingent liability by $2.3 million and recorded the adjustments as contingent consideration income in the statement of operations. The ending liability balance is $4.1 million at April 3, 2010.</w:t>
      </w:r>
    </w:p>
    <w:p>
      <w:pPr>
        <w:spacing w:after="0" w:line="71"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TPG, and Maverick Capital, Ltd. The new company which resulted from the sale was renamed Fenwal. In January 2009, a jury found that the Fenwal ALYX system infringed Haemonetics’ patent and awarded us $15.7 million in damages for past infringement. On June 2, 2009, the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court awarded pre-judgment interest at 5% on the unpaid damages awarded. On August 19, 2009, an amended judgment was issued under which Haemonetics was awarded $11.3 million for lost profits suffered as a result of the infringement, $4.4 million in royalty damages suffered as a result of the infringement, and prejudgment interest of $2.3 million for a total award of $18.0 million. Fenwal and Baxter have appealed these rulings to the United States Court of Appeals for the Federal Circuit and oral arguments were heard on April 5, 2010. The damages have not been paid and the royalties are being escrowed pending a decision on the appeal. On December 16, 2009, the U.S. Patent Office granted a request by Fenwal for the ex-parte re-examination of the Haemonetics patent, and that re-examination process is proceeding.</w:t>
      </w:r>
    </w:p>
    <w:p>
      <w:pPr>
        <w:spacing w:after="0" w:line="60"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On December 7, 2009, Fenwal had announced that it began shipping a red cell collection kit with a modified separation chamber, and that it is discontinuing sales of its original ALYX consumable kit. We believe this new collection kit also infringes our patent. On December 14, 2009, we filed a new infringement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suit in Massachusetts federal district court seeking an injunction and damages from Fenwal’s sale of this new consumable.</w:t>
      </w:r>
    </w:p>
    <w:p>
      <w:pPr>
        <w:spacing w:after="0" w:line="171" w:lineRule="exact"/>
        <w:rPr>
          <w:sz w:val="20"/>
          <w:szCs w:val="20"/>
          <w:color w:val="auto"/>
        </w:rPr>
      </w:pPr>
    </w:p>
    <w:p>
      <w:pPr>
        <w:ind w:left="1180" w:hanging="493"/>
        <w:spacing w:after="0"/>
        <w:tabs>
          <w:tab w:leader="none" w:pos="118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Plans</w:t>
      </w:r>
    </w:p>
    <w:p>
      <w:pPr>
        <w:spacing w:after="0" w:line="96" w:lineRule="exact"/>
        <w:rPr>
          <w:sz w:val="20"/>
          <w:szCs w:val="20"/>
          <w:color w:val="auto"/>
        </w:rPr>
      </w:pPr>
    </w:p>
    <w:p>
      <w:pPr>
        <w:ind w:left="680" w:right="160" w:firstLine="399"/>
        <w:spacing w:after="0" w:line="301" w:lineRule="auto"/>
        <w:rPr>
          <w:sz w:val="20"/>
          <w:szCs w:val="20"/>
          <w:color w:val="auto"/>
        </w:rPr>
      </w:pPr>
      <w:r>
        <w:rPr>
          <w:rFonts w:ascii="Arial" w:cs="Arial" w:eastAsia="Arial" w:hAnsi="Arial"/>
          <w:sz w:val="11"/>
          <w:szCs w:val="11"/>
          <w:color w:val="auto"/>
        </w:rPr>
        <w:t>The Company has an incentive compensation plan, (the “2005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two or more independent members of our Board of Directors. The maximum number of shares available for award under the 2005 Incentive Compensation Plan is 4,575,566. The maximum number of shares that may be issued pursuant to incentive stock options may not exceed 500,000. Any shares that are subject to the award of stock options shall be counted against this limit as one</w:t>
      </w:r>
    </w:p>
    <w:p>
      <w:pPr>
        <w:spacing w:after="0" w:line="1" w:lineRule="exact"/>
        <w:rPr>
          <w:sz w:val="20"/>
          <w:szCs w:val="20"/>
          <w:color w:val="auto"/>
        </w:rPr>
      </w:pPr>
    </w:p>
    <w:p>
      <w:pPr>
        <w:ind w:left="680" w:firstLine="7"/>
        <w:spacing w:after="0" w:line="254" w:lineRule="auto"/>
        <w:tabs>
          <w:tab w:leader="none" w:pos="866" w:val="left"/>
        </w:tabs>
        <w:numPr>
          <w:ilvl w:val="0"/>
          <w:numId w:val="53"/>
        </w:numPr>
        <w:rPr>
          <w:rFonts w:ascii="Arial" w:cs="Arial" w:eastAsia="Arial" w:hAnsi="Arial"/>
          <w:sz w:val="13"/>
          <w:szCs w:val="13"/>
          <w:color w:val="auto"/>
        </w:rPr>
      </w:pPr>
      <w:r>
        <w:rPr>
          <w:rFonts w:ascii="Arial" w:cs="Arial" w:eastAsia="Arial" w:hAnsi="Arial"/>
          <w:sz w:val="13"/>
          <w:szCs w:val="13"/>
          <w:color w:val="auto"/>
        </w:rPr>
        <w:t>share for every one (1) share issued. Any shares that are subject to awards other than stock options shall be counted against this limit as 2.5 shares for every one (1) share granted. The exercise price for the nonqualified stock options, incentive stock options, stock appreciation rights, restricted stock, deferred stock/restricted stock units, other stock units and performance shares granted under the 2005 Incentive Compensation Plan is determined by the Committee, but in no event shall such exercise price be less than the fair market value of the common stock at the time of the grant.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At April 3, 2010, there were 2,067,753 shares subject to options, 5,000 shares of restricted stock awarded and 106,934 shares subject to restricted stock units outstanding under this plan; leaving 1,586,532 shares available for future grant.</w:t>
      </w:r>
    </w:p>
    <w:p>
      <w:pPr>
        <w:spacing w:after="0" w:line="74"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The Company had a long-term incentive stock option plan and a non-qualified stock option plan, (the “2000 Long-term Incentive Plan”) which permitted the issuance of a maximum of 3,500,000 shares of our common stock pursuant to incentive and non-qualified stock options granted to key employees, officers and directors. The plan was terminated in connection with the adoption of the 2005 Incentive Compensation Plan. At April 3, 2010, there were 788,890 options outstanding under this plan and no further options will be granted under this plan.</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Company had a non-qualified stock option plan under which options were granted to non-employee directors and two previous plans under which options were granted to key employees. At April 3, 2010, there were 38,992 options outstanding related to these plans. No further options will be granted under these plans.</w:t>
      </w:r>
    </w:p>
    <w:p>
      <w:pPr>
        <w:spacing w:after="0" w:line="59"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has an Employee Stock Purchase Plan (the “Purchase Plan”) under which a maximum of 700,000 shares (subject to adjustment for stock splits and similar changes) of common stock may be purchased by eligible employees. Substantially all of our full-time employees are eligible to participate in the Purchase Plan.</w:t>
      </w:r>
    </w:p>
    <w:p>
      <w:pPr>
        <w:spacing w:after="0" w:line="59"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nor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value of the common stock at the beginning of the purchase period, or 85% of such value at the end of the purchase period.</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 xml:space="preserve">Stock-based compensation expense of $10.3 million and $10.2 million was recognized under ASC Topic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xml:space="preserve"> (formerly known as Statement No. 123(R), </w:t>
      </w:r>
      <w:r>
        <w:rPr>
          <w:rFonts w:ascii="Arial" w:cs="Arial" w:eastAsia="Arial" w:hAnsi="Arial"/>
          <w:sz w:val="13"/>
          <w:szCs w:val="13"/>
          <w:i w:val="1"/>
          <w:iCs w:val="1"/>
          <w:color w:val="auto"/>
        </w:rPr>
        <w:t>Share-Based Payment</w:t>
      </w:r>
      <w:r>
        <w:rPr>
          <w:rFonts w:ascii="Arial" w:cs="Arial" w:eastAsia="Arial" w:hAnsi="Arial"/>
          <w:sz w:val="13"/>
          <w:szCs w:val="13"/>
          <w:color w:val="auto"/>
        </w:rPr>
        <w:t>) for each of the years ended April 3, 2010 and March 28, 2009. The related income tax benefit recognized was $3.0 million and $2.9 million for the year ended April 3, 2010 and March 28, 2009, respectively. We recognize stock-based compensation on a straight line basis.</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ASC Topic 718 requires that cash flows relating to the benefits of tax deductions in excess of compensation cost recognized be reported as a financing cash flow, rather than as an operating cash flow, as previously required. This excess tax benefit was $0.4 million and $7.5 million for the year ended April 3, 2010 and March 28, 2009, respectively.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for the year ended April 3, 2010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Weighted</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6"/>
              </w:rPr>
              <w:t>Average</w:t>
            </w:r>
          </w:p>
        </w:tc>
        <w:tc>
          <w:tcPr>
            <w:tcW w:w="10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7"/>
              </w:rPr>
              <w:t>Weighted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0"/>
              </w:rPr>
              <w:t>Exercise Price</w:t>
            </w: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89"/>
              </w:rPr>
              <w:t>Shares</w:t>
            </w:r>
          </w:p>
        </w:tc>
        <w:tc>
          <w:tcPr>
            <w:tcW w:w="14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5"/>
              </w:rPr>
              <w:t>per Share</w:t>
            </w: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98"/>
        </w:trPr>
        <w:tc>
          <w:tcPr>
            <w:tcW w:w="540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61"/>
              <w:spacing w:after="0" w:line="98" w:lineRule="exact"/>
              <w:rPr>
                <w:sz w:val="20"/>
                <w:szCs w:val="20"/>
                <w:color w:val="auto"/>
              </w:rPr>
            </w:pPr>
            <w:r>
              <w:rPr>
                <w:rFonts w:ascii="Arial" w:cs="Arial" w:eastAsia="Arial" w:hAnsi="Arial"/>
                <w:sz w:val="10"/>
                <w:szCs w:val="10"/>
                <w:b w:val="1"/>
                <w:bCs w:val="1"/>
                <w:color w:val="auto"/>
                <w:w w:val="93"/>
              </w:rPr>
              <w:t>Weighted</w:t>
            </w:r>
          </w:p>
        </w:tc>
        <w:tc>
          <w:tcPr>
            <w:tcW w:w="400" w:type="dxa"/>
            <w:vAlign w:val="bottom"/>
          </w:tcPr>
          <w:p>
            <w:pPr>
              <w:spacing w:after="0"/>
              <w:rPr>
                <w:sz w:val="8"/>
                <w:szCs w:val="8"/>
                <w:color w:val="auto"/>
              </w:rPr>
            </w:pPr>
          </w:p>
        </w:tc>
        <w:tc>
          <w:tcPr>
            <w:tcW w:w="108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w w:val="93"/>
              </w:rPr>
              <w:t>Remaining</w:t>
            </w:r>
          </w:p>
        </w:tc>
        <w:tc>
          <w:tcPr>
            <w:tcW w:w="80" w:type="dxa"/>
            <w:vAlign w:val="bottom"/>
          </w:tcPr>
          <w:p>
            <w:pPr>
              <w:spacing w:after="0"/>
              <w:rPr>
                <w:sz w:val="8"/>
                <w:szCs w:val="8"/>
                <w:color w:val="auto"/>
              </w:rPr>
            </w:pPr>
          </w:p>
        </w:tc>
        <w:tc>
          <w:tcPr>
            <w:tcW w:w="70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81"/>
        </w:trPr>
        <w:tc>
          <w:tcPr>
            <w:tcW w:w="5400" w:type="dxa"/>
            <w:vAlign w:val="bottom"/>
          </w:tcPr>
          <w:p>
            <w:pPr>
              <w:spacing w:after="0"/>
              <w:rPr>
                <w:sz w:val="7"/>
                <w:szCs w:val="7"/>
                <w:color w:val="auto"/>
              </w:rPr>
            </w:pPr>
          </w:p>
        </w:tc>
        <w:tc>
          <w:tcPr>
            <w:tcW w:w="9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Options</w:t>
            </w: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60" w:type="dxa"/>
            <w:vAlign w:val="bottom"/>
            <w:gridSpan w:val="2"/>
          </w:tcPr>
          <w:p>
            <w:pPr>
              <w:jc w:val="center"/>
              <w:ind w:right="520"/>
              <w:spacing w:after="0" w:line="81" w:lineRule="exact"/>
              <w:rPr>
                <w:sz w:val="20"/>
                <w:szCs w:val="20"/>
                <w:color w:val="auto"/>
              </w:rPr>
            </w:pPr>
            <w:r>
              <w:rPr>
                <w:rFonts w:ascii="Arial" w:cs="Arial" w:eastAsia="Arial" w:hAnsi="Arial"/>
                <w:sz w:val="9"/>
                <w:szCs w:val="9"/>
                <w:b w:val="1"/>
                <w:bCs w:val="1"/>
                <w:color w:val="auto"/>
              </w:rPr>
              <w:t>Average</w:t>
            </w:r>
          </w:p>
        </w:tc>
        <w:tc>
          <w:tcPr>
            <w:tcW w:w="1080" w:type="dxa"/>
            <w:vAlign w:val="bottom"/>
            <w:gridSpan w:val="2"/>
          </w:tcPr>
          <w:p>
            <w:pPr>
              <w:jc w:val="center"/>
              <w:ind w:right="380"/>
              <w:spacing w:after="0" w:line="81" w:lineRule="exact"/>
              <w:rPr>
                <w:sz w:val="20"/>
                <w:szCs w:val="20"/>
                <w:color w:val="auto"/>
              </w:rPr>
            </w:pPr>
            <w:r>
              <w:rPr>
                <w:rFonts w:ascii="Arial" w:cs="Arial" w:eastAsia="Arial" w:hAnsi="Arial"/>
                <w:sz w:val="9"/>
                <w:szCs w:val="9"/>
                <w:b w:val="1"/>
                <w:bCs w:val="1"/>
                <w:color w:val="auto"/>
              </w:rPr>
              <w:t>Life</w:t>
            </w:r>
          </w:p>
        </w:tc>
        <w:tc>
          <w:tcPr>
            <w:tcW w:w="80" w:type="dxa"/>
            <w:vAlign w:val="bottom"/>
          </w:tcPr>
          <w:p>
            <w:pPr>
              <w:spacing w:after="0"/>
              <w:rPr>
                <w:sz w:val="7"/>
                <w:szCs w:val="7"/>
                <w:color w:val="auto"/>
              </w:rPr>
            </w:pPr>
          </w:p>
        </w:tc>
        <w:tc>
          <w:tcPr>
            <w:tcW w:w="700" w:type="dxa"/>
            <w:vAlign w:val="bottom"/>
            <w:gridSpan w:val="2"/>
          </w:tcPr>
          <w:p>
            <w:pPr>
              <w:jc w:val="center"/>
              <w:ind w:right="180"/>
              <w:spacing w:after="0" w:line="81" w:lineRule="exact"/>
              <w:rPr>
                <w:sz w:val="20"/>
                <w:szCs w:val="20"/>
                <w:color w:val="auto"/>
              </w:rPr>
            </w:pPr>
            <w:r>
              <w:rPr>
                <w:rFonts w:ascii="Arial" w:cs="Arial" w:eastAsia="Arial" w:hAnsi="Arial"/>
                <w:sz w:val="9"/>
                <w:szCs w:val="9"/>
                <w:b w:val="1"/>
                <w:bCs w:val="1"/>
                <w:color w:val="auto"/>
                <w:w w:val="99"/>
              </w:rPr>
              <w:t>Value</w:t>
            </w:r>
          </w:p>
        </w:tc>
        <w:tc>
          <w:tcPr>
            <w:tcW w:w="0" w:type="dxa"/>
            <w:vAlign w:val="bottom"/>
          </w:tcPr>
          <w:p>
            <w:pPr>
              <w:spacing w:after="0"/>
              <w:rPr>
                <w:sz w:val="1"/>
                <w:szCs w:val="1"/>
                <w:color w:val="auto"/>
              </w:rPr>
            </w:pPr>
          </w:p>
        </w:tc>
      </w:tr>
      <w:tr>
        <w:trPr>
          <w:trHeight w:val="125"/>
        </w:trPr>
        <w:tc>
          <w:tcPr>
            <w:tcW w:w="54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Outstanding</w:t>
            </w:r>
          </w:p>
        </w:tc>
        <w:tc>
          <w:tcPr>
            <w:tcW w:w="14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0"/>
              </w:rPr>
              <w:t>Exercise Price</w:t>
            </w:r>
          </w:p>
        </w:tc>
        <w:tc>
          <w:tcPr>
            <w:tcW w:w="10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(Years)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($000’s)</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2009</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3,054,674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42.54</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Granted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378,654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54.03</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(462,557)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38.77</w:t>
            </w: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Terminated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(75,136)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51.49</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3, 2010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2,895,635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44.41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35,236</w:t>
            </w:r>
          </w:p>
        </w:tc>
        <w:tc>
          <w:tcPr>
            <w:tcW w:w="0" w:type="dxa"/>
            <w:vAlign w:val="bottom"/>
          </w:tcPr>
          <w:p>
            <w:pPr>
              <w:spacing w:after="0"/>
              <w:rPr>
                <w:sz w:val="1"/>
                <w:szCs w:val="1"/>
                <w:color w:val="auto"/>
              </w:rPr>
            </w:pPr>
          </w:p>
        </w:tc>
      </w:tr>
      <w:tr>
        <w:trPr>
          <w:trHeight w:val="29"/>
        </w:trPr>
        <w:tc>
          <w:tcPr>
            <w:tcW w:w="5400" w:type="dxa"/>
            <w:vAlign w:val="bottom"/>
            <w:vMerge w:val="restart"/>
          </w:tcPr>
          <w:p>
            <w:pPr>
              <w:spacing w:after="0"/>
              <w:rPr>
                <w:sz w:val="20"/>
                <w:szCs w:val="20"/>
                <w:color w:val="auto"/>
              </w:rPr>
            </w:pPr>
            <w:r>
              <w:rPr>
                <w:rFonts w:ascii="Arial" w:cs="Arial" w:eastAsia="Arial" w:hAnsi="Arial"/>
                <w:sz w:val="13"/>
                <w:szCs w:val="13"/>
                <w:color w:val="auto"/>
              </w:rPr>
              <w:t>Exercisable at April 3, 2010</w:t>
            </w: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2.95</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32,229</w:t>
            </w:r>
          </w:p>
        </w:tc>
        <w:tc>
          <w:tcPr>
            <w:tcW w:w="0" w:type="dxa"/>
            <w:vAlign w:val="bottom"/>
          </w:tcPr>
          <w:p>
            <w:pPr>
              <w:spacing w:after="0" w:line="20" w:lineRule="exact"/>
              <w:rPr>
                <w:sz w:val="1"/>
                <w:szCs w:val="1"/>
                <w:color w:val="auto"/>
              </w:rPr>
            </w:pPr>
          </w:p>
        </w:tc>
      </w:tr>
      <w:tr>
        <w:trPr>
          <w:trHeight w:val="166"/>
        </w:trPr>
        <w:tc>
          <w:tcPr>
            <w:tcW w:w="5400" w:type="dxa"/>
            <w:vAlign w:val="bottom"/>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1,976,994</w:t>
            </w:r>
          </w:p>
        </w:tc>
        <w:tc>
          <w:tcPr>
            <w:tcW w:w="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40.23</w:t>
            </w:r>
          </w:p>
        </w:tc>
        <w:tc>
          <w:tcPr>
            <w:tcW w:w="10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Vested or expected to vest at April 3, 2010</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2,796,151</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44.09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34,929</w:t>
            </w:r>
          </w:p>
        </w:tc>
        <w:tc>
          <w:tcPr>
            <w:tcW w:w="0" w:type="dxa"/>
            <w:vAlign w:val="bottom"/>
          </w:tcPr>
          <w:p>
            <w:pPr>
              <w:spacing w:after="0"/>
              <w:rPr>
                <w:sz w:val="1"/>
                <w:szCs w:val="1"/>
                <w:color w:val="auto"/>
              </w:rPr>
            </w:pPr>
          </w:p>
        </w:tc>
      </w:tr>
      <w:tr>
        <w:trPr>
          <w:trHeight w:val="29"/>
        </w:trPr>
        <w:tc>
          <w:tcPr>
            <w:tcW w:w="5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during fiscal years 2010, 2009, and 2008 was $8.2 million, $26.6 million, and $16.5 million, respectively.</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As of April 3, 2010 and March 28, 2009, there was $8.9 million and $11.8 million, respectively, of total unrecognized compensation cost related to non vested stock options. These costs are expected to be recognized over a weighted average period of 2.3 years and 2.2 years, respectively. The total fair value of stock options that became fully vested during the year ended April 3, 2010 and March 28, 2009 was $29.0 million and $30.3 million, respectively.</w:t>
      </w:r>
    </w:p>
    <w:p>
      <w:pPr>
        <w:spacing w:after="0" w:line="67"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historical exercise patterns, the contractual term of the option and the vesting period. The assumptions utilized for option grants during the periods presented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9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rPr>
              <w:t>April 3,</w:t>
            </w:r>
          </w:p>
        </w:tc>
        <w:tc>
          <w:tcPr>
            <w:tcW w:w="2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Arial" w:cs="Arial" w:eastAsia="Arial" w:hAnsi="Arial"/>
                <w:sz w:val="10"/>
                <w:szCs w:val="10"/>
                <w:b w:val="1"/>
                <w:bCs w:val="1"/>
                <w:color w:val="auto"/>
                <w:w w:val="99"/>
              </w:rPr>
              <w:t>March 28,</w:t>
            </w:r>
          </w:p>
        </w:tc>
        <w:tc>
          <w:tcPr>
            <w:tcW w:w="2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696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0"/>
                <w:szCs w:val="10"/>
                <w:b w:val="1"/>
                <w:bCs w:val="1"/>
                <w:color w:val="auto"/>
                <w:w w:val="98"/>
              </w:rPr>
              <w:t>2010</w:t>
            </w:r>
          </w:p>
        </w:tc>
        <w:tc>
          <w:tcPr>
            <w:tcW w:w="118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98"/>
              </w:rPr>
              <w:t>2009</w:t>
            </w:r>
          </w:p>
        </w:tc>
        <w:tc>
          <w:tcPr>
            <w:tcW w:w="116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89"/>
              </w:rPr>
              <w:t>2008</w:t>
            </w:r>
          </w:p>
        </w:tc>
      </w:tr>
      <w:tr>
        <w:trPr>
          <w:trHeight w:val="29"/>
        </w:trPr>
        <w:tc>
          <w:tcPr>
            <w:tcW w:w="69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28.6%</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3"/>
                <w:szCs w:val="13"/>
                <w:color w:val="auto"/>
              </w:rPr>
              <w:t>29.8%</w:t>
            </w:r>
          </w:p>
        </w:tc>
        <w:tc>
          <w:tcPr>
            <w:tcW w:w="116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29.6%</w:t>
            </w:r>
          </w:p>
        </w:tc>
      </w:tr>
      <w:tr>
        <w:trPr>
          <w:trHeight w:val="157"/>
        </w:trPr>
        <w:tc>
          <w:tcPr>
            <w:tcW w:w="69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680" w:type="dxa"/>
            <w:vAlign w:val="bottom"/>
          </w:tcPr>
          <w:p>
            <w:pPr>
              <w:jc w:val="right"/>
              <w:ind w:right="20"/>
              <w:spacing w:after="0"/>
              <w:rPr>
                <w:sz w:val="20"/>
                <w:szCs w:val="20"/>
                <w:color w:val="auto"/>
              </w:rPr>
            </w:pPr>
            <w:r>
              <w:rPr>
                <w:rFonts w:ascii="Arial" w:cs="Arial" w:eastAsia="Arial" w:hAnsi="Arial"/>
                <w:sz w:val="13"/>
                <w:szCs w:val="13"/>
                <w:color w:val="auto"/>
              </w:rPr>
              <w:t>2.4%</w:t>
            </w:r>
          </w:p>
        </w:tc>
        <w:tc>
          <w:tcPr>
            <w:tcW w:w="1180" w:type="dxa"/>
            <w:vAlign w:val="bottom"/>
            <w:gridSpan w:val="2"/>
          </w:tcPr>
          <w:p>
            <w:pPr>
              <w:jc w:val="right"/>
              <w:ind w:right="141"/>
              <w:spacing w:after="0"/>
              <w:rPr>
                <w:sz w:val="20"/>
                <w:szCs w:val="20"/>
                <w:color w:val="auto"/>
              </w:rPr>
            </w:pPr>
            <w:r>
              <w:rPr>
                <w:rFonts w:ascii="Arial" w:cs="Arial" w:eastAsia="Arial" w:hAnsi="Arial"/>
                <w:sz w:val="13"/>
                <w:szCs w:val="13"/>
                <w:color w:val="auto"/>
              </w:rPr>
              <w:t>2.7%</w:t>
            </w:r>
          </w:p>
        </w:tc>
        <w:tc>
          <w:tcPr>
            <w:tcW w:w="1160" w:type="dxa"/>
            <w:vAlign w:val="bottom"/>
            <w:gridSpan w:val="2"/>
          </w:tcPr>
          <w:p>
            <w:pPr>
              <w:jc w:val="right"/>
              <w:ind w:right="121"/>
              <w:spacing w:after="0"/>
              <w:rPr>
                <w:sz w:val="20"/>
                <w:szCs w:val="20"/>
                <w:color w:val="auto"/>
              </w:rPr>
            </w:pPr>
            <w:r>
              <w:rPr>
                <w:rFonts w:ascii="Arial" w:cs="Arial" w:eastAsia="Arial" w:hAnsi="Arial"/>
                <w:sz w:val="13"/>
                <w:szCs w:val="13"/>
                <w:color w:val="auto"/>
              </w:rPr>
              <w:t>4.0%</w:t>
            </w:r>
          </w:p>
        </w:tc>
      </w:tr>
      <w:tr>
        <w:trPr>
          <w:trHeight w:val="157"/>
        </w:trPr>
        <w:tc>
          <w:tcPr>
            <w:tcW w:w="69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 yrs.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 yrs.</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5 yrs.</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grant date fair value of options granted during 2010, 2009, and 2008 was approximately $15.37, $16.73, and $17.19, respectively.</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have applied, based on an analysis of our historical forfeitures, an annual forfeiture rate of 8% to all unvested stock options as of both April 3, 2010 and March 28, 2009, which represents the portion that we expect will be forfeited each year over the vesting period.</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fair values of shares purchased under the Employee Stock Purchase Plan are estimated using the Black-Scholes single option-pricing model with the following weighted 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8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rPr>
              <w:t>April 3,</w:t>
            </w:r>
          </w:p>
        </w:tc>
        <w:tc>
          <w:tcPr>
            <w:tcW w:w="2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9"/>
              </w:rPr>
              <w:t>March 28,</w:t>
            </w:r>
          </w:p>
        </w:tc>
        <w:tc>
          <w:tcPr>
            <w:tcW w:w="2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9"/>
              </w:rPr>
              <w:t>March 29,</w:t>
            </w:r>
          </w:p>
        </w:tc>
      </w:tr>
      <w:tr>
        <w:trPr>
          <w:trHeight w:val="125"/>
        </w:trPr>
        <w:tc>
          <w:tcPr>
            <w:tcW w:w="68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89"/>
              </w:rPr>
              <w:t>2010</w:t>
            </w:r>
          </w:p>
        </w:tc>
        <w:tc>
          <w:tcPr>
            <w:tcW w:w="120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89"/>
              </w:rPr>
              <w:t>2009</w:t>
            </w:r>
          </w:p>
        </w:tc>
        <w:tc>
          <w:tcPr>
            <w:tcW w:w="118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98"/>
              </w:rPr>
              <w:t>2008</w:t>
            </w:r>
          </w:p>
        </w:tc>
      </w:tr>
      <w:tr>
        <w:trPr>
          <w:trHeight w:val="29"/>
        </w:trPr>
        <w:tc>
          <w:tcPr>
            <w:tcW w:w="686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30.9%</w:t>
            </w: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32.8%</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21.3%</w:t>
            </w:r>
          </w:p>
        </w:tc>
      </w:tr>
      <w:tr>
        <w:trPr>
          <w:trHeight w:val="157"/>
        </w:trPr>
        <w:tc>
          <w:tcPr>
            <w:tcW w:w="68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740" w:type="dxa"/>
            <w:vAlign w:val="bottom"/>
          </w:tcPr>
          <w:p>
            <w:pPr>
              <w:jc w:val="right"/>
              <w:ind w:right="20"/>
              <w:spacing w:after="0"/>
              <w:rPr>
                <w:sz w:val="20"/>
                <w:szCs w:val="20"/>
                <w:color w:val="auto"/>
              </w:rPr>
            </w:pPr>
            <w:r>
              <w:rPr>
                <w:rFonts w:ascii="Arial" w:cs="Arial" w:eastAsia="Arial" w:hAnsi="Arial"/>
                <w:sz w:val="13"/>
                <w:szCs w:val="13"/>
                <w:color w:val="auto"/>
              </w:rPr>
              <w:t>0.2%</w:t>
            </w:r>
          </w:p>
        </w:tc>
        <w:tc>
          <w:tcPr>
            <w:tcW w:w="1200" w:type="dxa"/>
            <w:vAlign w:val="bottom"/>
            <w:gridSpan w:val="2"/>
          </w:tcPr>
          <w:p>
            <w:pPr>
              <w:jc w:val="right"/>
              <w:ind w:right="121"/>
              <w:spacing w:after="0"/>
              <w:rPr>
                <w:sz w:val="20"/>
                <w:szCs w:val="20"/>
                <w:color w:val="auto"/>
              </w:rPr>
            </w:pPr>
            <w:r>
              <w:rPr>
                <w:rFonts w:ascii="Arial" w:cs="Arial" w:eastAsia="Arial" w:hAnsi="Arial"/>
                <w:sz w:val="13"/>
                <w:szCs w:val="13"/>
                <w:color w:val="auto"/>
              </w:rPr>
              <w:t>1.4%</w:t>
            </w:r>
          </w:p>
        </w:tc>
        <w:tc>
          <w:tcPr>
            <w:tcW w:w="1180" w:type="dxa"/>
            <w:vAlign w:val="bottom"/>
            <w:gridSpan w:val="2"/>
          </w:tcPr>
          <w:p>
            <w:pPr>
              <w:jc w:val="right"/>
              <w:ind w:right="121"/>
              <w:spacing w:after="0"/>
              <w:rPr>
                <w:sz w:val="20"/>
                <w:szCs w:val="20"/>
                <w:color w:val="auto"/>
              </w:rPr>
            </w:pPr>
            <w:r>
              <w:rPr>
                <w:rFonts w:ascii="Arial" w:cs="Arial" w:eastAsia="Arial" w:hAnsi="Arial"/>
                <w:sz w:val="13"/>
                <w:szCs w:val="13"/>
                <w:color w:val="auto"/>
              </w:rPr>
              <w:t>4.6%</w:t>
            </w:r>
          </w:p>
        </w:tc>
      </w:tr>
      <w:tr>
        <w:trPr>
          <w:trHeight w:val="157"/>
        </w:trPr>
        <w:tc>
          <w:tcPr>
            <w:tcW w:w="6860" w:type="dxa"/>
            <w:vAlign w:val="bottom"/>
            <w:shd w:val="clear" w:color="auto" w:fill="CCEEFF"/>
          </w:tcPr>
          <w:p>
            <w:pPr>
              <w:spacing w:after="0"/>
              <w:rPr>
                <w:sz w:val="20"/>
                <w:szCs w:val="20"/>
                <w:color w:val="auto"/>
              </w:rPr>
            </w:pPr>
            <w:r>
              <w:rPr>
                <w:rFonts w:ascii="Arial" w:cs="Arial" w:eastAsia="Arial" w:hAnsi="Arial"/>
                <w:sz w:val="13"/>
                <w:szCs w:val="13"/>
                <w:color w:val="auto"/>
              </w:rPr>
              <w:t>Expected Life of Options</w:t>
            </w:r>
          </w:p>
        </w:tc>
        <w:tc>
          <w:tcPr>
            <w:tcW w:w="7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 mos.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6 mos.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 mos.</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weighted average grant date fair value of the six-month option inherent in the Purchase Plan was $12.53, $13.71, and $10.81 in fiscal year 2010, 2009, and 2008, respectively.</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w:t>
      </w:r>
    </w:p>
    <w:p>
      <w:pPr>
        <w:spacing w:after="0" w:line="96"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As of April 3, 2010, there was $0.1 million of total unrecognized compensation cost related to non vested stock awards. That cost is expected to be recognized over a weighted average period of 1.1 years. The total fair value of shares fully vested during the year ended April 3, 2010 was $0.1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awards activity for the year ended April 3, 2010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Average Grant</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Date Fair Value</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2009</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10,956</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50.97</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Forfeited</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(3,456)</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57.22</w:t>
            </w:r>
          </w:p>
        </w:tc>
        <w:tc>
          <w:tcPr>
            <w:tcW w:w="0" w:type="dxa"/>
            <w:vAlign w:val="bottom"/>
          </w:tcPr>
          <w:p>
            <w:pPr>
              <w:spacing w:after="0"/>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Released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166"/>
        </w:trPr>
        <w:tc>
          <w:tcPr>
            <w:tcW w:w="7800" w:type="dxa"/>
            <w:vAlign w:val="bottom"/>
          </w:tcPr>
          <w:p>
            <w:pPr>
              <w:spacing w:after="0"/>
              <w:rPr>
                <w:sz w:val="20"/>
                <w:szCs w:val="20"/>
                <w:color w:val="auto"/>
              </w:rPr>
            </w:pPr>
            <w:r>
              <w:rPr>
                <w:rFonts w:ascii="Arial" w:cs="Arial" w:eastAsia="Arial" w:hAnsi="Arial"/>
                <w:sz w:val="13"/>
                <w:szCs w:val="13"/>
                <w:color w:val="auto"/>
              </w:rPr>
              <w:t>Outstanding at April 3, 2010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5,000</w:t>
            </w:r>
          </w:p>
        </w:tc>
        <w:tc>
          <w:tcPr>
            <w:tcW w:w="40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96"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As of April 3, 2010, there was $4.0 million of total unrecognized compensation cost related to non vested restricted stock units. That cost is expected to be recognized over a weighted average period of 2.6 years. The total fair value of shares fully vested during the year ended April 3, 2010 was $1.6 million.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units activity for the year ended April 3, 2010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Market Value</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at Grant Date</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28, 2009</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102,302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53.48</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Awarded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42,593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53.31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Released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(28,653)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55.08</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(9,308)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52.54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3, 2010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106,934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 (“EPS”)</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 xml:space="preserve">The following table provides a reconciliation of the numerators and denominators of the basic and diluted earnings per share computations as required by ASC Topic 260, </w:t>
      </w:r>
      <w:r>
        <w:rPr>
          <w:rFonts w:ascii="Arial" w:cs="Arial" w:eastAsia="Arial" w:hAnsi="Arial"/>
          <w:sz w:val="13"/>
          <w:szCs w:val="13"/>
          <w:i w:val="1"/>
          <w:iCs w:val="1"/>
          <w:color w:val="auto"/>
        </w:rPr>
        <w:t>Earnings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Per Share </w:t>
      </w:r>
      <w:r>
        <w:rPr>
          <w:rFonts w:ascii="Arial" w:cs="Arial" w:eastAsia="Arial" w:hAnsi="Arial"/>
          <w:sz w:val="13"/>
          <w:szCs w:val="13"/>
          <w:color w:val="auto"/>
        </w:rPr>
        <w:t>(formerly known as FASB Statement No. 128,</w:t>
      </w:r>
      <w:r>
        <w:rPr>
          <w:rFonts w:ascii="Arial" w:cs="Arial" w:eastAsia="Arial" w:hAnsi="Arial"/>
          <w:sz w:val="13"/>
          <w:szCs w:val="13"/>
          <w:i w:val="1"/>
          <w:iCs w:val="1"/>
          <w:color w:val="auto"/>
        </w:rPr>
        <w:t xml:space="preserve"> Earnings Per Share)</w:t>
      </w:r>
      <w:r>
        <w:rPr>
          <w:rFonts w:ascii="Arial" w:cs="Arial" w:eastAsia="Arial" w:hAnsi="Arial"/>
          <w:sz w:val="13"/>
          <w:szCs w:val="13"/>
          <w:color w:val="auto"/>
        </w:rPr>
        <w:t>(“EPS”). Basic EPS is computed by dividing reported earnings available to stockholders by the weighted</w:t>
      </w:r>
      <w:r>
        <w:rPr>
          <w:rFonts w:ascii="Arial" w:cs="Arial" w:eastAsia="Arial" w:hAnsi="Arial"/>
          <w:sz w:val="13"/>
          <w:szCs w:val="13"/>
          <w:i w:val="1"/>
          <w:iCs w:val="1"/>
          <w:color w:val="auto"/>
        </w:rPr>
        <w:t xml:space="preserve"> </w:t>
      </w:r>
      <w:r>
        <w:rPr>
          <w:rFonts w:ascii="Arial" w:cs="Arial" w:eastAsia="Arial" w:hAnsi="Arial"/>
          <w:sz w:val="13"/>
          <w:szCs w:val="13"/>
          <w:color w:val="auto"/>
        </w:rPr>
        <w:t>average shares outstanding. Diluted EPS also includes the effect of dilutive potential common shares.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0"/>
                <w:szCs w:val="10"/>
                <w:b w:val="1"/>
                <w:bCs w:val="1"/>
                <w:color w:val="auto"/>
                <w:w w:val="98"/>
              </w:rPr>
              <w:t>Year Ended</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78"/>
              <w:spacing w:after="0" w:line="81" w:lineRule="exact"/>
              <w:rPr>
                <w:sz w:val="20"/>
                <w:szCs w:val="20"/>
                <w:color w:val="auto"/>
              </w:rPr>
            </w:pPr>
            <w:r>
              <w:rPr>
                <w:rFonts w:ascii="Arial" w:cs="Arial" w:eastAsia="Arial" w:hAnsi="Arial"/>
                <w:sz w:val="9"/>
                <w:szCs w:val="9"/>
                <w:b w:val="1"/>
                <w:bCs w:val="1"/>
                <w:color w:val="auto"/>
              </w:rPr>
              <w:t>April 3,</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408"/>
              <w:spacing w:after="0" w:line="81" w:lineRule="exact"/>
              <w:rPr>
                <w:sz w:val="20"/>
                <w:szCs w:val="20"/>
                <w:color w:val="auto"/>
              </w:rPr>
            </w:pPr>
            <w:r>
              <w:rPr>
                <w:rFonts w:ascii="Arial" w:cs="Arial" w:eastAsia="Arial" w:hAnsi="Arial"/>
                <w:sz w:val="9"/>
                <w:szCs w:val="9"/>
                <w:b w:val="1"/>
                <w:bCs w:val="1"/>
                <w:color w:val="auto"/>
              </w:rPr>
              <w:t>March 28,</w:t>
            </w:r>
          </w:p>
        </w:tc>
        <w:tc>
          <w:tcPr>
            <w:tcW w:w="80" w:type="dxa"/>
            <w:vAlign w:val="bottom"/>
          </w:tcPr>
          <w:p>
            <w:pPr>
              <w:spacing w:after="0"/>
              <w:rPr>
                <w:sz w:val="7"/>
                <w:szCs w:val="7"/>
                <w:color w:val="auto"/>
              </w:rPr>
            </w:pPr>
          </w:p>
        </w:tc>
        <w:tc>
          <w:tcPr>
            <w:tcW w:w="6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2010</w:t>
            </w:r>
          </w:p>
        </w:tc>
        <w:tc>
          <w:tcPr>
            <w:tcW w:w="400" w:type="dxa"/>
            <w:vAlign w:val="bottom"/>
            <w:vMerge w:val="restart"/>
          </w:tcPr>
          <w:p>
            <w:pPr>
              <w:ind w:left="40"/>
              <w:spacing w:after="0"/>
              <w:rPr>
                <w:sz w:val="20"/>
                <w:szCs w:val="20"/>
                <w:color w:val="auto"/>
              </w:rPr>
            </w:pPr>
            <w:r>
              <w:rPr>
                <w:rFonts w:ascii="Arial" w:cs="Arial" w:eastAsia="Arial" w:hAnsi="Arial"/>
                <w:sz w:val="10"/>
                <w:szCs w:val="10"/>
                <w:b w:val="1"/>
                <w:bCs w:val="1"/>
                <w:color w:val="auto"/>
                <w:w w:val="91"/>
              </w:rPr>
              <w:t>(Dollars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89"/>
              </w:rPr>
              <w:t>2009</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5"/>
              </w:rPr>
              <w:t>thousands</w:t>
            </w: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6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w w:val="99"/>
              </w:rPr>
              <w:t>and shares in</w:t>
            </w: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80" w:type="dxa"/>
            <w:vAlign w:val="bottom"/>
            <w:gridSpan w:val="4"/>
          </w:tcPr>
          <w:p>
            <w:pPr>
              <w:jc w:val="right"/>
              <w:ind w:right="68"/>
              <w:spacing w:after="0"/>
              <w:rPr>
                <w:sz w:val="20"/>
                <w:szCs w:val="20"/>
                <w:color w:val="auto"/>
              </w:rPr>
            </w:pPr>
            <w:r>
              <w:rPr>
                <w:rFonts w:ascii="Arial" w:cs="Arial" w:eastAsia="Arial" w:hAnsi="Arial"/>
                <w:sz w:val="10"/>
                <w:szCs w:val="10"/>
                <w:b w:val="1"/>
                <w:bCs w:val="1"/>
                <w:color w:val="auto"/>
              </w:rPr>
              <w:t>except per share amounts)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58,370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59,304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51,980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25,389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25,824</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3"/>
                <w:szCs w:val="13"/>
                <w:color w:val="auto"/>
              </w:rPr>
              <w:t>Basic income per share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1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2.29</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2.34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65"/>
        </w:trPr>
        <w:tc>
          <w:tcPr>
            <w:tcW w:w="7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58,370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59,304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51,980</w:t>
            </w:r>
          </w:p>
        </w:tc>
        <w:tc>
          <w:tcPr>
            <w:tcW w:w="0" w:type="dxa"/>
            <w:vAlign w:val="bottom"/>
          </w:tcPr>
          <w:p>
            <w:pPr>
              <w:spacing w:after="0"/>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Basic weighted average shares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25,451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25,389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25,824</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Dilutive effect of stock options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612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784</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922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Diluted weighted average shares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26,063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26,173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26,746</w:t>
            </w:r>
          </w:p>
        </w:tc>
        <w:tc>
          <w:tcPr>
            <w:tcW w:w="0" w:type="dxa"/>
            <w:vAlign w:val="bottom"/>
          </w:tcPr>
          <w:p>
            <w:pPr>
              <w:spacing w:after="0"/>
              <w:rPr>
                <w:sz w:val="1"/>
                <w:szCs w:val="1"/>
                <w:color w:val="auto"/>
              </w:rPr>
            </w:pPr>
          </w:p>
        </w:tc>
      </w:tr>
      <w:tr>
        <w:trPr>
          <w:trHeight w:val="157"/>
        </w:trPr>
        <w:tc>
          <w:tcPr>
            <w:tcW w:w="7100" w:type="dxa"/>
            <w:vAlign w:val="bottom"/>
          </w:tcPr>
          <w:p>
            <w:pPr>
              <w:spacing w:after="0"/>
              <w:rPr>
                <w:sz w:val="20"/>
                <w:szCs w:val="20"/>
                <w:color w:val="auto"/>
              </w:rPr>
            </w:pPr>
            <w:r>
              <w:rPr>
                <w:rFonts w:ascii="Arial" w:cs="Arial" w:eastAsia="Arial" w:hAnsi="Arial"/>
                <w:sz w:val="13"/>
                <w:szCs w:val="13"/>
                <w:color w:val="auto"/>
              </w:rPr>
              <w:t>Diluted income per share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2.24</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48"/>
              <w:spacing w:after="0"/>
              <w:rPr>
                <w:sz w:val="20"/>
                <w:szCs w:val="20"/>
                <w:color w:val="auto"/>
              </w:rPr>
            </w:pPr>
            <w:r>
              <w:rPr>
                <w:rFonts w:ascii="Arial" w:cs="Arial" w:eastAsia="Arial" w:hAnsi="Arial"/>
                <w:sz w:val="13"/>
                <w:szCs w:val="13"/>
                <w:color w:val="auto"/>
              </w:rPr>
              <w:t>2.27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During 2010, 2009, and 2008 approximately 0.9 million, 0.5 million, and 1.0 million potentially dilutive common shares, respectively, were not included in the computation of diluted earnings per share because exercise prices were greater than the average market price of the common shares.</w:t>
      </w:r>
    </w:p>
    <w:p>
      <w:pPr>
        <w:spacing w:after="0" w:line="134"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Comprehensive income is the total of net income and all other non-owner changes in stockholders’ equity. For us, all other non-owner changes are primarily foreign currency translation; actuarial gains and losses and prior service costs, on our defined benefit plans, that arise during the period and are not recognized as components of net periodic benefit cost of the period; and the changes in fair value of the effective portion of our outstanding cash flow hedge contracts.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reconciliation of the components of accumulated other comprehensive loss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8"/>
              </w:rPr>
              <w:t>Foreign</w:t>
            </w:r>
          </w:p>
        </w:tc>
        <w:tc>
          <w:tcPr>
            <w:tcW w:w="140" w:type="dxa"/>
            <w:vAlign w:val="bottom"/>
          </w:tcPr>
          <w:p>
            <w:pPr>
              <w:spacing w:after="0"/>
              <w:rPr>
                <w:sz w:val="10"/>
                <w:szCs w:val="10"/>
                <w:color w:val="auto"/>
              </w:rPr>
            </w:pPr>
          </w:p>
        </w:tc>
        <w:tc>
          <w:tcPr>
            <w:tcW w:w="136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w w:val="94"/>
              </w:rPr>
              <w:t>Unrealized</w:t>
            </w:r>
          </w:p>
        </w:tc>
        <w:tc>
          <w:tcPr>
            <w:tcW w:w="160" w:type="dxa"/>
            <w:vAlign w:val="bottom"/>
          </w:tcPr>
          <w:p>
            <w:pPr>
              <w:spacing w:after="0"/>
              <w:rPr>
                <w:sz w:val="10"/>
                <w:szCs w:val="10"/>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8"/>
              </w:rPr>
              <w:t>Impact of</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tcPr>
          <w:p>
            <w:pPr>
              <w:jc w:val="center"/>
              <w:ind w:right="488"/>
              <w:spacing w:after="0" w:line="108" w:lineRule="exact"/>
              <w:rPr>
                <w:sz w:val="20"/>
                <w:szCs w:val="20"/>
                <w:color w:val="auto"/>
              </w:rPr>
            </w:pPr>
            <w:r>
              <w:rPr>
                <w:rFonts w:ascii="Arial" w:cs="Arial" w:eastAsia="Arial" w:hAnsi="Arial"/>
                <w:sz w:val="10"/>
                <w:szCs w:val="10"/>
                <w:b w:val="1"/>
                <w:bCs w:val="1"/>
                <w:color w:val="auto"/>
                <w:w w:val="94"/>
              </w:rPr>
              <w:t>Gain (Loss) on</w:t>
            </w:r>
          </w:p>
        </w:tc>
        <w:tc>
          <w:tcPr>
            <w:tcW w:w="160" w:type="dxa"/>
            <w:vAlign w:val="bottom"/>
          </w:tcPr>
          <w:p>
            <w:pPr>
              <w:spacing w:after="0"/>
              <w:rPr>
                <w:sz w:val="9"/>
                <w:szCs w:val="9"/>
                <w:color w:val="auto"/>
              </w:rPr>
            </w:pPr>
          </w:p>
        </w:tc>
        <w:tc>
          <w:tcPr>
            <w:tcW w:w="13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2"/>
              </w:rPr>
              <w:t>Defined Benefit</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Currency</w:t>
            </w:r>
          </w:p>
        </w:tc>
        <w:tc>
          <w:tcPr>
            <w:tcW w:w="140" w:type="dxa"/>
            <w:vAlign w:val="bottom"/>
          </w:tcPr>
          <w:p>
            <w:pPr>
              <w:spacing w:after="0"/>
              <w:rPr>
                <w:sz w:val="9"/>
                <w:szCs w:val="9"/>
                <w:color w:val="auto"/>
              </w:rPr>
            </w:pPr>
          </w:p>
        </w:tc>
        <w:tc>
          <w:tcPr>
            <w:tcW w:w="1360" w:type="dxa"/>
            <w:vAlign w:val="bottom"/>
            <w:gridSpan w:val="2"/>
          </w:tcPr>
          <w:p>
            <w:pPr>
              <w:jc w:val="center"/>
              <w:ind w:right="488"/>
              <w:spacing w:after="0" w:line="108" w:lineRule="exact"/>
              <w:rPr>
                <w:sz w:val="20"/>
                <w:szCs w:val="20"/>
                <w:color w:val="auto"/>
              </w:rPr>
            </w:pPr>
            <w:r>
              <w:rPr>
                <w:rFonts w:ascii="Arial" w:cs="Arial" w:eastAsia="Arial" w:hAnsi="Arial"/>
                <w:sz w:val="10"/>
                <w:szCs w:val="10"/>
                <w:b w:val="1"/>
                <w:bCs w:val="1"/>
                <w:color w:val="auto"/>
                <w:w w:val="96"/>
              </w:rPr>
              <w:t>Derivatives,</w:t>
            </w:r>
          </w:p>
        </w:tc>
        <w:tc>
          <w:tcPr>
            <w:tcW w:w="160" w:type="dxa"/>
            <w:vAlign w:val="bottom"/>
          </w:tcPr>
          <w:p>
            <w:pPr>
              <w:spacing w:after="0"/>
              <w:rPr>
                <w:sz w:val="9"/>
                <w:szCs w:val="9"/>
                <w:color w:val="auto"/>
              </w:rPr>
            </w:pPr>
          </w:p>
        </w:tc>
        <w:tc>
          <w:tcPr>
            <w:tcW w:w="1320" w:type="dxa"/>
            <w:vAlign w:val="bottom"/>
            <w:gridSpan w:val="2"/>
          </w:tcPr>
          <w:p>
            <w:pPr>
              <w:jc w:val="center"/>
              <w:ind w:right="560"/>
              <w:spacing w:after="0" w:line="108" w:lineRule="exact"/>
              <w:rPr>
                <w:sz w:val="20"/>
                <w:szCs w:val="20"/>
                <w:color w:val="auto"/>
              </w:rPr>
            </w:pPr>
            <w:r>
              <w:rPr>
                <w:rFonts w:ascii="Arial" w:cs="Arial" w:eastAsia="Arial" w:hAnsi="Arial"/>
                <w:sz w:val="10"/>
                <w:szCs w:val="10"/>
                <w:b w:val="1"/>
                <w:bCs w:val="1"/>
                <w:color w:val="auto"/>
                <w:w w:val="94"/>
              </w:rPr>
              <w:t>Plans,</w:t>
            </w:r>
          </w:p>
        </w:tc>
        <w:tc>
          <w:tcPr>
            <w:tcW w:w="120" w:type="dxa"/>
            <w:vAlign w:val="bottom"/>
          </w:tcPr>
          <w:p>
            <w:pPr>
              <w:spacing w:after="0"/>
              <w:rPr>
                <w:sz w:val="9"/>
                <w:szCs w:val="9"/>
                <w:color w:val="auto"/>
              </w:rPr>
            </w:pPr>
          </w:p>
        </w:tc>
        <w:tc>
          <w:tcPr>
            <w:tcW w:w="46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6"/>
              </w:rPr>
              <w:t>Translation</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95"/>
              </w:rPr>
              <w:t>Net of Tax</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95"/>
              </w:rPr>
              <w:t>Net of Tax</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29, 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12,717</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(8,100)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4,803</w:t>
            </w:r>
          </w:p>
        </w:tc>
        <w:tc>
          <w:tcPr>
            <w:tcW w:w="0" w:type="dxa"/>
            <w:vAlign w:val="bottom"/>
          </w:tcPr>
          <w:p>
            <w:pPr>
              <w:spacing w:after="0"/>
              <w:rPr>
                <w:sz w:val="1"/>
                <w:szCs w:val="1"/>
                <w:color w:val="auto"/>
              </w:rPr>
            </w:pPr>
          </w:p>
        </w:tc>
      </w:tr>
      <w:tr>
        <w:trPr>
          <w:trHeight w:val="29"/>
        </w:trPr>
        <w:tc>
          <w:tcPr>
            <w:tcW w:w="5100" w:type="dxa"/>
            <w:vAlign w:val="bottom"/>
            <w:vMerge w:val="restart"/>
          </w:tcPr>
          <w:p>
            <w:pPr>
              <w:spacing w:after="0"/>
              <w:rPr>
                <w:sz w:val="20"/>
                <w:szCs w:val="20"/>
                <w:color w:val="auto"/>
              </w:rPr>
            </w:pPr>
            <w:r>
              <w:rPr>
                <w:rFonts w:ascii="Arial" w:cs="Arial" w:eastAsia="Arial" w:hAnsi="Arial"/>
                <w:sz w:val="13"/>
                <w:szCs w:val="13"/>
                <w:color w:val="auto"/>
              </w:rPr>
              <w:t>Changes during the year</w:t>
            </w: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(10,045)</w:t>
            </w:r>
          </w:p>
        </w:tc>
        <w:tc>
          <w:tcPr>
            <w:tcW w:w="140" w:type="dxa"/>
            <w:vAlign w:val="bottom"/>
          </w:tcPr>
          <w:p>
            <w:pPr>
              <w:spacing w:after="0"/>
              <w:rPr>
                <w:sz w:val="14"/>
                <w:szCs w:val="14"/>
                <w:color w:val="auto"/>
              </w:rPr>
            </w:pPr>
          </w:p>
        </w:tc>
        <w:tc>
          <w:tcPr>
            <w:tcW w:w="1360" w:type="dxa"/>
            <w:vAlign w:val="bottom"/>
            <w:gridSpan w:val="2"/>
          </w:tcPr>
          <w:p>
            <w:pPr>
              <w:jc w:val="right"/>
              <w:ind w:right="348"/>
              <w:spacing w:after="0"/>
              <w:rPr>
                <w:sz w:val="20"/>
                <w:szCs w:val="20"/>
                <w:color w:val="auto"/>
              </w:rPr>
            </w:pPr>
            <w:r>
              <w:rPr>
                <w:rFonts w:ascii="Arial" w:cs="Arial" w:eastAsia="Arial" w:hAnsi="Arial"/>
                <w:sz w:val="13"/>
                <w:szCs w:val="13"/>
                <w:color w:val="auto"/>
              </w:rPr>
              <w:t>9,222</w:t>
            </w:r>
          </w:p>
        </w:tc>
        <w:tc>
          <w:tcPr>
            <w:tcW w:w="16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(1,520)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28, 2009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1,122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w:t>
            </w:r>
          </w:p>
        </w:tc>
        <w:tc>
          <w:tcPr>
            <w:tcW w:w="0" w:type="dxa"/>
            <w:vAlign w:val="bottom"/>
          </w:tcPr>
          <w:p>
            <w:pPr>
              <w:spacing w:after="0"/>
              <w:rPr>
                <w:sz w:val="1"/>
                <w:szCs w:val="1"/>
                <w:color w:val="auto"/>
              </w:rPr>
            </w:pPr>
          </w:p>
        </w:tc>
      </w:tr>
      <w:tr>
        <w:trPr>
          <w:trHeight w:val="29"/>
        </w:trPr>
        <w:tc>
          <w:tcPr>
            <w:tcW w:w="5100" w:type="dxa"/>
            <w:vAlign w:val="bottom"/>
            <w:vMerge w:val="restart"/>
          </w:tcPr>
          <w:p>
            <w:pPr>
              <w:spacing w:after="0"/>
              <w:rPr>
                <w:sz w:val="20"/>
                <w:szCs w:val="20"/>
                <w:color w:val="auto"/>
              </w:rPr>
            </w:pPr>
            <w:r>
              <w:rPr>
                <w:rFonts w:ascii="Arial" w:cs="Arial" w:eastAsia="Arial" w:hAnsi="Arial"/>
                <w:sz w:val="13"/>
                <w:szCs w:val="13"/>
                <w:color w:val="auto"/>
              </w:rPr>
              <w:t>Changes during the year</w:t>
            </w: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2,599</w:t>
            </w:r>
          </w:p>
        </w:tc>
        <w:tc>
          <w:tcPr>
            <w:tcW w:w="140" w:type="dxa"/>
            <w:vAlign w:val="bottom"/>
          </w:tcPr>
          <w:p>
            <w:pPr>
              <w:spacing w:after="0"/>
              <w:rPr>
                <w:sz w:val="14"/>
                <w:szCs w:val="14"/>
                <w:color w:val="auto"/>
              </w:rPr>
            </w:pPr>
          </w:p>
        </w:tc>
        <w:tc>
          <w:tcPr>
            <w:tcW w:w="1360" w:type="dxa"/>
            <w:vAlign w:val="bottom"/>
            <w:gridSpan w:val="2"/>
          </w:tcPr>
          <w:p>
            <w:pPr>
              <w:jc w:val="right"/>
              <w:ind w:right="348"/>
              <w:spacing w:after="0"/>
              <w:rPr>
                <w:sz w:val="20"/>
                <w:szCs w:val="20"/>
                <w:color w:val="auto"/>
              </w:rPr>
            </w:pPr>
            <w:r>
              <w:rPr>
                <w:rFonts w:ascii="Arial" w:cs="Arial" w:eastAsia="Arial" w:hAnsi="Arial"/>
                <w:sz w:val="13"/>
                <w:szCs w:val="13"/>
                <w:color w:val="auto"/>
              </w:rPr>
              <w:t>332</w:t>
            </w:r>
          </w:p>
        </w:tc>
        <w:tc>
          <w:tcPr>
            <w:tcW w:w="16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(309)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2,622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3, 2010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1,454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5,905</w:t>
            </w: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$3.0 million in 2010, $2.9 million in 2009, and $2.4 million in 2008. Upon Board approval, additional discretionary contributions can also be made. No discretionary contributions were made for the Savings Plan in fiscal year 2010, 2009, or 2008.</w:t>
      </w:r>
    </w:p>
    <w:p>
      <w:pPr>
        <w:spacing w:after="0" w:line="50"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Some of our subsidiaries also have a defined contribution plan, to which plan both the employee and the employer make contributions. The employer contributions to these plans totaled $1.7 million, $1.4 million, and $1.2 million in fiscal year 2010, 2009, and 2008, respectively, of which $1.4 million, $1.2 million, and $0.9 million in fiscal year 2010, 2009, and 2008, respectively, were contributed for our employees in Switzerland.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Benefit Plans</w:t>
      </w:r>
    </w:p>
    <w:p>
      <w:pPr>
        <w:spacing w:after="0" w:line="96"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 xml:space="preserve">In September 2006, the FASB issued ASC Topic 715, </w:t>
      </w:r>
      <w:r>
        <w:rPr>
          <w:rFonts w:ascii="Arial" w:cs="Arial" w:eastAsia="Arial" w:hAnsi="Arial"/>
          <w:sz w:val="12"/>
          <w:szCs w:val="12"/>
          <w:i w:val="1"/>
          <w:iCs w:val="1"/>
          <w:color w:val="auto"/>
        </w:rPr>
        <w:t>Compensation — Retirement</w:t>
      </w:r>
      <w:r>
        <w:rPr>
          <w:rFonts w:ascii="Arial" w:cs="Arial" w:eastAsia="Arial" w:hAnsi="Arial"/>
          <w:sz w:val="12"/>
          <w:szCs w:val="12"/>
          <w:color w:val="auto"/>
        </w:rPr>
        <w:t xml:space="preserve"> Benefits (formerly known as Statement No. 158, </w:t>
      </w:r>
      <w:r>
        <w:rPr>
          <w:rFonts w:ascii="Arial" w:cs="Arial" w:eastAsia="Arial" w:hAnsi="Arial"/>
          <w:sz w:val="12"/>
          <w:szCs w:val="12"/>
          <w:i w:val="1"/>
          <w:iCs w:val="1"/>
          <w:color w:val="auto"/>
        </w:rPr>
        <w:t>Employers’ Accounting for Defined Benefit</w:t>
      </w:r>
      <w:r>
        <w:rPr>
          <w:rFonts w:ascii="Arial" w:cs="Arial" w:eastAsia="Arial" w:hAnsi="Arial"/>
          <w:sz w:val="12"/>
          <w:szCs w:val="12"/>
          <w:color w:val="auto"/>
        </w:rPr>
        <w:t xml:space="preserve"> </w:t>
      </w:r>
      <w:r>
        <w:rPr>
          <w:rFonts w:ascii="Arial" w:cs="Arial" w:eastAsia="Arial" w:hAnsi="Arial"/>
          <w:sz w:val="12"/>
          <w:szCs w:val="12"/>
          <w:i w:val="1"/>
          <w:iCs w:val="1"/>
          <w:color w:val="auto"/>
        </w:rPr>
        <w:t>Pension and Other Postretirement Plans — an amendment of FASB Statements No. 87, 88, 106, and 132(R)</w:t>
      </w:r>
      <w:r>
        <w:rPr>
          <w:rFonts w:ascii="Arial" w:cs="Arial" w:eastAsia="Arial" w:hAnsi="Arial"/>
          <w:sz w:val="12"/>
          <w:szCs w:val="12"/>
          <w:color w:val="auto"/>
        </w:rPr>
        <w:t>), which requires an employer to: (a) recognize in its statement of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 The Company adopted ASC Topic 715 as of March 31, 2007 and accordingly is required to report changes in its funded status in comprehensive income on its Statement of Stockholders’ Equity and Comprehensive Income. The adoption of ASC Topic 715 did not have a material effect on the Company’s financial position at April 3, 2010 or March 28, 2009.</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 The measurement date for the plans is March 31, 2009.</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Some of the Company’s foreign subsidiaries have defined benefit pension plans covering substantially all full time employees at those subsidiaries. Net periodic benefit costs for the plans in the aggregate include the following components: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0"/>
                <w:szCs w:val="10"/>
                <w:b w:val="1"/>
                <w:bCs w:val="1"/>
                <w:color w:val="auto"/>
                <w:w w:val="94"/>
              </w:rPr>
              <w:t>Year Ended</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4"/>
          </w:tcPr>
          <w:p>
            <w:pPr>
              <w:spacing w:after="0" w:line="81" w:lineRule="exact"/>
              <w:rPr>
                <w:sz w:val="20"/>
                <w:szCs w:val="20"/>
                <w:color w:val="auto"/>
              </w:rPr>
            </w:pPr>
            <w:r>
              <w:rPr>
                <w:rFonts w:ascii="Arial" w:cs="Arial" w:eastAsia="Arial" w:hAnsi="Arial"/>
                <w:sz w:val="9"/>
                <w:szCs w:val="9"/>
                <w:b w:val="1"/>
                <w:bCs w:val="1"/>
                <w:color w:val="auto"/>
              </w:rPr>
              <w:t>April 3,</w:t>
            </w:r>
          </w:p>
        </w:tc>
        <w:tc>
          <w:tcPr>
            <w:tcW w:w="160" w:type="dxa"/>
            <w:vAlign w:val="bottom"/>
          </w:tcPr>
          <w:p>
            <w:pPr>
              <w:spacing w:after="0"/>
              <w:rPr>
                <w:sz w:val="7"/>
                <w:szCs w:val="7"/>
                <w:color w:val="auto"/>
              </w:rPr>
            </w:pPr>
          </w:p>
        </w:tc>
        <w:tc>
          <w:tcPr>
            <w:tcW w:w="1080" w:type="dxa"/>
            <w:vAlign w:val="bottom"/>
            <w:gridSpan w:val="5"/>
          </w:tcPr>
          <w:p>
            <w:pPr>
              <w:jc w:val="right"/>
              <w:ind w:right="500"/>
              <w:spacing w:after="0" w:line="81" w:lineRule="exact"/>
              <w:rPr>
                <w:sz w:val="20"/>
                <w:szCs w:val="20"/>
                <w:color w:val="auto"/>
              </w:rPr>
            </w:pPr>
            <w:r>
              <w:rPr>
                <w:rFonts w:ascii="Arial" w:cs="Arial" w:eastAsia="Arial" w:hAnsi="Arial"/>
                <w:sz w:val="9"/>
                <w:szCs w:val="9"/>
                <w:b w:val="1"/>
                <w:bCs w:val="1"/>
                <w:color w:val="auto"/>
              </w:rPr>
              <w:t>March 28,</w:t>
            </w:r>
          </w:p>
        </w:tc>
        <w:tc>
          <w:tcPr>
            <w:tcW w:w="680" w:type="dxa"/>
            <w:vAlign w:val="bottom"/>
            <w:gridSpan w:val="3"/>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020" w:type="dxa"/>
            <w:vAlign w:val="bottom"/>
            <w:gridSpan w:val="4"/>
          </w:tcPr>
          <w:p>
            <w:pPr>
              <w:jc w:val="right"/>
              <w:ind w:right="94"/>
              <w:spacing w:after="0"/>
              <w:rPr>
                <w:sz w:val="20"/>
                <w:szCs w:val="20"/>
                <w:color w:val="auto"/>
              </w:rPr>
            </w:pPr>
            <w:r>
              <w:rPr>
                <w:rFonts w:ascii="Arial" w:cs="Arial" w:eastAsia="Arial" w:hAnsi="Arial"/>
                <w:sz w:val="10"/>
                <w:szCs w:val="10"/>
                <w:b w:val="1"/>
                <w:bCs w:val="1"/>
                <w:color w:val="auto"/>
              </w:rPr>
              <w:t>2010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76"/>
              <w:spacing w:after="0"/>
              <w:rPr>
                <w:sz w:val="20"/>
                <w:szCs w:val="20"/>
                <w:color w:val="auto"/>
              </w:rPr>
            </w:pPr>
            <w:r>
              <w:rPr>
                <w:rFonts w:ascii="Arial" w:cs="Arial" w:eastAsia="Arial" w:hAnsi="Arial"/>
                <w:sz w:val="10"/>
                <w:szCs w:val="10"/>
                <w:b w:val="1"/>
                <w:bCs w:val="1"/>
                <w:color w:val="auto"/>
                <w:w w:val="89"/>
              </w:rPr>
              <w:t>2009</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176"/>
              <w:spacing w:after="0"/>
              <w:rPr>
                <w:sz w:val="20"/>
                <w:szCs w:val="20"/>
                <w:color w:val="auto"/>
              </w:rPr>
            </w:pPr>
            <w:r>
              <w:rPr>
                <w:rFonts w:ascii="Arial" w:cs="Arial" w:eastAsia="Arial" w:hAnsi="Arial"/>
                <w:sz w:val="10"/>
                <w:szCs w:val="10"/>
                <w:b w:val="1"/>
                <w:bCs w:val="1"/>
                <w:color w:val="auto"/>
                <w:w w:val="89"/>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5"/>
              </w:rPr>
              <w:t>(In thousands)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512</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Interest cost on benefit obligation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242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242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(return)/loss on plan assets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(288)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946</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Actuarial gain/(loss)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223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(1,028)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unrecognized prior service cost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Amortization of unrecognized initial obligation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27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Totals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6700" w:type="dxa"/>
            <w:vAlign w:val="bottom"/>
          </w:tcPr>
          <w:p>
            <w:pPr>
              <w:ind w:left="400"/>
              <w:spacing w:after="0"/>
              <w:rPr>
                <w:sz w:val="20"/>
                <w:szCs w:val="20"/>
                <w:color w:val="auto"/>
              </w:rPr>
            </w:pPr>
            <w:r>
              <w:rPr>
                <w:rFonts w:ascii="Arial" w:cs="Arial" w:eastAsia="Arial" w:hAnsi="Arial"/>
                <w:sz w:val="13"/>
                <w:szCs w:val="13"/>
                <w:color w:val="auto"/>
              </w:rPr>
              <w:t>The activity under those defined benefit plans are as follows:</w:t>
            </w:r>
          </w:p>
        </w:tc>
        <w:tc>
          <w:tcPr>
            <w:tcW w:w="5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7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0"/>
                <w:szCs w:val="10"/>
                <w:b w:val="1"/>
                <w:bCs w:val="1"/>
                <w:color w:val="auto"/>
              </w:rPr>
              <w:t>Year Ended</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700" w:type="dxa"/>
            <w:vAlign w:val="bottom"/>
          </w:tcPr>
          <w:p>
            <w:pPr>
              <w:spacing w:after="0"/>
              <w:rPr>
                <w:sz w:val="7"/>
                <w:szCs w:val="7"/>
                <w:color w:val="auto"/>
              </w:rPr>
            </w:pPr>
          </w:p>
        </w:tc>
        <w:tc>
          <w:tcPr>
            <w:tcW w:w="760" w:type="dxa"/>
            <w:vAlign w:val="bottom"/>
            <w:gridSpan w:val="3"/>
          </w:tcPr>
          <w:p>
            <w:pPr>
              <w:jc w:val="center"/>
              <w:ind w:left="361"/>
              <w:spacing w:after="0" w:line="81" w:lineRule="exact"/>
              <w:rPr>
                <w:sz w:val="20"/>
                <w:szCs w:val="20"/>
                <w:color w:val="auto"/>
              </w:rPr>
            </w:pPr>
            <w:r>
              <w:rPr>
                <w:rFonts w:ascii="Arial" w:cs="Arial" w:eastAsia="Arial" w:hAnsi="Arial"/>
                <w:sz w:val="9"/>
                <w:szCs w:val="9"/>
                <w:b w:val="1"/>
                <w:bCs w:val="1"/>
                <w:color w:val="auto"/>
              </w:rPr>
              <w:t>April 3,</w:t>
            </w: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tcPr>
          <w:p>
            <w:pPr>
              <w:jc w:val="right"/>
              <w:ind w:right="360"/>
              <w:spacing w:after="0" w:line="81" w:lineRule="exact"/>
              <w:rPr>
                <w:sz w:val="20"/>
                <w:szCs w:val="20"/>
                <w:color w:val="auto"/>
              </w:rPr>
            </w:pPr>
            <w:r>
              <w:rPr>
                <w:rFonts w:ascii="Arial" w:cs="Arial" w:eastAsia="Arial" w:hAnsi="Arial"/>
                <w:sz w:val="9"/>
                <w:szCs w:val="9"/>
                <w:b w:val="1"/>
                <w:bCs w:val="1"/>
                <w:color w:val="auto"/>
              </w:rPr>
              <w:t>March 28,</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7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0"/>
                <w:szCs w:val="10"/>
                <w:b w:val="1"/>
                <w:bCs w:val="1"/>
                <w:color w:val="auto"/>
              </w:rPr>
              <w:t>2010</w:t>
            </w: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jc w:val="right"/>
              <w:ind w:right="90"/>
              <w:spacing w:after="0"/>
              <w:rPr>
                <w:sz w:val="20"/>
                <w:szCs w:val="20"/>
                <w:color w:val="auto"/>
              </w:rPr>
            </w:pPr>
            <w:r>
              <w:rPr>
                <w:rFonts w:ascii="Arial" w:cs="Arial" w:eastAsia="Arial" w:hAnsi="Arial"/>
                <w:sz w:val="10"/>
                <w:szCs w:val="10"/>
                <w:b w:val="1"/>
                <w:bCs w:val="1"/>
                <w:color w:val="auto"/>
              </w:rPr>
              <w:t>(In</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rPr>
              <w:t>2009</w:t>
            </w:r>
          </w:p>
        </w:tc>
        <w:tc>
          <w:tcPr>
            <w:tcW w:w="1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00" w:type="dxa"/>
            <w:vAlign w:val="bottom"/>
            <w:gridSpan w:val="3"/>
          </w:tcPr>
          <w:p>
            <w:pPr>
              <w:spacing w:after="0"/>
              <w:rPr>
                <w:sz w:val="20"/>
                <w:szCs w:val="20"/>
                <w:color w:val="auto"/>
              </w:rPr>
            </w:pPr>
            <w:r>
              <w:rPr>
                <w:rFonts w:ascii="Arial" w:cs="Arial" w:eastAsia="Arial" w:hAnsi="Arial"/>
                <w:sz w:val="10"/>
                <w:szCs w:val="10"/>
                <w:b w:val="1"/>
                <w:bCs w:val="1"/>
                <w:color w:val="auto"/>
              </w:rPr>
              <w:t>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Benefit Obligation, beginning of year</w:t>
            </w:r>
          </w:p>
        </w:tc>
        <w:tc>
          <w:tcPr>
            <w:tcW w:w="76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(6,721)</w:t>
            </w:r>
          </w:p>
        </w:tc>
        <w:tc>
          <w:tcPr>
            <w:tcW w:w="380" w:type="dxa"/>
            <w:vAlign w:val="bottom"/>
            <w:gridSpan w:val="3"/>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(6,932)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(6,690)</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(512)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(539)</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(594)</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(242)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(242)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217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488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Actuarial (loss)/gain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(558)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389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Currency translation</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115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Benefit obligation, end of year</w:t>
            </w:r>
          </w:p>
        </w:tc>
        <w:tc>
          <w:tcPr>
            <w:tcW w:w="5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00" w:type="dxa"/>
            <w:vAlign w:val="bottom"/>
            <w:vMerge w:val="continue"/>
          </w:tcPr>
          <w:p>
            <w:pPr>
              <w:spacing w:after="0"/>
              <w:rPr>
                <w:sz w:val="14"/>
                <w:szCs w:val="14"/>
                <w:color w:val="auto"/>
              </w:rPr>
            </w:pPr>
          </w:p>
        </w:tc>
        <w:tc>
          <w:tcPr>
            <w:tcW w:w="580" w:type="dxa"/>
            <w:vAlign w:val="bottom"/>
            <w:gridSpan w:val="2"/>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(7,949)</w:t>
            </w:r>
          </w:p>
        </w:tc>
        <w:tc>
          <w:tcPr>
            <w:tcW w:w="380" w:type="dxa"/>
            <w:vAlign w:val="bottom"/>
            <w:gridSpan w:val="3"/>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(6,721)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(6,932)</w:t>
            </w:r>
          </w:p>
        </w:tc>
        <w:tc>
          <w:tcPr>
            <w:tcW w:w="0" w:type="dxa"/>
            <w:vAlign w:val="bottom"/>
          </w:tcPr>
          <w:p>
            <w:pPr>
              <w:spacing w:after="0"/>
              <w:rPr>
                <w:sz w:val="1"/>
                <w:szCs w:val="1"/>
                <w:color w:val="auto"/>
              </w:rPr>
            </w:pPr>
          </w:p>
        </w:tc>
      </w:tr>
      <w:tr>
        <w:trPr>
          <w:trHeight w:val="165"/>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Change in Plan Assets: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Fair value of plan assets, beginning of year</w:t>
            </w:r>
          </w:p>
        </w:tc>
        <w:tc>
          <w:tcPr>
            <w:tcW w:w="76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3,097</w:t>
            </w:r>
          </w:p>
        </w:tc>
        <w:tc>
          <w:tcPr>
            <w:tcW w:w="80" w:type="dxa"/>
            <w:vAlign w:val="bottom"/>
          </w:tcPr>
          <w:p>
            <w:pPr>
              <w:spacing w:after="0"/>
              <w:rPr>
                <w:sz w:val="13"/>
                <w:szCs w:val="13"/>
                <w:color w:val="auto"/>
              </w:rPr>
            </w:pPr>
          </w:p>
        </w:tc>
        <w:tc>
          <w:tcPr>
            <w:tcW w:w="380" w:type="dxa"/>
            <w:vAlign w:val="bottom"/>
            <w:gridSpan w:val="3"/>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40"/>
              <w:spacing w:after="0"/>
              <w:rPr>
                <w:sz w:val="20"/>
                <w:szCs w:val="20"/>
                <w:color w:val="auto"/>
              </w:rPr>
            </w:pPr>
            <w:r>
              <w:rPr>
                <w:rFonts w:ascii="Arial" w:cs="Arial" w:eastAsia="Arial" w:hAnsi="Arial"/>
                <w:sz w:val="13"/>
                <w:szCs w:val="13"/>
                <w:color w:val="auto"/>
              </w:rPr>
              <w:t>3,851</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3,669</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Company contributions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471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403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(176)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(460)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Gain/(Loss) on plan assets</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288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(946)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57"/>
        </w:trPr>
        <w:tc>
          <w:tcPr>
            <w:tcW w:w="6700" w:type="dxa"/>
            <w:vAlign w:val="bottom"/>
          </w:tcPr>
          <w:p>
            <w:pPr>
              <w:ind w:left="140"/>
              <w:spacing w:after="0"/>
              <w:rPr>
                <w:sz w:val="20"/>
                <w:szCs w:val="20"/>
                <w:color w:val="auto"/>
              </w:rPr>
            </w:pPr>
            <w:r>
              <w:rPr>
                <w:rFonts w:ascii="Arial" w:cs="Arial" w:eastAsia="Arial" w:hAnsi="Arial"/>
                <w:sz w:val="13"/>
                <w:szCs w:val="13"/>
                <w:color w:val="auto"/>
              </w:rPr>
              <w:t>Currency translation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249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end of year</w:t>
            </w:r>
          </w:p>
        </w:tc>
        <w:tc>
          <w:tcPr>
            <w:tcW w:w="580" w:type="dxa"/>
            <w:vAlign w:val="bottom"/>
            <w:gridSpan w:val="2"/>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3,833</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3,097</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3,851</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700" w:type="dxa"/>
            <w:vAlign w:val="bottom"/>
          </w:tcPr>
          <w:p>
            <w:pPr>
              <w:spacing w:after="0"/>
              <w:rPr>
                <w:sz w:val="20"/>
                <w:szCs w:val="20"/>
                <w:color w:val="auto"/>
              </w:rPr>
            </w:pPr>
            <w:r>
              <w:rPr>
                <w:rFonts w:ascii="Arial" w:cs="Arial" w:eastAsia="Arial" w:hAnsi="Arial"/>
                <w:sz w:val="13"/>
                <w:szCs w:val="13"/>
                <w:color w:val="auto"/>
              </w:rPr>
              <w:t>Funded Status</w:t>
            </w:r>
          </w:p>
        </w:tc>
        <w:tc>
          <w:tcPr>
            <w:tcW w:w="760" w:type="dxa"/>
            <w:vAlign w:val="bottom"/>
            <w:gridSpan w:val="3"/>
          </w:tcPr>
          <w:p>
            <w:pPr>
              <w:ind w:left="580"/>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(4,116)</w:t>
            </w:r>
          </w:p>
        </w:tc>
        <w:tc>
          <w:tcPr>
            <w:tcW w:w="380" w:type="dxa"/>
            <w:vAlign w:val="bottom"/>
            <w:gridSpan w:val="3"/>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(3,624)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(3,141)</w:t>
            </w:r>
          </w:p>
        </w:tc>
        <w:tc>
          <w:tcPr>
            <w:tcW w:w="0" w:type="dxa"/>
            <w:vAlign w:val="bottom"/>
          </w:tcPr>
          <w:p>
            <w:pPr>
              <w:spacing w:after="0"/>
              <w:rPr>
                <w:sz w:val="1"/>
                <w:szCs w:val="1"/>
                <w:color w:val="auto"/>
              </w:rPr>
            </w:pPr>
          </w:p>
        </w:tc>
      </w:tr>
      <w:tr>
        <w:trPr>
          <w:trHeight w:val="158"/>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Unrecognized net actuarial loss/(gain)</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785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433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Unrecognized initial obligation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(117)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(152)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Unrecognized prior service cost</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197</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3"/>
                <w:szCs w:val="13"/>
                <w:color w:val="auto"/>
              </w:rPr>
              <w:t>Net amount recognized</w:t>
            </w:r>
          </w:p>
        </w:tc>
        <w:tc>
          <w:tcPr>
            <w:tcW w:w="5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580" w:type="dxa"/>
            <w:vAlign w:val="bottom"/>
            <w:gridSpan w:val="2"/>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(3,268)</w:t>
            </w:r>
          </w:p>
        </w:tc>
        <w:tc>
          <w:tcPr>
            <w:tcW w:w="380" w:type="dxa"/>
            <w:vAlign w:val="bottom"/>
            <w:gridSpan w:val="3"/>
          </w:tcPr>
          <w:p>
            <w:pPr>
              <w:ind w:left="300"/>
              <w:spacing w:after="0"/>
              <w:rPr>
                <w:sz w:val="20"/>
                <w:szCs w:val="20"/>
                <w:color w:val="auto"/>
              </w:rPr>
            </w:pPr>
            <w:r>
              <w:rPr>
                <w:rFonts w:ascii="Arial" w:cs="Arial" w:eastAsia="Arial" w:hAnsi="Arial"/>
                <w:sz w:val="13"/>
                <w:szCs w:val="13"/>
                <w:color w:val="auto"/>
                <w:w w:val="82"/>
              </w:rPr>
              <w:t>$</w:t>
            </w:r>
          </w:p>
        </w:tc>
        <w:tc>
          <w:tcPr>
            <w:tcW w:w="860" w:type="dxa"/>
            <w:vAlign w:val="bottom"/>
            <w:gridSpan w:val="3"/>
          </w:tcPr>
          <w:p>
            <w:pPr>
              <w:jc w:val="right"/>
              <w:ind w:right="200"/>
              <w:spacing w:after="0"/>
              <w:rPr>
                <w:sz w:val="20"/>
                <w:szCs w:val="20"/>
                <w:color w:val="auto"/>
              </w:rPr>
            </w:pPr>
            <w:r>
              <w:rPr>
                <w:rFonts w:ascii="Arial" w:cs="Arial" w:eastAsia="Arial" w:hAnsi="Arial"/>
                <w:sz w:val="13"/>
                <w:szCs w:val="13"/>
                <w:color w:val="auto"/>
              </w:rPr>
              <w:t>(3,146)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(3,349)</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One of the benefit plans is funded through assets of the Company. Accordingly that plan has no assets included in the information presented above. The assets of the other plan were greater than the accumulated benefit obligation in fiscal years 2010, 2009, and 2008,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Amounts recognized as a component of other accrued liabilities on the balance sheet as of April 3, 2010, under ASC Topic 715 totaled $3.3 million.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the change recorded in our accumulated other comprehensive income related to our defined benefit plans, net of tax,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28, 2009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(511)</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Obligation at transition</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Prior service cost</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3, 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(820)</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rates used to determine the net periodic benefit costs were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560" w:type="dxa"/>
            <w:vAlign w:val="bottom"/>
          </w:tcPr>
          <w:p>
            <w:pPr>
              <w:jc w:val="right"/>
              <w:ind w:right="40"/>
              <w:spacing w:after="0"/>
              <w:rPr>
                <w:sz w:val="20"/>
                <w:szCs w:val="20"/>
                <w:color w:val="auto"/>
              </w:rPr>
            </w:pPr>
            <w:r>
              <w:rPr>
                <w:rFonts w:ascii="Arial" w:cs="Arial" w:eastAsia="Arial" w:hAnsi="Arial"/>
                <w:sz w:val="10"/>
                <w:szCs w:val="10"/>
                <w:b w:val="1"/>
                <w:bCs w:val="1"/>
                <w:color w:val="auto"/>
              </w:rPr>
              <w:t>April 3,</w:t>
            </w:r>
          </w:p>
        </w:tc>
        <w:tc>
          <w:tcPr>
            <w:tcW w:w="300" w:type="dxa"/>
            <w:vAlign w:val="bottom"/>
          </w:tcPr>
          <w:p>
            <w:pPr>
              <w:spacing w:after="0"/>
              <w:rPr>
                <w:sz w:val="10"/>
                <w:szCs w:val="10"/>
                <w:color w:val="auto"/>
              </w:rPr>
            </w:pPr>
          </w:p>
        </w:tc>
        <w:tc>
          <w:tcPr>
            <w:tcW w:w="760" w:type="dxa"/>
            <w:vAlign w:val="bottom"/>
          </w:tcPr>
          <w:p>
            <w:pPr>
              <w:jc w:val="right"/>
              <w:ind w:right="108"/>
              <w:spacing w:after="0"/>
              <w:rPr>
                <w:sz w:val="20"/>
                <w:szCs w:val="20"/>
                <w:color w:val="auto"/>
              </w:rPr>
            </w:pPr>
            <w:r>
              <w:rPr>
                <w:rFonts w:ascii="Arial" w:cs="Arial" w:eastAsia="Arial" w:hAnsi="Arial"/>
                <w:sz w:val="10"/>
                <w:szCs w:val="10"/>
                <w:b w:val="1"/>
                <w:bCs w:val="1"/>
                <w:color w:val="auto"/>
              </w:rPr>
              <w:t>March 28,</w:t>
            </w:r>
          </w:p>
        </w:tc>
        <w:tc>
          <w:tcPr>
            <w:tcW w:w="280" w:type="dxa"/>
            <w:vAlign w:val="bottom"/>
          </w:tcPr>
          <w:p>
            <w:pPr>
              <w:spacing w:after="0"/>
              <w:rPr>
                <w:sz w:val="10"/>
                <w:szCs w:val="10"/>
                <w:color w:val="auto"/>
              </w:rPr>
            </w:pPr>
          </w:p>
        </w:tc>
        <w:tc>
          <w:tcPr>
            <w:tcW w:w="760" w:type="dxa"/>
            <w:vAlign w:val="bottom"/>
          </w:tcPr>
          <w:p>
            <w:pPr>
              <w:jc w:val="right"/>
              <w:ind w:right="88"/>
              <w:spacing w:after="0"/>
              <w:rPr>
                <w:sz w:val="20"/>
                <w:szCs w:val="20"/>
                <w:color w:val="auto"/>
              </w:rPr>
            </w:pPr>
            <w:r>
              <w:rPr>
                <w:rFonts w:ascii="Arial" w:cs="Arial" w:eastAsia="Arial" w:hAnsi="Arial"/>
                <w:sz w:val="10"/>
                <w:szCs w:val="10"/>
                <w:b w:val="1"/>
                <w:bCs w:val="1"/>
                <w:color w:val="auto"/>
              </w:rPr>
              <w:t>March 29,</w:t>
            </w:r>
          </w:p>
        </w:tc>
      </w:tr>
      <w:tr>
        <w:trPr>
          <w:trHeight w:val="125"/>
        </w:trPr>
        <w:tc>
          <w:tcPr>
            <w:tcW w:w="7320" w:type="dxa"/>
            <w:vAlign w:val="bottom"/>
          </w:tcPr>
          <w:p>
            <w:pPr>
              <w:spacing w:after="0"/>
              <w:rPr>
                <w:sz w:val="10"/>
                <w:szCs w:val="10"/>
                <w:color w:val="auto"/>
              </w:rPr>
            </w:pPr>
          </w:p>
        </w:tc>
        <w:tc>
          <w:tcPr>
            <w:tcW w:w="560" w:type="dxa"/>
            <w:vAlign w:val="bottom"/>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1060" w:type="dxa"/>
            <w:vAlign w:val="bottom"/>
            <w:gridSpan w:val="2"/>
          </w:tcPr>
          <w:p>
            <w:pPr>
              <w:jc w:val="right"/>
              <w:ind w:right="228"/>
              <w:spacing w:after="0"/>
              <w:rPr>
                <w:sz w:val="20"/>
                <w:szCs w:val="20"/>
                <w:color w:val="auto"/>
              </w:rPr>
            </w:pPr>
            <w:r>
              <w:rPr>
                <w:rFonts w:ascii="Arial" w:cs="Arial" w:eastAsia="Arial" w:hAnsi="Arial"/>
                <w:sz w:val="10"/>
                <w:szCs w:val="10"/>
                <w:b w:val="1"/>
                <w:bCs w:val="1"/>
                <w:color w:val="auto"/>
              </w:rPr>
              <w:t>2009</w:t>
            </w:r>
          </w:p>
        </w:tc>
        <w:tc>
          <w:tcPr>
            <w:tcW w:w="1040" w:type="dxa"/>
            <w:vAlign w:val="bottom"/>
            <w:gridSpan w:val="2"/>
          </w:tcPr>
          <w:p>
            <w:pPr>
              <w:jc w:val="right"/>
              <w:ind w:right="208"/>
              <w:spacing w:after="0"/>
              <w:rPr>
                <w:sz w:val="20"/>
                <w:szCs w:val="20"/>
                <w:color w:val="auto"/>
              </w:rPr>
            </w:pPr>
            <w:r>
              <w:rPr>
                <w:rFonts w:ascii="Arial" w:cs="Arial" w:eastAsia="Arial" w:hAnsi="Arial"/>
                <w:sz w:val="10"/>
                <w:szCs w:val="10"/>
                <w:b w:val="1"/>
                <w:bCs w:val="1"/>
                <w:color w:val="auto"/>
              </w:rPr>
              <w:t>2008</w:t>
            </w:r>
          </w:p>
        </w:tc>
      </w:tr>
      <w:tr>
        <w:trPr>
          <w:trHeight w:val="29"/>
        </w:trPr>
        <w:tc>
          <w:tcPr>
            <w:tcW w:w="732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5.2%</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4.5%</w:t>
            </w: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3.7%</w:t>
            </w: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Rate of increased salary levels</w:t>
            </w:r>
          </w:p>
        </w:tc>
        <w:tc>
          <w:tcPr>
            <w:tcW w:w="560" w:type="dxa"/>
            <w:vAlign w:val="bottom"/>
          </w:tcPr>
          <w:p>
            <w:pPr>
              <w:jc w:val="right"/>
              <w:ind w:right="20"/>
              <w:spacing w:after="0"/>
              <w:rPr>
                <w:sz w:val="20"/>
                <w:szCs w:val="20"/>
                <w:color w:val="auto"/>
              </w:rPr>
            </w:pPr>
            <w:r>
              <w:rPr>
                <w:rFonts w:ascii="Arial" w:cs="Arial" w:eastAsia="Arial" w:hAnsi="Arial"/>
                <w:sz w:val="13"/>
                <w:szCs w:val="13"/>
                <w:color w:val="auto"/>
              </w:rPr>
              <w:t>2.0%</w:t>
            </w:r>
          </w:p>
        </w:tc>
        <w:tc>
          <w:tcPr>
            <w:tcW w:w="1060" w:type="dxa"/>
            <w:vAlign w:val="bottom"/>
            <w:gridSpan w:val="2"/>
          </w:tcPr>
          <w:p>
            <w:pPr>
              <w:jc w:val="right"/>
              <w:ind w:right="148"/>
              <w:spacing w:after="0"/>
              <w:rPr>
                <w:sz w:val="20"/>
                <w:szCs w:val="20"/>
                <w:color w:val="auto"/>
              </w:rPr>
            </w:pPr>
            <w:r>
              <w:rPr>
                <w:rFonts w:ascii="Arial" w:cs="Arial" w:eastAsia="Arial" w:hAnsi="Arial"/>
                <w:sz w:val="13"/>
                <w:szCs w:val="13"/>
                <w:color w:val="auto"/>
              </w:rPr>
              <w:t>2.3%</w:t>
            </w:r>
          </w:p>
        </w:tc>
        <w:tc>
          <w:tcPr>
            <w:tcW w:w="1040" w:type="dxa"/>
            <w:vAlign w:val="bottom"/>
            <w:gridSpan w:val="2"/>
          </w:tcPr>
          <w:p>
            <w:pPr>
              <w:jc w:val="right"/>
              <w:ind w:right="128"/>
              <w:spacing w:after="0"/>
              <w:rPr>
                <w:sz w:val="20"/>
                <w:szCs w:val="20"/>
                <w:color w:val="auto"/>
              </w:rPr>
            </w:pPr>
            <w:r>
              <w:rPr>
                <w:rFonts w:ascii="Arial" w:cs="Arial" w:eastAsia="Arial" w:hAnsi="Arial"/>
                <w:sz w:val="13"/>
                <w:szCs w:val="13"/>
                <w:color w:val="auto"/>
              </w:rPr>
              <w:t>2.0%</w:t>
            </w: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Expected long-term rate of return on assets</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1.6%</w:t>
            </w: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1.9%</w:t>
            </w:r>
          </w:p>
        </w:tc>
        <w:tc>
          <w:tcPr>
            <w:tcW w:w="10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0.0%</w:t>
            </w: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 other material obligation for post-retirement or post-employment benefits.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Company’s investment policy for its pension plans is to balance risk and return through a diversified portfolio to reduce interest rate and market risk. Maturities are managed so that sufficient liquidity exists to meet immediate and future benefit payment requirements.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the Company’s plan with assets, the asset allocation at the end of April 3, 2010 and March 28, 2009 year end by asset category are presented in the following table:</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280" w:type="dxa"/>
            <w:vAlign w:val="bottom"/>
          </w:tcPr>
          <w:p>
            <w:pPr>
              <w:spacing w:after="0"/>
              <w:rPr>
                <w:sz w:val="10"/>
                <w:szCs w:val="10"/>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April 3,</w:t>
            </w:r>
          </w:p>
        </w:tc>
        <w:tc>
          <w:tcPr>
            <w:tcW w:w="8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28,</w:t>
            </w:r>
          </w:p>
        </w:tc>
        <w:tc>
          <w:tcPr>
            <w:tcW w:w="0" w:type="dxa"/>
            <w:vAlign w:val="bottom"/>
          </w:tcPr>
          <w:p>
            <w:pPr>
              <w:spacing w:after="0"/>
              <w:rPr>
                <w:sz w:val="1"/>
                <w:szCs w:val="1"/>
                <w:color w:val="auto"/>
              </w:rPr>
            </w:pPr>
          </w:p>
        </w:tc>
      </w:tr>
      <w:tr>
        <w:trPr>
          <w:trHeight w:val="125"/>
        </w:trPr>
        <w:tc>
          <w:tcPr>
            <w:tcW w:w="8280" w:type="dxa"/>
            <w:vAlign w:val="bottom"/>
          </w:tcPr>
          <w:p>
            <w:pPr>
              <w:spacing w:after="0"/>
              <w:rPr>
                <w:sz w:val="10"/>
                <w:szCs w:val="10"/>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2009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Plan Assets</w:t>
            </w: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80" w:type="dxa"/>
            <w:vAlign w:val="bottom"/>
          </w:tcPr>
          <w:p>
            <w:pPr>
              <w:spacing w:after="0"/>
              <w:rPr>
                <w:sz w:val="20"/>
                <w:szCs w:val="20"/>
                <w:color w:val="auto"/>
              </w:rPr>
            </w:pPr>
            <w:r>
              <w:rPr>
                <w:rFonts w:ascii="Arial" w:cs="Arial" w:eastAsia="Arial" w:hAnsi="Arial"/>
                <w:sz w:val="13"/>
                <w:szCs w:val="13"/>
                <w:color w:val="auto"/>
              </w:rPr>
              <w:t>Equity Securities</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58.3%</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57"/>
        </w:trPr>
        <w:tc>
          <w:tcPr>
            <w:tcW w:w="8280" w:type="dxa"/>
            <w:vAlign w:val="bottom"/>
            <w:shd w:val="clear" w:color="auto" w:fill="CCEEFF"/>
          </w:tcPr>
          <w:p>
            <w:pPr>
              <w:spacing w:after="0"/>
              <w:rPr>
                <w:sz w:val="20"/>
                <w:szCs w:val="20"/>
                <w:color w:val="auto"/>
              </w:rPr>
            </w:pPr>
            <w:r>
              <w:rPr>
                <w:rFonts w:ascii="Arial" w:cs="Arial" w:eastAsia="Arial" w:hAnsi="Arial"/>
                <w:sz w:val="13"/>
                <w:szCs w:val="13"/>
                <w:color w:val="auto"/>
              </w:rPr>
              <w:t>Debt Securities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41.4%</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80" w:type="dxa"/>
            <w:vAlign w:val="bottom"/>
            <w:vMerge w:val="continue"/>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8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 xml:space="preserve">We adopted ASC Topic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for reporting and measuring the plan assets of our defined benefit pension plan at fair value as of April 3, 2010. Using the same three- level valuation hierarchy for disclosure of fair value measurements as described in Note 7, the categorization for the assets of the Company’s plan with assets is classified within Level 1 of the fair value hierarchy because the plan assets are primarily local market and global equity securities and local market bonds that are valued using prices quoted on the active market.</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Expected benefit payments for both plans are estimated using the same assumptions used in determining the company’s benefit obligation at April 3, 2010. Benefit payments will depend on future employment and compensation levels, average years employed and average life spans, among other factors, and changes in any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60"/>
        <w:spacing w:after="0" w:line="276" w:lineRule="auto"/>
        <w:rPr>
          <w:sz w:val="20"/>
          <w:szCs w:val="20"/>
          <w:color w:val="auto"/>
        </w:rPr>
      </w:pPr>
      <w:r>
        <w:rPr>
          <w:rFonts w:ascii="Arial" w:cs="Arial" w:eastAsia="Arial" w:hAnsi="Arial"/>
          <w:sz w:val="13"/>
          <w:szCs w:val="13"/>
          <w:color w:val="auto"/>
        </w:rPr>
        <w:t>of these factors could significantly affect these estimated future benefit payments. Estimated future benefit payments during the next five years and in the aggregate for the five fiscal years thereafter, are as follows:</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2240" w:type="dxa"/>
            <w:vAlign w:val="bottom"/>
            <w:gridSpan w:val="2"/>
          </w:tcPr>
          <w:p>
            <w:pPr>
              <w:jc w:val="right"/>
              <w:ind w:right="234"/>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1720" w:type="dxa"/>
            <w:vAlign w:val="bottom"/>
            <w:gridSpan w:val="2"/>
          </w:tcPr>
          <w:p>
            <w:pPr>
              <w:spacing w:after="0"/>
              <w:rPr>
                <w:sz w:val="2"/>
                <w:szCs w:val="2"/>
                <w:color w:val="auto"/>
              </w:rPr>
            </w:pPr>
          </w:p>
        </w:tc>
        <w:tc>
          <w:tcPr>
            <w:tcW w:w="60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7"/>
        </w:trPr>
        <w:tc>
          <w:tcPr>
            <w:tcW w:w="77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Expected Benefit Payments</w:t>
            </w:r>
          </w:p>
        </w:tc>
        <w:tc>
          <w:tcPr>
            <w:tcW w:w="14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57"/>
        </w:trPr>
        <w:tc>
          <w:tcPr>
            <w:tcW w:w="7740" w:type="dxa"/>
            <w:vAlign w:val="bottom"/>
            <w:gridSpan w:val="3"/>
          </w:tcPr>
          <w:p>
            <w:pPr>
              <w:spacing w:after="0"/>
              <w:rPr>
                <w:sz w:val="20"/>
                <w:szCs w:val="20"/>
                <w:color w:val="auto"/>
              </w:rPr>
            </w:pPr>
            <w:r>
              <w:rPr>
                <w:rFonts w:ascii="Arial" w:cs="Arial" w:eastAsia="Arial" w:hAnsi="Arial"/>
                <w:sz w:val="13"/>
                <w:szCs w:val="13"/>
                <w:color w:val="auto"/>
              </w:rPr>
              <w:t>Fiscal Year 2011</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rPr>
              <w:t>433</w:t>
            </w:r>
          </w:p>
        </w:tc>
      </w:tr>
      <w:tr>
        <w:trPr>
          <w:trHeight w:val="157"/>
        </w:trPr>
        <w:tc>
          <w:tcPr>
            <w:tcW w:w="7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Year 2012</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440</w:t>
            </w:r>
          </w:p>
        </w:tc>
      </w:tr>
      <w:tr>
        <w:trPr>
          <w:trHeight w:val="157"/>
        </w:trPr>
        <w:tc>
          <w:tcPr>
            <w:tcW w:w="7740" w:type="dxa"/>
            <w:vAlign w:val="bottom"/>
            <w:gridSpan w:val="3"/>
          </w:tcPr>
          <w:p>
            <w:pPr>
              <w:spacing w:after="0"/>
              <w:rPr>
                <w:sz w:val="20"/>
                <w:szCs w:val="20"/>
                <w:color w:val="auto"/>
              </w:rPr>
            </w:pPr>
            <w:r>
              <w:rPr>
                <w:rFonts w:ascii="Arial" w:cs="Arial" w:eastAsia="Arial" w:hAnsi="Arial"/>
                <w:sz w:val="13"/>
                <w:szCs w:val="13"/>
                <w:color w:val="auto"/>
              </w:rPr>
              <w:t>Fiscal Year 2013</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rPr>
              <w:t>450</w:t>
            </w:r>
          </w:p>
        </w:tc>
      </w:tr>
      <w:tr>
        <w:trPr>
          <w:trHeight w:val="157"/>
        </w:trPr>
        <w:tc>
          <w:tcPr>
            <w:tcW w:w="7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Year 2014</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rPr>
              <w:t>452</w:t>
            </w:r>
          </w:p>
        </w:tc>
      </w:tr>
      <w:tr>
        <w:trPr>
          <w:trHeight w:val="157"/>
        </w:trPr>
        <w:tc>
          <w:tcPr>
            <w:tcW w:w="7740" w:type="dxa"/>
            <w:vAlign w:val="bottom"/>
            <w:gridSpan w:val="3"/>
          </w:tcPr>
          <w:p>
            <w:pPr>
              <w:spacing w:after="0"/>
              <w:rPr>
                <w:sz w:val="20"/>
                <w:szCs w:val="20"/>
                <w:color w:val="auto"/>
              </w:rPr>
            </w:pPr>
            <w:r>
              <w:rPr>
                <w:rFonts w:ascii="Arial" w:cs="Arial" w:eastAsia="Arial" w:hAnsi="Arial"/>
                <w:sz w:val="13"/>
                <w:szCs w:val="13"/>
                <w:color w:val="auto"/>
              </w:rPr>
              <w:t>Fiscal Year 2015</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14"/>
              <w:spacing w:after="0"/>
              <w:rPr>
                <w:sz w:val="20"/>
                <w:szCs w:val="20"/>
                <w:color w:val="auto"/>
              </w:rPr>
            </w:pPr>
            <w:r>
              <w:rPr>
                <w:rFonts w:ascii="Arial" w:cs="Arial" w:eastAsia="Arial" w:hAnsi="Arial"/>
                <w:sz w:val="13"/>
                <w:szCs w:val="13"/>
                <w:color w:val="auto"/>
              </w:rPr>
              <w:t>464</w:t>
            </w:r>
          </w:p>
        </w:tc>
      </w:tr>
      <w:tr>
        <w:trPr>
          <w:trHeight w:val="157"/>
        </w:trPr>
        <w:tc>
          <w:tcPr>
            <w:tcW w:w="77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Year 2016-2019</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14"/>
              <w:spacing w:after="0"/>
              <w:rPr>
                <w:sz w:val="20"/>
                <w:szCs w:val="20"/>
                <w:color w:val="auto"/>
              </w:rPr>
            </w:pPr>
            <w:r>
              <w:rPr>
                <w:rFonts w:ascii="Arial" w:cs="Arial" w:eastAsia="Arial" w:hAnsi="Arial"/>
                <w:sz w:val="13"/>
                <w:szCs w:val="13"/>
                <w:color w:val="auto"/>
                <w:w w:val="85"/>
              </w:rPr>
              <w:t>1,893</w:t>
            </w:r>
          </w:p>
        </w:tc>
      </w:tr>
      <w:tr>
        <w:trPr>
          <w:trHeight w:val="244"/>
        </w:trPr>
        <w:tc>
          <w:tcPr>
            <w:tcW w:w="200" w:type="dxa"/>
            <w:vAlign w:val="bottom"/>
          </w:tcPr>
          <w:p>
            <w:pPr>
              <w:spacing w:after="0"/>
              <w:rPr>
                <w:sz w:val="21"/>
                <w:szCs w:val="21"/>
                <w:color w:val="auto"/>
              </w:rPr>
            </w:pPr>
          </w:p>
        </w:tc>
        <w:tc>
          <w:tcPr>
            <w:tcW w:w="7540" w:type="dxa"/>
            <w:vAlign w:val="bottom"/>
            <w:gridSpan w:val="2"/>
          </w:tcPr>
          <w:p>
            <w:pPr>
              <w:ind w:left="200"/>
              <w:spacing w:after="0"/>
              <w:rPr>
                <w:sz w:val="20"/>
                <w:szCs w:val="20"/>
                <w:color w:val="auto"/>
              </w:rPr>
            </w:pPr>
            <w:r>
              <w:rPr>
                <w:rFonts w:ascii="Arial" w:cs="Arial" w:eastAsia="Arial" w:hAnsi="Arial"/>
                <w:sz w:val="13"/>
                <w:szCs w:val="13"/>
                <w:color w:val="auto"/>
              </w:rPr>
              <w:t>The Company contributions for fiscal year 2011 are expected to be consistent with our recent historical experience.</w:t>
            </w:r>
          </w:p>
        </w:tc>
        <w:tc>
          <w:tcPr>
            <w:tcW w:w="14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3"/>
                <w:szCs w:val="13"/>
                <w:b w:val="1"/>
                <w:bCs w:val="1"/>
                <w:color w:val="auto"/>
                <w:w w:val="99"/>
              </w:rPr>
              <w:t>15.</w:t>
            </w:r>
          </w:p>
        </w:tc>
        <w:tc>
          <w:tcPr>
            <w:tcW w:w="7540" w:type="dxa"/>
            <w:vAlign w:val="bottom"/>
            <w:gridSpan w:val="2"/>
          </w:tcPr>
          <w:p>
            <w:pPr>
              <w:ind w:left="300"/>
              <w:spacing w:after="0"/>
              <w:rPr>
                <w:sz w:val="20"/>
                <w:szCs w:val="20"/>
                <w:color w:val="auto"/>
              </w:rPr>
            </w:pPr>
            <w:r>
              <w:rPr>
                <w:rFonts w:ascii="Arial" w:cs="Arial" w:eastAsia="Arial" w:hAnsi="Arial"/>
                <w:sz w:val="13"/>
                <w:szCs w:val="13"/>
                <w:b w:val="1"/>
                <w:bCs w:val="1"/>
                <w:color w:val="auto"/>
              </w:rPr>
              <w:t>SEGMENT, GEOGRAPHIC AND CUSTOMER INFORMATION</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8"/>
        </w:trPr>
        <w:tc>
          <w:tcPr>
            <w:tcW w:w="200" w:type="dxa"/>
            <w:vAlign w:val="bottom"/>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i w:val="1"/>
                <w:iCs w:val="1"/>
                <w:color w:val="auto"/>
                <w:w w:val="89"/>
              </w:rPr>
              <w:t>Segment Definition Criteria</w:t>
            </w:r>
          </w:p>
        </w:tc>
        <w:tc>
          <w:tcPr>
            <w:tcW w:w="6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99" w:lineRule="exact"/>
        <w:rPr>
          <w:sz w:val="20"/>
          <w:szCs w:val="20"/>
          <w:color w:val="auto"/>
        </w:rPr>
      </w:pPr>
    </w:p>
    <w:p>
      <w:pPr>
        <w:jc w:val="both"/>
        <w:ind w:left="680" w:right="20" w:firstLine="399"/>
        <w:spacing w:after="0" w:line="371" w:lineRule="auto"/>
        <w:rPr>
          <w:sz w:val="20"/>
          <w:szCs w:val="20"/>
          <w:color w:val="auto"/>
        </w:rPr>
      </w:pPr>
      <w:r>
        <w:rPr>
          <w:rFonts w:ascii="Arial" w:cs="Arial" w:eastAsia="Arial" w:hAnsi="Arial"/>
          <w:sz w:val="11"/>
          <w:szCs w:val="11"/>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Enterprise Wide Disclosures about Product and Services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four global product families: plasma, blood bank, hospital, and software solutions.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Disposables include the plasma, blood bank, and hospital product families. Plasma consists of the disposables used to perform apheresis for the separation of whole blood components and subsequent collection of plasma. Blood bank consists of disposables which separate whole blood for the subsequent collection of platelets, red cells, or a combination of these components. Hospital consists of surgical disposables (principally the Cell Saver</w:t>
      </w:r>
      <w:r>
        <w:rPr>
          <w:rFonts w:ascii="Arial" w:cs="Arial" w:eastAsia="Arial" w:hAnsi="Arial"/>
          <w:sz w:val="11"/>
          <w:szCs w:val="11"/>
          <w:color w:val="auto"/>
        </w:rPr>
        <w:t>®</w:t>
      </w:r>
      <w:r>
        <w:rPr>
          <w:rFonts w:ascii="Arial" w:cs="Arial" w:eastAsia="Arial" w:hAnsi="Arial"/>
          <w:sz w:val="13"/>
          <w:szCs w:val="13"/>
          <w:color w:val="auto"/>
        </w:rPr>
        <w:t xml:space="preserve"> autologous blood recovery system targeted to procedures that involve rapid, high volume blood loss such as cardiovascular surgeries and cardioPAT</w:t>
      </w:r>
      <w:r>
        <w:rPr>
          <w:rFonts w:ascii="Arial" w:cs="Arial" w:eastAsia="Arial" w:hAnsi="Arial"/>
          <w:sz w:val="11"/>
          <w:szCs w:val="11"/>
          <w:color w:val="auto"/>
        </w:rPr>
        <w:t>®</w:t>
      </w:r>
      <w:r>
        <w:rPr>
          <w:rFonts w:ascii="Arial" w:cs="Arial" w:eastAsia="Arial" w:hAnsi="Arial"/>
          <w:sz w:val="13"/>
          <w:szCs w:val="13"/>
          <w:color w:val="auto"/>
        </w:rPr>
        <w:t xml:space="preserve"> cardiovascular perioperative autotransfusion system designed to remain with the patient following surgery to recover blood and produce a washed red cell product for autotransfusion), the OrthoPAT</w:t>
      </w:r>
      <w:r>
        <w:rPr>
          <w:rFonts w:ascii="Arial" w:cs="Arial" w:eastAsia="Arial" w:hAnsi="Arial"/>
          <w:sz w:val="11"/>
          <w:szCs w:val="11"/>
          <w:color w:val="auto"/>
        </w:rPr>
        <w:t>®</w:t>
      </w:r>
      <w:r>
        <w:rPr>
          <w:rFonts w:ascii="Arial" w:cs="Arial" w:eastAsia="Arial" w:hAnsi="Arial"/>
          <w:sz w:val="13"/>
          <w:szCs w:val="13"/>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11"/>
          <w:szCs w:val="11"/>
          <w:color w:val="auto"/>
        </w:rPr>
        <w:t>®</w:t>
      </w:r>
      <w:r>
        <w:rPr>
          <w:rFonts w:ascii="Arial" w:cs="Arial" w:eastAsia="Arial" w:hAnsi="Arial"/>
          <w:sz w:val="13"/>
          <w:szCs w:val="13"/>
          <w:color w:val="auto"/>
        </w:rPr>
        <w:t xml:space="preserve"> Thrombelastograph</w:t>
      </w:r>
      <w:r>
        <w:rPr>
          <w:rFonts w:ascii="Arial" w:cs="Arial" w:eastAsia="Arial" w:hAnsi="Arial"/>
          <w:sz w:val="11"/>
          <w:szCs w:val="11"/>
          <w:color w:val="auto"/>
        </w:rPr>
        <w:t>®</w:t>
      </w:r>
      <w:r>
        <w:rPr>
          <w:rFonts w:ascii="Arial" w:cs="Arial" w:eastAsia="Arial" w:hAnsi="Arial"/>
          <w:sz w:val="13"/>
          <w:szCs w:val="13"/>
          <w:color w:val="auto"/>
        </w:rPr>
        <w:t xml:space="preserve"> hemostasis analyzer used to help assess a surgical patient’s hemostasis (blood clotting ability) during and after surgery).</w:t>
      </w:r>
    </w:p>
    <w:p>
      <w:pPr>
        <w:spacing w:after="0" w:line="73"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Software solutions include information technology platforms that assist blood banks, plasma centers, and hospitals to more effectively manage regulatory compliance and operational efficiency.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External Customers: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b w:val="1"/>
                <w:bCs w:val="1"/>
                <w:color w:val="auto"/>
                <w:w w:val="94"/>
              </w:rPr>
              <w:t>Year Ended</w:t>
            </w: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4"/>
          </w:tcPr>
          <w:p>
            <w:pPr>
              <w:ind w:left="80"/>
              <w:spacing w:after="0" w:line="81" w:lineRule="exact"/>
              <w:rPr>
                <w:sz w:val="20"/>
                <w:szCs w:val="20"/>
                <w:color w:val="auto"/>
              </w:rPr>
            </w:pPr>
            <w:r>
              <w:rPr>
                <w:rFonts w:ascii="Arial" w:cs="Arial" w:eastAsia="Arial" w:hAnsi="Arial"/>
                <w:sz w:val="9"/>
                <w:szCs w:val="9"/>
                <w:b w:val="1"/>
                <w:bCs w:val="1"/>
                <w:color w:val="auto"/>
              </w:rPr>
              <w:t>April 3,</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gridSpan w:val="2"/>
          </w:tcPr>
          <w:p>
            <w:pPr>
              <w:jc w:val="right"/>
              <w:ind w:right="160"/>
              <w:spacing w:after="0" w:line="81" w:lineRule="exact"/>
              <w:rPr>
                <w:sz w:val="20"/>
                <w:szCs w:val="20"/>
                <w:color w:val="auto"/>
              </w:rPr>
            </w:pPr>
            <w:r>
              <w:rPr>
                <w:rFonts w:ascii="Arial" w:cs="Arial" w:eastAsia="Arial" w:hAnsi="Arial"/>
                <w:sz w:val="9"/>
                <w:szCs w:val="9"/>
                <w:b w:val="1"/>
                <w:bCs w:val="1"/>
                <w:color w:val="auto"/>
              </w:rPr>
              <w:t>March 28,</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38"/>
              <w:spacing w:after="0" w:line="81" w:lineRule="exact"/>
              <w:rPr>
                <w:sz w:val="20"/>
                <w:szCs w:val="20"/>
                <w:color w:val="auto"/>
              </w:rPr>
            </w:pPr>
            <w:r>
              <w:rPr>
                <w:rFonts w:ascii="Arial" w:cs="Arial" w:eastAsia="Arial" w:hAnsi="Arial"/>
                <w:sz w:val="9"/>
                <w:szCs w:val="9"/>
                <w:b w:val="1"/>
                <w:bCs w:val="1"/>
                <w:color w:val="auto"/>
              </w:rPr>
              <w:t>March 29,</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w w:val="98"/>
              </w:rPr>
              <w:t>2010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0"/>
                <w:szCs w:val="10"/>
                <w:b w:val="1"/>
                <w:bCs w:val="1"/>
                <w:color w:val="auto"/>
                <w:w w:val="84"/>
              </w:rPr>
              <w:t>(In thousands)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Disposables Revenues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ind w:left="140"/>
              <w:spacing w:after="0"/>
              <w:rPr>
                <w:sz w:val="20"/>
                <w:szCs w:val="20"/>
                <w:color w:val="auto"/>
              </w:rPr>
            </w:pPr>
            <w:r>
              <w:rPr>
                <w:rFonts w:ascii="Arial" w:cs="Arial" w:eastAsia="Arial" w:hAnsi="Arial"/>
                <w:sz w:val="13"/>
                <w:szCs w:val="13"/>
                <w:color w:val="auto"/>
              </w:rPr>
              <w:t>Plasma disposables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232,378</w:t>
            </w:r>
          </w:p>
        </w:tc>
        <w:tc>
          <w:tcPr>
            <w:tcW w:w="20" w:type="dxa"/>
            <w:vAlign w:val="bottom"/>
          </w:tcPr>
          <w:p>
            <w:pPr>
              <w:spacing w:after="0"/>
              <w:rPr>
                <w:sz w:val="13"/>
                <w:szCs w:val="13"/>
                <w:color w:val="auto"/>
              </w:rPr>
            </w:pPr>
          </w:p>
        </w:tc>
        <w:tc>
          <w:tcPr>
            <w:tcW w:w="320" w:type="dxa"/>
            <w:vAlign w:val="bottom"/>
            <w:gridSpan w:val="2"/>
          </w:tcPr>
          <w:p>
            <w:pPr>
              <w:ind w:left="260"/>
              <w:spacing w:after="0"/>
              <w:rPr>
                <w:sz w:val="20"/>
                <w:szCs w:val="20"/>
                <w:color w:val="auto"/>
              </w:rPr>
            </w:pPr>
            <w:r>
              <w:rPr>
                <w:rFonts w:ascii="Arial" w:cs="Arial" w:eastAsia="Arial" w:hAnsi="Arial"/>
                <w:sz w:val="5"/>
                <w:szCs w:val="5"/>
                <w:color w:val="auto"/>
                <w:w w:val="70"/>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202,176</w:t>
            </w:r>
          </w:p>
        </w:tc>
        <w:tc>
          <w:tcPr>
            <w:tcW w:w="420" w:type="dxa"/>
            <w:vAlign w:val="bottom"/>
            <w:gridSpan w:val="2"/>
          </w:tcPr>
          <w:p>
            <w:pPr>
              <w:ind w:left="34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155,219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Blood bank disposables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ind w:left="280"/>
              <w:spacing w:after="0"/>
              <w:rPr>
                <w:sz w:val="20"/>
                <w:szCs w:val="20"/>
                <w:color w:val="auto"/>
              </w:rPr>
            </w:pPr>
            <w:r>
              <w:rPr>
                <w:rFonts w:ascii="Arial" w:cs="Arial" w:eastAsia="Arial" w:hAnsi="Arial"/>
                <w:sz w:val="13"/>
                <w:szCs w:val="13"/>
                <w:color w:val="auto"/>
              </w:rPr>
              <w:t>Platelet</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151,026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143,420</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136,148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Red Cell</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48,031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49,508</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46,377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199,057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192,928</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182,525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Hospital disposables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ind w:left="280"/>
              <w:spacing w:after="0"/>
              <w:rPr>
                <w:sz w:val="20"/>
                <w:szCs w:val="20"/>
                <w:color w:val="auto"/>
              </w:rPr>
            </w:pPr>
            <w:r>
              <w:rPr>
                <w:rFonts w:ascii="Arial" w:cs="Arial" w:eastAsia="Arial" w:hAnsi="Arial"/>
                <w:sz w:val="13"/>
                <w:szCs w:val="13"/>
                <w:color w:val="auto"/>
              </w:rPr>
              <w:t>Surgical</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69,942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67,697</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66,250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OrthoPAT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37,079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35,419</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ind w:left="280"/>
              <w:spacing w:after="0"/>
              <w:rPr>
                <w:sz w:val="20"/>
                <w:szCs w:val="20"/>
                <w:color w:val="auto"/>
              </w:rPr>
            </w:pPr>
            <w:r>
              <w:rPr>
                <w:rFonts w:ascii="Arial" w:cs="Arial" w:eastAsia="Arial" w:hAnsi="Arial"/>
                <w:sz w:val="13"/>
                <w:szCs w:val="13"/>
                <w:color w:val="auto"/>
              </w:rPr>
              <w:t>Diagnostic</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21,862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19,881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5,835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128,883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122,997</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106,386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ind w:left="140"/>
              <w:spacing w:after="0"/>
              <w:rPr>
                <w:sz w:val="20"/>
                <w:szCs w:val="20"/>
                <w:color w:val="auto"/>
              </w:rPr>
            </w:pPr>
            <w:r>
              <w:rPr>
                <w:rFonts w:ascii="Arial" w:cs="Arial" w:eastAsia="Arial" w:hAnsi="Arial"/>
                <w:sz w:val="13"/>
                <w:szCs w:val="13"/>
                <w:color w:val="auto"/>
              </w:rPr>
              <w:t>Disposables revenue</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560,318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518,101</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444,130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Software solutions</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35,919</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31,605</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24,173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ind w:left="140"/>
              <w:spacing w:after="0"/>
              <w:rPr>
                <w:sz w:val="20"/>
                <w:szCs w:val="20"/>
                <w:color w:val="auto"/>
              </w:rPr>
            </w:pPr>
            <w:r>
              <w:rPr>
                <w:rFonts w:ascii="Arial" w:cs="Arial" w:eastAsia="Arial" w:hAnsi="Arial"/>
                <w:sz w:val="13"/>
                <w:szCs w:val="13"/>
                <w:color w:val="auto"/>
              </w:rPr>
              <w:t>Equipment and other</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49,193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48,173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48,137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54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 revenues from external customers</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645,430</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ind w:left="260"/>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597,879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516,440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gridSpan w:val="21"/>
          </w:tcPr>
          <w:p>
            <w:pPr>
              <w:jc w:val="center"/>
              <w:ind w:right="380"/>
              <w:spacing w:after="0"/>
              <w:rPr>
                <w:sz w:val="20"/>
                <w:szCs w:val="20"/>
                <w:color w:val="auto"/>
              </w:rPr>
            </w:pPr>
            <w:r>
              <w:rPr>
                <w:rFonts w:ascii="Arial" w:cs="Arial" w:eastAsia="Arial" w:hAnsi="Arial"/>
                <w:sz w:val="13"/>
                <w:szCs w:val="13"/>
                <w:b w:val="1"/>
                <w:bCs w:val="1"/>
                <w:color w:val="auto"/>
                <w:w w:val="89"/>
              </w:rPr>
              <w:t>Enterprise Wide Disclosures about Product and Services</w:t>
            </w: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9"/>
          </w:tcPr>
          <w:p>
            <w:pPr>
              <w:jc w:val="center"/>
              <w:ind w:right="320"/>
              <w:spacing w:after="0"/>
              <w:rPr>
                <w:sz w:val="20"/>
                <w:szCs w:val="20"/>
                <w:color w:val="auto"/>
              </w:rPr>
            </w:pPr>
            <w:r>
              <w:rPr>
                <w:rFonts w:ascii="Arial" w:cs="Arial" w:eastAsia="Arial" w:hAnsi="Arial"/>
                <w:sz w:val="13"/>
                <w:szCs w:val="13"/>
                <w:b w:val="1"/>
                <w:bCs w:val="1"/>
                <w:color w:val="auto"/>
                <w:w w:val="89"/>
              </w:rPr>
              <w:t>Year ended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ind w:right="208"/>
              <w:spacing w:after="0"/>
              <w:rPr>
                <w:sz w:val="20"/>
                <w:szCs w:val="20"/>
                <w:color w:val="auto"/>
              </w:rPr>
            </w:pPr>
            <w:r>
              <w:rPr>
                <w:rFonts w:ascii="Arial" w:cs="Arial" w:eastAsia="Arial" w:hAnsi="Arial"/>
                <w:sz w:val="10"/>
                <w:szCs w:val="10"/>
                <w:b w:val="1"/>
                <w:bCs w:val="1"/>
                <w:color w:val="auto"/>
              </w:rPr>
              <w:t>United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ind w:right="186"/>
              <w:spacing w:after="0"/>
              <w:rPr>
                <w:sz w:val="20"/>
                <w:szCs w:val="20"/>
                <w:color w:val="auto"/>
              </w:rPr>
            </w:pPr>
            <w:r>
              <w:rPr>
                <w:rFonts w:ascii="Arial" w:cs="Arial" w:eastAsia="Arial" w:hAnsi="Arial"/>
                <w:sz w:val="10"/>
                <w:szCs w:val="10"/>
                <w:b w:val="1"/>
                <w:bCs w:val="1"/>
                <w:color w:val="auto"/>
              </w:rPr>
              <w:t>Other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5"/>
            <w:vMerge w:val="restart"/>
          </w:tcPr>
          <w:p>
            <w:pPr>
              <w:jc w:val="center"/>
              <w:ind w:right="40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16"/>
                <w:szCs w:val="16"/>
                <w:color w:val="auto"/>
              </w:rPr>
            </w:pPr>
          </w:p>
        </w:tc>
        <w:tc>
          <w:tcPr>
            <w:tcW w:w="64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rPr>
              <w:t>Total</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86"/>
              <w:spacing w:after="0" w:line="108" w:lineRule="exact"/>
              <w:rPr>
                <w:sz w:val="20"/>
                <w:szCs w:val="20"/>
                <w:color w:val="auto"/>
              </w:rPr>
            </w:pPr>
            <w:r>
              <w:rPr>
                <w:rFonts w:ascii="Arial" w:cs="Arial" w:eastAsia="Arial" w:hAnsi="Arial"/>
                <w:sz w:val="10"/>
                <w:szCs w:val="10"/>
                <w:b w:val="1"/>
                <w:bCs w:val="1"/>
                <w:color w:val="auto"/>
              </w:rPr>
              <w:t>North</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North</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Japan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228"/>
              <w:spacing w:after="0"/>
              <w:rPr>
                <w:sz w:val="20"/>
                <w:szCs w:val="20"/>
                <w:color w:val="auto"/>
              </w:rPr>
            </w:pPr>
            <w:r>
              <w:rPr>
                <w:rFonts w:ascii="Arial" w:cs="Arial" w:eastAsia="Arial" w:hAnsi="Arial"/>
                <w:sz w:val="10"/>
                <w:szCs w:val="10"/>
                <w:b w:val="1"/>
                <w:bCs w:val="1"/>
                <w:color w:val="auto"/>
              </w:rPr>
              <w:t>States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26"/>
              <w:spacing w:after="0"/>
              <w:rPr>
                <w:sz w:val="20"/>
                <w:szCs w:val="20"/>
                <w:color w:val="auto"/>
              </w:rPr>
            </w:pPr>
            <w:r>
              <w:rPr>
                <w:rFonts w:ascii="Arial" w:cs="Arial" w:eastAsia="Arial" w:hAnsi="Arial"/>
                <w:sz w:val="10"/>
                <w:szCs w:val="10"/>
                <w:b w:val="1"/>
                <w:bCs w:val="1"/>
                <w:color w:val="auto"/>
                <w:w w:val="96"/>
              </w:rPr>
              <w:t>America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rPr>
              <w:t>America</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4"/>
              </w:rPr>
              <w:t>Asia</w:t>
            </w:r>
          </w:p>
        </w:tc>
        <w:tc>
          <w:tcPr>
            <w:tcW w:w="120" w:type="dxa"/>
            <w:vAlign w:val="bottom"/>
          </w:tcPr>
          <w:p>
            <w:pPr>
              <w:spacing w:after="0"/>
              <w:rPr>
                <w:sz w:val="10"/>
                <w:szCs w:val="10"/>
                <w:color w:val="auto"/>
              </w:rPr>
            </w:pPr>
          </w:p>
        </w:tc>
        <w:tc>
          <w:tcPr>
            <w:tcW w:w="640" w:type="dxa"/>
            <w:vAlign w:val="bottom"/>
            <w:gridSpan w:val="3"/>
          </w:tcPr>
          <w:p>
            <w:pPr>
              <w:ind w:left="100"/>
              <w:spacing w:after="0"/>
              <w:rPr>
                <w:sz w:val="20"/>
                <w:szCs w:val="20"/>
                <w:color w:val="auto"/>
              </w:rPr>
            </w:pPr>
            <w:r>
              <w:rPr>
                <w:rFonts w:ascii="Arial" w:cs="Arial" w:eastAsia="Arial" w:hAnsi="Arial"/>
                <w:sz w:val="10"/>
                <w:szCs w:val="10"/>
                <w:b w:val="1"/>
                <w:bCs w:val="1"/>
                <w:color w:val="auto"/>
              </w:rPr>
              <w:t>Asia</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2"/>
              </w:rPr>
              <w:t>Europe</w:t>
            </w:r>
          </w:p>
        </w:tc>
        <w:tc>
          <w:tcPr>
            <w:tcW w:w="1120" w:type="dxa"/>
            <w:vAlign w:val="bottom"/>
            <w:gridSpan w:val="4"/>
          </w:tcPr>
          <w:p>
            <w:pPr>
              <w:ind w:left="280"/>
              <w:spacing w:after="0"/>
              <w:rPr>
                <w:sz w:val="20"/>
                <w:szCs w:val="20"/>
                <w:color w:val="auto"/>
              </w:rPr>
            </w:pPr>
            <w:r>
              <w:rPr>
                <w:rFonts w:ascii="Arial" w:cs="Arial" w:eastAsia="Arial" w:hAnsi="Arial"/>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74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3"/>
              </w:rPr>
              <w:t>April 3, 2010</w:t>
            </w:r>
          </w:p>
        </w:tc>
        <w:tc>
          <w:tcPr>
            <w:tcW w:w="1800" w:type="dxa"/>
            <w:vAlign w:val="bottom"/>
            <w:tcBorders>
              <w:bottom w:val="single" w:sz="8" w:color="CCEEFF"/>
            </w:tcBorders>
            <w:gridSpan w:val="2"/>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CCEEFF"/>
            </w:tcBorders>
            <w:shd w:val="clear" w:color="auto" w:fill="CCEEFF"/>
          </w:tcPr>
          <w:p>
            <w:pPr>
              <w:spacing w:after="0"/>
              <w:rPr>
                <w:sz w:val="11"/>
                <w:szCs w:val="11"/>
                <w:color w:val="auto"/>
              </w:rPr>
            </w:pPr>
          </w:p>
        </w:tc>
        <w:tc>
          <w:tcPr>
            <w:tcW w:w="6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spacing w:after="0"/>
              <w:rPr>
                <w:sz w:val="20"/>
                <w:szCs w:val="20"/>
                <w:color w:val="auto"/>
              </w:rPr>
            </w:pPr>
            <w:r>
              <w:rPr>
                <w:rFonts w:ascii="Arial" w:cs="Arial" w:eastAsia="Arial" w:hAnsi="Arial"/>
                <w:sz w:val="13"/>
                <w:szCs w:val="13"/>
                <w:b w:val="1"/>
                <w:bCs w:val="1"/>
                <w:color w:val="auto"/>
              </w:rPr>
              <w:t>Sales</w:t>
            </w:r>
          </w:p>
        </w:tc>
        <w:tc>
          <w:tcPr>
            <w:tcW w:w="840" w:type="dxa"/>
            <w:vAlign w:val="bottom"/>
            <w:gridSpan w:val="2"/>
          </w:tcPr>
          <w:p>
            <w:pPr>
              <w:jc w:val="right"/>
              <w:ind w:right="148"/>
              <w:spacing w:after="0"/>
              <w:rPr>
                <w:sz w:val="20"/>
                <w:szCs w:val="20"/>
                <w:color w:val="auto"/>
              </w:rPr>
            </w:pPr>
            <w:r>
              <w:rPr>
                <w:rFonts w:ascii="Arial" w:cs="Arial" w:eastAsia="Arial" w:hAnsi="Arial"/>
                <w:sz w:val="13"/>
                <w:szCs w:val="13"/>
                <w:color w:val="auto"/>
              </w:rPr>
              <w:t>$301,491</w:t>
            </w:r>
          </w:p>
        </w:tc>
        <w:tc>
          <w:tcPr>
            <w:tcW w:w="840" w:type="dxa"/>
            <w:vAlign w:val="bottom"/>
            <w:gridSpan w:val="4"/>
          </w:tcPr>
          <w:p>
            <w:pPr>
              <w:jc w:val="right"/>
              <w:ind w:right="146"/>
              <w:spacing w:after="0"/>
              <w:rPr>
                <w:sz w:val="20"/>
                <w:szCs w:val="20"/>
                <w:color w:val="auto"/>
              </w:rPr>
            </w:pPr>
            <w:r>
              <w:rPr>
                <w:rFonts w:ascii="Arial" w:cs="Arial" w:eastAsia="Arial" w:hAnsi="Arial"/>
                <w:sz w:val="13"/>
                <w:szCs w:val="13"/>
                <w:color w:val="auto"/>
              </w:rPr>
              <w:t>$ 2,191</w:t>
            </w:r>
          </w:p>
        </w:tc>
        <w:tc>
          <w:tcPr>
            <w:tcW w:w="920" w:type="dxa"/>
            <w:vAlign w:val="bottom"/>
            <w:gridSpan w:val="4"/>
          </w:tcPr>
          <w:p>
            <w:pPr>
              <w:jc w:val="right"/>
              <w:ind w:right="148"/>
              <w:spacing w:after="0"/>
              <w:rPr>
                <w:sz w:val="20"/>
                <w:szCs w:val="20"/>
                <w:color w:val="auto"/>
              </w:rPr>
            </w:pPr>
            <w:r>
              <w:rPr>
                <w:rFonts w:ascii="Arial" w:cs="Arial" w:eastAsia="Arial" w:hAnsi="Arial"/>
                <w:sz w:val="13"/>
                <w:szCs w:val="13"/>
                <w:color w:val="auto"/>
              </w:rPr>
              <w:t>$303,682</w:t>
            </w:r>
          </w:p>
        </w:tc>
        <w:tc>
          <w:tcPr>
            <w:tcW w:w="900" w:type="dxa"/>
            <w:vAlign w:val="bottom"/>
            <w:gridSpan w:val="5"/>
          </w:tcPr>
          <w:p>
            <w:pPr>
              <w:jc w:val="right"/>
              <w:ind w:right="121"/>
              <w:spacing w:after="0"/>
              <w:rPr>
                <w:sz w:val="20"/>
                <w:szCs w:val="20"/>
                <w:color w:val="auto"/>
              </w:rPr>
            </w:pPr>
            <w:r>
              <w:rPr>
                <w:rFonts w:ascii="Arial" w:cs="Arial" w:eastAsia="Arial" w:hAnsi="Arial"/>
                <w:sz w:val="13"/>
                <w:szCs w:val="13"/>
                <w:color w:val="auto"/>
              </w:rPr>
              <w:t>$109,573</w:t>
            </w:r>
          </w:p>
        </w:tc>
        <w:tc>
          <w:tcPr>
            <w:tcW w:w="20" w:type="dxa"/>
            <w:vAlign w:val="bottom"/>
          </w:tcPr>
          <w:p>
            <w:pPr>
              <w:spacing w:after="0"/>
              <w:rPr>
                <w:sz w:val="13"/>
                <w:szCs w:val="13"/>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20"/>
              <w:spacing w:after="0"/>
              <w:rPr>
                <w:sz w:val="20"/>
                <w:szCs w:val="20"/>
                <w:color w:val="auto"/>
              </w:rPr>
            </w:pPr>
            <w:r>
              <w:rPr>
                <w:rFonts w:ascii="Arial" w:cs="Arial" w:eastAsia="Arial" w:hAnsi="Arial"/>
                <w:sz w:val="13"/>
                <w:szCs w:val="13"/>
                <w:color w:val="auto"/>
                <w:w w:val="85"/>
              </w:rPr>
              <w:t>51,324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w w:val="85"/>
              </w:rPr>
              <w:t>160,897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159"/>
              <w:spacing w:after="0"/>
              <w:rPr>
                <w:sz w:val="20"/>
                <w:szCs w:val="20"/>
                <w:color w:val="auto"/>
              </w:rPr>
            </w:pPr>
            <w:r>
              <w:rPr>
                <w:rFonts w:ascii="Arial" w:cs="Arial" w:eastAsia="Arial" w:hAnsi="Arial"/>
                <w:sz w:val="13"/>
                <w:szCs w:val="13"/>
                <w:color w:val="auto"/>
              </w:rPr>
              <w:t>$180,851</w:t>
            </w:r>
          </w:p>
        </w:tc>
        <w:tc>
          <w:tcPr>
            <w:tcW w:w="60" w:type="dxa"/>
            <w:vAlign w:val="bottom"/>
          </w:tcPr>
          <w:p>
            <w:pPr>
              <w:spacing w:after="0"/>
              <w:rPr>
                <w:sz w:val="13"/>
                <w:szCs w:val="13"/>
                <w:color w:val="auto"/>
              </w:rPr>
            </w:pPr>
          </w:p>
        </w:tc>
        <w:tc>
          <w:tcPr>
            <w:tcW w:w="1020" w:type="dxa"/>
            <w:vAlign w:val="bottom"/>
            <w:gridSpan w:val="3"/>
          </w:tcPr>
          <w:p>
            <w:pPr>
              <w:jc w:val="right"/>
              <w:ind w:right="178"/>
              <w:spacing w:after="0"/>
              <w:rPr>
                <w:sz w:val="20"/>
                <w:szCs w:val="20"/>
                <w:color w:val="auto"/>
              </w:rPr>
            </w:pPr>
            <w:r>
              <w:rPr>
                <w:rFonts w:ascii="Arial" w:cs="Arial" w:eastAsia="Arial" w:hAnsi="Arial"/>
                <w:sz w:val="13"/>
                <w:szCs w:val="13"/>
                <w:color w:val="auto"/>
              </w:rPr>
              <w:t>$645,430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$484,310</w:t>
            </w:r>
          </w:p>
        </w:tc>
        <w:tc>
          <w:tcPr>
            <w:tcW w:w="840" w:type="dxa"/>
            <w:vAlign w:val="bottom"/>
            <w:gridSpan w:val="4"/>
            <w:shd w:val="clear" w:color="auto" w:fill="CCEEFF"/>
          </w:tcPr>
          <w:p>
            <w:pPr>
              <w:jc w:val="right"/>
              <w:ind w:right="146"/>
              <w:spacing w:after="0"/>
              <w:rPr>
                <w:sz w:val="20"/>
                <w:szCs w:val="20"/>
                <w:color w:val="auto"/>
              </w:rPr>
            </w:pPr>
            <w:r>
              <w:rPr>
                <w:rFonts w:ascii="Arial" w:cs="Arial" w:eastAsia="Arial" w:hAnsi="Arial"/>
                <w:sz w:val="13"/>
                <w:szCs w:val="13"/>
                <w:color w:val="auto"/>
              </w:rPr>
              <w:t>$22,941</w:t>
            </w:r>
          </w:p>
        </w:tc>
        <w:tc>
          <w:tcPr>
            <w:tcW w:w="920" w:type="dxa"/>
            <w:vAlign w:val="bottom"/>
            <w:gridSpan w:val="4"/>
            <w:shd w:val="clear" w:color="auto" w:fill="CCEEFF"/>
          </w:tcPr>
          <w:p>
            <w:pPr>
              <w:jc w:val="right"/>
              <w:ind w:right="148"/>
              <w:spacing w:after="0"/>
              <w:rPr>
                <w:sz w:val="20"/>
                <w:szCs w:val="20"/>
                <w:color w:val="auto"/>
              </w:rPr>
            </w:pPr>
            <w:r>
              <w:rPr>
                <w:rFonts w:ascii="Arial" w:cs="Arial" w:eastAsia="Arial" w:hAnsi="Arial"/>
                <w:sz w:val="13"/>
                <w:szCs w:val="13"/>
                <w:color w:val="auto"/>
              </w:rPr>
              <w:t>$500,734</w:t>
            </w:r>
          </w:p>
        </w:tc>
        <w:tc>
          <w:tcPr>
            <w:tcW w:w="3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w w:val="95"/>
              </w:rPr>
              <w:t>42,438</w:t>
            </w:r>
          </w:p>
        </w:tc>
        <w:tc>
          <w:tcPr>
            <w:tcW w:w="20" w:type="dxa"/>
            <w:vAlign w:val="bottom"/>
            <w:shd w:val="clear" w:color="auto" w:fill="CCEEFF"/>
          </w:tcPr>
          <w:p>
            <w:pPr>
              <w:spacing w:after="0"/>
              <w:rPr>
                <w:sz w:val="13"/>
                <w:szCs w:val="13"/>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3"/>
                <w:szCs w:val="13"/>
                <w:color w:val="auto"/>
                <w:w w:val="85"/>
              </w:rPr>
              <w:t>20,928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63,366</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3"/>
                <w:szCs w:val="13"/>
                <w:color w:val="auto"/>
              </w:rPr>
              <w:t>$190,043</w:t>
            </w:r>
          </w:p>
        </w:tc>
        <w:tc>
          <w:tcPr>
            <w:tcW w:w="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178"/>
              <w:spacing w:after="0"/>
              <w:rPr>
                <w:sz w:val="20"/>
                <w:szCs w:val="20"/>
                <w:color w:val="auto"/>
              </w:rPr>
            </w:pPr>
            <w:r>
              <w:rPr>
                <w:rFonts w:ascii="Arial" w:cs="Arial" w:eastAsia="Arial" w:hAnsi="Arial"/>
                <w:sz w:val="13"/>
                <w:szCs w:val="13"/>
                <w:color w:val="auto"/>
              </w:rPr>
              <w:t>$760,660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540" w:type="dxa"/>
            <w:vAlign w:val="bottom"/>
            <w:gridSpan w:val="3"/>
          </w:tcPr>
          <w:p>
            <w:pPr>
              <w:spacing w:after="0"/>
              <w:rPr>
                <w:sz w:val="20"/>
                <w:szCs w:val="20"/>
                <w:color w:val="auto"/>
              </w:rPr>
            </w:pPr>
            <w:r>
              <w:rPr>
                <w:rFonts w:ascii="Arial" w:cs="Arial" w:eastAsia="Arial" w:hAnsi="Arial"/>
                <w:sz w:val="13"/>
                <w:szCs w:val="13"/>
                <w:b w:val="1"/>
                <w:bCs w:val="1"/>
                <w:color w:val="auto"/>
              </w:rPr>
              <w:t>Long-Lived Assets</w:t>
            </w:r>
          </w:p>
        </w:tc>
        <w:tc>
          <w:tcPr>
            <w:tcW w:w="840" w:type="dxa"/>
            <w:vAlign w:val="bottom"/>
            <w:gridSpan w:val="2"/>
          </w:tcPr>
          <w:p>
            <w:pPr>
              <w:jc w:val="right"/>
              <w:ind w:right="148"/>
              <w:spacing w:after="0"/>
              <w:rPr>
                <w:sz w:val="20"/>
                <w:szCs w:val="20"/>
                <w:color w:val="auto"/>
              </w:rPr>
            </w:pPr>
            <w:r>
              <w:rPr>
                <w:rFonts w:ascii="Arial" w:cs="Arial" w:eastAsia="Arial" w:hAnsi="Arial"/>
                <w:sz w:val="13"/>
                <w:szCs w:val="13"/>
                <w:color w:val="auto"/>
              </w:rPr>
              <w:t>$308,823</w:t>
            </w:r>
          </w:p>
        </w:tc>
        <w:tc>
          <w:tcPr>
            <w:tcW w:w="840" w:type="dxa"/>
            <w:vAlign w:val="bottom"/>
            <w:gridSpan w:val="4"/>
          </w:tcPr>
          <w:p>
            <w:pPr>
              <w:jc w:val="right"/>
              <w:ind w:right="146"/>
              <w:spacing w:after="0"/>
              <w:rPr>
                <w:sz w:val="20"/>
                <w:szCs w:val="20"/>
                <w:color w:val="auto"/>
              </w:rPr>
            </w:pPr>
            <w:r>
              <w:rPr>
                <w:rFonts w:ascii="Arial" w:cs="Arial" w:eastAsia="Arial" w:hAnsi="Arial"/>
                <w:sz w:val="13"/>
                <w:szCs w:val="13"/>
                <w:color w:val="auto"/>
              </w:rPr>
              <w:t>$16,800</w:t>
            </w:r>
          </w:p>
        </w:tc>
        <w:tc>
          <w:tcPr>
            <w:tcW w:w="920" w:type="dxa"/>
            <w:vAlign w:val="bottom"/>
            <w:gridSpan w:val="4"/>
          </w:tcPr>
          <w:p>
            <w:pPr>
              <w:jc w:val="right"/>
              <w:ind w:right="148"/>
              <w:spacing w:after="0"/>
              <w:rPr>
                <w:sz w:val="20"/>
                <w:szCs w:val="20"/>
                <w:color w:val="auto"/>
              </w:rPr>
            </w:pPr>
            <w:r>
              <w:rPr>
                <w:rFonts w:ascii="Arial" w:cs="Arial" w:eastAsia="Arial" w:hAnsi="Arial"/>
                <w:sz w:val="13"/>
                <w:szCs w:val="13"/>
                <w:color w:val="auto"/>
              </w:rPr>
              <w:t>$326,623</w:t>
            </w:r>
          </w:p>
        </w:tc>
        <w:tc>
          <w:tcPr>
            <w:tcW w:w="3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21"/>
              <w:spacing w:after="0"/>
              <w:rPr>
                <w:sz w:val="20"/>
                <w:szCs w:val="20"/>
                <w:color w:val="auto"/>
              </w:rPr>
            </w:pPr>
            <w:r>
              <w:rPr>
                <w:rFonts w:ascii="Arial" w:cs="Arial" w:eastAsia="Arial" w:hAnsi="Arial"/>
                <w:sz w:val="13"/>
                <w:szCs w:val="13"/>
                <w:color w:val="auto"/>
                <w:w w:val="95"/>
              </w:rPr>
              <w:t>11,230</w:t>
            </w:r>
          </w:p>
        </w:tc>
        <w:tc>
          <w:tcPr>
            <w:tcW w:w="20" w:type="dxa"/>
            <w:vAlign w:val="bottom"/>
          </w:tcPr>
          <w:p>
            <w:pPr>
              <w:spacing w:after="0"/>
              <w:rPr>
                <w:sz w:val="14"/>
                <w:szCs w:val="14"/>
                <w:color w:val="auto"/>
              </w:rPr>
            </w:pP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20"/>
              <w:spacing w:after="0"/>
              <w:rPr>
                <w:sz w:val="20"/>
                <w:szCs w:val="20"/>
                <w:color w:val="auto"/>
              </w:rPr>
            </w:pPr>
            <w:r>
              <w:rPr>
                <w:rFonts w:ascii="Arial" w:cs="Arial" w:eastAsia="Arial" w:hAnsi="Arial"/>
                <w:sz w:val="13"/>
                <w:szCs w:val="13"/>
                <w:color w:val="auto"/>
              </w:rPr>
              <w:t>3,805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15,035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59"/>
              <w:spacing w:after="0"/>
              <w:rPr>
                <w:sz w:val="20"/>
                <w:szCs w:val="20"/>
                <w:color w:val="auto"/>
              </w:rPr>
            </w:pPr>
            <w:r>
              <w:rPr>
                <w:rFonts w:ascii="Arial" w:cs="Arial" w:eastAsia="Arial" w:hAnsi="Arial"/>
                <w:sz w:val="13"/>
                <w:szCs w:val="13"/>
                <w:color w:val="auto"/>
                <w:w w:val="95"/>
              </w:rPr>
              <w:t>19,285</w:t>
            </w:r>
          </w:p>
        </w:tc>
        <w:tc>
          <w:tcPr>
            <w:tcW w:w="60" w:type="dxa"/>
            <w:vAlign w:val="bottom"/>
          </w:tcPr>
          <w:p>
            <w:pPr>
              <w:spacing w:after="0"/>
              <w:rPr>
                <w:sz w:val="14"/>
                <w:szCs w:val="14"/>
                <w:color w:val="auto"/>
              </w:rPr>
            </w:pPr>
          </w:p>
        </w:tc>
        <w:tc>
          <w:tcPr>
            <w:tcW w:w="1020" w:type="dxa"/>
            <w:vAlign w:val="bottom"/>
            <w:gridSpan w:val="3"/>
          </w:tcPr>
          <w:p>
            <w:pPr>
              <w:jc w:val="right"/>
              <w:ind w:right="178"/>
              <w:spacing w:after="0"/>
              <w:rPr>
                <w:sz w:val="20"/>
                <w:szCs w:val="20"/>
                <w:color w:val="auto"/>
              </w:rPr>
            </w:pPr>
            <w:r>
              <w:rPr>
                <w:rFonts w:ascii="Arial" w:cs="Arial" w:eastAsia="Arial" w:hAnsi="Arial"/>
                <w:sz w:val="13"/>
                <w:szCs w:val="13"/>
                <w:color w:val="auto"/>
              </w:rPr>
              <w:t>$359,943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0"/>
                <w:szCs w:val="10"/>
                <w:b w:val="1"/>
                <w:bCs w:val="1"/>
                <w:color w:val="auto"/>
              </w:rPr>
              <w:t>United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7"/>
              </w:rPr>
              <w:t>Other</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ind w:right="228"/>
              <w:spacing w:after="0"/>
              <w:rPr>
                <w:sz w:val="20"/>
                <w:szCs w:val="20"/>
                <w:color w:val="auto"/>
              </w:rPr>
            </w:pPr>
            <w:r>
              <w:rPr>
                <w:rFonts w:ascii="Arial" w:cs="Arial" w:eastAsia="Arial" w:hAnsi="Arial"/>
                <w:sz w:val="10"/>
                <w:szCs w:val="10"/>
                <w:b w:val="1"/>
                <w:bCs w:val="1"/>
                <w:color w:val="auto"/>
              </w:rPr>
              <w:t>Total</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gridSpan w:val="5"/>
            <w:vMerge w:val="restart"/>
          </w:tcPr>
          <w:p>
            <w:pPr>
              <w:jc w:val="center"/>
              <w:ind w:right="440"/>
              <w:spacing w:after="0"/>
              <w:rPr>
                <w:sz w:val="20"/>
                <w:szCs w:val="20"/>
                <w:color w:val="auto"/>
              </w:rPr>
            </w:pPr>
            <w:r>
              <w:rPr>
                <w:rFonts w:ascii="Arial" w:cs="Arial" w:eastAsia="Arial" w:hAnsi="Arial"/>
                <w:sz w:val="10"/>
                <w:szCs w:val="10"/>
                <w:b w:val="1"/>
                <w:bCs w:val="1"/>
                <w:color w:val="auto"/>
                <w:w w:val="97"/>
              </w:rPr>
              <w:t>Other</w:t>
            </w:r>
          </w:p>
        </w:tc>
        <w:tc>
          <w:tcPr>
            <w:tcW w:w="120" w:type="dxa"/>
            <w:vAlign w:val="bottom"/>
          </w:tcPr>
          <w:p>
            <w:pPr>
              <w:spacing w:after="0"/>
              <w:rPr>
                <w:sz w:val="22"/>
                <w:szCs w:val="2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1"/>
              </w:rPr>
              <w:t>Total</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North</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jc w:val="right"/>
              <w:ind w:right="208"/>
              <w:spacing w:after="0" w:line="108" w:lineRule="exact"/>
              <w:rPr>
                <w:sz w:val="20"/>
                <w:szCs w:val="20"/>
                <w:color w:val="auto"/>
              </w:rPr>
            </w:pPr>
            <w:r>
              <w:rPr>
                <w:rFonts w:ascii="Arial" w:cs="Arial" w:eastAsia="Arial" w:hAnsi="Arial"/>
                <w:sz w:val="10"/>
                <w:szCs w:val="10"/>
                <w:b w:val="1"/>
                <w:bCs w:val="1"/>
                <w:color w:val="auto"/>
              </w:rPr>
              <w:t>North</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Japan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48"/>
              <w:spacing w:after="0"/>
              <w:rPr>
                <w:sz w:val="20"/>
                <w:szCs w:val="20"/>
                <w:color w:val="auto"/>
              </w:rPr>
            </w:pPr>
            <w:r>
              <w:rPr>
                <w:rFonts w:ascii="Arial" w:cs="Arial" w:eastAsia="Arial" w:hAnsi="Arial"/>
                <w:sz w:val="10"/>
                <w:szCs w:val="10"/>
                <w:b w:val="1"/>
                <w:bCs w:val="1"/>
                <w:color w:val="auto"/>
              </w:rPr>
              <w:t>States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0"/>
                <w:szCs w:val="10"/>
                <w:b w:val="1"/>
                <w:bCs w:val="1"/>
                <w:color w:val="auto"/>
                <w:w w:val="96"/>
              </w:rPr>
              <w:t>America</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jc w:val="right"/>
              <w:ind w:right="148"/>
              <w:spacing w:after="0"/>
              <w:rPr>
                <w:sz w:val="20"/>
                <w:szCs w:val="20"/>
                <w:color w:val="auto"/>
              </w:rPr>
            </w:pPr>
            <w:r>
              <w:rPr>
                <w:rFonts w:ascii="Arial" w:cs="Arial" w:eastAsia="Arial" w:hAnsi="Arial"/>
                <w:sz w:val="10"/>
                <w:szCs w:val="10"/>
                <w:b w:val="1"/>
                <w:bCs w:val="1"/>
                <w:color w:val="auto"/>
              </w:rPr>
              <w:t>America</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94"/>
              </w:rPr>
              <w:t>Asia</w:t>
            </w:r>
          </w:p>
        </w:tc>
        <w:tc>
          <w:tcPr>
            <w:tcW w:w="120" w:type="dxa"/>
            <w:vAlign w:val="bottom"/>
          </w:tcPr>
          <w:p>
            <w:pPr>
              <w:spacing w:after="0"/>
              <w:rPr>
                <w:sz w:val="10"/>
                <w:szCs w:val="10"/>
                <w:color w:val="auto"/>
              </w:rPr>
            </w:pPr>
          </w:p>
        </w:tc>
        <w:tc>
          <w:tcPr>
            <w:tcW w:w="640" w:type="dxa"/>
            <w:vAlign w:val="bottom"/>
            <w:gridSpan w:val="3"/>
          </w:tcPr>
          <w:p>
            <w:pPr>
              <w:ind w:left="100"/>
              <w:spacing w:after="0"/>
              <w:rPr>
                <w:sz w:val="20"/>
                <w:szCs w:val="20"/>
                <w:color w:val="auto"/>
              </w:rPr>
            </w:pPr>
            <w:r>
              <w:rPr>
                <w:rFonts w:ascii="Arial" w:cs="Arial" w:eastAsia="Arial" w:hAnsi="Arial"/>
                <w:sz w:val="10"/>
                <w:szCs w:val="10"/>
                <w:b w:val="1"/>
                <w:bCs w:val="1"/>
                <w:color w:val="auto"/>
              </w:rPr>
              <w:t>Asia</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8"/>
              </w:rPr>
              <w:t>Europe</w:t>
            </w:r>
          </w:p>
        </w:tc>
        <w:tc>
          <w:tcPr>
            <w:tcW w:w="1120" w:type="dxa"/>
            <w:vAlign w:val="bottom"/>
            <w:gridSpan w:val="4"/>
          </w:tcPr>
          <w:p>
            <w:pPr>
              <w:ind w:left="260"/>
              <w:spacing w:after="0"/>
              <w:rPr>
                <w:sz w:val="20"/>
                <w:szCs w:val="20"/>
                <w:color w:val="auto"/>
              </w:rPr>
            </w:pPr>
            <w:r>
              <w:rPr>
                <w:rFonts w:ascii="Arial" w:cs="Arial" w:eastAsia="Arial" w:hAnsi="Arial"/>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880" w:type="dxa"/>
            <w:vAlign w:val="bottom"/>
            <w:tcBorders>
              <w:bottom w:val="single" w:sz="8" w:color="auto"/>
            </w:tcBorders>
            <w:gridSpan w:val="2"/>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2"/>
              </w:rPr>
              <w:t>March 28, 2009</w:t>
            </w:r>
          </w:p>
        </w:tc>
        <w:tc>
          <w:tcPr>
            <w:tcW w:w="166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right w:val="single" w:sz="8" w:color="CCEEFF"/>
            </w:tcBorders>
            <w:shd w:val="clear" w:color="auto" w:fill="CCEEFF"/>
          </w:tcPr>
          <w:p>
            <w:pPr>
              <w:spacing w:after="0"/>
              <w:rPr>
                <w:sz w:val="11"/>
                <w:szCs w:val="11"/>
                <w:color w:val="auto"/>
              </w:rPr>
            </w:pPr>
          </w:p>
        </w:tc>
        <w:tc>
          <w:tcPr>
            <w:tcW w:w="620" w:type="dxa"/>
            <w:vAlign w:val="bottom"/>
            <w:tcBorders>
              <w:bottom w:val="single" w:sz="8" w:color="CCEEFF"/>
              <w:right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tcPr>
          <w:p>
            <w:pPr>
              <w:spacing w:after="0"/>
              <w:rPr>
                <w:sz w:val="20"/>
                <w:szCs w:val="20"/>
                <w:color w:val="auto"/>
              </w:rPr>
            </w:pPr>
            <w:r>
              <w:rPr>
                <w:rFonts w:ascii="Arial" w:cs="Arial" w:eastAsia="Arial" w:hAnsi="Arial"/>
                <w:sz w:val="13"/>
                <w:szCs w:val="13"/>
                <w:b w:val="1"/>
                <w:bCs w:val="1"/>
                <w:color w:val="auto"/>
              </w:rPr>
              <w:t>Sales</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$279,029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66"/>
              <w:spacing w:after="0"/>
              <w:rPr>
                <w:sz w:val="20"/>
                <w:szCs w:val="20"/>
                <w:color w:val="auto"/>
              </w:rPr>
            </w:pPr>
            <w:r>
              <w:rPr>
                <w:rFonts w:ascii="Arial" w:cs="Arial" w:eastAsia="Arial" w:hAnsi="Arial"/>
                <w:sz w:val="13"/>
                <w:szCs w:val="13"/>
                <w:color w:val="auto"/>
              </w:rPr>
              <w:t>$   —</w:t>
            </w:r>
          </w:p>
        </w:tc>
        <w:tc>
          <w:tcPr>
            <w:tcW w:w="920" w:type="dxa"/>
            <w:vAlign w:val="bottom"/>
            <w:gridSpan w:val="4"/>
          </w:tcPr>
          <w:p>
            <w:pPr>
              <w:jc w:val="center"/>
              <w:ind w:left="34"/>
              <w:spacing w:after="0"/>
              <w:rPr>
                <w:sz w:val="20"/>
                <w:szCs w:val="20"/>
                <w:color w:val="auto"/>
              </w:rPr>
            </w:pPr>
            <w:r>
              <w:rPr>
                <w:rFonts w:ascii="Arial" w:cs="Arial" w:eastAsia="Arial" w:hAnsi="Arial"/>
                <w:sz w:val="13"/>
                <w:szCs w:val="13"/>
                <w:color w:val="auto"/>
                <w:w w:val="92"/>
              </w:rPr>
              <w:t>$279,029</w:t>
            </w:r>
          </w:p>
        </w:tc>
        <w:tc>
          <w:tcPr>
            <w:tcW w:w="900" w:type="dxa"/>
            <w:vAlign w:val="bottom"/>
            <w:gridSpan w:val="5"/>
          </w:tcPr>
          <w:p>
            <w:pPr>
              <w:jc w:val="right"/>
              <w:ind w:right="141"/>
              <w:spacing w:after="0"/>
              <w:rPr>
                <w:sz w:val="20"/>
                <w:szCs w:val="20"/>
                <w:color w:val="auto"/>
              </w:rPr>
            </w:pPr>
            <w:r>
              <w:rPr>
                <w:rFonts w:ascii="Arial" w:cs="Arial" w:eastAsia="Arial" w:hAnsi="Arial"/>
                <w:sz w:val="13"/>
                <w:szCs w:val="13"/>
                <w:color w:val="auto"/>
              </w:rPr>
              <w:t>$97,215</w:t>
            </w:r>
          </w:p>
        </w:tc>
        <w:tc>
          <w:tcPr>
            <w:tcW w:w="20" w:type="dxa"/>
            <w:vAlign w:val="bottom"/>
          </w:tcPr>
          <w:p>
            <w:pPr>
              <w:spacing w:after="0"/>
              <w:rPr>
                <w:sz w:val="13"/>
                <w:szCs w:val="13"/>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3"/>
                <w:szCs w:val="13"/>
                <w:color w:val="auto"/>
              </w:rPr>
              <w:t>$45,460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7"/>
              <w:spacing w:after="0"/>
              <w:rPr>
                <w:sz w:val="20"/>
                <w:szCs w:val="20"/>
                <w:color w:val="auto"/>
              </w:rPr>
            </w:pPr>
            <w:r>
              <w:rPr>
                <w:rFonts w:ascii="Arial" w:cs="Arial" w:eastAsia="Arial" w:hAnsi="Arial"/>
                <w:sz w:val="13"/>
                <w:szCs w:val="13"/>
                <w:color w:val="auto"/>
                <w:w w:val="95"/>
              </w:rPr>
              <w:t>$142,675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jc w:val="right"/>
              <w:ind w:right="179"/>
              <w:spacing w:after="0"/>
              <w:rPr>
                <w:sz w:val="20"/>
                <w:szCs w:val="20"/>
                <w:color w:val="auto"/>
              </w:rPr>
            </w:pPr>
            <w:r>
              <w:rPr>
                <w:rFonts w:ascii="Arial" w:cs="Arial" w:eastAsia="Arial" w:hAnsi="Arial"/>
                <w:sz w:val="13"/>
                <w:szCs w:val="13"/>
                <w:color w:val="auto"/>
              </w:rPr>
              <w:t>$176,175</w:t>
            </w:r>
          </w:p>
        </w:tc>
        <w:tc>
          <w:tcPr>
            <w:tcW w:w="60" w:type="dxa"/>
            <w:vAlign w:val="bottom"/>
          </w:tcPr>
          <w:p>
            <w:pPr>
              <w:spacing w:after="0"/>
              <w:rPr>
                <w:sz w:val="13"/>
                <w:szCs w:val="13"/>
                <w:color w:val="auto"/>
              </w:rPr>
            </w:pPr>
          </w:p>
        </w:tc>
        <w:tc>
          <w:tcPr>
            <w:tcW w:w="1020" w:type="dxa"/>
            <w:vAlign w:val="bottom"/>
            <w:gridSpan w:val="3"/>
          </w:tcPr>
          <w:p>
            <w:pPr>
              <w:ind w:left="280"/>
              <w:spacing w:after="0"/>
              <w:rPr>
                <w:sz w:val="20"/>
                <w:szCs w:val="20"/>
                <w:color w:val="auto"/>
              </w:rPr>
            </w:pPr>
            <w:r>
              <w:rPr>
                <w:rFonts w:ascii="Arial" w:cs="Arial" w:eastAsia="Arial" w:hAnsi="Arial"/>
                <w:sz w:val="13"/>
                <w:szCs w:val="13"/>
                <w:color w:val="auto"/>
              </w:rPr>
              <w:t>$597,879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$461,226</w:t>
            </w:r>
          </w:p>
        </w:tc>
        <w:tc>
          <w:tcPr>
            <w:tcW w:w="840" w:type="dxa"/>
            <w:vAlign w:val="bottom"/>
            <w:gridSpan w:val="4"/>
            <w:shd w:val="clear" w:color="auto" w:fill="CCEEFF"/>
          </w:tcPr>
          <w:p>
            <w:pPr>
              <w:jc w:val="right"/>
              <w:ind w:right="66"/>
              <w:spacing w:after="0"/>
              <w:rPr>
                <w:sz w:val="20"/>
                <w:szCs w:val="20"/>
                <w:color w:val="auto"/>
              </w:rPr>
            </w:pPr>
            <w:r>
              <w:rPr>
                <w:rFonts w:ascii="Arial" w:cs="Arial" w:eastAsia="Arial" w:hAnsi="Arial"/>
                <w:sz w:val="13"/>
                <w:szCs w:val="13"/>
                <w:color w:val="auto"/>
              </w:rPr>
              <w:t>$6,756</w:t>
            </w:r>
          </w:p>
        </w:tc>
        <w:tc>
          <w:tcPr>
            <w:tcW w:w="920" w:type="dxa"/>
            <w:vAlign w:val="bottom"/>
            <w:gridSpan w:val="4"/>
            <w:shd w:val="clear" w:color="auto" w:fill="CCEEFF"/>
          </w:tcPr>
          <w:p>
            <w:pPr>
              <w:jc w:val="center"/>
              <w:ind w:left="34"/>
              <w:spacing w:after="0"/>
              <w:rPr>
                <w:sz w:val="20"/>
                <w:szCs w:val="20"/>
                <w:color w:val="auto"/>
              </w:rPr>
            </w:pPr>
            <w:r>
              <w:rPr>
                <w:rFonts w:ascii="Arial" w:cs="Arial" w:eastAsia="Arial" w:hAnsi="Arial"/>
                <w:sz w:val="13"/>
                <w:szCs w:val="13"/>
                <w:color w:val="auto"/>
                <w:w w:val="92"/>
              </w:rPr>
              <w:t>$467,982</w:t>
            </w:r>
          </w:p>
        </w:tc>
        <w:tc>
          <w:tcPr>
            <w:tcW w:w="900" w:type="dxa"/>
            <w:vAlign w:val="bottom"/>
            <w:gridSpan w:val="5"/>
            <w:shd w:val="clear" w:color="auto" w:fill="CCEEFF"/>
          </w:tcPr>
          <w:p>
            <w:pPr>
              <w:jc w:val="right"/>
              <w:ind w:right="141"/>
              <w:spacing w:after="0"/>
              <w:rPr>
                <w:sz w:val="20"/>
                <w:szCs w:val="20"/>
                <w:color w:val="auto"/>
              </w:rPr>
            </w:pPr>
            <w:r>
              <w:rPr>
                <w:rFonts w:ascii="Arial" w:cs="Arial" w:eastAsia="Arial" w:hAnsi="Arial"/>
                <w:sz w:val="13"/>
                <w:szCs w:val="13"/>
                <w:color w:val="auto"/>
              </w:rPr>
              <w:t>$47,723</w:t>
            </w:r>
          </w:p>
        </w:tc>
        <w:tc>
          <w:tcPr>
            <w:tcW w:w="2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$18,557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66,280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3"/>
                <w:szCs w:val="13"/>
                <w:color w:val="auto"/>
              </w:rPr>
              <w:t>$115,431</w:t>
            </w:r>
          </w:p>
        </w:tc>
        <w:tc>
          <w:tcPr>
            <w:tcW w:w="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$649,693</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540" w:type="dxa"/>
            <w:vAlign w:val="bottom"/>
            <w:gridSpan w:val="3"/>
          </w:tcPr>
          <w:p>
            <w:pPr>
              <w:spacing w:after="0"/>
              <w:rPr>
                <w:sz w:val="20"/>
                <w:szCs w:val="20"/>
                <w:color w:val="auto"/>
              </w:rPr>
            </w:pPr>
            <w:r>
              <w:rPr>
                <w:rFonts w:ascii="Arial" w:cs="Arial" w:eastAsia="Arial" w:hAnsi="Arial"/>
                <w:sz w:val="13"/>
                <w:szCs w:val="13"/>
                <w:b w:val="1"/>
                <w:bCs w:val="1"/>
                <w:color w:val="auto"/>
              </w:rPr>
              <w:t>Long-Lived Assets</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$220,531</w:t>
            </w:r>
          </w:p>
        </w:tc>
        <w:tc>
          <w:tcPr>
            <w:tcW w:w="840" w:type="dxa"/>
            <w:vAlign w:val="bottom"/>
            <w:gridSpan w:val="4"/>
          </w:tcPr>
          <w:p>
            <w:pPr>
              <w:jc w:val="right"/>
              <w:ind w:right="66"/>
              <w:spacing w:after="0"/>
              <w:rPr>
                <w:sz w:val="20"/>
                <w:szCs w:val="20"/>
                <w:color w:val="auto"/>
              </w:rPr>
            </w:pPr>
            <w:r>
              <w:rPr>
                <w:rFonts w:ascii="Arial" w:cs="Arial" w:eastAsia="Arial" w:hAnsi="Arial"/>
                <w:sz w:val="13"/>
                <w:szCs w:val="13"/>
                <w:color w:val="auto"/>
              </w:rPr>
              <w:t>$5,607</w:t>
            </w:r>
          </w:p>
        </w:tc>
        <w:tc>
          <w:tcPr>
            <w:tcW w:w="920" w:type="dxa"/>
            <w:vAlign w:val="bottom"/>
            <w:gridSpan w:val="4"/>
          </w:tcPr>
          <w:p>
            <w:pPr>
              <w:jc w:val="center"/>
              <w:ind w:left="34"/>
              <w:spacing w:after="0"/>
              <w:rPr>
                <w:sz w:val="20"/>
                <w:szCs w:val="20"/>
                <w:color w:val="auto"/>
              </w:rPr>
            </w:pPr>
            <w:r>
              <w:rPr>
                <w:rFonts w:ascii="Arial" w:cs="Arial" w:eastAsia="Arial" w:hAnsi="Arial"/>
                <w:sz w:val="13"/>
                <w:szCs w:val="13"/>
                <w:color w:val="auto"/>
                <w:w w:val="92"/>
              </w:rPr>
              <w:t>$226,138</w:t>
            </w:r>
          </w:p>
        </w:tc>
        <w:tc>
          <w:tcPr>
            <w:tcW w:w="900" w:type="dxa"/>
            <w:vAlign w:val="bottom"/>
            <w:gridSpan w:val="5"/>
          </w:tcPr>
          <w:p>
            <w:pPr>
              <w:jc w:val="right"/>
              <w:ind w:right="141"/>
              <w:spacing w:after="0"/>
              <w:rPr>
                <w:sz w:val="20"/>
                <w:szCs w:val="20"/>
                <w:color w:val="auto"/>
              </w:rPr>
            </w:pPr>
            <w:r>
              <w:rPr>
                <w:rFonts w:ascii="Arial" w:cs="Arial" w:eastAsia="Arial" w:hAnsi="Arial"/>
                <w:sz w:val="13"/>
                <w:szCs w:val="13"/>
                <w:color w:val="auto"/>
              </w:rPr>
              <w:t>$11,121</w:t>
            </w:r>
          </w:p>
        </w:tc>
        <w:tc>
          <w:tcPr>
            <w:tcW w:w="20" w:type="dxa"/>
            <w:vAlign w:val="bottom"/>
          </w:tcPr>
          <w:p>
            <w:pPr>
              <w:spacing w:after="0"/>
              <w:rPr>
                <w:sz w:val="14"/>
                <w:szCs w:val="14"/>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40"/>
              <w:spacing w:after="0"/>
              <w:rPr>
                <w:sz w:val="20"/>
                <w:szCs w:val="20"/>
                <w:color w:val="auto"/>
              </w:rPr>
            </w:pPr>
            <w:r>
              <w:rPr>
                <w:rFonts w:ascii="Arial" w:cs="Arial" w:eastAsia="Arial" w:hAnsi="Arial"/>
                <w:sz w:val="13"/>
                <w:szCs w:val="13"/>
                <w:color w:val="auto"/>
                <w:w w:val="98"/>
              </w:rPr>
              <w:t>3,912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15,033</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79"/>
              <w:spacing w:after="0"/>
              <w:rPr>
                <w:sz w:val="20"/>
                <w:szCs w:val="20"/>
                <w:color w:val="auto"/>
              </w:rPr>
            </w:pPr>
            <w:r>
              <w:rPr>
                <w:rFonts w:ascii="Arial" w:cs="Arial" w:eastAsia="Arial" w:hAnsi="Arial"/>
                <w:sz w:val="13"/>
                <w:szCs w:val="13"/>
                <w:color w:val="auto"/>
                <w:w w:val="90"/>
              </w:rPr>
              <w:t>18,323</w:t>
            </w:r>
          </w:p>
        </w:tc>
        <w:tc>
          <w:tcPr>
            <w:tcW w:w="60" w:type="dxa"/>
            <w:vAlign w:val="bottom"/>
          </w:tcPr>
          <w:p>
            <w:pPr>
              <w:spacing w:after="0"/>
              <w:rPr>
                <w:sz w:val="14"/>
                <w:szCs w:val="14"/>
                <w:color w:val="auto"/>
              </w:rPr>
            </w:pPr>
          </w:p>
        </w:tc>
        <w:tc>
          <w:tcPr>
            <w:tcW w:w="1020" w:type="dxa"/>
            <w:vAlign w:val="bottom"/>
            <w:gridSpan w:val="3"/>
          </w:tcPr>
          <w:p>
            <w:pPr>
              <w:ind w:left="280"/>
              <w:spacing w:after="0"/>
              <w:rPr>
                <w:sz w:val="20"/>
                <w:szCs w:val="20"/>
                <w:color w:val="auto"/>
              </w:rPr>
            </w:pPr>
            <w:r>
              <w:rPr>
                <w:rFonts w:ascii="Arial" w:cs="Arial" w:eastAsia="Arial" w:hAnsi="Arial"/>
                <w:sz w:val="13"/>
                <w:szCs w:val="13"/>
                <w:color w:val="auto"/>
              </w:rPr>
              <w:t>$259,494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6"/>
        </w:trPr>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gridSpan w:val="4"/>
          </w:tcPr>
          <w:p>
            <w:pPr>
              <w:jc w:val="center"/>
              <w:ind w:left="574"/>
              <w:spacing w:after="0"/>
              <w:rPr>
                <w:sz w:val="20"/>
                <w:szCs w:val="20"/>
                <w:color w:val="auto"/>
              </w:rPr>
            </w:pPr>
            <w:r>
              <w:rPr>
                <w:rFonts w:ascii="Arial" w:cs="Arial" w:eastAsia="Arial" w:hAnsi="Arial"/>
                <w:sz w:val="13"/>
                <w:szCs w:val="13"/>
                <w:color w:val="auto"/>
                <w:w w:val="82"/>
              </w:rPr>
              <w:t>83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60" w:type="dxa"/>
            <w:vAlign w:val="bottom"/>
            <w:vMerge w:val="restart"/>
          </w:tcPr>
          <w:p>
            <w:pPr>
              <w:jc w:val="right"/>
              <w:ind w:right="200"/>
              <w:spacing w:after="0"/>
              <w:rPr>
                <w:sz w:val="20"/>
                <w:szCs w:val="20"/>
                <w:color w:val="auto"/>
              </w:rPr>
            </w:pPr>
            <w:r>
              <w:rPr>
                <w:rFonts w:ascii="Arial" w:cs="Arial" w:eastAsia="Arial" w:hAnsi="Arial"/>
                <w:sz w:val="10"/>
                <w:szCs w:val="10"/>
                <w:b w:val="1"/>
                <w:bCs w:val="1"/>
                <w:color w:val="auto"/>
              </w:rPr>
              <w:t>United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jc w:val="right"/>
              <w:ind w:right="10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vMerge w:val="restart"/>
          </w:tcPr>
          <w:p>
            <w:pPr>
              <w:jc w:val="right"/>
              <w:ind w:right="200"/>
              <w:spacing w:after="0"/>
              <w:rPr>
                <w:sz w:val="20"/>
                <w:szCs w:val="20"/>
                <w:color w:val="auto"/>
              </w:rPr>
            </w:pPr>
            <w:r>
              <w:rPr>
                <w:rFonts w:ascii="Arial" w:cs="Arial" w:eastAsia="Arial" w:hAnsi="Arial"/>
                <w:sz w:val="10"/>
                <w:szCs w:val="10"/>
                <w:b w:val="1"/>
                <w:bCs w:val="1"/>
                <w:color w:val="auto"/>
              </w:rPr>
              <w:t>Other</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restart"/>
          </w:tcPr>
          <w:p>
            <w:pPr>
              <w:jc w:val="right"/>
              <w:ind w:right="2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vMerge w:val="restart"/>
          </w:tcPr>
          <w:p>
            <w:pPr>
              <w:jc w:val="right"/>
              <w:ind w:right="26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0"/>
                <w:szCs w:val="10"/>
                <w:color w:val="auto"/>
              </w:rPr>
            </w:pPr>
          </w:p>
        </w:tc>
        <w:tc>
          <w:tcPr>
            <w:tcW w:w="1120" w:type="dxa"/>
            <w:vAlign w:val="bottom"/>
            <w:vMerge w:val="restart"/>
          </w:tcPr>
          <w:p>
            <w:pPr>
              <w:ind w:left="4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jc w:val="right"/>
              <w:ind w:right="100"/>
              <w:spacing w:after="0" w:line="108" w:lineRule="exact"/>
              <w:rPr>
                <w:sz w:val="20"/>
                <w:szCs w:val="20"/>
                <w:color w:val="auto"/>
              </w:rPr>
            </w:pPr>
            <w:r>
              <w:rPr>
                <w:rFonts w:ascii="Arial" w:cs="Arial" w:eastAsia="Arial" w:hAnsi="Arial"/>
                <w:sz w:val="10"/>
                <w:szCs w:val="10"/>
                <w:b w:val="1"/>
                <w:bCs w:val="1"/>
                <w:color w:val="auto"/>
                <w:w w:val="97"/>
              </w:rPr>
              <w:t>North</w:t>
            </w:r>
          </w:p>
        </w:tc>
        <w:tc>
          <w:tcPr>
            <w:tcW w:w="8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7"/>
              </w:rPr>
              <w:t>North</w:t>
            </w:r>
          </w:p>
        </w:tc>
        <w:tc>
          <w:tcPr>
            <w:tcW w:w="80" w:type="dxa"/>
            <w:vAlign w:val="bottom"/>
          </w:tcPr>
          <w:p>
            <w:pPr>
              <w:spacing w:after="0"/>
              <w:rPr>
                <w:sz w:val="9"/>
                <w:szCs w:val="9"/>
                <w:color w:val="auto"/>
              </w:rPr>
            </w:pPr>
          </w:p>
        </w:tc>
        <w:tc>
          <w:tcPr>
            <w:tcW w:w="780" w:type="dxa"/>
            <w:vAlign w:val="bottom"/>
            <w:vMerge w:val="restart"/>
          </w:tcPr>
          <w:p>
            <w:pPr>
              <w:jc w:val="right"/>
              <w:ind w:right="208"/>
              <w:spacing w:after="0"/>
              <w:rPr>
                <w:sz w:val="20"/>
                <w:szCs w:val="20"/>
                <w:color w:val="auto"/>
              </w:rPr>
            </w:pPr>
            <w:r>
              <w:rPr>
                <w:rFonts w:ascii="Arial" w:cs="Arial" w:eastAsia="Arial" w:hAnsi="Arial"/>
                <w:sz w:val="10"/>
                <w:szCs w:val="10"/>
                <w:b w:val="1"/>
                <w:bCs w:val="1"/>
                <w:color w:val="auto"/>
              </w:rPr>
              <w:t>Japan</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States</w:t>
            </w:r>
          </w:p>
        </w:tc>
        <w:tc>
          <w:tcPr>
            <w:tcW w:w="80" w:type="dxa"/>
            <w:vAlign w:val="bottom"/>
          </w:tcPr>
          <w:p>
            <w:pPr>
              <w:spacing w:after="0"/>
              <w:rPr>
                <w:sz w:val="10"/>
                <w:szCs w:val="10"/>
                <w:color w:val="auto"/>
              </w:rPr>
            </w:pPr>
          </w:p>
        </w:tc>
        <w:tc>
          <w:tcPr>
            <w:tcW w:w="60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America</w:t>
            </w:r>
          </w:p>
        </w:tc>
        <w:tc>
          <w:tcPr>
            <w:tcW w:w="8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America</w:t>
            </w:r>
          </w:p>
        </w:tc>
        <w:tc>
          <w:tcPr>
            <w:tcW w:w="80" w:type="dxa"/>
            <w:vAlign w:val="bottom"/>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20"/>
              <w:spacing w:after="0"/>
              <w:rPr>
                <w:sz w:val="20"/>
                <w:szCs w:val="20"/>
                <w:color w:val="auto"/>
              </w:rPr>
            </w:pPr>
            <w:r>
              <w:rPr>
                <w:rFonts w:ascii="Arial" w:cs="Arial" w:eastAsia="Arial" w:hAnsi="Arial"/>
                <w:sz w:val="10"/>
                <w:szCs w:val="10"/>
                <w:b w:val="1"/>
                <w:bCs w:val="1"/>
                <w:color w:val="auto"/>
              </w:rPr>
              <w:t>Asia</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60"/>
              <w:spacing w:after="0"/>
              <w:rPr>
                <w:sz w:val="20"/>
                <w:szCs w:val="20"/>
                <w:color w:val="auto"/>
              </w:rPr>
            </w:pPr>
            <w:r>
              <w:rPr>
                <w:rFonts w:ascii="Arial" w:cs="Arial" w:eastAsia="Arial" w:hAnsi="Arial"/>
                <w:sz w:val="10"/>
                <w:szCs w:val="10"/>
                <w:b w:val="1"/>
                <w:bCs w:val="1"/>
                <w:color w:val="auto"/>
              </w:rPr>
              <w:t>Asia</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Europe</w:t>
            </w:r>
          </w:p>
        </w:tc>
        <w:tc>
          <w:tcPr>
            <w:tcW w:w="80" w:type="dxa"/>
            <w:vAlign w:val="bottom"/>
          </w:tcPr>
          <w:p>
            <w:pPr>
              <w:spacing w:after="0"/>
              <w:rPr>
                <w:sz w:val="10"/>
                <w:szCs w:val="10"/>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0"/>
                <w:szCs w:val="10"/>
                <w:b w:val="1"/>
                <w:bCs w:val="1"/>
                <w:color w:val="auto"/>
              </w:rPr>
              <w:t>Consolidated</w:t>
            </w:r>
          </w:p>
        </w:tc>
        <w:tc>
          <w:tcPr>
            <w:tcW w:w="0" w:type="dxa"/>
            <w:vAlign w:val="bottom"/>
          </w:tcPr>
          <w:p>
            <w:pPr>
              <w:spacing w:after="0"/>
              <w:rPr>
                <w:sz w:val="1"/>
                <w:szCs w:val="1"/>
                <w:color w:val="auto"/>
              </w:rPr>
            </w:pPr>
          </w:p>
        </w:tc>
      </w:tr>
      <w:tr>
        <w:trPr>
          <w:trHeight w:val="29"/>
        </w:trPr>
        <w:tc>
          <w:tcPr>
            <w:tcW w:w="8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880" w:type="dxa"/>
            <w:vAlign w:val="bottom"/>
            <w:tcBorders>
              <w:bottom w:val="single" w:sz="8" w:color="auto"/>
            </w:tcBorders>
            <w:shd w:val="clear" w:color="auto" w:fill="CCEEFF"/>
          </w:tcPr>
          <w:p>
            <w:pPr>
              <w:spacing w:after="0" w:line="128" w:lineRule="exact"/>
              <w:rPr>
                <w:sz w:val="20"/>
                <w:szCs w:val="20"/>
                <w:color w:val="auto"/>
              </w:rPr>
            </w:pPr>
            <w:r>
              <w:rPr>
                <w:rFonts w:ascii="Arial" w:cs="Arial" w:eastAsia="Arial" w:hAnsi="Arial"/>
                <w:sz w:val="13"/>
                <w:szCs w:val="13"/>
                <w:b w:val="1"/>
                <w:bCs w:val="1"/>
                <w:color w:val="auto"/>
                <w:w w:val="92"/>
              </w:rPr>
              <w:t>March 29, 2008</w:t>
            </w:r>
          </w:p>
        </w:tc>
        <w:tc>
          <w:tcPr>
            <w:tcW w:w="18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Sales</w:t>
            </w:r>
          </w:p>
        </w:tc>
        <w:tc>
          <w:tcPr>
            <w:tcW w:w="860" w:type="dxa"/>
            <w:vAlign w:val="bottom"/>
          </w:tcPr>
          <w:p>
            <w:pPr>
              <w:jc w:val="right"/>
              <w:ind w:right="140"/>
              <w:spacing w:after="0"/>
              <w:rPr>
                <w:sz w:val="20"/>
                <w:szCs w:val="20"/>
                <w:color w:val="auto"/>
              </w:rPr>
            </w:pPr>
            <w:r>
              <w:rPr>
                <w:rFonts w:ascii="Arial" w:cs="Arial" w:eastAsia="Arial" w:hAnsi="Arial"/>
                <w:sz w:val="13"/>
                <w:szCs w:val="13"/>
                <w:color w:val="auto"/>
              </w:rPr>
              <w:t>$232,812</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80"/>
              <w:spacing w:after="0"/>
              <w:rPr>
                <w:sz w:val="20"/>
                <w:szCs w:val="20"/>
                <w:color w:val="auto"/>
              </w:rPr>
            </w:pPr>
            <w:r>
              <w:rPr>
                <w:rFonts w:ascii="Arial" w:cs="Arial" w:eastAsia="Arial" w:hAnsi="Arial"/>
                <w:sz w:val="13"/>
                <w:szCs w:val="13"/>
                <w:color w:val="auto"/>
              </w:rPr>
              <w:t>53</w:t>
            </w:r>
          </w:p>
        </w:tc>
        <w:tc>
          <w:tcPr>
            <w:tcW w:w="940" w:type="dxa"/>
            <w:vAlign w:val="bottom"/>
            <w:gridSpan w:val="2"/>
          </w:tcPr>
          <w:p>
            <w:pPr>
              <w:jc w:val="right"/>
              <w:ind w:right="148"/>
              <w:spacing w:after="0"/>
              <w:rPr>
                <w:sz w:val="20"/>
                <w:szCs w:val="20"/>
                <w:color w:val="auto"/>
              </w:rPr>
            </w:pPr>
            <w:r>
              <w:rPr>
                <w:rFonts w:ascii="Arial" w:cs="Arial" w:eastAsia="Arial" w:hAnsi="Arial"/>
                <w:sz w:val="13"/>
                <w:szCs w:val="13"/>
                <w:color w:val="auto"/>
              </w:rPr>
              <w:t>$232,865</w:t>
            </w:r>
          </w:p>
        </w:tc>
        <w:tc>
          <w:tcPr>
            <w:tcW w:w="860" w:type="dxa"/>
            <w:vAlign w:val="bottom"/>
            <w:gridSpan w:val="2"/>
          </w:tcPr>
          <w:p>
            <w:pPr>
              <w:jc w:val="right"/>
              <w:ind w:right="148"/>
              <w:spacing w:after="0"/>
              <w:rPr>
                <w:sz w:val="20"/>
                <w:szCs w:val="20"/>
                <w:color w:val="auto"/>
              </w:rPr>
            </w:pPr>
            <w:r>
              <w:rPr>
                <w:rFonts w:ascii="Arial" w:cs="Arial" w:eastAsia="Arial" w:hAnsi="Arial"/>
                <w:sz w:val="13"/>
                <w:szCs w:val="13"/>
                <w:color w:val="auto"/>
              </w:rPr>
              <w:t>$88,759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0"/>
              <w:spacing w:after="0"/>
              <w:rPr>
                <w:sz w:val="20"/>
                <w:szCs w:val="20"/>
                <w:color w:val="auto"/>
              </w:rPr>
            </w:pPr>
            <w:r>
              <w:rPr>
                <w:rFonts w:ascii="Arial" w:cs="Arial" w:eastAsia="Arial" w:hAnsi="Arial"/>
                <w:sz w:val="13"/>
                <w:szCs w:val="13"/>
                <w:color w:val="auto"/>
                <w:w w:val="85"/>
              </w:rPr>
              <w:t>39,323</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40"/>
              <w:spacing w:after="0"/>
              <w:rPr>
                <w:sz w:val="20"/>
                <w:szCs w:val="20"/>
                <w:color w:val="auto"/>
              </w:rPr>
            </w:pPr>
            <w:r>
              <w:rPr>
                <w:rFonts w:ascii="Arial" w:cs="Arial" w:eastAsia="Arial" w:hAnsi="Arial"/>
                <w:sz w:val="13"/>
                <w:szCs w:val="13"/>
                <w:color w:val="auto"/>
                <w:w w:val="89"/>
              </w:rPr>
              <w:t>128,082</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0"/>
              <w:spacing w:after="0"/>
              <w:rPr>
                <w:sz w:val="20"/>
                <w:szCs w:val="20"/>
                <w:color w:val="auto"/>
              </w:rPr>
            </w:pPr>
            <w:r>
              <w:rPr>
                <w:rFonts w:ascii="Arial" w:cs="Arial" w:eastAsia="Arial" w:hAnsi="Arial"/>
                <w:sz w:val="13"/>
                <w:szCs w:val="13"/>
                <w:color w:val="auto"/>
                <w:w w:val="85"/>
              </w:rPr>
              <w:t>155,493</w:t>
            </w:r>
          </w:p>
        </w:tc>
        <w:tc>
          <w:tcPr>
            <w:tcW w:w="1200" w:type="dxa"/>
            <w:vAlign w:val="bottom"/>
            <w:gridSpan w:val="2"/>
          </w:tcPr>
          <w:p>
            <w:pPr>
              <w:ind w:left="360"/>
              <w:spacing w:after="0"/>
              <w:rPr>
                <w:sz w:val="20"/>
                <w:szCs w:val="20"/>
                <w:color w:val="auto"/>
              </w:rPr>
            </w:pPr>
            <w:r>
              <w:rPr>
                <w:rFonts w:ascii="Arial" w:cs="Arial" w:eastAsia="Arial" w:hAnsi="Arial"/>
                <w:sz w:val="13"/>
                <w:szCs w:val="13"/>
                <w:color w:val="auto"/>
              </w:rPr>
              <w:t>$516,440</w:t>
            </w:r>
          </w:p>
        </w:tc>
        <w:tc>
          <w:tcPr>
            <w:tcW w:w="0" w:type="dxa"/>
            <w:vAlign w:val="bottom"/>
          </w:tcPr>
          <w:p>
            <w:pPr>
              <w:spacing w:after="0"/>
              <w:rPr>
                <w:sz w:val="1"/>
                <w:szCs w:val="1"/>
                <w:color w:val="auto"/>
              </w:rPr>
            </w:pPr>
          </w:p>
        </w:tc>
      </w:tr>
      <w:tr>
        <w:trPr>
          <w:trHeight w:val="157"/>
        </w:trPr>
        <w:tc>
          <w:tcPr>
            <w:tcW w:w="2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Assets</w:t>
            </w:r>
          </w:p>
        </w:tc>
        <w:tc>
          <w:tcPr>
            <w:tcW w:w="86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$342,006</w:t>
            </w:r>
          </w:p>
        </w:tc>
        <w:tc>
          <w:tcPr>
            <w:tcW w:w="240" w:type="dxa"/>
            <w:vAlign w:val="bottom"/>
            <w:gridSpan w:val="2"/>
            <w:shd w:val="clear" w:color="auto" w:fill="CCEEFF"/>
          </w:tcPr>
          <w:p>
            <w:pPr>
              <w:ind w:left="18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w w:val="85"/>
              </w:rPr>
              <w:t>6,559</w:t>
            </w:r>
          </w:p>
        </w:tc>
        <w:tc>
          <w:tcPr>
            <w:tcW w:w="94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$348,565</w:t>
            </w: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$51,016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w w:val="85"/>
              </w:rPr>
              <w:t>24,513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auto"/>
              </w:rPr>
              <w:t>75,529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60"/>
              <w:spacing w:after="0"/>
              <w:rPr>
                <w:sz w:val="20"/>
                <w:szCs w:val="20"/>
                <w:color w:val="auto"/>
              </w:rPr>
            </w:pPr>
            <w:r>
              <w:rPr>
                <w:rFonts w:ascii="Arial" w:cs="Arial" w:eastAsia="Arial" w:hAnsi="Arial"/>
                <w:sz w:val="13"/>
                <w:szCs w:val="13"/>
                <w:color w:val="auto"/>
                <w:w w:val="85"/>
              </w:rPr>
              <w:t>184,856</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$608,950</w:t>
            </w:r>
          </w:p>
        </w:tc>
        <w:tc>
          <w:tcPr>
            <w:tcW w:w="0" w:type="dxa"/>
            <w:vAlign w:val="bottom"/>
          </w:tcPr>
          <w:p>
            <w:pPr>
              <w:spacing w:after="0"/>
              <w:rPr>
                <w:sz w:val="1"/>
                <w:szCs w:val="1"/>
                <w:color w:val="auto"/>
              </w:rPr>
            </w:pPr>
          </w:p>
        </w:tc>
      </w:tr>
      <w:tr>
        <w:trPr>
          <w:trHeight w:val="169"/>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Long-Lived Assets</w:t>
            </w:r>
          </w:p>
        </w:tc>
        <w:tc>
          <w:tcPr>
            <w:tcW w:w="860" w:type="dxa"/>
            <w:vAlign w:val="bottom"/>
          </w:tcPr>
          <w:p>
            <w:pPr>
              <w:jc w:val="right"/>
              <w:ind w:right="140"/>
              <w:spacing w:after="0"/>
              <w:rPr>
                <w:sz w:val="20"/>
                <w:szCs w:val="20"/>
                <w:color w:val="auto"/>
              </w:rPr>
            </w:pPr>
            <w:r>
              <w:rPr>
                <w:rFonts w:ascii="Arial" w:cs="Arial" w:eastAsia="Arial" w:hAnsi="Arial"/>
                <w:sz w:val="13"/>
                <w:szCs w:val="13"/>
                <w:color w:val="auto"/>
              </w:rPr>
              <w:t>$192,203</w:t>
            </w:r>
          </w:p>
        </w:tc>
        <w:tc>
          <w:tcPr>
            <w:tcW w:w="240" w:type="dxa"/>
            <w:vAlign w:val="bottom"/>
            <w:gridSpan w:val="2"/>
          </w:tcPr>
          <w:p>
            <w:pPr>
              <w:ind w:left="18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80"/>
              <w:spacing w:after="0"/>
              <w:rPr>
                <w:sz w:val="20"/>
                <w:szCs w:val="20"/>
                <w:color w:val="auto"/>
              </w:rPr>
            </w:pPr>
            <w:r>
              <w:rPr>
                <w:rFonts w:ascii="Arial" w:cs="Arial" w:eastAsia="Arial" w:hAnsi="Arial"/>
                <w:sz w:val="13"/>
                <w:szCs w:val="13"/>
                <w:color w:val="auto"/>
                <w:w w:val="85"/>
              </w:rPr>
              <w:t>5,743</w:t>
            </w:r>
          </w:p>
        </w:tc>
        <w:tc>
          <w:tcPr>
            <w:tcW w:w="940" w:type="dxa"/>
            <w:vAlign w:val="bottom"/>
            <w:gridSpan w:val="2"/>
          </w:tcPr>
          <w:p>
            <w:pPr>
              <w:jc w:val="right"/>
              <w:ind w:right="148"/>
              <w:spacing w:after="0"/>
              <w:rPr>
                <w:sz w:val="20"/>
                <w:szCs w:val="20"/>
                <w:color w:val="auto"/>
              </w:rPr>
            </w:pPr>
            <w:r>
              <w:rPr>
                <w:rFonts w:ascii="Arial" w:cs="Arial" w:eastAsia="Arial" w:hAnsi="Arial"/>
                <w:sz w:val="13"/>
                <w:szCs w:val="13"/>
                <w:color w:val="auto"/>
              </w:rPr>
              <w:t>$197,946</w:t>
            </w:r>
          </w:p>
        </w:tc>
        <w:tc>
          <w:tcPr>
            <w:tcW w:w="860" w:type="dxa"/>
            <w:vAlign w:val="bottom"/>
            <w:gridSpan w:val="2"/>
          </w:tcPr>
          <w:p>
            <w:pPr>
              <w:jc w:val="right"/>
              <w:ind w:right="148"/>
              <w:spacing w:after="0"/>
              <w:rPr>
                <w:sz w:val="20"/>
                <w:szCs w:val="20"/>
                <w:color w:val="auto"/>
              </w:rPr>
            </w:pPr>
            <w:r>
              <w:rPr>
                <w:rFonts w:ascii="Arial" w:cs="Arial" w:eastAsia="Arial" w:hAnsi="Arial"/>
                <w:sz w:val="13"/>
                <w:szCs w:val="13"/>
                <w:color w:val="auto"/>
              </w:rPr>
              <w:t>$11,355</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0"/>
              <w:spacing w:after="0"/>
              <w:rPr>
                <w:sz w:val="20"/>
                <w:szCs w:val="20"/>
                <w:color w:val="auto"/>
              </w:rPr>
            </w:pPr>
            <w:r>
              <w:rPr>
                <w:rFonts w:ascii="Arial" w:cs="Arial" w:eastAsia="Arial" w:hAnsi="Arial"/>
                <w:sz w:val="13"/>
                <w:szCs w:val="13"/>
                <w:color w:val="auto"/>
              </w:rPr>
              <w:t>3,119</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40"/>
              <w:spacing w:after="0"/>
              <w:rPr>
                <w:sz w:val="20"/>
                <w:szCs w:val="20"/>
                <w:color w:val="auto"/>
              </w:rPr>
            </w:pPr>
            <w:r>
              <w:rPr>
                <w:rFonts w:ascii="Arial" w:cs="Arial" w:eastAsia="Arial" w:hAnsi="Arial"/>
                <w:sz w:val="13"/>
                <w:szCs w:val="13"/>
                <w:color w:val="auto"/>
              </w:rPr>
              <w:t>14,474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60"/>
              <w:spacing w:after="0"/>
              <w:rPr>
                <w:sz w:val="20"/>
                <w:szCs w:val="20"/>
                <w:color w:val="auto"/>
              </w:rPr>
            </w:pPr>
            <w:r>
              <w:rPr>
                <w:rFonts w:ascii="Arial" w:cs="Arial" w:eastAsia="Arial" w:hAnsi="Arial"/>
                <w:sz w:val="13"/>
                <w:szCs w:val="13"/>
                <w:color w:val="auto"/>
              </w:rPr>
              <w:t>22,619</w:t>
            </w:r>
          </w:p>
        </w:tc>
        <w:tc>
          <w:tcPr>
            <w:tcW w:w="1200" w:type="dxa"/>
            <w:vAlign w:val="bottom"/>
            <w:gridSpan w:val="2"/>
          </w:tcPr>
          <w:p>
            <w:pPr>
              <w:ind w:left="360"/>
              <w:spacing w:after="0"/>
              <w:rPr>
                <w:sz w:val="20"/>
                <w:szCs w:val="20"/>
                <w:color w:val="auto"/>
              </w:rPr>
            </w:pPr>
            <w:r>
              <w:rPr>
                <w:rFonts w:ascii="Arial" w:cs="Arial" w:eastAsia="Arial" w:hAnsi="Arial"/>
                <w:sz w:val="13"/>
                <w:szCs w:val="13"/>
                <w:color w:val="auto"/>
              </w:rPr>
              <w:t>$235,039</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1180" w:hanging="493"/>
        <w:spacing w:after="0"/>
        <w:tabs>
          <w:tab w:leader="none" w:pos="118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w:t>
      </w:r>
    </w:p>
    <w:p>
      <w:pPr>
        <w:spacing w:after="0" w:line="100"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On April 1, 2010, our Board of Directors approved transformation and restructuring plans, which include the integration of Global Med Technologies, Inc. In connection with the transformation plan, we had an asset write down of $15.7 million related to the abandonment of our next generation platelet apheresis platform and our blood bank donation management software, as well as $8.6 million in transformation costs related to the separation of employees. In fiscal year 2011, we expect to incur additional cash restructuring costs of $6.4 million for employee matters and facility closures. We also expect to incur $1.5 million of integration costs.</w:t>
      </w:r>
    </w:p>
    <w:p>
      <w:pPr>
        <w:spacing w:after="0" w:line="70"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During fiscal year 2009, the Company finalized and implemented aspects of its Technical Operations organization transformation plan to better align our Technical Operations resources with our strategy to be the global leader in blood management solutions for our customers. In accordance with the Company’s revised guidance, we incurred restructuring and other transformation costs of $7.0 million.</w:t>
      </w:r>
    </w:p>
    <w:p>
      <w:pPr>
        <w:spacing w:after="0" w:line="67" w:lineRule="exact"/>
        <w:rPr>
          <w:sz w:val="20"/>
          <w:szCs w:val="20"/>
          <w:color w:val="auto"/>
        </w:rPr>
      </w:pPr>
    </w:p>
    <w:p>
      <w:pPr>
        <w:ind w:left="680" w:right="1000" w:firstLine="399"/>
        <w:spacing w:after="0" w:line="322" w:lineRule="auto"/>
        <w:rPr>
          <w:sz w:val="20"/>
          <w:szCs w:val="20"/>
          <w:color w:val="auto"/>
        </w:rPr>
      </w:pPr>
      <w:r>
        <w:rPr>
          <w:rFonts w:ascii="Arial" w:cs="Arial" w:eastAsia="Arial" w:hAnsi="Arial"/>
          <w:sz w:val="11"/>
          <w:szCs w:val="11"/>
          <w:color w:val="auto"/>
        </w:rPr>
        <w:t>Additionally, during fiscal year 2009, we finalized the consolidation of our customer support functions in Europe into our European Headquarters in Signy, Switzerland. The consolidated center in Signy now includes finance, legal, human resources, customer and sales support, and logistics, supply chain management and procurement. At March 28, 2009, we recorded pre-tax restructuring costs $6.1 million as selling, general, and administrative costs. Additionally, we incurred other transformation costs relating to the hiring of personnel in our new shared services center in Signy, Switzerland of $0.9 million for the year ended March 28, 2009. The majority of the consolidation of these functions occurred during fiscal year 2008.</w:t>
      </w:r>
    </w:p>
    <w:p>
      <w:pPr>
        <w:spacing w:after="0" w:line="39"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Included in fiscal year 2008 restructuring costs were costs associated with exiting our OEM solutions business in South Carolina. We cancelled a contract to produce solutions for a pharmaceutical company and wrote down the associated assets. These costs totaled approximately $0.6 million.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restructuring activity for fiscal years 2010, 2009, and 2008,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Restructuring</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vMerge w:val="restart"/>
          </w:tcPr>
          <w:p>
            <w:pPr>
              <w:jc w:val="center"/>
              <w:ind w:right="580"/>
              <w:spacing w:after="0"/>
              <w:rPr>
                <w:sz w:val="20"/>
                <w:szCs w:val="20"/>
                <w:color w:val="auto"/>
              </w:rPr>
            </w:pPr>
            <w:r>
              <w:rPr>
                <w:rFonts w:ascii="Arial" w:cs="Arial" w:eastAsia="Arial" w:hAnsi="Arial"/>
                <w:sz w:val="10"/>
                <w:szCs w:val="10"/>
                <w:b w:val="1"/>
                <w:bCs w:val="1"/>
                <w:color w:val="auto"/>
                <w:w w:val="91"/>
              </w:rPr>
              <w:t>Balance at</w:t>
            </w:r>
          </w:p>
        </w:tc>
        <w:tc>
          <w:tcPr>
            <w:tcW w:w="100" w:type="dxa"/>
            <w:vAlign w:val="bottom"/>
          </w:tcPr>
          <w:p>
            <w:pPr>
              <w:spacing w:after="0"/>
              <w:rPr>
                <w:sz w:val="9"/>
                <w:szCs w:val="9"/>
                <w:color w:val="auto"/>
              </w:rPr>
            </w:pPr>
          </w:p>
        </w:tc>
        <w:tc>
          <w:tcPr>
            <w:tcW w:w="900" w:type="dxa"/>
            <w:vAlign w:val="bottom"/>
            <w:gridSpan w:val="2"/>
            <w:vMerge w:val="restart"/>
          </w:tcPr>
          <w:p>
            <w:pPr>
              <w:jc w:val="right"/>
              <w:ind w:right="580"/>
              <w:spacing w:after="0"/>
              <w:rPr>
                <w:sz w:val="20"/>
                <w:szCs w:val="20"/>
                <w:color w:val="auto"/>
              </w:rPr>
            </w:pPr>
            <w:r>
              <w:rPr>
                <w:rFonts w:ascii="Arial" w:cs="Arial" w:eastAsia="Arial" w:hAnsi="Arial"/>
                <w:sz w:val="10"/>
                <w:szCs w:val="10"/>
                <w:b w:val="1"/>
                <w:bCs w:val="1"/>
                <w:color w:val="auto"/>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0"/>
                <w:szCs w:val="10"/>
                <w:b w:val="1"/>
                <w:bCs w:val="1"/>
                <w:color w:val="auto"/>
              </w:rPr>
              <w:t>Asset</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Accrual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8"/>
              </w:rPr>
              <w:t>Payments</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Balance 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8"/>
              </w:rPr>
              <w:t>March 28, 2009</w:t>
            </w:r>
          </w:p>
        </w:tc>
        <w:tc>
          <w:tcPr>
            <w:tcW w:w="100" w:type="dxa"/>
            <w:vAlign w:val="bottom"/>
          </w:tcPr>
          <w:p>
            <w:pPr>
              <w:spacing w:after="0"/>
              <w:rPr>
                <w:sz w:val="10"/>
                <w:szCs w:val="1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9"/>
              </w:rPr>
              <w:t>Incurred</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Write Down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April 3, 2010</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2,729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8,598</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(1,566)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color w:val="auto"/>
              </w:rPr>
              <w:t>Facility related costs</w:t>
            </w:r>
          </w:p>
        </w:tc>
        <w:tc>
          <w:tcPr>
            <w:tcW w:w="18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3"/>
                <w:szCs w:val="13"/>
                <w:color w:val="auto"/>
              </w:rPr>
              <w:t>Other transformation costs</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15,686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(15,686)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2,849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24,284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(1,686)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(15,686)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9,761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0"/>
        </w:trPr>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98"/>
              <w:spacing w:after="0"/>
              <w:rPr>
                <w:sz w:val="20"/>
                <w:szCs w:val="20"/>
                <w:color w:val="auto"/>
              </w:rPr>
            </w:pPr>
            <w:r>
              <w:rPr>
                <w:rFonts w:ascii="Arial" w:cs="Arial" w:eastAsia="Arial" w:hAnsi="Arial"/>
                <w:sz w:val="13"/>
                <w:szCs w:val="13"/>
                <w:color w:val="auto"/>
              </w:rPr>
              <w:t>84</w:t>
            </w: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0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Restructuring</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ind w:right="105"/>
              <w:spacing w:after="0"/>
              <w:rPr>
                <w:sz w:val="20"/>
                <w:szCs w:val="20"/>
                <w:color w:val="auto"/>
              </w:rPr>
            </w:pPr>
            <w:r>
              <w:rPr>
                <w:rFonts w:ascii="Arial" w:cs="Arial" w:eastAsia="Arial" w:hAnsi="Arial"/>
                <w:sz w:val="10"/>
                <w:szCs w:val="10"/>
                <w:b w:val="1"/>
                <w:bCs w:val="1"/>
                <w:color w:val="auto"/>
              </w:rPr>
              <w:t>Balance at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Accrual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0"/>
                <w:szCs w:val="10"/>
                <w:b w:val="1"/>
                <w:bCs w:val="1"/>
                <w:color w:val="auto"/>
                <w:w w:val="88"/>
              </w:rPr>
              <w:t>Payments</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0"/>
                <w:szCs w:val="10"/>
                <w:b w:val="1"/>
                <w:bCs w:val="1"/>
                <w:color w:val="auto"/>
              </w:rPr>
              <w:t>March 29, 2008</w:t>
            </w:r>
          </w:p>
        </w:tc>
        <w:tc>
          <w:tcPr>
            <w:tcW w:w="2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9"/>
              </w:rPr>
              <w:t>Incurred</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Write Down</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March 28, 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2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521</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3,868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2,729</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Facility related costs</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42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Other transformation costs</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82"/>
              </w:rPr>
              <w:t>641</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6,148</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3,940</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278"/>
        </w:trPr>
        <w:tc>
          <w:tcPr>
            <w:tcW w:w="38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Restructuring</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ind w:right="65"/>
              <w:spacing w:after="0"/>
              <w:rPr>
                <w:sz w:val="20"/>
                <w:szCs w:val="20"/>
                <w:color w:val="auto"/>
              </w:rPr>
            </w:pPr>
            <w:r>
              <w:rPr>
                <w:rFonts w:ascii="Arial" w:cs="Arial" w:eastAsia="Arial" w:hAnsi="Arial"/>
                <w:sz w:val="10"/>
                <w:szCs w:val="10"/>
                <w:b w:val="1"/>
                <w:bCs w:val="1"/>
                <w:color w:val="auto"/>
              </w:rPr>
              <w:t>Balance at</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Accrual</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ind w:right="19"/>
              <w:spacing w:after="0"/>
              <w:rPr>
                <w:sz w:val="20"/>
                <w:szCs w:val="20"/>
                <w:color w:val="auto"/>
              </w:rPr>
            </w:pPr>
            <w:r>
              <w:rPr>
                <w:rFonts w:ascii="Arial" w:cs="Arial" w:eastAsia="Arial" w:hAnsi="Arial"/>
                <w:sz w:val="10"/>
                <w:szCs w:val="10"/>
                <w:b w:val="1"/>
                <w:bCs w:val="1"/>
                <w:color w:val="auto"/>
                <w:w w:val="88"/>
              </w:rPr>
              <w:t>Payments</w:t>
            </w:r>
          </w:p>
        </w:tc>
        <w:tc>
          <w:tcPr>
            <w:tcW w:w="38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25"/>
        </w:trPr>
        <w:tc>
          <w:tcPr>
            <w:tcW w:w="3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March 31,2007</w:t>
            </w:r>
          </w:p>
        </w:tc>
        <w:tc>
          <w:tcPr>
            <w:tcW w:w="20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19"/>
              <w:spacing w:after="0"/>
              <w:rPr>
                <w:sz w:val="20"/>
                <w:szCs w:val="20"/>
                <w:color w:val="auto"/>
              </w:rPr>
            </w:pPr>
            <w:r>
              <w:rPr>
                <w:rFonts w:ascii="Arial" w:cs="Arial" w:eastAsia="Arial" w:hAnsi="Arial"/>
                <w:sz w:val="10"/>
                <w:szCs w:val="10"/>
                <w:b w:val="1"/>
                <w:bCs w:val="1"/>
                <w:color w:val="auto"/>
                <w:w w:val="99"/>
              </w:rPr>
              <w:t>Incurred</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rPr>
              <w:t>Write Down</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1"/>
              <w:spacing w:after="0"/>
              <w:rPr>
                <w:sz w:val="20"/>
                <w:szCs w:val="20"/>
                <w:color w:val="auto"/>
              </w:rPr>
            </w:pPr>
            <w:r>
              <w:rPr>
                <w:rFonts w:ascii="Arial" w:cs="Arial" w:eastAsia="Arial" w:hAnsi="Arial"/>
                <w:sz w:val="10"/>
                <w:szCs w:val="10"/>
                <w:b w:val="1"/>
                <w:bCs w:val="1"/>
                <w:color w:val="auto"/>
                <w:w w:val="98"/>
              </w:rPr>
              <w:t>March 29, 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1000" w:type="dxa"/>
            <w:vAlign w:val="bottom"/>
            <w:gridSpan w:val="2"/>
            <w:shd w:val="clear" w:color="auto" w:fill="CCEEFF"/>
          </w:tcPr>
          <w:p>
            <w:pPr>
              <w:jc w:val="right"/>
              <w:ind w:right="785"/>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2,800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2,279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57"/>
        </w:trPr>
        <w:tc>
          <w:tcPr>
            <w:tcW w:w="3820" w:type="dxa"/>
            <w:vAlign w:val="bottom"/>
          </w:tcPr>
          <w:p>
            <w:pPr>
              <w:spacing w:after="0"/>
              <w:rPr>
                <w:sz w:val="20"/>
                <w:szCs w:val="20"/>
                <w:color w:val="auto"/>
              </w:rPr>
            </w:pPr>
            <w:r>
              <w:rPr>
                <w:rFonts w:ascii="Arial" w:cs="Arial" w:eastAsia="Arial" w:hAnsi="Arial"/>
                <w:sz w:val="13"/>
                <w:szCs w:val="13"/>
                <w:color w:val="auto"/>
              </w:rPr>
              <w:t>Facility related costs</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1,073</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727</w:t>
            </w:r>
          </w:p>
        </w:tc>
        <w:tc>
          <w:tcPr>
            <w:tcW w:w="12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304</w:t>
            </w: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Other transformation costs</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663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397</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785"/>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4,536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3,194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701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30"/>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CAPITALIZATION OF SOFTWARE DEVELOPMENT COSTS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implemented an Enterprise Resource Planning (ERP) system over the last three years.</w:t>
      </w:r>
    </w:p>
    <w:p>
      <w:pPr>
        <w:spacing w:after="0" w:line="96" w:lineRule="exact"/>
        <w:rPr>
          <w:sz w:val="20"/>
          <w:szCs w:val="20"/>
          <w:color w:val="auto"/>
        </w:rPr>
      </w:pPr>
    </w:p>
    <w:p>
      <w:pPr>
        <w:ind w:left="680" w:right="100" w:firstLine="399"/>
        <w:spacing w:after="0" w:line="255" w:lineRule="auto"/>
        <w:rPr>
          <w:sz w:val="20"/>
          <w:szCs w:val="20"/>
          <w:color w:val="auto"/>
        </w:rPr>
      </w:pPr>
      <w:r>
        <w:rPr>
          <w:rFonts w:ascii="Arial" w:cs="Arial" w:eastAsia="Arial" w:hAnsi="Arial"/>
          <w:sz w:val="13"/>
          <w:szCs w:val="13"/>
          <w:color w:val="auto"/>
        </w:rPr>
        <w:t xml:space="preserve">The cost of software that is developed or obtained for internal use is accounted for pursuant to ASC Topic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xml:space="preserve"> (formerly known as AICPA Statement of Position 98-1, </w:t>
      </w:r>
      <w:r>
        <w:rPr>
          <w:rFonts w:ascii="Arial" w:cs="Arial" w:eastAsia="Arial" w:hAnsi="Arial"/>
          <w:sz w:val="13"/>
          <w:szCs w:val="13"/>
          <w:i w:val="1"/>
          <w:iCs w:val="1"/>
          <w:color w:val="auto"/>
        </w:rPr>
        <w:t>Accounting for the Costs of Computer Software Developed or Obtained for Internal Use</w:t>
      </w:r>
      <w:r>
        <w:rPr>
          <w:rFonts w:ascii="Arial" w:cs="Arial" w:eastAsia="Arial" w:hAnsi="Arial"/>
          <w:sz w:val="13"/>
          <w:szCs w:val="13"/>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$4.9 million and $6.8 million in costs incurred for acquisition of the software license and related software development costs for new internal software that was in the application development stage during fiscal year 2010 and 2009, respectively. The total capitalized costs incurred include $1.8 million for the cost of the software license and $26.1 million in third party development costs and internal personnel costs. The capitalized costs are included as a component of property, plant and equipment in the consolidated financial statements. The Company incurred depreciation expense of $2.9 million, $1.7 million, and $1.4 million during fiscal year 2010, 2009, and 2008, respectively relating to the above capitalized costs.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successfully completed the final major go-live milestone implementations in the ERP system during fiscal year 2010.</w:t>
      </w:r>
    </w:p>
    <w:p>
      <w:pPr>
        <w:spacing w:after="0" w:line="96" w:lineRule="exact"/>
        <w:rPr>
          <w:sz w:val="20"/>
          <w:szCs w:val="20"/>
          <w:color w:val="auto"/>
        </w:rPr>
      </w:pPr>
    </w:p>
    <w:p>
      <w:pPr>
        <w:jc w:val="both"/>
        <w:ind w:left="680" w:right="420" w:firstLine="399"/>
        <w:spacing w:after="0" w:line="296" w:lineRule="auto"/>
        <w:rPr>
          <w:sz w:val="20"/>
          <w:szCs w:val="20"/>
          <w:color w:val="auto"/>
        </w:rPr>
      </w:pPr>
      <w:r>
        <w:rPr>
          <w:rFonts w:ascii="Arial" w:cs="Arial" w:eastAsia="Arial" w:hAnsi="Arial"/>
          <w:sz w:val="12"/>
          <w:szCs w:val="12"/>
          <w:color w:val="auto"/>
        </w:rPr>
        <w:t xml:space="preserve">ASC Topic 985-20, </w:t>
      </w:r>
      <w:r>
        <w:rPr>
          <w:rFonts w:ascii="Arial" w:cs="Arial" w:eastAsia="Arial" w:hAnsi="Arial"/>
          <w:sz w:val="12"/>
          <w:szCs w:val="12"/>
          <w:i w:val="1"/>
          <w:iCs w:val="1"/>
          <w:color w:val="auto"/>
        </w:rPr>
        <w:t>Software</w:t>
      </w:r>
      <w:r>
        <w:rPr>
          <w:rFonts w:ascii="Arial" w:cs="Arial" w:eastAsia="Arial" w:hAnsi="Arial"/>
          <w:sz w:val="12"/>
          <w:szCs w:val="12"/>
          <w:color w:val="auto"/>
        </w:rPr>
        <w:t xml:space="preserve"> (formerly known as SFAS No. 86, </w:t>
      </w:r>
      <w:r>
        <w:rPr>
          <w:rFonts w:ascii="Arial" w:cs="Arial" w:eastAsia="Arial" w:hAnsi="Arial"/>
          <w:sz w:val="12"/>
          <w:szCs w:val="12"/>
          <w:i w:val="1"/>
          <w:iCs w:val="1"/>
          <w:color w:val="auto"/>
        </w:rPr>
        <w:t>Accounting for the Cost of Computer Software to be Sold, Leased or Otherwise Marketed</w:t>
      </w:r>
      <w:r>
        <w:rPr>
          <w:rFonts w:ascii="Arial" w:cs="Arial" w:eastAsia="Arial" w:hAnsi="Arial"/>
          <w:sz w:val="12"/>
          <w:szCs w:val="12"/>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50"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 Company capitalized $4.7 million and $3.3 million in other software development costs for ongoing initiatives during fiscal year 2010 and 2009, respectively. At April 3, 2010, we have a total of $7.6 million of costs capitalized related to other in process software development initiatives. The costs capitalized for each project are included in intangible assets in the consolidated financial statements. In connection with these</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development activities we capitalized interest of $0.1 million in fiscal year 2010 and $0.7 million in fiscal year 2009.</w:t>
      </w:r>
    </w:p>
    <w:p>
      <w:pPr>
        <w:spacing w:after="0" w:line="96"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In connection with the change in our technology strategy and restructuring of our Engineering, Research and Development organization, the Company decided to abandon our software development project for our next generation blood bank apheresis platform. At April 3, 2010, we had an asset impairment of $12.2 million in total capitalized software development costs of this project in accordance with ASC Topic 985-20, as the net realizable value of the capitalized software was insufficient to recover the asset amount capitalized.</w:t>
      </w:r>
    </w:p>
    <w:p>
      <w:pPr>
        <w:spacing w:after="0" w:line="50"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Additionally, in connection with our acquisition of Global Med, we had an asset impairment of $3.5 million in capitalized costs of other software development initiatives in accordance with ASC Topic 985-20, as the net realizable value of the capitalized software was insufficient to recover the asset amount capitalized .</w:t>
      </w:r>
    </w:p>
    <w:p>
      <w:pPr>
        <w:spacing w:after="0" w:line="134" w:lineRule="exact"/>
        <w:rPr>
          <w:sz w:val="20"/>
          <w:szCs w:val="20"/>
          <w:color w:val="auto"/>
        </w:rPr>
      </w:pPr>
    </w:p>
    <w:p>
      <w:pPr>
        <w:ind w:left="1180" w:hanging="493"/>
        <w:spacing w:after="0"/>
        <w:tabs>
          <w:tab w:leader="none" w:pos="118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QUARTERLY DATA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316"/>
              <w:spacing w:after="0"/>
              <w:rPr>
                <w:sz w:val="20"/>
                <w:szCs w:val="20"/>
                <w:color w:val="auto"/>
              </w:rPr>
            </w:pPr>
            <w:r>
              <w:rPr>
                <w:rFonts w:ascii="Arial" w:cs="Arial" w:eastAsia="Arial" w:hAnsi="Arial"/>
                <w:sz w:val="10"/>
                <w:szCs w:val="10"/>
                <w:b w:val="1"/>
                <w:bCs w:val="1"/>
                <w:color w:val="auto"/>
              </w:rPr>
              <w:t>First</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236"/>
              <w:spacing w:after="0"/>
              <w:rPr>
                <w:sz w:val="20"/>
                <w:szCs w:val="20"/>
                <w:color w:val="auto"/>
              </w:rPr>
            </w:pPr>
            <w:r>
              <w:rPr>
                <w:rFonts w:ascii="Arial" w:cs="Arial" w:eastAsia="Arial" w:hAnsi="Arial"/>
                <w:sz w:val="10"/>
                <w:szCs w:val="10"/>
                <w:b w:val="1"/>
                <w:bCs w:val="1"/>
                <w:color w:val="auto"/>
                <w:w w:val="99"/>
              </w:rPr>
              <w:t>Second</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76"/>
              <w:spacing w:after="0"/>
              <w:rPr>
                <w:sz w:val="20"/>
                <w:szCs w:val="20"/>
                <w:color w:val="auto"/>
              </w:rPr>
            </w:pPr>
            <w:r>
              <w:rPr>
                <w:rFonts w:ascii="Arial" w:cs="Arial" w:eastAsia="Arial" w:hAnsi="Arial"/>
                <w:sz w:val="10"/>
                <w:szCs w:val="10"/>
                <w:b w:val="1"/>
                <w:bCs w:val="1"/>
                <w:color w:val="auto"/>
              </w:rPr>
              <w:t>Third</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56"/>
              <w:spacing w:after="0"/>
              <w:rPr>
                <w:sz w:val="20"/>
                <w:szCs w:val="20"/>
                <w:color w:val="auto"/>
              </w:rPr>
            </w:pPr>
            <w:r>
              <w:rPr>
                <w:rFonts w:ascii="Arial" w:cs="Arial" w:eastAsia="Arial" w:hAnsi="Arial"/>
                <w:sz w:val="10"/>
                <w:szCs w:val="10"/>
                <w:b w:val="1"/>
                <w:bCs w:val="1"/>
                <w:color w:val="auto"/>
              </w:rPr>
              <w:t>Fourth</w:t>
            </w:r>
          </w:p>
        </w:tc>
      </w:tr>
      <w:tr>
        <w:trPr>
          <w:trHeight w:val="125"/>
        </w:trPr>
        <w:tc>
          <w:tcPr>
            <w:tcW w:w="5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w w:val="99"/>
              </w:rPr>
              <w:t>Quarter</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Quarter</w:t>
            </w: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w w:val="99"/>
              </w:rPr>
              <w:t>Quarter</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Quarter</w:t>
            </w:r>
          </w:p>
        </w:tc>
      </w:tr>
      <w:tr>
        <w:trPr>
          <w:trHeight w:val="29"/>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April 3, 2010:</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Net revenues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154,087</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w w:val="89"/>
              </w:rPr>
              <w:t>157,070</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165,169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169,104</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82,943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80,967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85,447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88,124</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Operating income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26,327</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27,023</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25,835</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4,096</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18,073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18,050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18,286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3,961</w:t>
            </w:r>
          </w:p>
        </w:tc>
      </w:tr>
      <w:tr>
        <w:trPr>
          <w:trHeight w:val="157"/>
        </w:trPr>
        <w:tc>
          <w:tcPr>
            <w:tcW w:w="540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Basic</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0.70</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0.70</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0.72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0.16</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0.69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0.71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0.15</w:t>
            </w:r>
          </w:p>
        </w:tc>
      </w:tr>
      <w:tr>
        <w:trPr>
          <w:trHeight w:val="157"/>
        </w:trPr>
        <w:tc>
          <w:tcPr>
            <w:tcW w:w="5400" w:type="dxa"/>
            <w:vAlign w:val="bottom"/>
          </w:tcPr>
          <w:p>
            <w:pPr>
              <w:spacing w:after="0"/>
              <w:rPr>
                <w:sz w:val="20"/>
                <w:szCs w:val="20"/>
                <w:color w:val="auto"/>
              </w:rPr>
            </w:pPr>
            <w:r>
              <w:rPr>
                <w:rFonts w:ascii="Arial" w:cs="Arial" w:eastAsia="Arial" w:hAnsi="Arial"/>
                <w:sz w:val="13"/>
                <w:szCs w:val="13"/>
                <w:b w:val="1"/>
                <w:bCs w:val="1"/>
                <w:i w:val="1"/>
                <w:iCs w:val="1"/>
                <w:color w:val="auto"/>
              </w:rPr>
              <w:t>Fiscal year ended March 28, 2009:</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144,116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9"/>
              </w:rPr>
              <w:t>145,919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155,447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152,397</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Gross profit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73,038</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74,689</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78,296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82,147</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19,334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23,609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24,491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18,133</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14,292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14,807</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16,216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13,989</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 data:</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0.56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0.59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0.64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0.55</w:t>
            </w:r>
          </w:p>
        </w:tc>
      </w:tr>
      <w:tr>
        <w:trPr>
          <w:trHeight w:val="165"/>
        </w:trPr>
        <w:tc>
          <w:tcPr>
            <w:tcW w:w="5400" w:type="dxa"/>
            <w:vAlign w:val="bottom"/>
          </w:tcPr>
          <w:p>
            <w:pPr>
              <w:spacing w:after="0"/>
              <w:rPr>
                <w:sz w:val="20"/>
                <w:szCs w:val="20"/>
                <w:color w:val="auto"/>
              </w:rPr>
            </w:pPr>
            <w:r>
              <w:rPr>
                <w:rFonts w:ascii="Arial" w:cs="Arial" w:eastAsia="Arial" w:hAnsi="Arial"/>
                <w:sz w:val="13"/>
                <w:szCs w:val="13"/>
                <w:color w:val="auto"/>
              </w:rPr>
              <w:t>Diluted</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0.54</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0.57</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0.62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0.53</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decreased by $21.7 million during the fourth quarter of fiscal year 2010 primarily due to:</w:t>
      </w:r>
    </w:p>
    <w:p>
      <w:pPr>
        <w:spacing w:after="0" w:line="96" w:lineRule="exact"/>
        <w:rPr>
          <w:sz w:val="20"/>
          <w:szCs w:val="20"/>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impairment of two intangible assets totaling $15.7 million,</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Restructuring costs totaling $8.6 million, primarily separation benefits, associated with the integration of the Global Med Acquisition (under new accounting rules costs to separate employees of Global Med are now expensed), and the implementation of a customer solutions implementation group,</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Costs to consummate the acquisition of Global Med totaling $1.7 million,</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9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9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 :</w:t>
      </w:r>
    </w:p>
    <w:p>
      <w:pPr>
        <w:spacing w:after="0" w:line="96" w:lineRule="exact"/>
        <w:rPr>
          <w:sz w:val="20"/>
          <w:szCs w:val="20"/>
          <w:color w:val="auto"/>
        </w:rPr>
      </w:pPr>
    </w:p>
    <w:p>
      <w:pPr>
        <w:ind w:left="1280" w:hanging="190"/>
        <w:spacing w:after="0"/>
        <w:tabs>
          <w:tab w:leader="none" w:pos="1280" w:val="left"/>
        </w:tabs>
        <w:numPr>
          <w:ilvl w:val="1"/>
          <w:numId w:val="61"/>
        </w:numPr>
        <w:rPr>
          <w:rFonts w:ascii="Arial" w:cs="Arial" w:eastAsia="Arial" w:hAnsi="Arial"/>
          <w:sz w:val="13"/>
          <w:szCs w:val="13"/>
          <w:color w:val="auto"/>
        </w:rPr>
      </w:pPr>
      <w:r>
        <w:rPr>
          <w:rFonts w:ascii="Arial" w:cs="Arial" w:eastAsia="Arial" w:hAnsi="Arial"/>
          <w:sz w:val="13"/>
          <w:szCs w:val="13"/>
          <w:color w:val="auto"/>
        </w:rPr>
        <w:t>Income totaling $2.3 million resulting from the remeasurement of the fair value of contingent consideration from our Neoteric acquisition,</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evaluated all events and transactions through June 1, 2010, the date these financial statements were issued. In an April 6, 2010 press release, the Company announced that its Board of Directors approved the repurchase of up to $50 million worth of Company shares during fiscal year 2011.</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360"/>
          </w:cols>
          <w:pgMar w:left="220" w:top="343" w:right="13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Haemonetics Corporation: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Haemonetics Corporation and subsidiaries as of April 3, 2010 and March 28, 2009 and the related consolidated statements of income, stockholders’ equity and comprehensive income, and cash flows for each of the three years in the period ended April 3, 2010.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Haemonetics Corporation and subsidiaries at April 3, 2010 and March 28, 2009, and the consolidated results of their operations and their cash flows for each of the three years in the period ended April 3,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jc w:val="both"/>
        <w:ind w:left="680" w:right="200" w:firstLine="399"/>
        <w:spacing w:after="0" w:line="371" w:lineRule="auto"/>
        <w:rPr>
          <w:sz w:val="20"/>
          <w:szCs w:val="20"/>
          <w:color w:val="auto"/>
        </w:rPr>
      </w:pPr>
      <w:r>
        <w:rPr>
          <w:rFonts w:ascii="Arial" w:cs="Arial" w:eastAsia="Arial" w:hAnsi="Arial"/>
          <w:sz w:val="11"/>
          <w:szCs w:val="11"/>
          <w:color w:val="auto"/>
        </w:rPr>
        <w:t xml:space="preserve">As discussed in Note 2 to the consolidated financial statements, Haemonetics Corporation and subsidiaries changed its method for accounting for business combinations with the adoption of the guidance originally issued in FASB Statement No. 141(R), </w:t>
      </w:r>
      <w:r>
        <w:rPr>
          <w:rFonts w:ascii="Arial" w:cs="Arial" w:eastAsia="Arial" w:hAnsi="Arial"/>
          <w:sz w:val="11"/>
          <w:szCs w:val="11"/>
          <w:i w:val="1"/>
          <w:iCs w:val="1"/>
          <w:color w:val="auto"/>
        </w:rPr>
        <w:t>Business Combinations</w:t>
      </w:r>
      <w:r>
        <w:rPr>
          <w:rFonts w:ascii="Arial" w:cs="Arial" w:eastAsia="Arial" w:hAnsi="Arial"/>
          <w:sz w:val="11"/>
          <w:szCs w:val="11"/>
          <w:color w:val="auto"/>
        </w:rPr>
        <w:t xml:space="preserve"> (codified in FASB ASC Topic 805, </w:t>
      </w:r>
      <w:r>
        <w:rPr>
          <w:rFonts w:ascii="Arial" w:cs="Arial" w:eastAsia="Arial" w:hAnsi="Arial"/>
          <w:sz w:val="11"/>
          <w:szCs w:val="11"/>
          <w:i w:val="1"/>
          <w:iCs w:val="1"/>
          <w:color w:val="auto"/>
        </w:rPr>
        <w:t>Business Combinations</w:t>
      </w:r>
      <w:r>
        <w:rPr>
          <w:rFonts w:ascii="Arial" w:cs="Arial" w:eastAsia="Arial" w:hAnsi="Arial"/>
          <w:sz w:val="11"/>
          <w:szCs w:val="11"/>
          <w:color w:val="auto"/>
        </w:rPr>
        <w:t>) effective March 29, 2009.</w:t>
      </w:r>
    </w:p>
    <w:p>
      <w:pPr>
        <w:spacing w:after="0" w:line="12"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Haemonetics Corporation and subsidiaries’ internal control over financial reporting as of April 3, 2010, based on criteria established in Internal Control — Integrated Framework issued by the Committee of Sponsoring Organizations of the Treadway Commission and our report dated June 1, 2010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1080" w:hanging="393"/>
        <w:spacing w:after="0"/>
        <w:tabs>
          <w:tab w:leader="none" w:pos="108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w:t>
      </w:r>
    </w:p>
    <w:p>
      <w:pPr>
        <w:spacing w:after="0" w:line="144" w:lineRule="exact"/>
        <w:rPr>
          <w:sz w:val="20"/>
          <w:szCs w:val="20"/>
          <w:color w:val="auto"/>
        </w:rPr>
      </w:pPr>
    </w:p>
    <w:p>
      <w:pPr>
        <w:ind w:left="1080" w:hanging="393"/>
        <w:spacing w:after="0"/>
        <w:tabs>
          <w:tab w:leader="none" w:pos="108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color w:val="auto"/>
        </w:rPr>
        <w:t>Reports on Internal Control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Management’s Annual Report on Internal Control over Financial Reporting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management of the Company is responsible for establishing and maintaining adequate internal control over financial reporting, as such term is defined in Exchange Act</w:t>
      </w:r>
    </w:p>
    <w:p>
      <w:pPr>
        <w:spacing w:after="0" w:line="27"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Rule 13a-15(f). The Company’s internal control system was designed to provide reasonable assurance to the Company’s management and Board of Directors regarding the preparation and fair presentation of published financial statements.</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35"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Company’s management assessed the effectiveness of the Company’s internal control over financial reporting as of April 3, 2010. In making this assessment, the management used the criteria set forth by the Committee of Sponsoring Organizations of the Treadway Commission (COSO) in Internal Control-Integrated Framework. Based on our assessment we believe that, as of April 3, 2010, the Company’s internal control over financial reporting is effective based on those criteria.</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Haemonetics Corporation:</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audited Haemonetics Corporation and subsidiaries’ internal control over financial reporting as of April 3, 2010, based on criteria established in Internal Control — Integrated Framework issued by the Committee of Sponsoring Organizations of the Treadway Commission (the COSO criteria). Haemonetics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In our opinion, Haemonetics Corporation and subsidiaries maintained, in all material respects, effective internal control over financial reporting as of April 3, 2010, based on the COSO criteria.</w:t>
      </w:r>
    </w:p>
    <w:p>
      <w:pPr>
        <w:spacing w:after="0" w:line="59"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the consolidated balance sheets of Haemonetics Corporation and subsidiaries as of April 3, 2010 and March 28, 2009, and the related consolidated statements of income, stockholders’ equity and comprehensive income, and cash flows for each of the three years in the period ended April 3, 2010 of Haemonetics Corporation and subsidiaries and our report dated June 1, 2010 expressed an unqualified opinion thereon.</w:t>
      </w:r>
    </w:p>
    <w:p>
      <w:pPr>
        <w:spacing w:after="0" w:line="28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080" w:hanging="393"/>
        <w:spacing w:after="0"/>
        <w:tabs>
          <w:tab w:leader="none" w:pos="108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Changes in Internal Controls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 and Corporate Governance</w:t>
      </w:r>
    </w:p>
    <w:p>
      <w:pPr>
        <w:spacing w:after="0" w:line="100" w:lineRule="exact"/>
        <w:rPr>
          <w:sz w:val="20"/>
          <w:szCs w:val="20"/>
          <w:color w:val="auto"/>
        </w:rPr>
      </w:pPr>
    </w:p>
    <w:p>
      <w:pPr>
        <w:ind w:left="680" w:right="240" w:firstLine="406"/>
        <w:spacing w:after="0" w:line="320" w:lineRule="auto"/>
        <w:tabs>
          <w:tab w:leader="none" w:pos="1208"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to our Proxy Statement for the Annual Meeting to be held July 29, 2010.</w:t>
      </w:r>
    </w:p>
    <w:p>
      <w:pPr>
        <w:spacing w:after="0" w:line="35" w:lineRule="exact"/>
        <w:rPr>
          <w:rFonts w:ascii="Arial" w:cs="Arial" w:eastAsia="Arial" w:hAnsi="Arial"/>
          <w:sz w:val="12"/>
          <w:szCs w:val="12"/>
          <w:color w:val="auto"/>
        </w:rPr>
      </w:pPr>
    </w:p>
    <w:p>
      <w:pPr>
        <w:ind w:left="1220" w:hanging="134"/>
        <w:spacing w:after="0"/>
        <w:tabs>
          <w:tab w:leader="none" w:pos="12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information concerning our Executive Officers is set forth at the end of Part I hereof.</w:t>
      </w:r>
    </w:p>
    <w:p>
      <w:pPr>
        <w:spacing w:after="0" w:line="96" w:lineRule="exact"/>
        <w:rPr>
          <w:rFonts w:ascii="Arial" w:cs="Arial" w:eastAsia="Arial" w:hAnsi="Arial"/>
          <w:sz w:val="13"/>
          <w:szCs w:val="13"/>
          <w:color w:val="auto"/>
        </w:rPr>
      </w:pPr>
    </w:p>
    <w:p>
      <w:pPr>
        <w:ind w:left="1220" w:hanging="134"/>
        <w:spacing w:after="0"/>
        <w:tabs>
          <w:tab w:leader="none" w:pos="12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The balance of the information required by this item including information concerning our Audit Committee and the Audit Committee Financial Expert and compliance with</w:t>
      </w:r>
    </w:p>
    <w:p>
      <w:pPr>
        <w:spacing w:after="0" w:line="27" w:lineRule="exact"/>
        <w:rPr>
          <w:sz w:val="20"/>
          <w:szCs w:val="20"/>
          <w:color w:val="auto"/>
        </w:rPr>
      </w:pPr>
    </w:p>
    <w:p>
      <w:pPr>
        <w:ind w:left="680" w:right="40"/>
        <w:spacing w:after="0" w:line="256" w:lineRule="auto"/>
        <w:rPr>
          <w:sz w:val="20"/>
          <w:szCs w:val="20"/>
          <w:color w:val="auto"/>
        </w:rPr>
      </w:pPr>
      <w:r>
        <w:rPr>
          <w:rFonts w:ascii="Arial" w:cs="Arial" w:eastAsia="Arial" w:hAnsi="Arial"/>
          <w:sz w:val="13"/>
          <w:szCs w:val="13"/>
          <w:color w:val="auto"/>
        </w:rPr>
        <w:t xml:space="preserve">Item 407(c)(3) of S-K is incorporated by reference to the Company’s Proxy Statement for the Annual Meeting to be held July 29, 2010.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3"/>
          <w:szCs w:val="13"/>
          <w:b w:val="1"/>
          <w:bCs w:val="1"/>
          <w:color w:val="auto"/>
        </w:rPr>
        <w:t>http://www.haemonetics.com/site/content/investor/investor.asp</w:t>
      </w:r>
      <w:r>
        <w:rPr>
          <w:rFonts w:ascii="Arial" w:cs="Arial" w:eastAsia="Arial" w:hAnsi="Arial"/>
          <w:sz w:val="13"/>
          <w:szCs w:val="13"/>
          <w:color w:val="auto"/>
        </w:rPr>
        <w:t xml:space="preserve"> and it is available in print to any shareholder who requests it. Such requests should be directed to our Company’s Secretary.</w:t>
      </w:r>
    </w:p>
    <w:p>
      <w:pPr>
        <w:spacing w:after="0" w:line="7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information required by this Item is incorporated by reference from our Proxy Statement for the Annual Meeting to be held July 29, 2010. Notwithstanding the foregoing, the Compensation Committee Report included within the Proxy Statement is only being “furnished” hereunder and shall not be deemed “filed” for purposes of Section 18 of the Securities and Exchange Act of 1934.</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concerning security ownership of certain beneficial owners and management is incorporated by reference to the Company’s Proxy Statement for the Annual Meeting to be held July 29, 2010.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below sets forth information as of April 3, 2010 with respect to compensation plans under which equity securities of the Company are authorized for issuance.</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(a)</w:t>
            </w: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(b)</w:t>
            </w:r>
          </w:p>
        </w:tc>
        <w:tc>
          <w:tcPr>
            <w:tcW w:w="2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4"/>
              </w:rPr>
              <w:t>Number of Securities to be</w:t>
            </w:r>
          </w:p>
        </w:tc>
        <w:tc>
          <w:tcPr>
            <w:tcW w:w="180" w:type="dxa"/>
            <w:vAlign w:val="bottom"/>
          </w:tcPr>
          <w:p>
            <w:pPr>
              <w:spacing w:after="0"/>
              <w:rPr>
                <w:sz w:val="9"/>
                <w:szCs w:val="9"/>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Weighted Average</w:t>
            </w:r>
          </w:p>
        </w:tc>
        <w:tc>
          <w:tcPr>
            <w:tcW w:w="2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Available for Future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20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Issuance Under Equity</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3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upon Exercise</w:t>
            </w:r>
          </w:p>
        </w:tc>
        <w:tc>
          <w:tcPr>
            <w:tcW w:w="180" w:type="dxa"/>
            <w:vAlign w:val="bottom"/>
          </w:tcPr>
          <w:p>
            <w:pPr>
              <w:spacing w:after="0"/>
              <w:rPr>
                <w:sz w:val="9"/>
                <w:szCs w:val="9"/>
                <w:color w:val="auto"/>
              </w:rPr>
            </w:pPr>
          </w:p>
        </w:tc>
        <w:tc>
          <w:tcPr>
            <w:tcW w:w="16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1"/>
              </w:rPr>
              <w:t>Exercise Price of</w:t>
            </w:r>
          </w:p>
        </w:tc>
        <w:tc>
          <w:tcPr>
            <w:tcW w:w="20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118"/>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23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of Outstanding Options,</w:t>
            </w: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Outstanding Options,</w:t>
            </w:r>
          </w:p>
        </w:tc>
        <w:tc>
          <w:tcPr>
            <w:tcW w:w="2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(Excluding Securities</w:t>
            </w:r>
          </w:p>
        </w:tc>
        <w:tc>
          <w:tcPr>
            <w:tcW w:w="0" w:type="dxa"/>
            <w:vAlign w:val="bottom"/>
          </w:tcPr>
          <w:p>
            <w:pPr>
              <w:spacing w:after="0"/>
              <w:rPr>
                <w:sz w:val="1"/>
                <w:szCs w:val="1"/>
                <w:color w:val="auto"/>
              </w:rPr>
            </w:pPr>
          </w:p>
        </w:tc>
      </w:tr>
      <w:tr>
        <w:trPr>
          <w:trHeight w:val="125"/>
        </w:trPr>
        <w:tc>
          <w:tcPr>
            <w:tcW w:w="3820" w:type="dxa"/>
            <w:vAlign w:val="bottom"/>
            <w:gridSpan w:val="2"/>
            <w:vMerge w:val="continue"/>
          </w:tcPr>
          <w:p>
            <w:pPr>
              <w:spacing w:after="0"/>
              <w:rPr>
                <w:sz w:val="10"/>
                <w:szCs w:val="10"/>
                <w:color w:val="auto"/>
              </w:rPr>
            </w:pPr>
          </w:p>
        </w:tc>
        <w:tc>
          <w:tcPr>
            <w:tcW w:w="23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Warrants and Rights</w:t>
            </w:r>
          </w:p>
        </w:tc>
        <w:tc>
          <w:tcPr>
            <w:tcW w:w="18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Warrants and Rights</w:t>
            </w:r>
          </w:p>
        </w:tc>
        <w:tc>
          <w:tcPr>
            <w:tcW w:w="2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Reflected in Columns (a)*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2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3,002,569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44.41</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2,161,169</w:t>
            </w:r>
          </w:p>
        </w:tc>
        <w:tc>
          <w:tcPr>
            <w:tcW w:w="0" w:type="dxa"/>
            <w:vAlign w:val="bottom"/>
          </w:tcPr>
          <w:p>
            <w:pPr>
              <w:spacing w:after="0"/>
              <w:rPr>
                <w:sz w:val="1"/>
                <w:szCs w:val="1"/>
                <w:color w:val="auto"/>
              </w:rPr>
            </w:pPr>
          </w:p>
        </w:tc>
      </w:tr>
      <w:tr>
        <w:trPr>
          <w:trHeight w:val="157"/>
        </w:trPr>
        <w:tc>
          <w:tcPr>
            <w:tcW w:w="38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21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3,002,569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44.41</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2,161,169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9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Includes 574,637 shares available for purchase under the Employee Stock Purchase Plan in future purchase periods.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29, 2010.</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29, 2010.</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documents are filed as a part of this report:</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8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6740" w:type="dxa"/>
            <w:vAlign w:val="bottom"/>
            <w:gridSpan w:val="8"/>
          </w:tcPr>
          <w:p>
            <w:pPr>
              <w:ind w:left="120"/>
              <w:spacing w:after="0"/>
              <w:rPr>
                <w:sz w:val="20"/>
                <w:szCs w:val="20"/>
                <w:color w:val="auto"/>
              </w:rPr>
            </w:pPr>
            <w:r>
              <w:rPr>
                <w:rFonts w:ascii="Arial" w:cs="Arial" w:eastAsia="Arial" w:hAnsi="Arial"/>
                <w:sz w:val="13"/>
                <w:szCs w:val="13"/>
                <w:b w:val="1"/>
                <w:bCs w:val="1"/>
                <w:color w:val="auto"/>
              </w:rPr>
              <w:t>Financial Statements are included in Part II of this report</w:t>
            </w:r>
          </w:p>
        </w:tc>
        <w:tc>
          <w:tcPr>
            <w:tcW w:w="2920" w:type="dxa"/>
            <w:vAlign w:val="bottom"/>
          </w:tcPr>
          <w:p>
            <w:pPr>
              <w:spacing w:after="0"/>
              <w:rPr>
                <w:sz w:val="14"/>
                <w:szCs w:val="14"/>
                <w:color w:val="auto"/>
              </w:rPr>
            </w:pPr>
          </w:p>
        </w:tc>
      </w:tr>
      <w:tr>
        <w:trPr>
          <w:trHeight w:val="327"/>
        </w:trPr>
        <w:tc>
          <w:tcPr>
            <w:tcW w:w="7020" w:type="dxa"/>
            <w:vAlign w:val="bottom"/>
            <w:gridSpan w:val="10"/>
          </w:tcPr>
          <w:p>
            <w:pPr>
              <w:spacing w:after="0"/>
              <w:rPr>
                <w:sz w:val="20"/>
                <w:szCs w:val="20"/>
                <w:color w:val="auto"/>
              </w:rPr>
            </w:pPr>
            <w:r>
              <w:rPr>
                <w:rFonts w:ascii="Arial" w:cs="Arial" w:eastAsia="Arial" w:hAnsi="Arial"/>
                <w:sz w:val="13"/>
                <w:szCs w:val="13"/>
                <w:color w:val="auto"/>
              </w:rPr>
              <w:t>Financial Statements required by Item 8 of this Form</w:t>
            </w:r>
          </w:p>
        </w:tc>
        <w:tc>
          <w:tcPr>
            <w:tcW w:w="2920" w:type="dxa"/>
            <w:vAlign w:val="bottom"/>
          </w:tcPr>
          <w:p>
            <w:pPr>
              <w:spacing w:after="0"/>
              <w:rPr>
                <w:sz w:val="24"/>
                <w:szCs w:val="24"/>
                <w:color w:val="auto"/>
              </w:rPr>
            </w:pPr>
          </w:p>
        </w:tc>
      </w:tr>
      <w:tr>
        <w:trPr>
          <w:trHeight w:val="137"/>
        </w:trPr>
        <w:tc>
          <w:tcPr>
            <w:tcW w:w="140" w:type="dxa"/>
            <w:vAlign w:val="bottom"/>
          </w:tcPr>
          <w:p>
            <w:pPr>
              <w:spacing w:after="0"/>
              <w:rPr>
                <w:sz w:val="11"/>
                <w:szCs w:val="11"/>
                <w:color w:val="auto"/>
              </w:rPr>
            </w:pPr>
          </w:p>
        </w:tc>
        <w:tc>
          <w:tcPr>
            <w:tcW w:w="6880" w:type="dxa"/>
            <w:vAlign w:val="bottom"/>
            <w:gridSpan w:val="9"/>
          </w:tcPr>
          <w:p>
            <w:pPr>
              <w:spacing w:after="0" w:line="137" w:lineRule="exact"/>
              <w:rPr>
                <w:rFonts w:ascii="Arial" w:cs="Arial" w:eastAsia="Arial" w:hAnsi="Arial"/>
                <w:sz w:val="13"/>
                <w:szCs w:val="13"/>
                <w:color w:val="0000EE"/>
              </w:rPr>
            </w:pPr>
            <w:hyperlink w:anchor="page51">
              <w:r>
                <w:rPr>
                  <w:rFonts w:ascii="Arial" w:cs="Arial" w:eastAsia="Arial" w:hAnsi="Arial"/>
                  <w:sz w:val="13"/>
                  <w:szCs w:val="13"/>
                  <w:color w:val="0000EE"/>
                </w:rPr>
                <w:t>Consolidated Statements of Income</w:t>
              </w:r>
            </w:hyperlink>
          </w:p>
        </w:tc>
        <w:tc>
          <w:tcPr>
            <w:tcW w:w="2920" w:type="dxa"/>
            <w:vAlign w:val="bottom"/>
          </w:tcPr>
          <w:p>
            <w:pPr>
              <w:jc w:val="right"/>
              <w:spacing w:after="0" w:line="137" w:lineRule="exact"/>
              <w:rPr>
                <w:sz w:val="20"/>
                <w:szCs w:val="20"/>
                <w:color w:val="auto"/>
              </w:rPr>
            </w:pPr>
            <w:r>
              <w:rPr>
                <w:rFonts w:ascii="Arial" w:cs="Arial" w:eastAsia="Arial" w:hAnsi="Arial"/>
                <w:sz w:val="13"/>
                <w:szCs w:val="13"/>
                <w:color w:val="auto"/>
              </w:rPr>
              <w:t>48</w:t>
            </w:r>
          </w:p>
        </w:tc>
      </w:tr>
      <w:tr>
        <w:trPr>
          <w:trHeight w:val="137"/>
        </w:trPr>
        <w:tc>
          <w:tcPr>
            <w:tcW w:w="14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52">
              <w:r>
                <w:rPr>
                  <w:rFonts w:ascii="Arial" w:cs="Arial" w:eastAsia="Arial" w:hAnsi="Arial"/>
                  <w:sz w:val="13"/>
                  <w:szCs w:val="13"/>
                  <w:color w:val="0000EE"/>
                  <w:w w:val="87"/>
                </w:rPr>
                <w:t>Consolidated Balance Sheets</w:t>
              </w:r>
            </w:hyperlink>
          </w:p>
        </w:tc>
        <w:tc>
          <w:tcPr>
            <w:tcW w:w="340" w:type="dxa"/>
            <w:vAlign w:val="bottom"/>
            <w:tcBorders>
              <w:top w:val="single" w:sz="8" w:color="0000EE"/>
            </w:tcBorders>
          </w:tcPr>
          <w:p>
            <w:pPr>
              <w:spacing w:after="0"/>
              <w:rPr>
                <w:sz w:val="11"/>
                <w:szCs w:val="11"/>
                <w:color w:val="auto"/>
              </w:rPr>
            </w:pPr>
          </w:p>
        </w:tc>
        <w:tc>
          <w:tcPr>
            <w:tcW w:w="5020" w:type="dxa"/>
            <w:vAlign w:val="bottom"/>
            <w:gridSpan w:val="6"/>
          </w:tcPr>
          <w:p>
            <w:pPr>
              <w:spacing w:after="0"/>
              <w:rPr>
                <w:sz w:val="11"/>
                <w:szCs w:val="11"/>
                <w:color w:val="auto"/>
              </w:rPr>
            </w:pPr>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140" w:type="dxa"/>
            <w:vAlign w:val="bottom"/>
          </w:tcPr>
          <w:p>
            <w:pPr>
              <w:spacing w:after="0"/>
              <w:rPr>
                <w:sz w:val="11"/>
                <w:szCs w:val="11"/>
                <w:color w:val="auto"/>
              </w:rPr>
            </w:pPr>
          </w:p>
        </w:tc>
        <w:tc>
          <w:tcPr>
            <w:tcW w:w="408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53">
              <w:r>
                <w:rPr>
                  <w:rFonts w:ascii="Arial" w:cs="Arial" w:eastAsia="Arial" w:hAnsi="Arial"/>
                  <w:sz w:val="13"/>
                  <w:szCs w:val="13"/>
                  <w:color w:val="0000EE"/>
                  <w:w w:val="90"/>
                </w:rPr>
                <w:t>Consolidated Statements of Stockholders’ Equity and Comprehensive Income</w:t>
              </w:r>
            </w:hyperlink>
          </w:p>
        </w:tc>
        <w:tc>
          <w:tcPr>
            <w:tcW w:w="2800" w:type="dxa"/>
            <w:vAlign w:val="bottom"/>
          </w:tcPr>
          <w:p>
            <w:pPr>
              <w:spacing w:after="0"/>
              <w:rPr>
                <w:sz w:val="11"/>
                <w:szCs w:val="11"/>
                <w:color w:val="auto"/>
              </w:rPr>
            </w:pPr>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137"/>
        </w:trPr>
        <w:tc>
          <w:tcPr>
            <w:tcW w:w="140" w:type="dxa"/>
            <w:vAlign w:val="bottom"/>
          </w:tcPr>
          <w:p>
            <w:pPr>
              <w:spacing w:after="0"/>
              <w:rPr>
                <w:sz w:val="11"/>
                <w:szCs w:val="11"/>
                <w:color w:val="auto"/>
              </w:rPr>
            </w:pPr>
          </w:p>
        </w:tc>
        <w:tc>
          <w:tcPr>
            <w:tcW w:w="6880" w:type="dxa"/>
            <w:vAlign w:val="bottom"/>
            <w:gridSpan w:val="9"/>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Consolidated Statements of Cash Flows</w:t>
              </w:r>
            </w:hyperlink>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51</w:t>
            </w:r>
          </w:p>
        </w:tc>
      </w:tr>
      <w:tr>
        <w:trPr>
          <w:trHeight w:val="20"/>
        </w:trPr>
        <w:tc>
          <w:tcPr>
            <w:tcW w:w="1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2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55">
              <w:r>
                <w:rPr>
                  <w:rFonts w:ascii="Arial" w:cs="Arial" w:eastAsia="Arial" w:hAnsi="Arial"/>
                  <w:sz w:val="13"/>
                  <w:szCs w:val="13"/>
                  <w:color w:val="0000EE"/>
                  <w:w w:val="90"/>
                </w:rPr>
                <w:t>Notes to Consolidated Financial Statements</w:t>
              </w:r>
            </w:hyperlink>
          </w:p>
        </w:tc>
        <w:tc>
          <w:tcPr>
            <w:tcW w:w="4580" w:type="dxa"/>
            <w:vAlign w:val="bottom"/>
            <w:gridSpan w:val="3"/>
          </w:tcPr>
          <w:p>
            <w:pPr>
              <w:spacing w:after="0"/>
              <w:rPr>
                <w:sz w:val="11"/>
                <w:szCs w:val="11"/>
                <w:color w:val="auto"/>
              </w:rPr>
            </w:pPr>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r>
      <w:tr>
        <w:trPr>
          <w:trHeight w:val="137"/>
        </w:trPr>
        <w:tc>
          <w:tcPr>
            <w:tcW w:w="140" w:type="dxa"/>
            <w:vAlign w:val="bottom"/>
          </w:tcPr>
          <w:p>
            <w:pPr>
              <w:spacing w:after="0"/>
              <w:rPr>
                <w:sz w:val="11"/>
                <w:szCs w:val="11"/>
                <w:color w:val="auto"/>
              </w:rPr>
            </w:pPr>
          </w:p>
        </w:tc>
        <w:tc>
          <w:tcPr>
            <w:tcW w:w="6880" w:type="dxa"/>
            <w:vAlign w:val="bottom"/>
            <w:gridSpan w:val="9"/>
          </w:tcPr>
          <w:p>
            <w:pPr>
              <w:spacing w:after="0" w:line="138" w:lineRule="exact"/>
              <w:rPr>
                <w:rFonts w:ascii="Arial" w:cs="Arial" w:eastAsia="Arial" w:hAnsi="Arial"/>
                <w:sz w:val="13"/>
                <w:szCs w:val="13"/>
                <w:color w:val="0000EE"/>
              </w:rPr>
            </w:pPr>
            <w:hyperlink w:anchor="page93">
              <w:r>
                <w:rPr>
                  <w:rFonts w:ascii="Arial" w:cs="Arial" w:eastAsia="Arial" w:hAnsi="Arial"/>
                  <w:sz w:val="13"/>
                  <w:szCs w:val="13"/>
                  <w:color w:val="0000EE"/>
                </w:rPr>
                <w:t>Report of Independent Registered Public Accounting Firm</w:t>
              </w:r>
            </w:hyperlink>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88</w:t>
            </w:r>
          </w:p>
        </w:tc>
      </w:tr>
      <w:tr>
        <w:trPr>
          <w:trHeight w:val="20"/>
        </w:trPr>
        <w:tc>
          <w:tcPr>
            <w:tcW w:w="1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58"/>
        </w:trPr>
        <w:tc>
          <w:tcPr>
            <w:tcW w:w="7020" w:type="dxa"/>
            <w:vAlign w:val="bottom"/>
            <w:gridSpan w:val="10"/>
          </w:tcPr>
          <w:p>
            <w:pPr>
              <w:spacing w:after="0"/>
              <w:rPr>
                <w:sz w:val="20"/>
                <w:szCs w:val="20"/>
                <w:color w:val="auto"/>
              </w:rPr>
            </w:pPr>
            <w:r>
              <w:rPr>
                <w:rFonts w:ascii="Arial" w:cs="Arial" w:eastAsia="Arial" w:hAnsi="Arial"/>
                <w:sz w:val="13"/>
                <w:szCs w:val="13"/>
                <w:color w:val="auto"/>
              </w:rPr>
              <w:t>Schedules required by Article 12 of Regulation S-X</w:t>
            </w:r>
          </w:p>
        </w:tc>
        <w:tc>
          <w:tcPr>
            <w:tcW w:w="292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1980" w:type="dxa"/>
            <w:vAlign w:val="bottom"/>
            <w:tcBorders>
              <w:bottom w:val="single" w:sz="8" w:color="0000EE"/>
            </w:tcBorders>
            <w:gridSpan w:val="4"/>
          </w:tcPr>
          <w:p>
            <w:pPr>
              <w:spacing w:after="0" w:line="137" w:lineRule="exact"/>
              <w:rPr>
                <w:rFonts w:ascii="Arial" w:cs="Arial" w:eastAsia="Arial" w:hAnsi="Arial"/>
                <w:sz w:val="13"/>
                <w:szCs w:val="13"/>
                <w:color w:val="0000EE"/>
                <w:w w:val="93"/>
              </w:rPr>
            </w:pPr>
            <w:hyperlink w:anchor="page100">
              <w:r>
                <w:rPr>
                  <w:rFonts w:ascii="Arial" w:cs="Arial" w:eastAsia="Arial" w:hAnsi="Arial"/>
                  <w:sz w:val="13"/>
                  <w:szCs w:val="13"/>
                  <w:color w:val="0000EE"/>
                  <w:w w:val="93"/>
                </w:rPr>
                <w:t>II Valuation and Qualifying Accounts</w:t>
              </w:r>
            </w:hyperlink>
          </w:p>
        </w:tc>
        <w:tc>
          <w:tcPr>
            <w:tcW w:w="4900" w:type="dxa"/>
            <w:vAlign w:val="bottom"/>
            <w:gridSpan w:val="5"/>
          </w:tcPr>
          <w:p>
            <w:pPr>
              <w:spacing w:after="0"/>
              <w:rPr>
                <w:sz w:val="11"/>
                <w:szCs w:val="11"/>
                <w:color w:val="auto"/>
              </w:rPr>
            </w:pPr>
          </w:p>
        </w:tc>
        <w:tc>
          <w:tcPr>
            <w:tcW w:w="2920" w:type="dxa"/>
            <w:vAlign w:val="bottom"/>
          </w:tcPr>
          <w:p>
            <w:pPr>
              <w:jc w:val="right"/>
              <w:spacing w:after="0" w:line="137" w:lineRule="exact"/>
              <w:rPr>
                <w:sz w:val="20"/>
                <w:szCs w:val="20"/>
                <w:color w:val="auto"/>
              </w:rPr>
            </w:pPr>
            <w:r>
              <w:rPr>
                <w:rFonts w:ascii="Arial" w:cs="Arial" w:eastAsia="Arial" w:hAnsi="Arial"/>
                <w:sz w:val="13"/>
                <w:szCs w:val="13"/>
                <w:color w:val="auto"/>
              </w:rPr>
              <w:t>97</w:t>
            </w:r>
          </w:p>
        </w:tc>
      </w:tr>
    </w:tbl>
    <w:p>
      <w:pPr>
        <w:spacing w:after="0" w:line="9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because they are not applicable or not required.</w:t>
      </w:r>
    </w:p>
    <w:p>
      <w:pPr>
        <w:spacing w:after="0" w:line="171" w:lineRule="exact"/>
        <w:rPr>
          <w:sz w:val="20"/>
          <w:szCs w:val="20"/>
          <w:color w:val="auto"/>
        </w:rPr>
      </w:pPr>
    </w:p>
    <w:p>
      <w:pPr>
        <w:ind w:left="5620" w:right="2100" w:hanging="4933"/>
        <w:spacing w:after="0" w:line="756" w:lineRule="auto"/>
        <w:tabs>
          <w:tab w:leader="none" w:pos="1099"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Exhibits required by Item 601 of Regulation S-K are listed in the Exhibit Index at page 95, which is incorporated herein by reference. </w:t>
      </w: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w:t>
      </w:r>
      <w:r>
        <w:rPr>
          <w:rFonts w:ascii="Arial" w:cs="Arial" w:eastAsia="Arial" w:hAnsi="Arial"/>
          <w:sz w:val="8"/>
          <w:szCs w:val="8"/>
          <w:color w:val="auto"/>
        </w:rPr>
        <w:t>RIAN</w:t>
      </w:r>
      <w:r>
        <w:rPr>
          <w:rFonts w:ascii="Arial" w:cs="Arial" w:eastAsia="Arial" w:hAnsi="Arial"/>
          <w:sz w:val="13"/>
          <w:szCs w:val="13"/>
          <w:color w:val="auto"/>
        </w:rPr>
        <w:t xml:space="preserve"> C</w:t>
      </w:r>
      <w:r>
        <w:rPr>
          <w:rFonts w:ascii="Arial" w:cs="Arial" w:eastAsia="Arial" w:hAnsi="Arial"/>
          <w:sz w:val="8"/>
          <w:szCs w:val="8"/>
          <w:color w:val="auto"/>
        </w:rPr>
        <w:t>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Concannon,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June 1, 2010</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820"/>
        <w:spacing w:after="0"/>
        <w:tabs>
          <w:tab w:leader="none" w:pos="7240" w:val="left"/>
          <w:tab w:leader="none" w:pos="101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6421755</wp:posOffset>
            </wp:positionH>
            <wp:positionV relativeFrom="paragraph">
              <wp:posOffset>12700</wp:posOffset>
            </wp:positionV>
            <wp:extent cx="635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RIAN</w:t>
            </w:r>
            <w:r>
              <w:rPr>
                <w:rFonts w:ascii="Arial" w:cs="Arial" w:eastAsia="Arial" w:hAnsi="Arial"/>
                <w:sz w:val="13"/>
                <w:szCs w:val="13"/>
                <w:color w:val="auto"/>
              </w:rPr>
              <w:t xml:space="preserve"> C</w:t>
            </w:r>
            <w:r>
              <w:rPr>
                <w:rFonts w:ascii="Arial" w:cs="Arial" w:eastAsia="Arial" w:hAnsi="Arial"/>
                <w:sz w:val="8"/>
                <w:szCs w:val="8"/>
                <w:color w:val="auto"/>
              </w:rPr>
              <w:t>ONCANNON</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3"/>
              </w:rPr>
              <w:t>President and Chief Executive Officer (Principal Executive Officer)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Brian Concannon</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HRISTOPHER</w:t>
            </w:r>
            <w:r>
              <w:rPr>
                <w:rFonts w:ascii="Arial" w:cs="Arial" w:eastAsia="Arial" w:hAnsi="Arial"/>
                <w:sz w:val="13"/>
                <w:szCs w:val="13"/>
                <w:color w:val="auto"/>
              </w:rPr>
              <w:t xml:space="preserve"> L</w:t>
            </w:r>
            <w:r>
              <w:rPr>
                <w:rFonts w:ascii="Arial" w:cs="Arial" w:eastAsia="Arial" w:hAnsi="Arial"/>
                <w:sz w:val="8"/>
                <w:szCs w:val="8"/>
                <w:color w:val="auto"/>
              </w:rPr>
              <w:t>INDOP</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2"/>
              </w:rPr>
              <w:t>Chief Financial Officer and Vice President Business Development</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6"/>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4"/>
              </w:rPr>
              <w:t>Christopher Lindop</w:t>
            </w:r>
          </w:p>
        </w:tc>
        <w:tc>
          <w:tcPr>
            <w:tcW w:w="4420" w:type="dxa"/>
            <w:vAlign w:val="bottom"/>
          </w:tcPr>
          <w:p>
            <w:pPr>
              <w:jc w:val="center"/>
              <w:ind w:left="74"/>
              <w:spacing w:after="0" w:line="145" w:lineRule="exact"/>
              <w:rPr>
                <w:sz w:val="20"/>
                <w:szCs w:val="20"/>
                <w:color w:val="auto"/>
              </w:rPr>
            </w:pPr>
            <w:r>
              <w:rPr>
                <w:rFonts w:ascii="Arial" w:cs="Arial" w:eastAsia="Arial" w:hAnsi="Arial"/>
                <w:sz w:val="13"/>
                <w:szCs w:val="13"/>
                <w:color w:val="auto"/>
                <w:w w:val="94"/>
              </w:rPr>
              <w:t>(Principal Financial Officer)</w:t>
            </w: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USAN</w:t>
            </w:r>
            <w:r>
              <w:rPr>
                <w:rFonts w:ascii="Arial" w:cs="Arial" w:eastAsia="Arial" w:hAnsi="Arial"/>
                <w:sz w:val="13"/>
                <w:szCs w:val="13"/>
                <w:color w:val="auto"/>
              </w:rPr>
              <w:t xml:space="preserve"> H</w:t>
            </w:r>
            <w:r>
              <w:rPr>
                <w:rFonts w:ascii="Arial" w:cs="Arial" w:eastAsia="Arial" w:hAnsi="Arial"/>
                <w:sz w:val="8"/>
                <w:szCs w:val="8"/>
                <w:color w:val="auto"/>
              </w:rPr>
              <w:t>ANLON</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89"/>
              </w:rPr>
              <w:t>Vice President Finance</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6"/>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88"/>
              </w:rPr>
              <w:t>Susan Hanlon</w:t>
            </w:r>
          </w:p>
        </w:tc>
        <w:tc>
          <w:tcPr>
            <w:tcW w:w="4420" w:type="dxa"/>
            <w:vAlign w:val="bottom"/>
          </w:tcPr>
          <w:p>
            <w:pPr>
              <w:jc w:val="center"/>
              <w:ind w:left="94"/>
              <w:spacing w:after="0" w:line="145" w:lineRule="exact"/>
              <w:rPr>
                <w:sz w:val="20"/>
                <w:szCs w:val="20"/>
                <w:color w:val="auto"/>
              </w:rPr>
            </w:pPr>
            <w:r>
              <w:rPr>
                <w:rFonts w:ascii="Arial" w:cs="Arial" w:eastAsia="Arial" w:hAnsi="Arial"/>
                <w:sz w:val="13"/>
                <w:szCs w:val="13"/>
                <w:color w:val="auto"/>
                <w:w w:val="96"/>
              </w:rPr>
              <w:t>(Principal Accounting Officer)</w:t>
            </w: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RAD</w:t>
            </w:r>
            <w:r>
              <w:rPr>
                <w:rFonts w:ascii="Arial" w:cs="Arial" w:eastAsia="Arial" w:hAnsi="Arial"/>
                <w:sz w:val="13"/>
                <w:szCs w:val="13"/>
                <w:color w:val="auto"/>
              </w:rPr>
              <w:t xml:space="preserve"> N</w:t>
            </w:r>
            <w:r>
              <w:rPr>
                <w:rFonts w:ascii="Arial" w:cs="Arial" w:eastAsia="Arial" w:hAnsi="Arial"/>
                <w:sz w:val="8"/>
                <w:szCs w:val="8"/>
                <w:color w:val="auto"/>
              </w:rPr>
              <w:t>UTTER</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2"/>
              </w:rPr>
              <w:t>Executive Chairman of the Board</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6"/>
              </w:rPr>
              <w:t>Brad Nutter</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AWRENCE</w:t>
            </w:r>
            <w:r>
              <w:rPr>
                <w:rFonts w:ascii="Arial" w:cs="Arial" w:eastAsia="Arial" w:hAnsi="Arial"/>
                <w:sz w:val="13"/>
                <w:szCs w:val="13"/>
                <w:color w:val="auto"/>
              </w:rPr>
              <w:t xml:space="preserve"> B</w:t>
            </w:r>
            <w:r>
              <w:rPr>
                <w:rFonts w:ascii="Arial" w:cs="Arial" w:eastAsia="Arial" w:hAnsi="Arial"/>
                <w:sz w:val="8"/>
                <w:szCs w:val="8"/>
                <w:color w:val="auto"/>
              </w:rPr>
              <w:t>EST</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6"/>
              </w:rPr>
              <w:t>Director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Lawrence Best</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USAN</w:t>
            </w:r>
            <w:r>
              <w:rPr>
                <w:rFonts w:ascii="Arial" w:cs="Arial" w:eastAsia="Arial" w:hAnsi="Arial"/>
                <w:sz w:val="13"/>
                <w:szCs w:val="13"/>
                <w:color w:val="auto"/>
              </w:rPr>
              <w:t xml:space="preserve"> B</w:t>
            </w:r>
            <w:r>
              <w:rPr>
                <w:rFonts w:ascii="Arial" w:cs="Arial" w:eastAsia="Arial" w:hAnsi="Arial"/>
                <w:sz w:val="8"/>
                <w:szCs w:val="8"/>
                <w:color w:val="auto"/>
              </w:rPr>
              <w:t>ARTLETT</w:t>
            </w:r>
            <w:r>
              <w:rPr>
                <w:rFonts w:ascii="Arial" w:cs="Arial" w:eastAsia="Arial" w:hAnsi="Arial"/>
                <w:sz w:val="13"/>
                <w:szCs w:val="13"/>
                <w:color w:val="auto"/>
              </w:rPr>
              <w:t xml:space="preserve"> F</w:t>
            </w:r>
            <w:r>
              <w:rPr>
                <w:rFonts w:ascii="Arial" w:cs="Arial" w:eastAsia="Arial" w:hAnsi="Arial"/>
                <w:sz w:val="8"/>
                <w:szCs w:val="8"/>
                <w:color w:val="auto"/>
              </w:rPr>
              <w:t>OOTE</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6"/>
              </w:rPr>
              <w:t>Director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Susan Bartlett Foote</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G</w:t>
            </w:r>
            <w:r>
              <w:rPr>
                <w:rFonts w:ascii="Arial" w:cs="Arial" w:eastAsia="Arial" w:hAnsi="Arial"/>
                <w:sz w:val="8"/>
                <w:szCs w:val="8"/>
                <w:color w:val="auto"/>
              </w:rPr>
              <w:t>ELBMAN</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6"/>
              </w:rPr>
              <w:t>Director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0"/>
              </w:rPr>
              <w:t>Ronald Gelbman</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EDRO</w:t>
            </w:r>
            <w:r>
              <w:rPr>
                <w:rFonts w:ascii="Arial" w:cs="Arial" w:eastAsia="Arial" w:hAnsi="Arial"/>
                <w:sz w:val="13"/>
                <w:szCs w:val="13"/>
                <w:color w:val="auto"/>
              </w:rPr>
              <w:t xml:space="preserve"> G</w:t>
            </w:r>
            <w:r>
              <w:rPr>
                <w:rFonts w:ascii="Arial" w:cs="Arial" w:eastAsia="Arial" w:hAnsi="Arial"/>
                <w:sz w:val="8"/>
                <w:szCs w:val="8"/>
                <w:color w:val="auto"/>
              </w:rPr>
              <w:t>RANADILLO</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6"/>
              </w:rPr>
              <w:t>Director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Pedro Granadillo</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K</w:t>
            </w:r>
            <w:r>
              <w:rPr>
                <w:rFonts w:ascii="Arial" w:cs="Arial" w:eastAsia="Arial" w:hAnsi="Arial"/>
                <w:sz w:val="8"/>
                <w:szCs w:val="8"/>
                <w:color w:val="auto"/>
              </w:rPr>
              <w:t>ROLL</w:t>
            </w:r>
            <w:r>
              <w:rPr>
                <w:rFonts w:ascii="Arial" w:cs="Arial" w:eastAsia="Arial" w:hAnsi="Arial"/>
                <w:sz w:val="13"/>
                <w:szCs w:val="13"/>
                <w:color w:val="auto"/>
              </w:rPr>
              <w:t>, PH. D.</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6"/>
              </w:rPr>
              <w:t>Director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rPr>
              <w:t>Mark Kroll</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M</w:t>
            </w:r>
            <w:r>
              <w:rPr>
                <w:rFonts w:ascii="Arial" w:cs="Arial" w:eastAsia="Arial" w:hAnsi="Arial"/>
                <w:sz w:val="8"/>
                <w:szCs w:val="8"/>
                <w:color w:val="auto"/>
              </w:rPr>
              <w:t>ERRIMAN</w:t>
            </w:r>
          </w:p>
        </w:tc>
        <w:tc>
          <w:tcPr>
            <w:tcW w:w="4420" w:type="dxa"/>
            <w:vAlign w:val="bottom"/>
          </w:tcPr>
          <w:p>
            <w:pPr>
              <w:jc w:val="center"/>
              <w:ind w:left="74"/>
              <w:spacing w:after="0"/>
              <w:rPr>
                <w:sz w:val="20"/>
                <w:szCs w:val="20"/>
                <w:color w:val="auto"/>
              </w:rPr>
            </w:pPr>
            <w:r>
              <w:rPr>
                <w:rFonts w:ascii="Arial" w:cs="Arial" w:eastAsia="Arial" w:hAnsi="Arial"/>
                <w:sz w:val="13"/>
                <w:szCs w:val="13"/>
                <w:color w:val="auto"/>
                <w:w w:val="96"/>
              </w:rPr>
              <w:t>Director</w:t>
            </w:r>
          </w:p>
        </w:tc>
        <w:tc>
          <w:tcPr>
            <w:tcW w:w="2040" w:type="dxa"/>
            <w:vAlign w:val="bottom"/>
          </w:tcPr>
          <w:p>
            <w:pPr>
              <w:ind w:left="360"/>
              <w:spacing w:after="0"/>
              <w:rPr>
                <w:sz w:val="20"/>
                <w:szCs w:val="20"/>
                <w:color w:val="auto"/>
              </w:rPr>
            </w:pPr>
            <w:r>
              <w:rPr>
                <w:rFonts w:ascii="Arial" w:cs="Arial" w:eastAsia="Arial" w:hAnsi="Arial"/>
                <w:sz w:val="13"/>
                <w:szCs w:val="13"/>
                <w:color w:val="auto"/>
              </w:rPr>
              <w:t>June 1, 2010</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Ronald Merriman</w:t>
            </w:r>
          </w:p>
        </w:tc>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420" w:type="dxa"/>
            <w:vAlign w:val="bottom"/>
          </w:tcPr>
          <w:p>
            <w:pPr>
              <w:jc w:val="right"/>
              <w:ind w:right="3614"/>
              <w:spacing w:after="0"/>
              <w:rPr>
                <w:sz w:val="20"/>
                <w:szCs w:val="20"/>
                <w:color w:val="auto"/>
              </w:rPr>
            </w:pPr>
            <w:r>
              <w:rPr>
                <w:rFonts w:ascii="Arial" w:cs="Arial" w:eastAsia="Arial" w:hAnsi="Arial"/>
                <w:sz w:val="13"/>
                <w:szCs w:val="13"/>
                <w:color w:val="auto"/>
              </w:rPr>
              <w:t>94</w:t>
            </w:r>
          </w:p>
        </w:tc>
        <w:tc>
          <w:tcPr>
            <w:tcW w:w="204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4420" w:type="dxa"/>
            <w:vAlign w:val="bottom"/>
            <w:tcBorders>
              <w:bottom w:val="single" w:sz="8" w:color="808080"/>
            </w:tcBorders>
          </w:tcPr>
          <w:p>
            <w:pPr>
              <w:spacing w:after="0"/>
              <w:rPr>
                <w:sz w:val="14"/>
                <w:szCs w:val="14"/>
                <w:color w:val="auto"/>
              </w:rPr>
            </w:pPr>
          </w:p>
        </w:tc>
        <w:tc>
          <w:tcPr>
            <w:tcW w:w="20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EXHIBITS FILED WITH SECURITIES AND EXCHANGE COMMISSION</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Number and Description of Exhibit</w:t>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1. Articles of Organization</w:t>
      </w:r>
    </w:p>
    <w:p>
      <w:pPr>
        <w:spacing w:after="0" w:line="1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color w:val="auto"/>
        </w:rPr>
        <w:t>3A*</w:t>
      </w:r>
      <w:r>
        <w:rPr>
          <w:sz w:val="20"/>
          <w:szCs w:val="20"/>
          <w:color w:val="auto"/>
        </w:rPr>
        <w:tab/>
      </w:r>
      <w:r>
        <w:rPr>
          <w:rFonts w:ascii="Arial" w:cs="Arial" w:eastAsia="Arial" w:hAnsi="Arial"/>
          <w:sz w:val="13"/>
          <w:szCs w:val="13"/>
          <w:color w:val="auto"/>
        </w:rPr>
        <w:t>Articles of Organization of the Company effective August 29, 1985, as amended December 12, 1985 and May 21, 1987 (filed as Exhibit 3A to the Company’s Form S-1 No.</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33-39490 and incorporated herein by reference).</w:t>
      </w:r>
    </w:p>
    <w:p>
      <w:pPr>
        <w:spacing w:after="0" w:line="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color w:val="auto"/>
        </w:rPr>
        <w:t>3B*</w:t>
      </w:r>
      <w:r>
        <w:rPr>
          <w:sz w:val="20"/>
          <w:szCs w:val="20"/>
          <w:color w:val="auto"/>
        </w:rPr>
        <w:tab/>
      </w:r>
      <w:r>
        <w:rPr>
          <w:rFonts w:ascii="Arial" w:cs="Arial" w:eastAsia="Arial" w:hAnsi="Arial"/>
          <w:sz w:val="13"/>
          <w:szCs w:val="13"/>
          <w:color w:val="auto"/>
        </w:rPr>
        <w:t>Form of Restated Articles of Organization of the Company (filed as Exhibit 3B to the Company’s Form S-1 No. 33-39490 and incorporated herein by reference).</w:t>
      </w:r>
    </w:p>
    <w:p>
      <w:pPr>
        <w:spacing w:after="0" w:line="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color w:val="auto"/>
        </w:rPr>
        <w:t>3C*</w:t>
      </w:r>
      <w:r>
        <w:rPr>
          <w:sz w:val="20"/>
          <w:szCs w:val="20"/>
          <w:color w:val="auto"/>
        </w:rPr>
        <w:tab/>
      </w:r>
      <w:r>
        <w:rPr>
          <w:rFonts w:ascii="Arial" w:cs="Arial" w:eastAsia="Arial" w:hAnsi="Arial"/>
          <w:sz w:val="13"/>
          <w:szCs w:val="13"/>
          <w:color w:val="auto"/>
        </w:rPr>
        <w:t>Articles of Amendment to the Articles of Organization of the Company filed May 8, 1991 with the Secretary of the Commonwealth of Massachusetts (filed as Exhibit 3E to</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3"/>
          <w:szCs w:val="13"/>
          <w:color w:val="auto"/>
        </w:rPr>
        <w:t>the Company’s Amendment No. 1 to Form S-1 No. 33-39490 and incorporated herein by reference).</w:t>
      </w:r>
    </w:p>
    <w:p>
      <w:pPr>
        <w:spacing w:after="0" w:line="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color w:val="auto"/>
        </w:rPr>
        <w:t>3D*</w:t>
      </w:r>
      <w:r>
        <w:rPr>
          <w:sz w:val="20"/>
          <w:szCs w:val="20"/>
          <w:color w:val="auto"/>
        </w:rPr>
        <w:tab/>
      </w:r>
      <w:r>
        <w:rPr>
          <w:rFonts w:ascii="Arial" w:cs="Arial" w:eastAsia="Arial" w:hAnsi="Arial"/>
          <w:sz w:val="13"/>
          <w:szCs w:val="13"/>
          <w:color w:val="auto"/>
        </w:rPr>
        <w:t>Articles of Amendment to the Articles of Organization of the Company filed August 21, 2006 with the Secretary of the Commonwealth of Massachusetts.</w:t>
      </w:r>
    </w:p>
    <w:p>
      <w:pPr>
        <w:spacing w:after="0" w:line="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color w:val="auto"/>
        </w:rPr>
        <w:t>3E*</w:t>
      </w:r>
      <w:r>
        <w:rPr>
          <w:sz w:val="20"/>
          <w:szCs w:val="20"/>
          <w:color w:val="auto"/>
        </w:rPr>
        <w:tab/>
      </w:r>
      <w:r>
        <w:rPr>
          <w:rFonts w:ascii="Arial" w:cs="Arial" w:eastAsia="Arial" w:hAnsi="Arial"/>
          <w:sz w:val="13"/>
          <w:szCs w:val="13"/>
          <w:color w:val="auto"/>
        </w:rPr>
        <w:t>By-Laws of the Company, as amended January 23, 2008 (filed as Exhibit 99.1 to the Company’s Form 8-K No. 1-14041 dated January 23, 2008 and incorporated herein by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reference).</w:t>
            </w:r>
          </w:p>
        </w:tc>
      </w:tr>
      <w:tr>
        <w:trPr>
          <w:trHeight w:val="161"/>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2. Instruments defining the rights of security holders</w:t>
            </w:r>
          </w:p>
        </w:tc>
      </w:tr>
      <w:tr>
        <w:trPr>
          <w:trHeight w:val="153"/>
        </w:trPr>
        <w:tc>
          <w:tcPr>
            <w:tcW w:w="1240" w:type="dxa"/>
            <w:vAlign w:val="bottom"/>
          </w:tcPr>
          <w:p>
            <w:pPr>
              <w:ind w:left="680"/>
              <w:spacing w:after="0"/>
              <w:rPr>
                <w:sz w:val="20"/>
                <w:szCs w:val="20"/>
                <w:color w:val="auto"/>
              </w:rPr>
            </w:pPr>
            <w:r>
              <w:rPr>
                <w:rFonts w:ascii="Arial" w:cs="Arial" w:eastAsia="Arial" w:hAnsi="Arial"/>
                <w:sz w:val="13"/>
                <w:szCs w:val="13"/>
                <w:color w:val="auto"/>
              </w:rPr>
              <w:t>4A*</w:t>
            </w:r>
          </w:p>
        </w:tc>
        <w:tc>
          <w:tcPr>
            <w:tcW w:w="10220" w:type="dxa"/>
            <w:vAlign w:val="bottom"/>
          </w:tcPr>
          <w:p>
            <w:pPr>
              <w:ind w:left="260"/>
              <w:spacing w:after="0"/>
              <w:rPr>
                <w:sz w:val="20"/>
                <w:szCs w:val="20"/>
                <w:color w:val="auto"/>
              </w:rPr>
            </w:pPr>
            <w:r>
              <w:rPr>
                <w:rFonts w:ascii="Arial" w:cs="Arial" w:eastAsia="Arial" w:hAnsi="Arial"/>
                <w:sz w:val="13"/>
                <w:szCs w:val="13"/>
                <w:color w:val="auto"/>
              </w:rPr>
              <w:t>Specimen certificate for shares of common stock (filed as Exhibit 4B to the Company’s Amendment No. 1 to Form S-1 No. 33-39490 and incorporated herein by reference).</w:t>
            </w:r>
          </w:p>
        </w:tc>
      </w:tr>
      <w:tr>
        <w:trPr>
          <w:trHeight w:val="161"/>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3. Material Contracts</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10A*</w:t>
            </w:r>
          </w:p>
        </w:tc>
        <w:tc>
          <w:tcPr>
            <w:tcW w:w="10220" w:type="dxa"/>
            <w:vAlign w:val="bottom"/>
          </w:tcPr>
          <w:p>
            <w:pPr>
              <w:ind w:left="260"/>
              <w:spacing w:after="0"/>
              <w:rPr>
                <w:sz w:val="20"/>
                <w:szCs w:val="20"/>
                <w:color w:val="auto"/>
              </w:rPr>
            </w:pPr>
            <w:r>
              <w:rPr>
                <w:rFonts w:ascii="Arial" w:cs="Arial" w:eastAsia="Arial" w:hAnsi="Arial"/>
                <w:sz w:val="13"/>
                <w:szCs w:val="13"/>
                <w:color w:val="auto"/>
                <w:w w:val="99"/>
              </w:rPr>
              <w:t>Lease dated July 17, 1990 between the Buncher Company and the Company of property in Pittsburgh, Pennsylvania (filed as Exhibit 10K to the Company’s Form S-1 No. 33-</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39490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10B*</w:t>
            </w:r>
          </w:p>
        </w:tc>
        <w:tc>
          <w:tcPr>
            <w:tcW w:w="10220" w:type="dxa"/>
            <w:vAlign w:val="bottom"/>
          </w:tcPr>
          <w:p>
            <w:pPr>
              <w:ind w:left="260"/>
              <w:spacing w:after="0"/>
              <w:rPr>
                <w:sz w:val="20"/>
                <w:szCs w:val="20"/>
                <w:color w:val="auto"/>
              </w:rPr>
            </w:pPr>
            <w:r>
              <w:rPr>
                <w:rFonts w:ascii="Arial" w:cs="Arial" w:eastAsia="Arial" w:hAnsi="Arial"/>
                <w:sz w:val="13"/>
                <w:szCs w:val="13"/>
                <w:color w:val="auto"/>
              </w:rPr>
              <w:t>First Amendment to lease dated July 17, 1990 between Buncher Company and the Company of property in Pittsburgh, Pennsylvania (filed as Exhibit 10AI to the Company’s</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Form 10-Q No. 1-10730 for the quarter ended December 28, 1996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10C*</w:t>
            </w:r>
          </w:p>
        </w:tc>
        <w:tc>
          <w:tcPr>
            <w:tcW w:w="10220" w:type="dxa"/>
            <w:vAlign w:val="bottom"/>
          </w:tcPr>
          <w:p>
            <w:pPr>
              <w:ind w:left="260"/>
              <w:spacing w:after="0"/>
              <w:rPr>
                <w:sz w:val="20"/>
                <w:szCs w:val="20"/>
                <w:color w:val="auto"/>
              </w:rPr>
            </w:pPr>
            <w:r>
              <w:rPr>
                <w:rFonts w:ascii="Arial" w:cs="Arial" w:eastAsia="Arial" w:hAnsi="Arial"/>
                <w:sz w:val="13"/>
                <w:szCs w:val="13"/>
                <w:color w:val="auto"/>
              </w:rPr>
              <w:t>Second Amendment to lease dated July 17, 1990 between Buncher Company and the Company for the property in Pittsburgh, Pennsylvania.(filed as Exhibit 10AG to the</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29, 2003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10D*</w:t>
            </w:r>
          </w:p>
        </w:tc>
        <w:tc>
          <w:tcPr>
            <w:tcW w:w="10220" w:type="dxa"/>
            <w:vAlign w:val="bottom"/>
          </w:tcPr>
          <w:p>
            <w:pPr>
              <w:ind w:left="260"/>
              <w:spacing w:after="0"/>
              <w:rPr>
                <w:sz w:val="20"/>
                <w:szCs w:val="20"/>
                <w:color w:val="auto"/>
              </w:rPr>
            </w:pPr>
            <w:r>
              <w:rPr>
                <w:rFonts w:ascii="Arial" w:cs="Arial" w:eastAsia="Arial" w:hAnsi="Arial"/>
                <w:sz w:val="13"/>
                <w:szCs w:val="13"/>
                <w:color w:val="auto"/>
              </w:rPr>
              <w:t>Lease dated July 3, 1991 between Wood Road Associates II Limited Partnership and the Company for the property adjacent to the main facility in Braintree, Massachusetts</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(filed as Exhibit 10M to the Company’s Form 10-K No. 1-10730 for the year ended March 28, 1992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10E*</w:t>
            </w:r>
          </w:p>
        </w:tc>
        <w:tc>
          <w:tcPr>
            <w:tcW w:w="10220" w:type="dxa"/>
            <w:vAlign w:val="bottom"/>
          </w:tcPr>
          <w:p>
            <w:pPr>
              <w:ind w:left="260"/>
              <w:spacing w:after="0"/>
              <w:rPr>
                <w:sz w:val="20"/>
                <w:szCs w:val="20"/>
                <w:color w:val="auto"/>
              </w:rPr>
            </w:pPr>
            <w:r>
              <w:rPr>
                <w:rFonts w:ascii="Arial" w:cs="Arial" w:eastAsia="Arial" w:hAnsi="Arial"/>
                <w:sz w:val="13"/>
                <w:szCs w:val="13"/>
                <w:color w:val="auto"/>
              </w:rPr>
              <w:t>Amendment No. 1 to Lease dated July 3, 1991 between Wood Road Associates II Limited Partnership and the Company for the child care facility (filed as Exhibit 10N to the</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28, 1992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10F*</w:t>
            </w:r>
          </w:p>
        </w:tc>
        <w:tc>
          <w:tcPr>
            <w:tcW w:w="10220" w:type="dxa"/>
            <w:vAlign w:val="bottom"/>
          </w:tcPr>
          <w:p>
            <w:pPr>
              <w:ind w:left="260"/>
              <w:spacing w:after="0"/>
              <w:rPr>
                <w:sz w:val="20"/>
                <w:szCs w:val="20"/>
                <w:color w:val="auto"/>
              </w:rPr>
            </w:pPr>
            <w:r>
              <w:rPr>
                <w:rFonts w:ascii="Arial" w:cs="Arial" w:eastAsia="Arial" w:hAnsi="Arial"/>
                <w:sz w:val="13"/>
                <w:szCs w:val="13"/>
                <w:color w:val="auto"/>
              </w:rPr>
              <w:t>Amendment No. 2 to Lease dated July 3, 1991 between Wood Road Associates II Limited Partnership and the Company (filed as Exhibit 10S to the Company’s Form 10-K</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No. 1-10730 for the year ended April 3, 1993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10G*</w:t>
            </w:r>
          </w:p>
        </w:tc>
        <w:tc>
          <w:tcPr>
            <w:tcW w:w="10220" w:type="dxa"/>
            <w:vAlign w:val="bottom"/>
          </w:tcPr>
          <w:p>
            <w:pPr>
              <w:ind w:left="260"/>
              <w:spacing w:after="0"/>
              <w:rPr>
                <w:sz w:val="20"/>
                <w:szCs w:val="20"/>
                <w:color w:val="auto"/>
              </w:rPr>
            </w:pPr>
            <w:r>
              <w:rPr>
                <w:rFonts w:ascii="Arial" w:cs="Arial" w:eastAsia="Arial" w:hAnsi="Arial"/>
                <w:sz w:val="13"/>
                <w:szCs w:val="13"/>
                <w:color w:val="auto"/>
              </w:rPr>
              <w:t>Amendment No. 3 to Lease dated July 3, 1991 between Wood Road Associates II Limited Partnership and the Company, dated April 1, 1997 (filed as Exhibit 10AA to the</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30, 2002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10H*</w:t>
            </w:r>
          </w:p>
        </w:tc>
        <w:tc>
          <w:tcPr>
            <w:tcW w:w="10220" w:type="dxa"/>
            <w:vAlign w:val="bottom"/>
          </w:tcPr>
          <w:p>
            <w:pPr>
              <w:ind w:left="260"/>
              <w:spacing w:after="0"/>
              <w:rPr>
                <w:sz w:val="20"/>
                <w:szCs w:val="20"/>
                <w:color w:val="auto"/>
              </w:rPr>
            </w:pPr>
            <w:r>
              <w:rPr>
                <w:rFonts w:ascii="Arial" w:cs="Arial" w:eastAsia="Arial" w:hAnsi="Arial"/>
                <w:sz w:val="13"/>
                <w:szCs w:val="13"/>
                <w:color w:val="auto"/>
                <w:w w:val="99"/>
              </w:rPr>
              <w:t>Amendment No. 4 to Lease dated July 3, 1991 between Wood Road Associates II Limited Partnership, as assigned to Trinet Essential Facilities XXIX, Inc., effective June 18,</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1998, and the Company, dated February 25, 2002. (filed as Exhibit 10AB to the Company’s Form 10-K No. 1-10730 for the year ended March 30, 2002 and incorporated</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10I*</w:t>
            </w:r>
          </w:p>
        </w:tc>
        <w:tc>
          <w:tcPr>
            <w:tcW w:w="10220" w:type="dxa"/>
            <w:vAlign w:val="bottom"/>
          </w:tcPr>
          <w:p>
            <w:pPr>
              <w:ind w:left="260"/>
              <w:spacing w:after="0"/>
              <w:rPr>
                <w:sz w:val="20"/>
                <w:szCs w:val="20"/>
                <w:color w:val="auto"/>
              </w:rPr>
            </w:pPr>
            <w:r>
              <w:rPr>
                <w:rFonts w:ascii="Arial" w:cs="Arial" w:eastAsia="Arial" w:hAnsi="Arial"/>
                <w:sz w:val="13"/>
                <w:szCs w:val="13"/>
                <w:color w:val="auto"/>
              </w:rPr>
              <w:t>Note and Mortgage dated December 12, 2000 between the Company and General Electric Capital Business Asset Funding Corporation relating to the Braintree facility (filed</w:t>
            </w:r>
          </w:p>
        </w:tc>
      </w:tr>
      <w:tr>
        <w:trPr>
          <w:trHeight w:val="157"/>
        </w:trPr>
        <w:tc>
          <w:tcPr>
            <w:tcW w:w="1240" w:type="dxa"/>
            <w:vAlign w:val="bottom"/>
          </w:tcPr>
          <w:p>
            <w:pPr>
              <w:spacing w:after="0"/>
              <w:rPr>
                <w:sz w:val="13"/>
                <w:szCs w:val="13"/>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as Exhibit 10B to the Company’s Form 10-Q No. 1-10730 for the quarter ended December 30, 2000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10J*</w:t>
            </w:r>
          </w:p>
        </w:tc>
        <w:tc>
          <w:tcPr>
            <w:tcW w:w="10220" w:type="dxa"/>
            <w:vAlign w:val="bottom"/>
          </w:tcPr>
          <w:p>
            <w:pPr>
              <w:ind w:left="260"/>
              <w:spacing w:after="0"/>
              <w:rPr>
                <w:sz w:val="20"/>
                <w:szCs w:val="20"/>
                <w:color w:val="auto"/>
              </w:rPr>
            </w:pPr>
            <w:r>
              <w:rPr>
                <w:rFonts w:ascii="Arial" w:cs="Arial" w:eastAsia="Arial" w:hAnsi="Arial"/>
                <w:sz w:val="13"/>
                <w:szCs w:val="13"/>
                <w:color w:val="auto"/>
              </w:rPr>
              <w:t>1992 Long-Term Incentive Plan (filed as Exhibit 10V to the Company’s Form 10-K No. 1-10730 for the year ended April 3, 1993 and incorporated herein by reference).</w:t>
            </w:r>
          </w:p>
        </w:tc>
      </w:tr>
      <w:tr>
        <w:trPr>
          <w:trHeight w:val="157"/>
        </w:trPr>
        <w:tc>
          <w:tcPr>
            <w:tcW w:w="1240" w:type="dxa"/>
            <w:vAlign w:val="bottom"/>
          </w:tcPr>
          <w:p>
            <w:pPr>
              <w:ind w:left="680"/>
              <w:spacing w:after="0"/>
              <w:rPr>
                <w:sz w:val="20"/>
                <w:szCs w:val="20"/>
                <w:color w:val="auto"/>
              </w:rPr>
            </w:pPr>
            <w:r>
              <w:rPr>
                <w:rFonts w:ascii="Arial" w:cs="Arial" w:eastAsia="Arial" w:hAnsi="Arial"/>
                <w:sz w:val="13"/>
                <w:szCs w:val="13"/>
                <w:color w:val="auto"/>
              </w:rPr>
              <w:t>10K*</w:t>
            </w:r>
          </w:p>
        </w:tc>
        <w:tc>
          <w:tcPr>
            <w:tcW w:w="10220" w:type="dxa"/>
            <w:vAlign w:val="bottom"/>
          </w:tcPr>
          <w:p>
            <w:pPr>
              <w:ind w:left="260"/>
              <w:spacing w:after="0"/>
              <w:rPr>
                <w:sz w:val="20"/>
                <w:szCs w:val="20"/>
                <w:color w:val="auto"/>
              </w:rPr>
            </w:pPr>
            <w:r>
              <w:rPr>
                <w:rFonts w:ascii="Arial" w:cs="Arial" w:eastAsia="Arial" w:hAnsi="Arial"/>
                <w:sz w:val="13"/>
                <w:szCs w:val="13"/>
                <w:color w:val="auto"/>
              </w:rPr>
              <w:t>1998 Stock Option Plan for Non-Employee Directors. (filed as Exhibit 10AA to the Company’s Form 10-K No. 1-10730 for the year ended March 28, 1998 and incorporated</w:t>
            </w:r>
          </w:p>
        </w:tc>
      </w:tr>
      <w:tr>
        <w:trPr>
          <w:trHeight w:val="165"/>
        </w:trPr>
        <w:tc>
          <w:tcPr>
            <w:tcW w:w="1240" w:type="dxa"/>
            <w:vAlign w:val="bottom"/>
          </w:tcPr>
          <w:p>
            <w:pPr>
              <w:spacing w:after="0"/>
              <w:rPr>
                <w:sz w:val="14"/>
                <w:szCs w:val="14"/>
                <w:color w:val="auto"/>
              </w:rPr>
            </w:pPr>
          </w:p>
        </w:tc>
        <w:tc>
          <w:tcPr>
            <w:tcW w:w="10220" w:type="dxa"/>
            <w:vAlign w:val="bottom"/>
          </w:tcPr>
          <w:p>
            <w:pPr>
              <w:ind w:left="260"/>
              <w:spacing w:after="0"/>
              <w:rPr>
                <w:sz w:val="20"/>
                <w:szCs w:val="20"/>
                <w:color w:val="auto"/>
              </w:rPr>
            </w:pPr>
            <w:r>
              <w:rPr>
                <w:rFonts w:ascii="Arial" w:cs="Arial" w:eastAsia="Arial" w:hAnsi="Arial"/>
                <w:sz w:val="13"/>
                <w:szCs w:val="13"/>
                <w:color w:val="auto"/>
              </w:rPr>
              <w:t>herein by reference).</w:t>
            </w:r>
          </w:p>
        </w:tc>
      </w:tr>
      <w:tr>
        <w:trPr>
          <w:trHeight w:val="452"/>
        </w:trPr>
        <w:tc>
          <w:tcPr>
            <w:tcW w:w="1240" w:type="dxa"/>
            <w:vAlign w:val="bottom"/>
          </w:tcPr>
          <w:p>
            <w:pPr>
              <w:spacing w:after="0"/>
              <w:rPr>
                <w:sz w:val="24"/>
                <w:szCs w:val="24"/>
                <w:color w:val="auto"/>
              </w:rPr>
            </w:pPr>
          </w:p>
        </w:tc>
        <w:tc>
          <w:tcPr>
            <w:tcW w:w="10220" w:type="dxa"/>
            <w:vAlign w:val="bottom"/>
          </w:tcPr>
          <w:p>
            <w:pPr>
              <w:ind w:left="4380"/>
              <w:spacing w:after="0"/>
              <w:rPr>
                <w:sz w:val="20"/>
                <w:szCs w:val="20"/>
                <w:color w:val="auto"/>
              </w:rPr>
            </w:pPr>
            <w:r>
              <w:rPr>
                <w:rFonts w:ascii="Arial" w:cs="Arial" w:eastAsia="Arial" w:hAnsi="Arial"/>
                <w:sz w:val="13"/>
                <w:szCs w:val="13"/>
                <w:color w:val="auto"/>
              </w:rPr>
              <w:t>95</w:t>
            </w:r>
          </w:p>
        </w:tc>
      </w:tr>
      <w:tr>
        <w:trPr>
          <w:trHeight w:val="163"/>
        </w:trPr>
        <w:tc>
          <w:tcPr>
            <w:tcW w:w="1240" w:type="dxa"/>
            <w:vAlign w:val="bottom"/>
            <w:tcBorders>
              <w:bottom w:val="single" w:sz="8" w:color="808080"/>
            </w:tcBorders>
          </w:tcPr>
          <w:p>
            <w:pPr>
              <w:spacing w:after="0"/>
              <w:rPr>
                <w:sz w:val="14"/>
                <w:szCs w:val="14"/>
                <w:color w:val="auto"/>
              </w:rPr>
            </w:pPr>
          </w:p>
        </w:tc>
        <w:tc>
          <w:tcPr>
            <w:tcW w:w="102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280" w:type="dxa"/>
            <w:vAlign w:val="bottom"/>
          </w:tcPr>
          <w:p>
            <w:pPr>
              <w:spacing w:after="0"/>
              <w:rPr>
                <w:sz w:val="13"/>
                <w:szCs w:val="13"/>
                <w:color w:val="auto"/>
              </w:rPr>
            </w:pPr>
          </w:p>
        </w:tc>
        <w:tc>
          <w:tcPr>
            <w:tcW w:w="9400" w:type="dxa"/>
            <w:vAlign w:val="bottom"/>
          </w:tcPr>
          <w:p>
            <w:pPr>
              <w:spacing w:after="0"/>
              <w:rPr>
                <w:sz w:val="13"/>
                <w:szCs w:val="13"/>
                <w:color w:val="auto"/>
              </w:rPr>
            </w:pPr>
          </w:p>
        </w:tc>
      </w:tr>
      <w:tr>
        <w:trPr>
          <w:trHeight w:val="384"/>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10L*</w:t>
            </w:r>
          </w:p>
        </w:tc>
        <w:tc>
          <w:tcPr>
            <w:tcW w:w="9400" w:type="dxa"/>
            <w:vAlign w:val="bottom"/>
          </w:tcPr>
          <w:p>
            <w:pPr>
              <w:ind w:left="240"/>
              <w:spacing w:after="0"/>
              <w:rPr>
                <w:sz w:val="20"/>
                <w:szCs w:val="20"/>
                <w:color w:val="auto"/>
              </w:rPr>
            </w:pPr>
            <w:r>
              <w:rPr>
                <w:rFonts w:ascii="Arial" w:cs="Arial" w:eastAsia="Arial" w:hAnsi="Arial"/>
                <w:sz w:val="13"/>
                <w:szCs w:val="13"/>
                <w:color w:val="auto"/>
                <w:w w:val="95"/>
              </w:rPr>
              <w:t>Haemonetics Corporation 2000 Long-term Incentive Plan (filed as Exhibit 10A to the Company’s Form 10-Q No. 1-10730 for the quarter ended December 30, 2000 and</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10M*</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Option Agreements for Non-Qualified stock options for the 1998 Stock Option Plan for Non-Employee Directors. (filed as Exhibit 10AI to the Company’s Form 10-</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K No. 1-10730 for the year ended March 29, 2003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10N*</w:t>
            </w:r>
          </w:p>
        </w:tc>
        <w:tc>
          <w:tcPr>
            <w:tcW w:w="9400" w:type="dxa"/>
            <w:vAlign w:val="bottom"/>
          </w:tcPr>
          <w:p>
            <w:pPr>
              <w:ind w:left="240"/>
              <w:spacing w:after="0"/>
              <w:rPr>
                <w:sz w:val="20"/>
                <w:szCs w:val="20"/>
                <w:color w:val="auto"/>
              </w:rPr>
            </w:pPr>
            <w:r>
              <w:rPr>
                <w:rFonts w:ascii="Arial" w:cs="Arial" w:eastAsia="Arial" w:hAnsi="Arial"/>
                <w:sz w:val="13"/>
                <w:szCs w:val="13"/>
                <w:color w:val="auto"/>
                <w:w w:val="94"/>
              </w:rPr>
              <w:t>Form of Option Agreement for Non-Qualified stock options for the 2000 Long Term-Incentive Plan for Employees. (filed as Exhibit 10AJ to the Company’s Form 10-K No.</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1-10730 for the year ended March 29, 2003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10O*</w:t>
            </w:r>
          </w:p>
        </w:tc>
        <w:tc>
          <w:tcPr>
            <w:tcW w:w="9400" w:type="dxa"/>
            <w:vAlign w:val="bottom"/>
          </w:tcPr>
          <w:p>
            <w:pPr>
              <w:ind w:left="240"/>
              <w:spacing w:after="0"/>
              <w:rPr>
                <w:sz w:val="20"/>
                <w:szCs w:val="20"/>
                <w:color w:val="auto"/>
              </w:rPr>
            </w:pPr>
            <w:r>
              <w:rPr>
                <w:rFonts w:ascii="Arial" w:cs="Arial" w:eastAsia="Arial" w:hAnsi="Arial"/>
                <w:sz w:val="13"/>
                <w:szCs w:val="13"/>
                <w:color w:val="auto"/>
                <w:w w:val="94"/>
              </w:rPr>
              <w:t>Form of Option Agreements for Non-Qualified stock options for the 2000 Long- Term Incentive Plan for Non-Employee Directors. (filed as Exhibit 10AK to the Company’s</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Form 10-K No. 1-10730 for the year ended March 29, 2003).</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10P*</w:t>
            </w:r>
          </w:p>
        </w:tc>
        <w:tc>
          <w:tcPr>
            <w:tcW w:w="9400" w:type="dxa"/>
            <w:vAlign w:val="bottom"/>
          </w:tcPr>
          <w:p>
            <w:pPr>
              <w:ind w:left="240"/>
              <w:spacing w:after="0"/>
              <w:rPr>
                <w:sz w:val="20"/>
                <w:szCs w:val="20"/>
                <w:color w:val="auto"/>
              </w:rPr>
            </w:pPr>
            <w:r>
              <w:rPr>
                <w:rFonts w:ascii="Arial" w:cs="Arial" w:eastAsia="Arial" w:hAnsi="Arial"/>
                <w:sz w:val="13"/>
                <w:szCs w:val="13"/>
                <w:color w:val="auto"/>
              </w:rPr>
              <w:t>2005 Long Term Incentive Compensation Plan (filed as Exhibit 10Z in the Company’s Form 10-Q for the quarter ended September 26, 2009).</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10Q*</w:t>
            </w:r>
          </w:p>
        </w:tc>
        <w:tc>
          <w:tcPr>
            <w:tcW w:w="9400" w:type="dxa"/>
            <w:vAlign w:val="bottom"/>
          </w:tcPr>
          <w:p>
            <w:pPr>
              <w:ind w:left="240"/>
              <w:spacing w:after="0"/>
              <w:rPr>
                <w:sz w:val="20"/>
                <w:szCs w:val="20"/>
                <w:color w:val="auto"/>
              </w:rPr>
            </w:pPr>
            <w:r>
              <w:rPr>
                <w:rFonts w:ascii="Arial" w:cs="Arial" w:eastAsia="Arial" w:hAnsi="Arial"/>
                <w:sz w:val="13"/>
                <w:szCs w:val="13"/>
                <w:color w:val="auto"/>
              </w:rPr>
              <w:t>Amendment to the 2005 Long Term Incentive Compensation Plan (filed as Item 2 in the Company’s 2008 Definitive Proxy Statement).</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10R*</w:t>
            </w:r>
          </w:p>
        </w:tc>
        <w:tc>
          <w:tcPr>
            <w:tcW w:w="9400" w:type="dxa"/>
            <w:vAlign w:val="bottom"/>
          </w:tcPr>
          <w:p>
            <w:pPr>
              <w:ind w:left="240"/>
              <w:spacing w:after="0"/>
              <w:rPr>
                <w:sz w:val="20"/>
                <w:szCs w:val="20"/>
                <w:color w:val="auto"/>
              </w:rPr>
            </w:pPr>
            <w:r>
              <w:rPr>
                <w:rFonts w:ascii="Arial" w:cs="Arial" w:eastAsia="Arial" w:hAnsi="Arial"/>
                <w:sz w:val="13"/>
                <w:szCs w:val="13"/>
                <w:color w:val="auto"/>
                <w:w w:val="94"/>
              </w:rPr>
              <w:t>Form of Option Agreement for Non-Qualified stock options for the 2005 Long Term-Incentive Compensation Plan for Non-employee Directors (filed as Exhibit 10.1 to the</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Company’s Form 10-Q No. 1-10730 for the quarter ended October 1, 2005).</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10S</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Option Agreement for Non-Qualified stock options for the 2005 Long Term Incentive Compensation Plan for Employees.</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10T*</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Option Agreement for Non-Qualified stock options for the 2005 Long Term-Incentive Compensation Plan for the Chief Executive Officer (filed as Exhibit 10.3 to the</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Company’s Form 10-Q No. 1-10730 for the quarter ended October 1, 2005).</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10U</w:t>
            </w:r>
          </w:p>
        </w:tc>
        <w:tc>
          <w:tcPr>
            <w:tcW w:w="9400" w:type="dxa"/>
            <w:vAlign w:val="bottom"/>
          </w:tcPr>
          <w:p>
            <w:pPr>
              <w:ind w:left="240"/>
              <w:spacing w:after="0"/>
              <w:rPr>
                <w:sz w:val="20"/>
                <w:szCs w:val="20"/>
                <w:color w:val="auto"/>
              </w:rPr>
            </w:pPr>
            <w:r>
              <w:rPr>
                <w:rFonts w:ascii="Arial" w:cs="Arial" w:eastAsia="Arial" w:hAnsi="Arial"/>
                <w:sz w:val="13"/>
                <w:szCs w:val="13"/>
                <w:color w:val="auto"/>
              </w:rPr>
              <w:t>Form of Restricted Stock Agreement with Employees under 2005 Long Term Incentive Compensation Plan.</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10V*</w:t>
            </w: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Form of Change in Control Agreement dated January 19, 2006 between the Company and members of the Company’s Operating Committee (filed as Exhibit 10AQ to the</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Company’s Form 10-K No. 1-10730 for the year ended April 1, 2006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10W*</w:t>
            </w:r>
          </w:p>
        </w:tc>
        <w:tc>
          <w:tcPr>
            <w:tcW w:w="9400" w:type="dxa"/>
            <w:vAlign w:val="bottom"/>
          </w:tcPr>
          <w:p>
            <w:pPr>
              <w:ind w:left="240"/>
              <w:spacing w:after="0"/>
              <w:rPr>
                <w:sz w:val="20"/>
                <w:szCs w:val="20"/>
                <w:color w:val="auto"/>
              </w:rPr>
            </w:pPr>
            <w:r>
              <w:rPr>
                <w:rFonts w:ascii="Arial" w:cs="Arial" w:eastAsia="Arial" w:hAnsi="Arial"/>
                <w:sz w:val="13"/>
                <w:szCs w:val="13"/>
                <w:color w:val="auto"/>
                <w:w w:val="91"/>
              </w:rPr>
              <w:t>Change in Control Agreement entered into between the Company and Christopher Lindop on and January 2, 2007 (filed as Exhibit 10AR to the Company’s Form 10-K No. 1-</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10730 for the year ended March 31, 2007 and incorporated herein by reference).</w:t>
            </w:r>
          </w:p>
        </w:tc>
      </w:tr>
      <w:tr>
        <w:trPr>
          <w:trHeight w:val="157"/>
        </w:trPr>
        <w:tc>
          <w:tcPr>
            <w:tcW w:w="1260" w:type="dxa"/>
            <w:vAlign w:val="bottom"/>
            <w:gridSpan w:val="2"/>
          </w:tcPr>
          <w:p>
            <w:pPr>
              <w:ind w:left="680"/>
              <w:spacing w:after="0"/>
              <w:rPr>
                <w:sz w:val="20"/>
                <w:szCs w:val="20"/>
                <w:color w:val="auto"/>
              </w:rPr>
            </w:pPr>
            <w:r>
              <w:rPr>
                <w:rFonts w:ascii="Arial" w:cs="Arial" w:eastAsia="Arial" w:hAnsi="Arial"/>
                <w:sz w:val="13"/>
                <w:szCs w:val="13"/>
                <w:color w:val="auto"/>
              </w:rPr>
              <w:t>10X*</w:t>
            </w:r>
          </w:p>
        </w:tc>
        <w:tc>
          <w:tcPr>
            <w:tcW w:w="9400" w:type="dxa"/>
            <w:vAlign w:val="bottom"/>
          </w:tcPr>
          <w:p>
            <w:pPr>
              <w:ind w:left="240"/>
              <w:spacing w:after="0"/>
              <w:rPr>
                <w:sz w:val="20"/>
                <w:szCs w:val="20"/>
                <w:color w:val="auto"/>
              </w:rPr>
            </w:pPr>
            <w:r>
              <w:rPr>
                <w:rFonts w:ascii="Arial" w:cs="Arial" w:eastAsia="Arial" w:hAnsi="Arial"/>
                <w:sz w:val="13"/>
                <w:szCs w:val="13"/>
                <w:color w:val="auto"/>
                <w:w w:val="96"/>
              </w:rPr>
              <w:t>2007 Employee Stock Purchase Plan (filed as Exhibit 10AS to the Company’s Form 10-K No. 1-14041 for the year ended March 29, 2008 and incorporated herein by</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reference).</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23.1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Consent of the Independent Registered Public Accounting Firm</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Certification pursuant to Section 302 of Sarbanes-Oxley Act of 2002, of Brian Concannon, President and Chief Executive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31.2</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Certification pursuant to Section 302 of Sarbanes-Oxley of 2002, of Christopher Lindop, Vice President and Chief Financial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32.1</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w w:val="93"/>
              </w:rPr>
              <w:t>Certification Pursuant to 18 United States Code Section 1350, as adopted Pursuant to Section 906 of the Sarbanes-Oxley Act of 2002, of Brian Concannon, President and</w:t>
            </w:r>
          </w:p>
        </w:tc>
      </w:tr>
      <w:tr>
        <w:trPr>
          <w:trHeight w:val="157"/>
        </w:trPr>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Chief Executive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32.2</w:t>
            </w:r>
          </w:p>
        </w:tc>
        <w:tc>
          <w:tcPr>
            <w:tcW w:w="280" w:type="dxa"/>
            <w:vAlign w:val="bottom"/>
          </w:tcPr>
          <w:p>
            <w:pPr>
              <w:spacing w:after="0"/>
              <w:rPr>
                <w:sz w:val="13"/>
                <w:szCs w:val="13"/>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w w:val="92"/>
              </w:rPr>
              <w:t>Certification Pursuant to 18 United States Code Section 1350, as adopted Pursuant to Section 906 of the Sarbanes-Oxley Act of 2002, of Christopher Lindop, Vice President</w:t>
            </w:r>
          </w:p>
        </w:tc>
      </w:tr>
      <w:tr>
        <w:trPr>
          <w:trHeight w:val="165"/>
        </w:trPr>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0" w:type="dxa"/>
            <w:vAlign w:val="bottom"/>
          </w:tcPr>
          <w:p>
            <w:pPr>
              <w:ind w:left="240"/>
              <w:spacing w:after="0"/>
              <w:rPr>
                <w:sz w:val="20"/>
                <w:szCs w:val="20"/>
                <w:color w:val="auto"/>
              </w:rPr>
            </w:pPr>
            <w:r>
              <w:rPr>
                <w:rFonts w:ascii="Arial" w:cs="Arial" w:eastAsia="Arial" w:hAnsi="Arial"/>
                <w:sz w:val="13"/>
                <w:szCs w:val="13"/>
                <w:color w:val="auto"/>
              </w:rPr>
              <w:t>and Chief Financial Officer of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900" w:hanging="213"/>
        <w:spacing w:after="0"/>
        <w:tabs>
          <w:tab w:leader="none" w:pos="9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Incorporated by reference</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other exhibits are inapplicable.)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w:t>
      </w:r>
    </w:p>
    <w:p>
      <w:pPr>
        <w:spacing w:after="0" w:line="165" w:lineRule="exact"/>
        <w:rPr>
          <w:sz w:val="20"/>
          <w:szCs w:val="20"/>
          <w:color w:val="auto"/>
        </w:rPr>
      </w:pPr>
    </w:p>
    <w:p>
      <w:pPr>
        <w:ind w:left="4300"/>
        <w:spacing w:after="0"/>
        <w:rPr>
          <w:sz w:val="20"/>
          <w:szCs w:val="20"/>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60" w:type="dxa"/>
            <w:vAlign w:val="bottom"/>
          </w:tcPr>
          <w:p>
            <w:pPr>
              <w:jc w:val="right"/>
              <w:ind w:right="240"/>
              <w:spacing w:after="0"/>
              <w:rPr>
                <w:sz w:val="20"/>
                <w:szCs w:val="20"/>
                <w:color w:val="auto"/>
              </w:rPr>
            </w:pPr>
            <w:r>
              <w:rPr>
                <w:rFonts w:ascii="Arial" w:cs="Arial" w:eastAsia="Arial" w:hAnsi="Arial"/>
                <w:sz w:val="10"/>
                <w:szCs w:val="10"/>
                <w:b w:val="1"/>
                <w:bCs w:val="1"/>
                <w:color w:val="auto"/>
              </w:rPr>
              <w:t>Balance at</w:t>
            </w:r>
          </w:p>
        </w:tc>
        <w:tc>
          <w:tcPr>
            <w:tcW w:w="280" w:type="dxa"/>
            <w:vAlign w:val="bottom"/>
          </w:tcPr>
          <w:p>
            <w:pPr>
              <w:spacing w:after="0"/>
              <w:rPr>
                <w:sz w:val="10"/>
                <w:szCs w:val="10"/>
                <w:color w:val="auto"/>
              </w:rPr>
            </w:pPr>
          </w:p>
        </w:tc>
        <w:tc>
          <w:tcPr>
            <w:tcW w:w="860" w:type="dxa"/>
            <w:vAlign w:val="bottom"/>
            <w:gridSpan w:val="2"/>
          </w:tcPr>
          <w:p>
            <w:pPr>
              <w:jc w:val="right"/>
              <w:ind w:right="114"/>
              <w:spacing w:after="0"/>
              <w:rPr>
                <w:sz w:val="20"/>
                <w:szCs w:val="20"/>
                <w:color w:val="auto"/>
              </w:rPr>
            </w:pPr>
            <w:r>
              <w:rPr>
                <w:rFonts w:ascii="Arial" w:cs="Arial" w:eastAsia="Arial" w:hAnsi="Arial"/>
                <w:sz w:val="10"/>
                <w:szCs w:val="10"/>
                <w:b w:val="1"/>
                <w:bCs w:val="1"/>
                <w:color w:val="auto"/>
              </w:rPr>
              <w:t>Charged to</w:t>
            </w:r>
          </w:p>
        </w:tc>
        <w:tc>
          <w:tcPr>
            <w:tcW w:w="280" w:type="dxa"/>
            <w:vAlign w:val="bottom"/>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Write-Offs</w:t>
            </w:r>
          </w:p>
        </w:tc>
        <w:tc>
          <w:tcPr>
            <w:tcW w:w="280" w:type="dxa"/>
            <w:vAlign w:val="bottom"/>
          </w:tcPr>
          <w:p>
            <w:pPr>
              <w:spacing w:after="0"/>
              <w:rPr>
                <w:sz w:val="10"/>
                <w:szCs w:val="10"/>
                <w:color w:val="auto"/>
              </w:rPr>
            </w:pPr>
          </w:p>
        </w:tc>
        <w:tc>
          <w:tcPr>
            <w:tcW w:w="124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Balance at End</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060" w:type="dxa"/>
            <w:vAlign w:val="bottom"/>
          </w:tcPr>
          <w:p>
            <w:pPr>
              <w:jc w:val="right"/>
              <w:ind w:right="180"/>
              <w:spacing w:after="0" w:line="108" w:lineRule="exact"/>
              <w:rPr>
                <w:sz w:val="20"/>
                <w:szCs w:val="20"/>
                <w:color w:val="auto"/>
              </w:rPr>
            </w:pPr>
            <w:r>
              <w:rPr>
                <w:rFonts w:ascii="Arial" w:cs="Arial" w:eastAsia="Arial" w:hAnsi="Arial"/>
                <w:sz w:val="10"/>
                <w:szCs w:val="10"/>
                <w:b w:val="1"/>
                <w:bCs w:val="1"/>
                <w:color w:val="auto"/>
              </w:rPr>
              <w:t>Beginning of</w:t>
            </w:r>
          </w:p>
        </w:tc>
        <w:tc>
          <w:tcPr>
            <w:tcW w:w="280" w:type="dxa"/>
            <w:vAlign w:val="bottom"/>
          </w:tcPr>
          <w:p>
            <w:pPr>
              <w:spacing w:after="0"/>
              <w:rPr>
                <w:sz w:val="9"/>
                <w:szCs w:val="9"/>
                <w:color w:val="auto"/>
              </w:rPr>
            </w:pPr>
          </w:p>
        </w:tc>
        <w:tc>
          <w:tcPr>
            <w:tcW w:w="860" w:type="dxa"/>
            <w:vAlign w:val="bottom"/>
            <w:gridSpan w:val="2"/>
          </w:tcPr>
          <w:p>
            <w:pPr>
              <w:ind w:left="200"/>
              <w:spacing w:after="0" w:line="108" w:lineRule="exact"/>
              <w:rPr>
                <w:sz w:val="20"/>
                <w:szCs w:val="20"/>
                <w:color w:val="auto"/>
              </w:rPr>
            </w:pPr>
            <w:r>
              <w:rPr>
                <w:rFonts w:ascii="Arial" w:cs="Arial" w:eastAsia="Arial" w:hAnsi="Arial"/>
                <w:sz w:val="10"/>
                <w:szCs w:val="10"/>
                <w:b w:val="1"/>
                <w:bCs w:val="1"/>
                <w:color w:val="auto"/>
              </w:rPr>
              <w:t>Costs and</w:t>
            </w:r>
          </w:p>
        </w:tc>
        <w:tc>
          <w:tcPr>
            <w:tcW w:w="28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Period</w:t>
            </w:r>
          </w:p>
        </w:tc>
        <w:tc>
          <w:tcPr>
            <w:tcW w:w="280" w:type="dxa"/>
            <w:vAlign w:val="bottom"/>
          </w:tcPr>
          <w:p>
            <w:pPr>
              <w:spacing w:after="0"/>
              <w:rPr>
                <w:sz w:val="10"/>
                <w:szCs w:val="10"/>
                <w:color w:val="auto"/>
              </w:rPr>
            </w:pPr>
          </w:p>
        </w:tc>
        <w:tc>
          <w:tcPr>
            <w:tcW w:w="86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Expenses</w:t>
            </w:r>
          </w:p>
        </w:tc>
        <w:tc>
          <w:tcPr>
            <w:tcW w:w="280" w:type="dxa"/>
            <w:vAlign w:val="bottom"/>
            <w:vMerge w:val="restart"/>
          </w:tcPr>
          <w:p>
            <w:pPr>
              <w:ind w:left="160"/>
              <w:spacing w:after="0"/>
              <w:rPr>
                <w:sz w:val="20"/>
                <w:szCs w:val="20"/>
                <w:color w:val="auto"/>
              </w:rPr>
            </w:pPr>
            <w:r>
              <w:rPr>
                <w:rFonts w:ascii="Arial" w:cs="Arial" w:eastAsia="Arial" w:hAnsi="Arial"/>
                <w:sz w:val="10"/>
                <w:szCs w:val="10"/>
                <w:b w:val="1"/>
                <w:bCs w:val="1"/>
                <w:color w:val="auto"/>
                <w:w w:val="81"/>
              </w:rPr>
              <w:t>(In</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(Net of Recoveries)</w:t>
            </w:r>
          </w:p>
        </w:tc>
        <w:tc>
          <w:tcPr>
            <w:tcW w:w="280" w:type="dxa"/>
            <w:vAlign w:val="bottom"/>
          </w:tcPr>
          <w:p>
            <w:pPr>
              <w:spacing w:after="0"/>
              <w:rPr>
                <w:sz w:val="10"/>
                <w:szCs w:val="10"/>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of Period</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tcPr>
          <w:p>
            <w:pPr>
              <w:ind w:left="40"/>
              <w:spacing w:after="0"/>
              <w:rPr>
                <w:sz w:val="20"/>
                <w:szCs w:val="20"/>
                <w:color w:val="auto"/>
              </w:rPr>
            </w:pPr>
            <w:r>
              <w:rPr>
                <w:rFonts w:ascii="Arial" w:cs="Arial" w:eastAsia="Arial" w:hAnsi="Arial"/>
                <w:sz w:val="10"/>
                <w:szCs w:val="10"/>
                <w:b w:val="1"/>
                <w:bCs w:val="1"/>
                <w:color w:val="auto"/>
              </w:rPr>
              <w:t>thousands)</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April 3, 2010</w:t>
            </w: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$2,312</w:t>
            </w:r>
          </w:p>
        </w:tc>
        <w:tc>
          <w:tcPr>
            <w:tcW w:w="560" w:type="dxa"/>
            <w:vAlign w:val="bottom"/>
            <w:gridSpan w:val="2"/>
          </w:tcPr>
          <w:p>
            <w:pPr>
              <w:ind w:left="5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14"/>
              <w:spacing w:after="0"/>
              <w:rPr>
                <w:sz w:val="20"/>
                <w:szCs w:val="20"/>
                <w:color w:val="auto"/>
              </w:rPr>
            </w:pPr>
            <w:r>
              <w:rPr>
                <w:rFonts w:ascii="Arial" w:cs="Arial" w:eastAsia="Arial" w:hAnsi="Arial"/>
                <w:sz w:val="13"/>
                <w:szCs w:val="13"/>
                <w:color w:val="auto"/>
              </w:rPr>
              <w:t>363</w:t>
            </w:r>
          </w:p>
        </w:tc>
        <w:tc>
          <w:tcPr>
            <w:tcW w:w="1660" w:type="dxa"/>
            <w:vAlign w:val="bottom"/>
            <w:gridSpan w:val="2"/>
          </w:tcPr>
          <w:p>
            <w:pPr>
              <w:jc w:val="center"/>
              <w:ind w:left="198"/>
              <w:spacing w:after="0"/>
              <w:rPr>
                <w:sz w:val="20"/>
                <w:szCs w:val="20"/>
                <w:color w:val="auto"/>
              </w:rPr>
            </w:pPr>
            <w:r>
              <w:rPr>
                <w:rFonts w:ascii="Arial" w:cs="Arial" w:eastAsia="Arial" w:hAnsi="Arial"/>
                <w:sz w:val="13"/>
                <w:szCs w:val="13"/>
                <w:color w:val="auto"/>
                <w:w w:val="95"/>
              </w:rPr>
              <w:t>$(121)</w:t>
            </w:r>
          </w:p>
        </w:tc>
        <w:tc>
          <w:tcPr>
            <w:tcW w:w="1520" w:type="dxa"/>
            <w:vAlign w:val="bottom"/>
            <w:gridSpan w:val="2"/>
          </w:tcPr>
          <w:p>
            <w:pPr>
              <w:ind w:left="680"/>
              <w:spacing w:after="0"/>
              <w:rPr>
                <w:sz w:val="20"/>
                <w:szCs w:val="20"/>
                <w:color w:val="auto"/>
              </w:rPr>
            </w:pPr>
            <w:r>
              <w:rPr>
                <w:rFonts w:ascii="Arial" w:cs="Arial" w:eastAsia="Arial" w:hAnsi="Arial"/>
                <w:sz w:val="13"/>
                <w:szCs w:val="13"/>
                <w:color w:val="auto"/>
              </w:rPr>
              <w:t>$2,554</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March 28, 2009</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$2,365</w:t>
            </w:r>
          </w:p>
        </w:tc>
        <w:tc>
          <w:tcPr>
            <w:tcW w:w="560" w:type="dxa"/>
            <w:vAlign w:val="bottom"/>
            <w:gridSpan w:val="2"/>
          </w:tcPr>
          <w:p>
            <w:pPr>
              <w:ind w:left="5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14"/>
              <w:spacing w:after="0"/>
              <w:rPr>
                <w:sz w:val="20"/>
                <w:szCs w:val="20"/>
                <w:color w:val="auto"/>
              </w:rPr>
            </w:pPr>
            <w:r>
              <w:rPr>
                <w:rFonts w:ascii="Arial" w:cs="Arial" w:eastAsia="Arial" w:hAnsi="Arial"/>
                <w:sz w:val="13"/>
                <w:szCs w:val="13"/>
                <w:color w:val="auto"/>
              </w:rPr>
              <w:t>838</w:t>
            </w:r>
          </w:p>
        </w:tc>
        <w:tc>
          <w:tcPr>
            <w:tcW w:w="1660" w:type="dxa"/>
            <w:vAlign w:val="bottom"/>
            <w:gridSpan w:val="2"/>
          </w:tcPr>
          <w:p>
            <w:pPr>
              <w:jc w:val="center"/>
              <w:ind w:left="198"/>
              <w:spacing w:after="0"/>
              <w:rPr>
                <w:sz w:val="20"/>
                <w:szCs w:val="20"/>
                <w:color w:val="auto"/>
              </w:rPr>
            </w:pPr>
            <w:r>
              <w:rPr>
                <w:rFonts w:ascii="Arial" w:cs="Arial" w:eastAsia="Arial" w:hAnsi="Arial"/>
                <w:sz w:val="13"/>
                <w:szCs w:val="13"/>
                <w:color w:val="auto"/>
                <w:w w:val="95"/>
              </w:rPr>
              <w:t>$(891)</w:t>
            </w:r>
          </w:p>
        </w:tc>
        <w:tc>
          <w:tcPr>
            <w:tcW w:w="1520" w:type="dxa"/>
            <w:vAlign w:val="bottom"/>
            <w:gridSpan w:val="2"/>
          </w:tcPr>
          <w:p>
            <w:pPr>
              <w:ind w:left="680"/>
              <w:spacing w:after="0"/>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March 29, 2008</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$1,440</w:t>
            </w:r>
          </w:p>
        </w:tc>
        <w:tc>
          <w:tcPr>
            <w:tcW w:w="560" w:type="dxa"/>
            <w:vAlign w:val="bottom"/>
            <w:gridSpan w:val="2"/>
          </w:tcPr>
          <w:p>
            <w:pPr>
              <w:ind w:left="50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214"/>
              <w:spacing w:after="0"/>
              <w:rPr>
                <w:sz w:val="20"/>
                <w:szCs w:val="20"/>
                <w:color w:val="auto"/>
              </w:rPr>
            </w:pPr>
            <w:r>
              <w:rPr>
                <w:rFonts w:ascii="Arial" w:cs="Arial" w:eastAsia="Arial" w:hAnsi="Arial"/>
                <w:sz w:val="13"/>
                <w:szCs w:val="13"/>
                <w:color w:val="auto"/>
                <w:w w:val="85"/>
              </w:rPr>
              <w:t>1,295</w:t>
            </w:r>
          </w:p>
        </w:tc>
        <w:tc>
          <w:tcPr>
            <w:tcW w:w="1660" w:type="dxa"/>
            <w:vAlign w:val="bottom"/>
            <w:gridSpan w:val="2"/>
          </w:tcPr>
          <w:p>
            <w:pPr>
              <w:jc w:val="center"/>
              <w:ind w:left="198"/>
              <w:spacing w:after="0"/>
              <w:rPr>
                <w:sz w:val="20"/>
                <w:szCs w:val="20"/>
                <w:color w:val="auto"/>
              </w:rPr>
            </w:pPr>
            <w:r>
              <w:rPr>
                <w:rFonts w:ascii="Arial" w:cs="Arial" w:eastAsia="Arial" w:hAnsi="Arial"/>
                <w:sz w:val="13"/>
                <w:szCs w:val="13"/>
                <w:color w:val="auto"/>
                <w:w w:val="95"/>
              </w:rPr>
              <w:t>$(370)</w:t>
            </w:r>
          </w:p>
        </w:tc>
        <w:tc>
          <w:tcPr>
            <w:tcW w:w="1520" w:type="dxa"/>
            <w:vAlign w:val="bottom"/>
            <w:gridSpan w:val="2"/>
          </w:tcPr>
          <w:p>
            <w:pPr>
              <w:ind w:left="680"/>
              <w:spacing w:after="0"/>
              <w:rPr>
                <w:sz w:val="20"/>
                <w:szCs w:val="20"/>
                <w:color w:val="auto"/>
              </w:rPr>
            </w:pPr>
            <w:r>
              <w:rPr>
                <w:rFonts w:ascii="Arial" w:cs="Arial" w:eastAsia="Arial" w:hAnsi="Arial"/>
                <w:sz w:val="13"/>
                <w:szCs w:val="13"/>
                <w:color w:val="auto"/>
              </w:rPr>
              <w:t>$2,365</w:t>
            </w:r>
          </w:p>
        </w:tc>
        <w:tc>
          <w:tcPr>
            <w:tcW w:w="0" w:type="dxa"/>
            <w:vAlign w:val="bottom"/>
          </w:tcPr>
          <w:p>
            <w:pPr>
              <w:spacing w:after="0"/>
              <w:rPr>
                <w:sz w:val="1"/>
                <w:szCs w:val="1"/>
                <w:color w:val="auto"/>
              </w:rPr>
            </w:pPr>
          </w:p>
        </w:tc>
      </w:tr>
      <w:tr>
        <w:trPr>
          <w:trHeight w:val="443"/>
        </w:trPr>
        <w:tc>
          <w:tcPr>
            <w:tcW w:w="4600" w:type="dxa"/>
            <w:vAlign w:val="bottom"/>
          </w:tcPr>
          <w:p>
            <w:pPr>
              <w:spacing w:after="0"/>
              <w:rPr>
                <w:sz w:val="24"/>
                <w:szCs w:val="24"/>
                <w:color w:val="auto"/>
              </w:rPr>
            </w:pPr>
          </w:p>
        </w:tc>
        <w:tc>
          <w:tcPr>
            <w:tcW w:w="1060" w:type="dxa"/>
            <w:vAlign w:val="bottom"/>
          </w:tcPr>
          <w:p>
            <w:pPr>
              <w:jc w:val="right"/>
              <w:ind w:right="540"/>
              <w:spacing w:after="0"/>
              <w:rPr>
                <w:sz w:val="20"/>
                <w:szCs w:val="20"/>
                <w:color w:val="auto"/>
              </w:rPr>
            </w:pPr>
            <w:r>
              <w:rPr>
                <w:rFonts w:ascii="Arial" w:cs="Arial" w:eastAsia="Arial" w:hAnsi="Arial"/>
                <w:sz w:val="13"/>
                <w:szCs w:val="13"/>
                <w:color w:val="auto"/>
              </w:rPr>
              <w:t>97</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10S</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HAEMONETICS CORPORATION</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u w:val="single" w:color="auto"/>
          <w:color w:val="auto"/>
        </w:rPr>
        <w:t>2005 LONG-TERM INCENTIVE COMPENSATION PLAN</w:t>
      </w:r>
    </w:p>
    <w:p>
      <w:pPr>
        <w:spacing w:after="0" w:line="9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u w:val="single" w:color="auto"/>
          <w:color w:val="auto"/>
        </w:rPr>
        <w:t>NON-QUALIFIED STOCK OPTION AGREEMENT</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WITH</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«Name»</w:t>
      </w:r>
    </w:p>
    <w:p>
      <w:pPr>
        <w:spacing w:after="0" w:line="140"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3"/>
          <w:szCs w:val="13"/>
          <w:b w:val="1"/>
          <w:bCs w:val="1"/>
          <w:color w:val="auto"/>
        </w:rPr>
        <w:t>HAEMONETICS CORPORATION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NON-QUALIFIED STOCK OPTION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UNDER 2005 LONG-TERM INCENTIVE COMPENSATION PLAN</w:t>
      </w:r>
    </w:p>
    <w:p>
      <w:pPr>
        <w:spacing w:after="0" w:line="79"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THIS NON-QUALIFIED STOCK OPTION AGREEMENT (“</w:t>
      </w:r>
      <w:r>
        <w:rPr>
          <w:rFonts w:ascii="Arial" w:cs="Arial" w:eastAsia="Arial" w:hAnsi="Arial"/>
          <w:sz w:val="13"/>
          <w:szCs w:val="13"/>
          <w:u w:val="single" w:color="auto"/>
          <w:color w:val="auto"/>
        </w:rPr>
        <w:t>Agreement</w:t>
      </w:r>
      <w:r>
        <w:rPr>
          <w:rFonts w:ascii="Arial" w:cs="Arial" w:eastAsia="Arial" w:hAnsi="Arial"/>
          <w:sz w:val="13"/>
          <w:szCs w:val="13"/>
          <w:color w:val="auto"/>
        </w:rPr>
        <w:t>”) entered into this date «Option_Date» by and between Haemonetics Corporation, a Massachusetts corporation with a principal place of business in Braintree, Massachusetts, (the “</w:t>
      </w:r>
      <w:r>
        <w:rPr>
          <w:rFonts w:ascii="Arial" w:cs="Arial" w:eastAsia="Arial" w:hAnsi="Arial"/>
          <w:sz w:val="13"/>
          <w:szCs w:val="13"/>
          <w:u w:val="single" w:color="auto"/>
          <w:color w:val="auto"/>
        </w:rPr>
        <w:t>Company</w:t>
      </w:r>
      <w:r>
        <w:rPr>
          <w:rFonts w:ascii="Arial" w:cs="Arial" w:eastAsia="Arial" w:hAnsi="Arial"/>
          <w:sz w:val="13"/>
          <w:szCs w:val="13"/>
          <w:color w:val="auto"/>
        </w:rPr>
        <w:t>”), and the herein named employee of the Company (or one of its subsidiaries) (the Company and its subsidiaries herein together referred to as the “</w:t>
      </w:r>
      <w:r>
        <w:rPr>
          <w:rFonts w:ascii="Arial" w:cs="Arial" w:eastAsia="Arial" w:hAnsi="Arial"/>
          <w:sz w:val="13"/>
          <w:szCs w:val="13"/>
          <w:u w:val="single" w:color="auto"/>
          <w:color w:val="auto"/>
        </w:rPr>
        <w:t>Company</w:t>
      </w:r>
      <w:r>
        <w:rPr>
          <w:rFonts w:ascii="Arial" w:cs="Arial" w:eastAsia="Arial" w:hAnsi="Arial"/>
          <w:sz w:val="13"/>
          <w:szCs w:val="13"/>
          <w:color w:val="auto"/>
        </w:rPr>
        <w:t>”) (the “</w:t>
      </w:r>
      <w:r>
        <w:rPr>
          <w:rFonts w:ascii="Arial" w:cs="Arial" w:eastAsia="Arial" w:hAnsi="Arial"/>
          <w:sz w:val="13"/>
          <w:szCs w:val="13"/>
          <w:u w:val="single" w:color="auto"/>
          <w:color w:val="auto"/>
        </w:rPr>
        <w:t>Employee</w:t>
      </w:r>
      <w:r>
        <w:rPr>
          <w:rFonts w:ascii="Arial" w:cs="Arial" w:eastAsia="Arial" w:hAnsi="Arial"/>
          <w:sz w:val="13"/>
          <w:szCs w:val="13"/>
          <w:color w:val="auto"/>
        </w:rPr>
        <w:t>”).</w:t>
      </w:r>
    </w:p>
    <w:p>
      <w:pPr>
        <w:spacing w:after="0" w:line="57" w:lineRule="exact"/>
        <w:rPr>
          <w:sz w:val="20"/>
          <w:szCs w:val="20"/>
          <w:color w:val="auto"/>
        </w:rPr>
      </w:pPr>
    </w:p>
    <w:p>
      <w:pPr>
        <w:ind w:right="40" w:firstLine="162"/>
        <w:spacing w:after="0" w:line="276" w:lineRule="auto"/>
        <w:tabs>
          <w:tab w:leader="none" w:pos="292"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Company desires to grant the Employee a non-qualified stock option under the Company’s 2005 Long-Term Incentive Compensation Plan (the “</w:t>
      </w:r>
      <w:r>
        <w:rPr>
          <w:rFonts w:ascii="Arial" w:cs="Arial" w:eastAsia="Arial" w:hAnsi="Arial"/>
          <w:sz w:val="13"/>
          <w:szCs w:val="13"/>
          <w:u w:val="single" w:color="auto"/>
          <w:color w:val="auto"/>
        </w:rPr>
        <w:t>Plan</w:t>
      </w:r>
      <w:r>
        <w:rPr>
          <w:rFonts w:ascii="Arial" w:cs="Arial" w:eastAsia="Arial" w:hAnsi="Arial"/>
          <w:sz w:val="13"/>
          <w:szCs w:val="13"/>
          <w:color w:val="auto"/>
        </w:rPr>
        <w:t>”) to acquire shares of the Company’s common stock, $.01 par value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left="280" w:hanging="118"/>
        <w:spacing w:after="0"/>
        <w:tabs>
          <w:tab w:leader="none" w:pos="2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Article 6 of the Plan provides that each option is to be evidenced by an award agreement, setting forth the terms and conditions of the option.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ACCORDINGLY, in consideration of the premises and of the mutual covenants and agreements contained herein, the Company and the Employee hereby agree as follows:</w:t>
      </w:r>
    </w:p>
    <w:p>
      <w:pPr>
        <w:spacing w:after="0" w:line="86" w:lineRule="exact"/>
        <w:rPr>
          <w:sz w:val="20"/>
          <w:szCs w:val="20"/>
          <w:color w:val="auto"/>
        </w:rPr>
      </w:pPr>
    </w:p>
    <w:p>
      <w:pPr>
        <w:ind w:right="160" w:firstLine="162"/>
        <w:spacing w:after="0" w:line="371" w:lineRule="auto"/>
        <w:tabs>
          <w:tab w:leader="none" w:pos="295" w:val="left"/>
        </w:tabs>
        <w:numPr>
          <w:ilvl w:val="0"/>
          <w:numId w:val="70"/>
        </w:numPr>
        <w:rPr>
          <w:rFonts w:ascii="Arial" w:cs="Arial" w:eastAsia="Arial" w:hAnsi="Arial"/>
          <w:sz w:val="11"/>
          <w:szCs w:val="11"/>
          <w:color w:val="auto"/>
        </w:rPr>
      </w:pPr>
      <w:r>
        <w:rPr>
          <w:rFonts w:ascii="Arial" w:cs="Arial" w:eastAsia="Arial" w:hAnsi="Arial"/>
          <w:sz w:val="11"/>
          <w:szCs w:val="11"/>
          <w:u w:val="single" w:color="auto"/>
          <w:color w:val="auto"/>
        </w:rPr>
        <w:t>Grant of Option</w:t>
      </w:r>
      <w:r>
        <w:rPr>
          <w:rFonts w:ascii="Arial" w:cs="Arial" w:eastAsia="Arial" w:hAnsi="Arial"/>
          <w:sz w:val="11"/>
          <w:szCs w:val="11"/>
          <w:color w:val="auto"/>
        </w:rPr>
        <w:t>. The Company hereby irrevocably grants to the Employee a non-qualified stock option (the “</w:t>
      </w:r>
      <w:r>
        <w:rPr>
          <w:rFonts w:ascii="Arial" w:cs="Arial" w:eastAsia="Arial" w:hAnsi="Arial"/>
          <w:sz w:val="11"/>
          <w:szCs w:val="11"/>
          <w:u w:val="single" w:color="auto"/>
          <w:color w:val="auto"/>
        </w:rPr>
        <w:t>Option</w:t>
      </w:r>
      <w:r>
        <w:rPr>
          <w:rFonts w:ascii="Arial" w:cs="Arial" w:eastAsia="Arial" w:hAnsi="Arial"/>
          <w:sz w:val="11"/>
          <w:szCs w:val="11"/>
          <w:color w:val="auto"/>
        </w:rPr>
        <w:t>”) to purchase all or any part of an aggregate of «X_Total_Options» shares of Common Stock (the “</w:t>
      </w:r>
      <w:r>
        <w:rPr>
          <w:rFonts w:ascii="Arial" w:cs="Arial" w:eastAsia="Arial" w:hAnsi="Arial"/>
          <w:sz w:val="11"/>
          <w:szCs w:val="11"/>
          <w:u w:val="single" w:color="auto"/>
          <w:color w:val="auto"/>
        </w:rPr>
        <w:t>Shares</w:t>
      </w:r>
      <w:r>
        <w:rPr>
          <w:rFonts w:ascii="Arial" w:cs="Arial" w:eastAsia="Arial" w:hAnsi="Arial"/>
          <w:sz w:val="11"/>
          <w:szCs w:val="11"/>
          <w:color w:val="auto"/>
        </w:rPr>
        <w:t>”) on the terms and conditions hereinafter set forth. This Option shall not be treated as an incentive stock option under Section 422A of the Internal Revenue Code of 1986, as amended (the “</w:t>
      </w:r>
      <w:r>
        <w:rPr>
          <w:rFonts w:ascii="Arial" w:cs="Arial" w:eastAsia="Arial" w:hAnsi="Arial"/>
          <w:sz w:val="11"/>
          <w:szCs w:val="11"/>
          <w:u w:val="single" w:color="auto"/>
          <w:color w:val="auto"/>
        </w:rPr>
        <w:t>Code</w:t>
      </w:r>
      <w:r>
        <w:rPr>
          <w:rFonts w:ascii="Arial" w:cs="Arial" w:eastAsia="Arial" w:hAnsi="Arial"/>
          <w:sz w:val="11"/>
          <w:szCs w:val="11"/>
          <w:color w:val="auto"/>
        </w:rPr>
        <w:t>”).</w:t>
      </w:r>
    </w:p>
    <w:p>
      <w:pPr>
        <w:spacing w:after="0" w:line="2" w:lineRule="exact"/>
        <w:rPr>
          <w:rFonts w:ascii="Arial" w:cs="Arial" w:eastAsia="Arial" w:hAnsi="Arial"/>
          <w:sz w:val="11"/>
          <w:szCs w:val="11"/>
          <w:color w:val="auto"/>
        </w:rPr>
      </w:pPr>
    </w:p>
    <w:p>
      <w:pPr>
        <w:ind w:left="300" w:hanging="138"/>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Purchase Price</w:t>
      </w:r>
      <w:r>
        <w:rPr>
          <w:rFonts w:ascii="Arial" w:cs="Arial" w:eastAsia="Arial" w:hAnsi="Arial"/>
          <w:sz w:val="13"/>
          <w:szCs w:val="13"/>
          <w:color w:val="auto"/>
        </w:rPr>
        <w:t>. The purchase price (“</w:t>
      </w:r>
      <w:r>
        <w:rPr>
          <w:rFonts w:ascii="Arial" w:cs="Arial" w:eastAsia="Arial" w:hAnsi="Arial"/>
          <w:sz w:val="13"/>
          <w:szCs w:val="13"/>
          <w:u w:val="single" w:color="auto"/>
          <w:color w:val="auto"/>
        </w:rPr>
        <w:t>Purchase Price</w:t>
      </w:r>
      <w:r>
        <w:rPr>
          <w:rFonts w:ascii="Arial" w:cs="Arial" w:eastAsia="Arial" w:hAnsi="Arial"/>
          <w:sz w:val="13"/>
          <w:szCs w:val="13"/>
          <w:color w:val="auto"/>
        </w:rPr>
        <w:t>”) for the Shares covered by the Option shall be «Option_Price» per Share.</w:t>
      </w:r>
    </w:p>
    <w:p>
      <w:pPr>
        <w:spacing w:after="0" w:line="86" w:lineRule="exact"/>
        <w:rPr>
          <w:rFonts w:ascii="Arial" w:cs="Arial" w:eastAsia="Arial" w:hAnsi="Arial"/>
          <w:sz w:val="13"/>
          <w:szCs w:val="13"/>
          <w:color w:val="auto"/>
        </w:rPr>
      </w:pPr>
    </w:p>
    <w:p>
      <w:pPr>
        <w:ind w:left="300" w:hanging="138"/>
        <w:spacing w:after="0"/>
        <w:tabs>
          <w:tab w:leader="none" w:pos="300"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Time of Exercise of Option; Exercisability</w:t>
      </w:r>
      <w:r>
        <w:rPr>
          <w:rFonts w:ascii="Arial" w:cs="Arial" w:eastAsia="Arial" w:hAnsi="Arial"/>
          <w:sz w:val="13"/>
          <w:szCs w:val="13"/>
          <w:color w:val="auto"/>
        </w:rPr>
        <w:t>.</w:t>
      </w:r>
    </w:p>
    <w:p>
      <w:pPr>
        <w:spacing w:after="0" w:line="86" w:lineRule="exact"/>
        <w:rPr>
          <w:sz w:val="20"/>
          <w:szCs w:val="20"/>
          <w:color w:val="auto"/>
        </w:rPr>
      </w:pPr>
    </w:p>
    <w:p>
      <w:pPr>
        <w:ind w:left="160" w:right="7980" w:firstLine="2"/>
        <w:spacing w:after="0" w:line="518" w:lineRule="auto"/>
        <w:tabs>
          <w:tab w:leader="none" w:pos="338" w:val="left"/>
        </w:tabs>
        <w:numPr>
          <w:ilvl w:val="0"/>
          <w:numId w:val="71"/>
        </w:numPr>
        <w:rPr>
          <w:rFonts w:ascii="Arial" w:cs="Arial" w:eastAsia="Arial" w:hAnsi="Arial"/>
          <w:sz w:val="11"/>
          <w:szCs w:val="11"/>
          <w:color w:val="auto"/>
        </w:rPr>
      </w:pPr>
      <w:r>
        <w:rPr>
          <w:rFonts w:ascii="Arial" w:cs="Arial" w:eastAsia="Arial" w:hAnsi="Arial"/>
          <w:sz w:val="11"/>
          <w:szCs w:val="11"/>
          <w:color w:val="auto"/>
        </w:rPr>
        <w:t>The Option shall not be exercisable prior to «Vest_Date_1». Thereafter, the Option shall be exercisable as follows:</w:t>
      </w:r>
    </w:p>
    <w:tbl>
      <w:tblPr>
        <w:tblLayout w:type="fixed"/>
        <w:tblInd w:w="0" w:type="dxa"/>
        <w:tblCellMar>
          <w:top w:w="0" w:type="dxa"/>
          <w:left w:w="0" w:type="dxa"/>
          <w:bottom w:w="0" w:type="dxa"/>
          <w:right w:w="0" w:type="dxa"/>
        </w:tblCellMar>
      </w:tblP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color w:val="auto"/>
                <w:w w:val="89"/>
              </w:rPr>
              <w:t>Percentage of</w:t>
            </w: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color w:val="auto"/>
                <w:w w:val="91"/>
              </w:rPr>
              <w:t>Shares Becoming</w:t>
            </w:r>
          </w:p>
        </w:tc>
        <w:tc>
          <w:tcPr>
            <w:tcW w:w="56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color w:val="auto"/>
                <w:w w:val="99"/>
              </w:rPr>
              <w:t>Cumulative</w:t>
            </w:r>
          </w:p>
        </w:tc>
      </w:tr>
      <w:tr>
        <w:trPr>
          <w:trHeight w:val="108"/>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0"/>
                <w:szCs w:val="10"/>
                <w:color w:val="auto"/>
              </w:rPr>
              <w:t>Available for</w:t>
            </w:r>
          </w:p>
        </w:tc>
        <w:tc>
          <w:tcPr>
            <w:tcW w:w="560" w:type="dxa"/>
            <w:vAlign w:val="bottom"/>
          </w:tcPr>
          <w:p>
            <w:pPr>
              <w:spacing w:after="0"/>
              <w:rPr>
                <w:sz w:val="9"/>
                <w:szCs w:val="9"/>
                <w:color w:val="auto"/>
              </w:rPr>
            </w:pPr>
          </w:p>
        </w:tc>
        <w:tc>
          <w:tcPr>
            <w:tcW w:w="880" w:type="dxa"/>
            <w:vAlign w:val="bottom"/>
          </w:tcPr>
          <w:p>
            <w:pPr>
              <w:jc w:val="center"/>
              <w:spacing w:after="0" w:line="108" w:lineRule="exact"/>
              <w:rPr>
                <w:sz w:val="20"/>
                <w:szCs w:val="20"/>
                <w:color w:val="auto"/>
              </w:rPr>
            </w:pPr>
            <w:r>
              <w:rPr>
                <w:rFonts w:ascii="Arial" w:cs="Arial" w:eastAsia="Arial" w:hAnsi="Arial"/>
                <w:sz w:val="10"/>
                <w:szCs w:val="10"/>
                <w:color w:val="auto"/>
                <w:w w:val="89"/>
              </w:rPr>
              <w:t>Percentage</w:t>
            </w:r>
          </w:p>
        </w:tc>
      </w:tr>
      <w:tr>
        <w:trPr>
          <w:trHeight w:val="121"/>
        </w:trPr>
        <w:tc>
          <w:tcPr>
            <w:tcW w:w="3240" w:type="dxa"/>
            <w:vAlign w:val="bottom"/>
            <w:gridSpan w:val="2"/>
          </w:tcPr>
          <w:p>
            <w:pPr>
              <w:spacing w:after="0"/>
              <w:rPr>
                <w:sz w:val="20"/>
                <w:szCs w:val="20"/>
                <w:color w:val="auto"/>
              </w:rPr>
            </w:pPr>
            <w:r>
              <w:rPr>
                <w:rFonts w:ascii="Arial" w:cs="Arial" w:eastAsia="Arial" w:hAnsi="Arial"/>
                <w:sz w:val="10"/>
                <w:szCs w:val="10"/>
                <w:color w:val="auto"/>
              </w:rPr>
              <w:t>On or After</w:t>
            </w:r>
          </w:p>
        </w:tc>
        <w:tc>
          <w:tcPr>
            <w:tcW w:w="5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jc w:val="right"/>
              <w:ind w:right="185"/>
              <w:spacing w:after="0"/>
              <w:rPr>
                <w:sz w:val="20"/>
                <w:szCs w:val="20"/>
                <w:color w:val="auto"/>
              </w:rPr>
            </w:pPr>
            <w:r>
              <w:rPr>
                <w:rFonts w:ascii="Arial" w:cs="Arial" w:eastAsia="Arial" w:hAnsi="Arial"/>
                <w:sz w:val="10"/>
                <w:szCs w:val="10"/>
                <w:color w:val="auto"/>
              </w:rPr>
              <w:t>Exercise</w:t>
            </w:r>
          </w:p>
        </w:tc>
        <w:tc>
          <w:tcPr>
            <w:tcW w:w="56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color w:val="auto"/>
                <w:w w:val="98"/>
              </w:rPr>
              <w:t>Available</w:t>
            </w:r>
          </w:p>
        </w:tc>
      </w:tr>
      <w:tr>
        <w:trPr>
          <w:trHeight w:val="147"/>
        </w:trPr>
        <w:tc>
          <w:tcPr>
            <w:tcW w:w="20" w:type="dxa"/>
            <w:vAlign w:val="bottom"/>
          </w:tcPr>
          <w:p>
            <w:pPr>
              <w:spacing w:after="0"/>
              <w:rPr>
                <w:sz w:val="12"/>
                <w:szCs w:val="12"/>
                <w:color w:val="auto"/>
              </w:rPr>
            </w:pPr>
          </w:p>
        </w:tc>
        <w:tc>
          <w:tcPr>
            <w:tcW w:w="322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«Vest_date_1»</w:t>
            </w:r>
          </w:p>
        </w:tc>
        <w:tc>
          <w:tcPr>
            <w:tcW w:w="5380" w:type="dxa"/>
            <w:vAlign w:val="bottom"/>
            <w:tcBorders>
              <w:top w:val="single" w:sz="8" w:color="auto"/>
            </w:tcBorders>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185"/>
              <w:spacing w:after="0" w:line="148" w:lineRule="exact"/>
              <w:rPr>
                <w:sz w:val="20"/>
                <w:szCs w:val="20"/>
                <w:color w:val="auto"/>
              </w:rPr>
            </w:pPr>
            <w:r>
              <w:rPr>
                <w:rFonts w:ascii="Arial" w:cs="Arial" w:eastAsia="Arial" w:hAnsi="Arial"/>
                <w:sz w:val="13"/>
                <w:szCs w:val="13"/>
                <w:color w:val="auto"/>
              </w:rPr>
              <w:t>25%</w:t>
            </w:r>
          </w:p>
        </w:tc>
        <w:tc>
          <w:tcPr>
            <w:tcW w:w="56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164"/>
              <w:spacing w:after="0" w:line="148" w:lineRule="exact"/>
              <w:rPr>
                <w:sz w:val="20"/>
                <w:szCs w:val="20"/>
                <w:color w:val="auto"/>
              </w:rPr>
            </w:pPr>
            <w:r>
              <w:rPr>
                <w:rFonts w:ascii="Arial" w:cs="Arial" w:eastAsia="Arial" w:hAnsi="Arial"/>
                <w:sz w:val="13"/>
                <w:szCs w:val="13"/>
                <w:color w:val="auto"/>
              </w:rPr>
              <w:t>25%</w:t>
            </w:r>
          </w:p>
        </w:tc>
      </w:tr>
      <w:tr>
        <w:trPr>
          <w:trHeight w:val="157"/>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«Vest_date_2»</w:t>
            </w:r>
          </w:p>
        </w:tc>
        <w:tc>
          <w:tcPr>
            <w:tcW w:w="6780" w:type="dxa"/>
            <w:vAlign w:val="bottom"/>
            <w:gridSpan w:val="3"/>
          </w:tcPr>
          <w:p>
            <w:pPr>
              <w:jc w:val="right"/>
              <w:ind w:right="185"/>
              <w:spacing w:after="0"/>
              <w:rPr>
                <w:sz w:val="20"/>
                <w:szCs w:val="20"/>
                <w:color w:val="auto"/>
              </w:rPr>
            </w:pPr>
            <w:r>
              <w:rPr>
                <w:rFonts w:ascii="Arial" w:cs="Arial" w:eastAsia="Arial" w:hAnsi="Arial"/>
                <w:sz w:val="13"/>
                <w:szCs w:val="13"/>
                <w:color w:val="auto"/>
              </w:rPr>
              <w:t>25%</w:t>
            </w:r>
          </w:p>
        </w:tc>
        <w:tc>
          <w:tcPr>
            <w:tcW w:w="1440" w:type="dxa"/>
            <w:vAlign w:val="bottom"/>
            <w:gridSpan w:val="2"/>
          </w:tcPr>
          <w:p>
            <w:pPr>
              <w:jc w:val="right"/>
              <w:ind w:right="164"/>
              <w:spacing w:after="0"/>
              <w:rPr>
                <w:sz w:val="20"/>
                <w:szCs w:val="20"/>
                <w:color w:val="auto"/>
              </w:rPr>
            </w:pPr>
            <w:r>
              <w:rPr>
                <w:rFonts w:ascii="Arial" w:cs="Arial" w:eastAsia="Arial" w:hAnsi="Arial"/>
                <w:sz w:val="13"/>
                <w:szCs w:val="13"/>
                <w:color w:val="auto"/>
              </w:rPr>
              <w:t>50%</w:t>
            </w:r>
          </w:p>
        </w:tc>
      </w:tr>
      <w:tr>
        <w:trPr>
          <w:trHeight w:val="157"/>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«Vest_date_3»</w:t>
            </w:r>
          </w:p>
        </w:tc>
        <w:tc>
          <w:tcPr>
            <w:tcW w:w="6780" w:type="dxa"/>
            <w:vAlign w:val="bottom"/>
            <w:gridSpan w:val="3"/>
            <w:shd w:val="clear" w:color="auto" w:fill="CCEEFF"/>
          </w:tcPr>
          <w:p>
            <w:pPr>
              <w:jc w:val="right"/>
              <w:ind w:right="185"/>
              <w:spacing w:after="0"/>
              <w:rPr>
                <w:sz w:val="20"/>
                <w:szCs w:val="20"/>
                <w:color w:val="auto"/>
              </w:rPr>
            </w:pPr>
            <w:r>
              <w:rPr>
                <w:rFonts w:ascii="Arial" w:cs="Arial" w:eastAsia="Arial" w:hAnsi="Arial"/>
                <w:sz w:val="13"/>
                <w:szCs w:val="13"/>
                <w:color w:val="auto"/>
              </w:rPr>
              <w:t>25%</w:t>
            </w:r>
          </w:p>
        </w:tc>
        <w:tc>
          <w:tcPr>
            <w:tcW w:w="1440" w:type="dxa"/>
            <w:vAlign w:val="bottom"/>
            <w:gridSpan w:val="2"/>
            <w:shd w:val="clear" w:color="auto" w:fill="CCEEFF"/>
          </w:tcPr>
          <w:p>
            <w:pPr>
              <w:jc w:val="right"/>
              <w:ind w:right="164"/>
              <w:spacing w:after="0"/>
              <w:rPr>
                <w:sz w:val="20"/>
                <w:szCs w:val="20"/>
                <w:color w:val="auto"/>
              </w:rPr>
            </w:pPr>
            <w:r>
              <w:rPr>
                <w:rFonts w:ascii="Arial" w:cs="Arial" w:eastAsia="Arial" w:hAnsi="Arial"/>
                <w:sz w:val="13"/>
                <w:szCs w:val="13"/>
                <w:color w:val="auto"/>
              </w:rPr>
              <w:t>75%</w:t>
            </w:r>
          </w:p>
        </w:tc>
      </w:tr>
      <w:tr>
        <w:trPr>
          <w:trHeight w:val="165"/>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3"/>
                <w:szCs w:val="13"/>
                <w:color w:val="auto"/>
              </w:rPr>
              <w:t>«Vest_date_4»</w:t>
            </w:r>
          </w:p>
        </w:tc>
        <w:tc>
          <w:tcPr>
            <w:tcW w:w="6780" w:type="dxa"/>
            <w:vAlign w:val="bottom"/>
            <w:gridSpan w:val="3"/>
          </w:tcPr>
          <w:p>
            <w:pPr>
              <w:jc w:val="right"/>
              <w:ind w:right="185"/>
              <w:spacing w:after="0"/>
              <w:rPr>
                <w:sz w:val="20"/>
                <w:szCs w:val="20"/>
                <w:color w:val="auto"/>
              </w:rPr>
            </w:pPr>
            <w:r>
              <w:rPr>
                <w:rFonts w:ascii="Arial" w:cs="Arial" w:eastAsia="Arial" w:hAnsi="Arial"/>
                <w:sz w:val="13"/>
                <w:szCs w:val="13"/>
                <w:color w:val="auto"/>
              </w:rPr>
              <w:t>25%</w:t>
            </w:r>
          </w:p>
        </w:tc>
        <w:tc>
          <w:tcPr>
            <w:tcW w:w="1440" w:type="dxa"/>
            <w:vAlign w:val="bottom"/>
            <w:gridSpan w:val="2"/>
          </w:tcPr>
          <w:p>
            <w:pPr>
              <w:jc w:val="right"/>
              <w:ind w:right="164"/>
              <w:spacing w:after="0"/>
              <w:rPr>
                <w:sz w:val="20"/>
                <w:szCs w:val="20"/>
                <w:color w:val="auto"/>
              </w:rPr>
            </w:pPr>
            <w:r>
              <w:rPr>
                <w:rFonts w:ascii="Arial" w:cs="Arial" w:eastAsia="Arial" w:hAnsi="Arial"/>
                <w:sz w:val="13"/>
                <w:szCs w:val="13"/>
                <w:color w:val="auto"/>
              </w:rPr>
              <w:t>100%</w:t>
            </w:r>
          </w:p>
        </w:tc>
      </w:tr>
      <w:tr>
        <w:trPr>
          <w:trHeight w:val="28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380" w:type="dxa"/>
            <w:vAlign w:val="bottom"/>
          </w:tcPr>
          <w:p>
            <w:pPr>
              <w:jc w:val="right"/>
              <w:ind w:right="2794"/>
              <w:spacing w:after="0"/>
              <w:rPr>
                <w:sz w:val="20"/>
                <w:szCs w:val="20"/>
                <w:color w:val="auto"/>
              </w:rPr>
            </w:pPr>
            <w:r>
              <w:rPr>
                <w:rFonts w:ascii="Arial" w:cs="Arial" w:eastAsia="Arial" w:hAnsi="Arial"/>
                <w:sz w:val="13"/>
                <w:szCs w:val="13"/>
                <w:color w:val="auto"/>
              </w:rPr>
              <w:t>2</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3"/>
        </w:trPr>
        <w:tc>
          <w:tcPr>
            <w:tcW w:w="20" w:type="dxa"/>
            <w:vAlign w:val="bottom"/>
          </w:tcPr>
          <w:p>
            <w:pPr>
              <w:spacing w:after="0"/>
              <w:rPr>
                <w:sz w:val="14"/>
                <w:szCs w:val="14"/>
                <w:color w:val="auto"/>
              </w:rPr>
            </w:pPr>
          </w:p>
        </w:tc>
        <w:tc>
          <w:tcPr>
            <w:tcW w:w="3220" w:type="dxa"/>
            <w:vAlign w:val="bottom"/>
            <w:tcBorders>
              <w:bottom w:val="single" w:sz="8" w:color="808080"/>
            </w:tcBorders>
          </w:tcPr>
          <w:p>
            <w:pPr>
              <w:spacing w:after="0"/>
              <w:rPr>
                <w:sz w:val="14"/>
                <w:szCs w:val="14"/>
                <w:color w:val="auto"/>
              </w:rPr>
            </w:pPr>
          </w:p>
        </w:tc>
        <w:tc>
          <w:tcPr>
            <w:tcW w:w="53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02" w:name="page103"/>
    <w:bookmarkEnd w:id="102"/>
    <w:p>
      <w:pPr>
        <w:ind w:left="280" w:hanging="138"/>
        <w:spacing w:after="0"/>
        <w:tabs>
          <w:tab w:leader="none" w:pos="280"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Term of Options; Exercisability and Acceleration of Vesting</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480" w:hanging="174"/>
        <w:spacing w:after="0"/>
        <w:tabs>
          <w:tab w:leader="none" w:pos="480" w:val="left"/>
        </w:tabs>
        <w:numPr>
          <w:ilvl w:val="1"/>
          <w:numId w:val="72"/>
        </w:numPr>
        <w:rPr>
          <w:rFonts w:ascii="Arial" w:cs="Arial" w:eastAsia="Arial" w:hAnsi="Arial"/>
          <w:sz w:val="13"/>
          <w:szCs w:val="13"/>
          <w:color w:val="auto"/>
        </w:rPr>
      </w:pPr>
      <w:r>
        <w:rPr>
          <w:rFonts w:ascii="Arial" w:cs="Arial" w:eastAsia="Arial" w:hAnsi="Arial"/>
          <w:sz w:val="13"/>
          <w:szCs w:val="13"/>
          <w:u w:val="single" w:color="auto"/>
          <w:color w:val="auto"/>
        </w:rPr>
        <w:t>Term</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60" w:hanging="190"/>
        <w:spacing w:after="0"/>
        <w:tabs>
          <w:tab w:leader="none" w:pos="660" w:val="left"/>
        </w:tabs>
        <w:numPr>
          <w:ilvl w:val="2"/>
          <w:numId w:val="72"/>
        </w:numPr>
        <w:rPr>
          <w:rFonts w:ascii="Arial" w:cs="Arial" w:eastAsia="Arial" w:hAnsi="Arial"/>
          <w:sz w:val="13"/>
          <w:szCs w:val="13"/>
          <w:color w:val="auto"/>
        </w:rPr>
      </w:pPr>
      <w:r>
        <w:rPr>
          <w:rFonts w:ascii="Arial" w:cs="Arial" w:eastAsia="Arial" w:hAnsi="Arial"/>
          <w:sz w:val="13"/>
          <w:szCs w:val="13"/>
          <w:color w:val="auto"/>
        </w:rPr>
        <w:t>The Option shall expire not more than seven (7) years from the date of the granting thereof, but shall be subject to earlier termination as herein provided.</w:t>
      </w:r>
    </w:p>
    <w:p>
      <w:pPr>
        <w:spacing w:after="0" w:line="86" w:lineRule="exact"/>
        <w:rPr>
          <w:rFonts w:ascii="Arial" w:cs="Arial" w:eastAsia="Arial" w:hAnsi="Arial"/>
          <w:sz w:val="13"/>
          <w:szCs w:val="13"/>
          <w:color w:val="auto"/>
        </w:rPr>
      </w:pPr>
    </w:p>
    <w:p>
      <w:pPr>
        <w:ind w:left="-20" w:right="20" w:firstLine="490"/>
        <w:spacing w:after="0" w:line="276" w:lineRule="auto"/>
        <w:tabs>
          <w:tab w:leader="none" w:pos="657" w:val="left"/>
        </w:tabs>
        <w:numPr>
          <w:ilvl w:val="2"/>
          <w:numId w:val="72"/>
        </w:numPr>
        <w:rPr>
          <w:rFonts w:ascii="Arial" w:cs="Arial" w:eastAsia="Arial" w:hAnsi="Arial"/>
          <w:sz w:val="13"/>
          <w:szCs w:val="13"/>
          <w:color w:val="auto"/>
        </w:rPr>
      </w:pPr>
      <w:r>
        <w:rPr>
          <w:rFonts w:ascii="Arial" w:cs="Arial" w:eastAsia="Arial" w:hAnsi="Arial"/>
          <w:sz w:val="13"/>
          <w:szCs w:val="13"/>
          <w:color w:val="auto"/>
        </w:rPr>
        <w:t>Except as otherwise provided in this Section 4 if the Employee ceases to be an employee of the Company, the Option shall stop vesting on the last date of employment and shall terminate three months after the date such Employee ceases to be an employee of the Company, or on the date on which the Option expires by its terms, whichever occurs first.</w:t>
      </w:r>
    </w:p>
    <w:p>
      <w:pPr>
        <w:spacing w:after="0" w:line="49" w:lineRule="exact"/>
        <w:rPr>
          <w:rFonts w:ascii="Arial" w:cs="Arial" w:eastAsia="Arial" w:hAnsi="Arial"/>
          <w:sz w:val="13"/>
          <w:szCs w:val="13"/>
          <w:color w:val="auto"/>
        </w:rPr>
      </w:pPr>
    </w:p>
    <w:p>
      <w:pPr>
        <w:ind w:left="660" w:hanging="190"/>
        <w:spacing w:after="0"/>
        <w:tabs>
          <w:tab w:leader="none" w:pos="660" w:val="left"/>
        </w:tabs>
        <w:numPr>
          <w:ilvl w:val="2"/>
          <w:numId w:val="72"/>
        </w:numPr>
        <w:rPr>
          <w:rFonts w:ascii="Arial" w:cs="Arial" w:eastAsia="Arial" w:hAnsi="Arial"/>
          <w:sz w:val="13"/>
          <w:szCs w:val="13"/>
          <w:color w:val="auto"/>
        </w:rPr>
      </w:pPr>
      <w:r>
        <w:rPr>
          <w:rFonts w:ascii="Arial" w:cs="Arial" w:eastAsia="Arial" w:hAnsi="Arial"/>
          <w:sz w:val="13"/>
          <w:szCs w:val="13"/>
          <w:color w:val="auto"/>
        </w:rPr>
        <w:t>If such termination of employment is because of the Employee’s Disability, such Option shall continue to vest, and shall be exercisable until expiration by its terms.</w:t>
      </w:r>
    </w:p>
    <w:p>
      <w:pPr>
        <w:spacing w:after="0" w:line="86" w:lineRule="exact"/>
        <w:rPr>
          <w:rFonts w:ascii="Arial" w:cs="Arial" w:eastAsia="Arial" w:hAnsi="Arial"/>
          <w:sz w:val="13"/>
          <w:szCs w:val="13"/>
          <w:color w:val="auto"/>
        </w:rPr>
      </w:pPr>
    </w:p>
    <w:p>
      <w:pPr>
        <w:ind w:left="-20" w:right="80" w:firstLine="490"/>
        <w:spacing w:after="0" w:line="260" w:lineRule="auto"/>
        <w:tabs>
          <w:tab w:leader="none" w:pos="657" w:val="left"/>
        </w:tabs>
        <w:numPr>
          <w:ilvl w:val="2"/>
          <w:numId w:val="72"/>
        </w:numPr>
        <w:rPr>
          <w:rFonts w:ascii="Arial" w:cs="Arial" w:eastAsia="Arial" w:hAnsi="Arial"/>
          <w:sz w:val="13"/>
          <w:szCs w:val="13"/>
          <w:color w:val="auto"/>
        </w:rPr>
      </w:pPr>
      <w:r>
        <w:rPr>
          <w:rFonts w:ascii="Arial" w:cs="Arial" w:eastAsia="Arial" w:hAnsi="Arial"/>
          <w:sz w:val="13"/>
          <w:szCs w:val="13"/>
          <w:color w:val="auto"/>
        </w:rPr>
        <w:t>If such termination of employment is because the Employee has retired from the Company in good standing then such Option shall stop vesting on the last date of employment but may be exercised by the Employee (or her/his permitted transferee) at any time on or prior to the earlier of the expiration date of the Option or the expiration of five (5) years after the date of the Employee’s termination due to retirement. For purposes of this Option Agreement, retirement shall mean a termination of employment initiated by the Employee after reaching age fifty five, and completing at least five years of service with the Company. Years of service with any of the Company’s wholly owned subsidiaries shall be credited as years of service with the Company.</w:t>
      </w:r>
    </w:p>
    <w:p>
      <w:pPr>
        <w:spacing w:after="0" w:line="59" w:lineRule="exact"/>
        <w:rPr>
          <w:rFonts w:ascii="Arial" w:cs="Arial" w:eastAsia="Arial" w:hAnsi="Arial"/>
          <w:sz w:val="13"/>
          <w:szCs w:val="13"/>
          <w:color w:val="auto"/>
        </w:rPr>
      </w:pPr>
    </w:p>
    <w:p>
      <w:pPr>
        <w:ind w:left="660" w:hanging="190"/>
        <w:spacing w:after="0"/>
        <w:tabs>
          <w:tab w:leader="none" w:pos="660" w:val="left"/>
        </w:tabs>
        <w:numPr>
          <w:ilvl w:val="2"/>
          <w:numId w:val="72"/>
        </w:numPr>
        <w:rPr>
          <w:rFonts w:ascii="Arial" w:cs="Arial" w:eastAsia="Arial" w:hAnsi="Arial"/>
          <w:sz w:val="11"/>
          <w:szCs w:val="11"/>
          <w:color w:val="auto"/>
        </w:rPr>
      </w:pPr>
      <w:r>
        <w:rPr>
          <w:rFonts w:ascii="Arial" w:cs="Arial" w:eastAsia="Arial" w:hAnsi="Arial"/>
          <w:sz w:val="11"/>
          <w:szCs w:val="11"/>
          <w:color w:val="auto"/>
        </w:rPr>
        <w:t>In the event of the death of the Employee while in the employ of the Company, any unvested options shall immediately become fully vested, and the Option shall be exercisable until expiration by its terms.</w:t>
      </w:r>
    </w:p>
    <w:p>
      <w:pPr>
        <w:spacing w:after="0" w:line="109" w:lineRule="exact"/>
        <w:rPr>
          <w:rFonts w:ascii="Arial" w:cs="Arial" w:eastAsia="Arial" w:hAnsi="Arial"/>
          <w:sz w:val="11"/>
          <w:szCs w:val="11"/>
          <w:color w:val="auto"/>
        </w:rPr>
      </w:pPr>
    </w:p>
    <w:p>
      <w:pPr>
        <w:ind w:left="-20" w:firstLine="490"/>
        <w:spacing w:after="0" w:line="334" w:lineRule="auto"/>
        <w:tabs>
          <w:tab w:leader="none" w:pos="654" w:val="left"/>
        </w:tabs>
        <w:numPr>
          <w:ilvl w:val="2"/>
          <w:numId w:val="72"/>
        </w:numPr>
        <w:rPr>
          <w:rFonts w:ascii="Arial" w:cs="Arial" w:eastAsia="Arial" w:hAnsi="Arial"/>
          <w:sz w:val="11"/>
          <w:szCs w:val="11"/>
          <w:color w:val="auto"/>
        </w:rPr>
      </w:pPr>
      <w:r>
        <w:rPr>
          <w:rFonts w:ascii="Arial" w:cs="Arial" w:eastAsia="Arial" w:hAnsi="Arial"/>
          <w:sz w:val="11"/>
          <w:szCs w:val="11"/>
          <w:color w:val="auto"/>
        </w:rPr>
        <w:t>The Option shall immediately become fully vested if (i) a Change in Control occurs and (ii) the surviving corporation or acquiring corporation following a Change in Control refuses to assume or continue the Option or to substitute a similar equity award. If the Option is so continued, assumed or substituted and at any time during the 24 months immediately following the Change in Control the Employee’s employment is terminated without Cause or is terminated by the Employee due to a Constructive Termination, then all unvested options shall immediately become fully vested and shall be exercisable until expiration by their terms.</w:t>
      </w:r>
    </w:p>
    <w:p>
      <w:pPr>
        <w:spacing w:after="0" w:line="22" w:lineRule="exact"/>
        <w:rPr>
          <w:rFonts w:ascii="Arial" w:cs="Arial" w:eastAsia="Arial" w:hAnsi="Arial"/>
          <w:sz w:val="11"/>
          <w:szCs w:val="11"/>
          <w:color w:val="auto"/>
        </w:rPr>
      </w:pPr>
    </w:p>
    <w:p>
      <w:pPr>
        <w:ind w:left="500" w:hanging="194"/>
        <w:spacing w:after="0"/>
        <w:tabs>
          <w:tab w:leader="none" w:pos="500" w:val="left"/>
        </w:tabs>
        <w:numPr>
          <w:ilvl w:val="1"/>
          <w:numId w:val="72"/>
        </w:numPr>
        <w:rPr>
          <w:rFonts w:ascii="Arial" w:cs="Arial" w:eastAsia="Arial" w:hAnsi="Arial"/>
          <w:sz w:val="13"/>
          <w:szCs w:val="13"/>
          <w:color w:val="auto"/>
        </w:rPr>
      </w:pPr>
      <w:r>
        <w:rPr>
          <w:rFonts w:ascii="Arial" w:cs="Arial" w:eastAsia="Arial" w:hAnsi="Arial"/>
          <w:sz w:val="13"/>
          <w:szCs w:val="13"/>
          <w:u w:val="single" w:color="auto"/>
          <w:color w:val="auto"/>
        </w:rPr>
        <w:t>Special Definitions</w:t>
      </w:r>
      <w:r>
        <w:rPr>
          <w:rFonts w:ascii="Arial" w:cs="Arial" w:eastAsia="Arial" w:hAnsi="Arial"/>
          <w:sz w:val="13"/>
          <w:szCs w:val="13"/>
          <w:color w:val="auto"/>
        </w:rPr>
        <w:t>. For purposes of this Agreement, the following terms have the meanings set forth below:</w:t>
      </w:r>
    </w:p>
    <w:p>
      <w:pPr>
        <w:spacing w:after="0" w:line="86" w:lineRule="exact"/>
        <w:rPr>
          <w:rFonts w:ascii="Arial" w:cs="Arial" w:eastAsia="Arial" w:hAnsi="Arial"/>
          <w:sz w:val="13"/>
          <w:szCs w:val="13"/>
          <w:color w:val="auto"/>
        </w:rPr>
      </w:pPr>
    </w:p>
    <w:p>
      <w:pPr>
        <w:ind w:left="660" w:hanging="190"/>
        <w:spacing w:after="0"/>
        <w:tabs>
          <w:tab w:leader="none" w:pos="660" w:val="left"/>
        </w:tabs>
        <w:numPr>
          <w:ilvl w:val="2"/>
          <w:numId w:val="7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means: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03" w:name="page104"/>
    <w:bookmarkEnd w:id="103"/>
    <w:p>
      <w:pPr>
        <w:ind w:left="650" w:hanging="224"/>
        <w:spacing w:after="0"/>
        <w:tabs>
          <w:tab w:leader="none" w:pos="650" w:val="left"/>
        </w:tabs>
        <w:numPr>
          <w:ilvl w:val="1"/>
          <w:numId w:val="73"/>
        </w:numPr>
        <w:rPr>
          <w:rFonts w:ascii="Arial" w:cs="Arial" w:eastAsia="Arial" w:hAnsi="Arial"/>
          <w:sz w:val="13"/>
          <w:szCs w:val="13"/>
          <w:color w:val="auto"/>
        </w:rPr>
      </w:pPr>
      <w:r>
        <w:rPr>
          <w:rFonts w:ascii="Arial" w:cs="Arial" w:eastAsia="Arial" w:hAnsi="Arial"/>
          <w:sz w:val="13"/>
          <w:szCs w:val="13"/>
          <w:color w:val="auto"/>
        </w:rPr>
        <w:t>the Employee’s conviction of (or a plea of guilty or nolo contendere to) a felony or any other crime involving moral turpitude, dishonesty, fraud, theft or financial impropriety; or</w:t>
      </w:r>
    </w:p>
    <w:p>
      <w:pPr>
        <w:spacing w:after="0" w:line="86" w:lineRule="exact"/>
        <w:rPr>
          <w:rFonts w:ascii="Arial" w:cs="Arial" w:eastAsia="Arial" w:hAnsi="Arial"/>
          <w:sz w:val="13"/>
          <w:szCs w:val="13"/>
          <w:color w:val="auto"/>
        </w:rPr>
      </w:pPr>
    </w:p>
    <w:p>
      <w:pPr>
        <w:ind w:left="430" w:right="60" w:hanging="4"/>
        <w:spacing w:after="0" w:line="285" w:lineRule="auto"/>
        <w:tabs>
          <w:tab w:leader="none" w:pos="637" w:val="left"/>
        </w:tabs>
        <w:numPr>
          <w:ilvl w:val="1"/>
          <w:numId w:val="73"/>
        </w:numPr>
        <w:rPr>
          <w:rFonts w:ascii="Arial" w:cs="Arial" w:eastAsia="Arial" w:hAnsi="Arial"/>
          <w:sz w:val="12"/>
          <w:szCs w:val="12"/>
          <w:color w:val="auto"/>
        </w:rPr>
      </w:pPr>
      <w:r>
        <w:rPr>
          <w:rFonts w:ascii="Arial" w:cs="Arial" w:eastAsia="Arial" w:hAnsi="Arial"/>
          <w:sz w:val="12"/>
          <w:szCs w:val="12"/>
          <w:color w:val="auto"/>
        </w:rPr>
        <w:t>a determination by the Company that the Employee has (i) willfully and continuously failed to perform substantially the Employee’s duties (other than any such failure resulting from the Employee’s CIC Disability) after a written demand for substantial performance is delivered to the Employee which specifically identifies the manner in which the Company believes that the Employee has not substantially performed the Employee’s duties, (ii) engaged in illegal conduct, an act of dishonesty or gross misconduct, or (iii) willfully violated a material requirement of the Company’s code of conduct or the Employee’s fiduciary duty to the Company. No act or failure to act on the part of the Employee shall be considered “willful” unless it is done, or omitted to be done, by the Employee in bad faith and without reasonable belief that the Employee’s action or omission was in, or not opposed to, the best interests of the Company or its subsidiaries.</w:t>
      </w:r>
    </w:p>
    <w:p>
      <w:pPr>
        <w:spacing w:after="0" w:line="45" w:lineRule="exact"/>
        <w:rPr>
          <w:rFonts w:ascii="Arial" w:cs="Arial" w:eastAsia="Arial" w:hAnsi="Arial"/>
          <w:sz w:val="12"/>
          <w:szCs w:val="12"/>
          <w:color w:val="auto"/>
        </w:rPr>
      </w:pPr>
    </w:p>
    <w:p>
      <w:pPr>
        <w:ind w:left="190" w:hanging="190"/>
        <w:spacing w:after="0"/>
        <w:tabs>
          <w:tab w:leader="none" w:pos="190" w:val="left"/>
        </w:tabs>
        <w:numPr>
          <w:ilvl w:val="0"/>
          <w:numId w:val="7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earliest to occur of the following events.</w:t>
      </w:r>
    </w:p>
    <w:p>
      <w:pPr>
        <w:spacing w:after="0" w:line="86" w:lineRule="exact"/>
        <w:rPr>
          <w:rFonts w:ascii="Arial" w:cs="Arial" w:eastAsia="Arial" w:hAnsi="Arial"/>
          <w:sz w:val="13"/>
          <w:szCs w:val="13"/>
          <w:color w:val="auto"/>
        </w:rPr>
      </w:pPr>
    </w:p>
    <w:p>
      <w:pPr>
        <w:jc w:val="both"/>
        <w:ind w:left="430" w:right="100" w:hanging="4"/>
        <w:spacing w:after="0" w:line="264" w:lineRule="auto"/>
        <w:tabs>
          <w:tab w:leader="none" w:pos="645" w:val="left"/>
        </w:tabs>
        <w:numPr>
          <w:ilvl w:val="1"/>
          <w:numId w:val="74"/>
        </w:numPr>
        <w:rPr>
          <w:rFonts w:ascii="Arial" w:cs="Arial" w:eastAsia="Arial" w:hAnsi="Arial"/>
          <w:sz w:val="13"/>
          <w:szCs w:val="13"/>
          <w:color w:val="auto"/>
        </w:rPr>
      </w:pPr>
      <w:r>
        <w:rPr>
          <w:rFonts w:ascii="Arial" w:cs="Arial" w:eastAsia="Arial" w:hAnsi="Arial"/>
          <w:sz w:val="13"/>
          <w:szCs w:val="13"/>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57" w:lineRule="exact"/>
        <w:rPr>
          <w:rFonts w:ascii="Arial" w:cs="Arial" w:eastAsia="Arial" w:hAnsi="Arial"/>
          <w:sz w:val="13"/>
          <w:szCs w:val="13"/>
          <w:color w:val="auto"/>
        </w:rPr>
      </w:pPr>
    </w:p>
    <w:p>
      <w:pPr>
        <w:ind w:left="630" w:hanging="204"/>
        <w:spacing w:after="0"/>
        <w:tabs>
          <w:tab w:leader="none" w:pos="630" w:val="left"/>
        </w:tabs>
        <w:numPr>
          <w:ilvl w:val="1"/>
          <w:numId w:val="74"/>
        </w:numPr>
        <w:rPr>
          <w:rFonts w:ascii="Arial" w:cs="Arial" w:eastAsia="Arial" w:hAnsi="Arial"/>
          <w:sz w:val="13"/>
          <w:szCs w:val="13"/>
          <w:color w:val="auto"/>
        </w:rPr>
      </w:pPr>
      <w:r>
        <w:rPr>
          <w:rFonts w:ascii="Arial" w:cs="Arial" w:eastAsia="Arial" w:hAnsi="Arial"/>
          <w:sz w:val="13"/>
          <w:szCs w:val="13"/>
          <w:color w:val="auto"/>
        </w:rPr>
        <w:t>closing of the sale of all or substantially all of the assets of the Company on a consolidated basis to an unrelated person or entity, and</w:t>
      </w:r>
    </w:p>
    <w:p>
      <w:pPr>
        <w:spacing w:after="0" w:line="86" w:lineRule="exact"/>
        <w:rPr>
          <w:rFonts w:ascii="Arial" w:cs="Arial" w:eastAsia="Arial" w:hAnsi="Arial"/>
          <w:sz w:val="13"/>
          <w:szCs w:val="13"/>
          <w:color w:val="auto"/>
        </w:rPr>
      </w:pPr>
    </w:p>
    <w:p>
      <w:pPr>
        <w:ind w:left="430" w:hanging="4"/>
        <w:spacing w:after="0" w:line="258" w:lineRule="auto"/>
        <w:tabs>
          <w:tab w:leader="none" w:pos="637" w:val="left"/>
        </w:tabs>
        <w:numPr>
          <w:ilvl w:val="1"/>
          <w:numId w:val="74"/>
        </w:numPr>
        <w:rPr>
          <w:rFonts w:ascii="Arial" w:cs="Arial" w:eastAsia="Arial" w:hAnsi="Arial"/>
          <w:sz w:val="13"/>
          <w:szCs w:val="13"/>
          <w:color w:val="auto"/>
        </w:rPr>
      </w:pPr>
      <w:r>
        <w:rPr>
          <w:rFonts w:ascii="Arial" w:cs="Arial" w:eastAsia="Arial" w:hAnsi="Arial"/>
          <w:sz w:val="13"/>
          <w:szCs w:val="13"/>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120" w:lineRule="exact"/>
        <w:rPr>
          <w:sz w:val="20"/>
          <w:szCs w:val="20"/>
          <w:color w:val="auto"/>
        </w:rPr>
      </w:pPr>
    </w:p>
    <w:p>
      <w:pPr>
        <w:jc w:val="center"/>
        <w:ind w:right="47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107315</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70"/>
          </w:cols>
          <w:pgMar w:left="710" w:top="720" w:right="219" w:bottom="1440" w:gutter="0" w:footer="0" w:header="0"/>
        </w:sectPr>
      </w:pPr>
    </w:p>
    <w:bookmarkStart w:id="104" w:name="page105"/>
    <w:bookmarkEnd w:id="104"/>
    <w:p>
      <w:pPr>
        <w:ind w:right="100" w:firstLine="490"/>
        <w:spacing w:after="0" w:line="276" w:lineRule="auto"/>
        <w:tabs>
          <w:tab w:leader="none" w:pos="677" w:val="left"/>
        </w:tabs>
        <w:numPr>
          <w:ilvl w:val="0"/>
          <w:numId w:val="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CIC Disability</w:t>
      </w:r>
      <w:r>
        <w:rPr>
          <w:rFonts w:ascii="Arial" w:cs="Arial" w:eastAsia="Arial" w:hAnsi="Arial"/>
          <w:sz w:val="13"/>
          <w:szCs w:val="13"/>
          <w:color w:val="auto"/>
        </w:rPr>
        <w:t>” means the Employee’s inability, due to physical or mental incapacity resulting from injury, sickness or disease, for one hundred and eighty days in any twelve month period to perform his duties hereunder.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Constructive Termination</w:t>
      </w:r>
      <w:r>
        <w:rPr>
          <w:rFonts w:ascii="Arial" w:cs="Arial" w:eastAsia="Arial" w:hAnsi="Arial"/>
          <w:sz w:val="13"/>
          <w:szCs w:val="13"/>
          <w:color w:val="auto"/>
        </w:rPr>
        <w:t>” means, without the express written consent of the Employee, the occurrence of any of the following during the 24 months immediately after a Change in Control:</w:t>
      </w:r>
    </w:p>
    <w:p>
      <w:pPr>
        <w:spacing w:after="0" w:line="86" w:lineRule="exact"/>
        <w:rPr>
          <w:rFonts w:ascii="Arial" w:cs="Arial" w:eastAsia="Arial" w:hAnsi="Arial"/>
          <w:sz w:val="13"/>
          <w:szCs w:val="13"/>
          <w:color w:val="auto"/>
        </w:rPr>
      </w:pPr>
    </w:p>
    <w:p>
      <w:pPr>
        <w:ind w:left="920" w:hanging="4"/>
        <w:spacing w:after="0" w:line="264" w:lineRule="auto"/>
        <w:tabs>
          <w:tab w:leader="none" w:pos="1135"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material reduction in the Employee’s annual base salary as in effect immediately prior to a Change in Control or as the same may be increased from time to time, or a material failure to provide the Employee with an opportunity to earn annual incentive compensation and long-term incentive compensation at least as favorable as in effect immediately prior to a Change of Control or as the same may be increased from time to time;</w:t>
      </w:r>
    </w:p>
    <w:p>
      <w:pPr>
        <w:spacing w:after="0" w:line="57" w:lineRule="exact"/>
        <w:rPr>
          <w:rFonts w:ascii="Arial" w:cs="Arial" w:eastAsia="Arial" w:hAnsi="Arial"/>
          <w:sz w:val="13"/>
          <w:szCs w:val="13"/>
          <w:color w:val="auto"/>
        </w:rPr>
      </w:pPr>
    </w:p>
    <w:p>
      <w:pPr>
        <w:ind w:left="1120" w:hanging="204"/>
        <w:spacing w:after="0"/>
        <w:tabs>
          <w:tab w:leader="none" w:pos="112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material diminution in the Employee’s authority, duties, or responsibilities as in effect at the time of the Change in Control;</w:t>
      </w:r>
    </w:p>
    <w:p>
      <w:pPr>
        <w:spacing w:after="0" w:line="86" w:lineRule="exact"/>
        <w:rPr>
          <w:rFonts w:ascii="Arial" w:cs="Arial" w:eastAsia="Arial" w:hAnsi="Arial"/>
          <w:sz w:val="13"/>
          <w:szCs w:val="13"/>
          <w:color w:val="auto"/>
        </w:rPr>
      </w:pPr>
    </w:p>
    <w:p>
      <w:pPr>
        <w:ind w:left="920" w:right="320" w:hanging="4"/>
        <w:spacing w:after="0" w:line="264" w:lineRule="auto"/>
        <w:tabs>
          <w:tab w:leader="none" w:pos="1127"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material diminution in the authority, duties, or responsibilities of the supervisor to whom the Employee is required to report (it being understood that if the Employee reports directly to the Company’s Board of Directors prior to the Change in Control , a requirement that the Employee report to any individual or body other than the Board of the Directors of the surviving or acquiring corporation will constitute “Constructive Termination” hereunder);</w:t>
      </w:r>
    </w:p>
    <w:p>
      <w:pPr>
        <w:spacing w:after="0" w:line="57" w:lineRule="exact"/>
        <w:rPr>
          <w:rFonts w:ascii="Arial" w:cs="Arial" w:eastAsia="Arial" w:hAnsi="Arial"/>
          <w:sz w:val="13"/>
          <w:szCs w:val="13"/>
          <w:color w:val="auto"/>
        </w:rPr>
      </w:pPr>
    </w:p>
    <w:p>
      <w:pPr>
        <w:ind w:left="1140" w:hanging="224"/>
        <w:spacing w:after="0"/>
        <w:tabs>
          <w:tab w:leader="none" w:pos="114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 material diminution in the budget over which the Employee retains authority;</w:t>
      </w:r>
    </w:p>
    <w:p>
      <w:pPr>
        <w:spacing w:after="0" w:line="86" w:lineRule="exact"/>
        <w:rPr>
          <w:rFonts w:ascii="Arial" w:cs="Arial" w:eastAsia="Arial" w:hAnsi="Arial"/>
          <w:sz w:val="13"/>
          <w:szCs w:val="13"/>
          <w:color w:val="auto"/>
        </w:rPr>
      </w:pPr>
    </w:p>
    <w:p>
      <w:pPr>
        <w:ind w:left="920" w:right="20" w:hanging="4"/>
        <w:spacing w:after="0" w:line="264" w:lineRule="auto"/>
        <w:tabs>
          <w:tab w:leader="none" w:pos="1120" w:val="left"/>
        </w:tabs>
        <w:numPr>
          <w:ilvl w:val="1"/>
          <w:numId w:val="75"/>
        </w:numPr>
        <w:rPr>
          <w:rFonts w:ascii="Arial" w:cs="Arial" w:eastAsia="Arial" w:hAnsi="Arial"/>
          <w:sz w:val="13"/>
          <w:szCs w:val="13"/>
          <w:color w:val="auto"/>
        </w:rPr>
      </w:pPr>
      <w:r>
        <w:rPr>
          <w:rFonts w:ascii="Arial" w:cs="Arial" w:eastAsia="Arial" w:hAnsi="Arial"/>
          <w:sz w:val="13"/>
          <w:szCs w:val="13"/>
          <w:color w:val="auto"/>
        </w:rPr>
        <w:t>the Company’s requiring the Employee to be based anywhere outside a fifty mile radius of the Company’s offices at which the Employee is based as of immediately prior to a Change of Control (or any subsequent location at which the Employee has previously consented to be based) except for required travel on the Company’s business to an extent that is not substantially greater than the Employee’s business travel obligations as of immediately prior to a Change in Control or, if more favorable, as of any time thereafter; or</w:t>
      </w:r>
    </w:p>
    <w:p>
      <w:pPr>
        <w:spacing w:after="0" w:line="57" w:lineRule="exact"/>
        <w:rPr>
          <w:rFonts w:ascii="Arial" w:cs="Arial" w:eastAsia="Arial" w:hAnsi="Arial"/>
          <w:sz w:val="13"/>
          <w:szCs w:val="13"/>
          <w:color w:val="auto"/>
        </w:rPr>
      </w:pPr>
    </w:p>
    <w:p>
      <w:pPr>
        <w:ind w:left="1100" w:hanging="184"/>
        <w:spacing w:after="0"/>
        <w:tabs>
          <w:tab w:leader="none" w:pos="1100" w:val="left"/>
        </w:tabs>
        <w:numPr>
          <w:ilvl w:val="1"/>
          <w:numId w:val="75"/>
        </w:numPr>
        <w:rPr>
          <w:rFonts w:ascii="Arial" w:cs="Arial" w:eastAsia="Arial" w:hAnsi="Arial"/>
          <w:sz w:val="13"/>
          <w:szCs w:val="13"/>
          <w:color w:val="auto"/>
        </w:rPr>
      </w:pPr>
      <w:r>
        <w:rPr>
          <w:rFonts w:ascii="Arial" w:cs="Arial" w:eastAsia="Arial" w:hAnsi="Arial"/>
          <w:sz w:val="13"/>
          <w:szCs w:val="13"/>
          <w:color w:val="auto"/>
        </w:rPr>
        <w:t>any other action or inaction that constitutes a material breach by the Company or any of its subsidiaries of the terms of this Agreement.</w:t>
      </w:r>
    </w:p>
    <w:p>
      <w:pPr>
        <w:spacing w:after="0" w:line="86" w:lineRule="exact"/>
        <w:rPr>
          <w:sz w:val="20"/>
          <w:szCs w:val="20"/>
          <w:color w:val="auto"/>
        </w:rPr>
      </w:pPr>
    </w:p>
    <w:p>
      <w:pPr>
        <w:ind w:right="320" w:firstLine="491"/>
        <w:spacing w:after="0" w:line="264" w:lineRule="auto"/>
        <w:rPr>
          <w:sz w:val="20"/>
          <w:szCs w:val="20"/>
          <w:color w:val="auto"/>
        </w:rPr>
      </w:pPr>
      <w:r>
        <w:rPr>
          <w:rFonts w:ascii="Arial" w:cs="Arial" w:eastAsia="Arial" w:hAnsi="Arial"/>
          <w:sz w:val="13"/>
          <w:szCs w:val="13"/>
          <w:color w:val="auto"/>
        </w:rPr>
        <w:t>In no event shall the Employee be entitled to terminate employment with the Company on account of “Constructive Termination” unless the Employee provides notice of the existence of the purported condition that constitutes “Constructive Termination” within a period not to exceed ninety (90) days of its initial existence, and the Company fails to cure such condition (if curable) within thirty (30) days after the receipt of such notice.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(5) “</w:t>
      </w:r>
      <w:r>
        <w:rPr>
          <w:rFonts w:ascii="Arial" w:cs="Arial" w:eastAsia="Arial" w:hAnsi="Arial"/>
          <w:sz w:val="13"/>
          <w:szCs w:val="13"/>
          <w:u w:val="single" w:color="auto"/>
          <w:color w:val="auto"/>
        </w:rPr>
        <w:t>Disability</w:t>
      </w:r>
      <w:r>
        <w:rPr>
          <w:rFonts w:ascii="Arial" w:cs="Arial" w:eastAsia="Arial" w:hAnsi="Arial"/>
          <w:sz w:val="13"/>
          <w:szCs w:val="13"/>
          <w:color w:val="auto"/>
        </w:rPr>
        <w:t>” has the meaning given it in Article 2 of the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05" w:name="page106"/>
    <w:bookmarkEnd w:id="105"/>
    <w:p>
      <w:pPr>
        <w:ind w:left="300" w:hanging="138"/>
        <w:spacing w:after="0"/>
        <w:tabs>
          <w:tab w:leader="none" w:pos="30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Manner of Exercise of Option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326"/>
        <w:spacing w:after="0" w:line="322" w:lineRule="auto"/>
        <w:tabs>
          <w:tab w:leader="none" w:pos="503" w:val="left"/>
        </w:tabs>
        <w:numPr>
          <w:ilvl w:val="1"/>
          <w:numId w:val="76"/>
        </w:numPr>
        <w:rPr>
          <w:rFonts w:ascii="Arial" w:cs="Arial" w:eastAsia="Arial" w:hAnsi="Arial"/>
          <w:sz w:val="11"/>
          <w:szCs w:val="11"/>
          <w:color w:val="auto"/>
        </w:rPr>
      </w:pPr>
      <w:r>
        <w:rPr>
          <w:rFonts w:ascii="Arial" w:cs="Arial" w:eastAsia="Arial" w:hAnsi="Arial"/>
          <w:sz w:val="11"/>
          <w:szCs w:val="11"/>
          <w:color w:val="auto"/>
        </w:rPr>
        <w:t>To the extent that the right to exercise the Option has accrued and is in effect, the Option may be exercised in full or in part by giving written, electronic, or telephonic notice to the Company stating the number of Shares exercised and accompanied by payment in full for such Shares. Payment may be either wholly in cash or, with the consent of the Compensation Committee, in whole or in part in Shares of the common stock of the Company already owned by the person exercising the Option, valued at fair market value, provided that the shares must have been held by the Participant for at least six (6) months prior to their delivery to satisfy the Option price. Upon such exercise, delivery of a certificate for paid-up, non-assessable Shares shall be made, as promptly as practicable, at the principal office of the Company to the person exercising the Option.</w:t>
      </w:r>
    </w:p>
    <w:p>
      <w:pPr>
        <w:spacing w:after="0" w:line="28" w:lineRule="exact"/>
        <w:rPr>
          <w:rFonts w:ascii="Arial" w:cs="Arial" w:eastAsia="Arial" w:hAnsi="Arial"/>
          <w:sz w:val="11"/>
          <w:szCs w:val="11"/>
          <w:color w:val="auto"/>
        </w:rPr>
      </w:pPr>
    </w:p>
    <w:p>
      <w:pPr>
        <w:ind w:right="280" w:firstLine="326"/>
        <w:spacing w:after="0" w:line="371" w:lineRule="auto"/>
        <w:tabs>
          <w:tab w:leader="none" w:pos="511" w:val="left"/>
        </w:tabs>
        <w:numPr>
          <w:ilvl w:val="1"/>
          <w:numId w:val="76"/>
        </w:numPr>
        <w:rPr>
          <w:rFonts w:ascii="Arial" w:cs="Arial" w:eastAsia="Arial" w:hAnsi="Arial"/>
          <w:sz w:val="11"/>
          <w:szCs w:val="11"/>
          <w:color w:val="auto"/>
        </w:rPr>
      </w:pPr>
      <w:r>
        <w:rPr>
          <w:rFonts w:ascii="Arial" w:cs="Arial" w:eastAsia="Arial" w:hAnsi="Arial"/>
          <w:sz w:val="11"/>
          <w:szCs w:val="11"/>
          <w:color w:val="auto"/>
        </w:rPr>
        <w:t>The Company shall at all times during the term of the Option reserve and keep available such number of Shares of its common stock as will be sufficient to satisfy the requirements of the Option. The Employee shall not have any of the rights of a stockholder of the Company in respect of the Shares until one or more certificates for such Shares shall be delivered to him or her upon the due exercise of the Option.</w:t>
      </w:r>
    </w:p>
    <w:p>
      <w:pPr>
        <w:spacing w:after="0" w:line="2" w:lineRule="exact"/>
        <w:rPr>
          <w:rFonts w:ascii="Arial" w:cs="Arial" w:eastAsia="Arial" w:hAnsi="Arial"/>
          <w:sz w:val="11"/>
          <w:szCs w:val="11"/>
          <w:color w:val="auto"/>
        </w:rPr>
      </w:pPr>
    </w:p>
    <w:p>
      <w:pPr>
        <w:ind w:left="300" w:hanging="138"/>
        <w:spacing w:after="0"/>
        <w:tabs>
          <w:tab w:leader="none" w:pos="300"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Non-Transferability</w:t>
      </w:r>
      <w:r>
        <w:rPr>
          <w:rFonts w:ascii="Arial" w:cs="Arial" w:eastAsia="Arial" w:hAnsi="Arial"/>
          <w:sz w:val="12"/>
          <w:szCs w:val="12"/>
          <w:color w:val="auto"/>
        </w:rPr>
        <w:t>. The right of the Employee to exercise the Option shall not be assignable or transferable by the Employee otherwise than by will or the laws of descent and distribution, or pursuant to a</w:t>
      </w:r>
    </w:p>
    <w:p>
      <w:pPr>
        <w:spacing w:after="0" w:line="26" w:lineRule="exact"/>
        <w:rPr>
          <w:rFonts w:ascii="Arial" w:cs="Arial" w:eastAsia="Arial" w:hAnsi="Arial"/>
          <w:sz w:val="12"/>
          <w:szCs w:val="12"/>
          <w:color w:val="auto"/>
        </w:rPr>
      </w:pPr>
    </w:p>
    <w:p>
      <w:pPr>
        <w:ind w:right="20"/>
        <w:spacing w:after="0" w:line="327" w:lineRule="auto"/>
        <w:rPr>
          <w:rFonts w:ascii="Arial" w:cs="Arial" w:eastAsia="Arial" w:hAnsi="Arial"/>
          <w:sz w:val="12"/>
          <w:szCs w:val="12"/>
          <w:color w:val="auto"/>
        </w:rPr>
      </w:pPr>
      <w:r>
        <w:rPr>
          <w:rFonts w:ascii="Arial" w:cs="Arial" w:eastAsia="Arial" w:hAnsi="Arial"/>
          <w:sz w:val="11"/>
          <w:szCs w:val="11"/>
          <w:color w:val="auto"/>
        </w:rPr>
        <w:t>qualified domestic relations order as defined by the Code or Title I of the Employee Retirement Income Security Act, or the rules thereunder, and the Option may be exercised during the lifetime of the Employee only by him or her. The Option shall be null and void and without effect upon any attempted assignment or transfer, except as hereinabove provided, including without limitation any purported assignment, whether voluntary or by operation of law, pledge, hypothecation or other disposition contrary to the provisions hereof, or levy of execution, attachment, trustee process or similar process, whether legal or equitable, upon the Option.</w:t>
      </w:r>
    </w:p>
    <w:p>
      <w:pPr>
        <w:spacing w:after="0" w:line="25" w:lineRule="exact"/>
        <w:rPr>
          <w:rFonts w:ascii="Arial" w:cs="Arial" w:eastAsia="Arial" w:hAnsi="Arial"/>
          <w:sz w:val="12"/>
          <w:szCs w:val="12"/>
          <w:color w:val="auto"/>
        </w:rPr>
      </w:pPr>
    </w:p>
    <w:p>
      <w:pPr>
        <w:ind w:left="300" w:hanging="138"/>
        <w:spacing w:after="0"/>
        <w:tabs>
          <w:tab w:leader="none" w:pos="300"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Representation Letter and Investment Legend</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jc w:val="both"/>
        <w:ind w:right="160" w:firstLine="326"/>
        <w:spacing w:after="0" w:line="264" w:lineRule="auto"/>
        <w:tabs>
          <w:tab w:leader="none" w:pos="506" w:val="left"/>
        </w:tabs>
        <w:numPr>
          <w:ilvl w:val="1"/>
          <w:numId w:val="76"/>
        </w:numPr>
        <w:rPr>
          <w:rFonts w:ascii="Arial" w:cs="Arial" w:eastAsia="Arial" w:hAnsi="Arial"/>
          <w:sz w:val="13"/>
          <w:szCs w:val="13"/>
          <w:color w:val="auto"/>
        </w:rPr>
      </w:pPr>
      <w:r>
        <w:rPr>
          <w:rFonts w:ascii="Arial" w:cs="Arial" w:eastAsia="Arial" w:hAnsi="Arial"/>
          <w:sz w:val="13"/>
          <w:szCs w:val="13"/>
          <w:color w:val="auto"/>
        </w:rPr>
        <w:t>In the event that for any reason the Shares to be issued upon exercise of the Option shall not be effectively registered under the Securities Act of 1933 (the “1933 Act”), upon any date on which the Option is exercised in whole or in part, the person exercising the Option shall give a written representation to the Company in a form satisfactory to the Company and the Company shall place an “investment legend,” so-called upon any certificate for the Shares issued by reason of such exercise.</w:t>
      </w:r>
    </w:p>
    <w:p>
      <w:pPr>
        <w:spacing w:after="0" w:line="57" w:lineRule="exact"/>
        <w:rPr>
          <w:rFonts w:ascii="Arial" w:cs="Arial" w:eastAsia="Arial" w:hAnsi="Arial"/>
          <w:sz w:val="13"/>
          <w:szCs w:val="13"/>
          <w:color w:val="auto"/>
        </w:rPr>
      </w:pPr>
    </w:p>
    <w:p>
      <w:pPr>
        <w:ind w:firstLine="326"/>
        <w:spacing w:after="0" w:line="276" w:lineRule="auto"/>
        <w:tabs>
          <w:tab w:leader="none" w:pos="511" w:val="left"/>
        </w:tabs>
        <w:numPr>
          <w:ilvl w:val="1"/>
          <w:numId w:val="76"/>
        </w:numPr>
        <w:rPr>
          <w:rFonts w:ascii="Arial" w:cs="Arial" w:eastAsia="Arial" w:hAnsi="Arial"/>
          <w:sz w:val="13"/>
          <w:szCs w:val="13"/>
          <w:color w:val="auto"/>
        </w:rPr>
      </w:pPr>
      <w:r>
        <w:rPr>
          <w:rFonts w:ascii="Arial" w:cs="Arial" w:eastAsia="Arial" w:hAnsi="Arial"/>
          <w:sz w:val="13"/>
          <w:szCs w:val="13"/>
          <w:color w:val="auto"/>
        </w:rPr>
        <w:t>The Company shall be under no obligation to qualify Shares or to cause a registration statement or a post-effective amendment to any registration statement to be prepared for the purposes of covering the issue of Shares.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6" w:name="page107"/>
    <w:bookmarkEnd w:id="106"/>
    <w:p>
      <w:pPr>
        <w:ind w:left="300" w:hanging="138"/>
        <w:spacing w:after="0"/>
        <w:tabs>
          <w:tab w:leader="none" w:pos="300"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Adjustments on Changes in Capitalization</w:t>
      </w:r>
      <w:r>
        <w:rPr>
          <w:rFonts w:ascii="Arial" w:cs="Arial" w:eastAsia="Arial" w:hAnsi="Arial"/>
          <w:sz w:val="12"/>
          <w:szCs w:val="12"/>
          <w:color w:val="auto"/>
        </w:rPr>
        <w:t>. Adjustments on Changes in Capitalization and the like shall be made in accordance with Article 4 of the Plan, as in effect on the date of this Agreement.</w:t>
      </w:r>
    </w:p>
    <w:p>
      <w:pPr>
        <w:spacing w:after="0" w:line="97" w:lineRule="exact"/>
        <w:rPr>
          <w:rFonts w:ascii="Arial" w:cs="Arial" w:eastAsia="Arial" w:hAnsi="Arial"/>
          <w:sz w:val="12"/>
          <w:szCs w:val="12"/>
          <w:color w:val="auto"/>
        </w:rPr>
      </w:pPr>
    </w:p>
    <w:p>
      <w:pPr>
        <w:ind w:firstLine="162"/>
        <w:spacing w:after="0" w:line="260" w:lineRule="auto"/>
        <w:tabs>
          <w:tab w:leader="none" w:pos="295"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No Special Employment Rights</w:t>
      </w:r>
      <w:r>
        <w:rPr>
          <w:rFonts w:ascii="Arial" w:cs="Arial" w:eastAsia="Arial" w:hAnsi="Arial"/>
          <w:sz w:val="13"/>
          <w:szCs w:val="13"/>
          <w:color w:val="auto"/>
        </w:rPr>
        <w:t>. Nothing contained in the Plan or this Agreement shall be construed or deemed by any person under any circumstances to bind the Company to continue the employment of the Employee for the period within which this Option may be exercised. However, during the period of the Employee’s employment, the Employee shall render diligently and faithfully the services which are assigned to the Employee from time to time by the Board of Directors or by the executive officers of the Company and shall at no time take any action which directly or indirectly would be inconsistent with the best interests of the Company.</w:t>
      </w:r>
    </w:p>
    <w:p>
      <w:pPr>
        <w:spacing w:after="0" w:line="59" w:lineRule="exact"/>
        <w:rPr>
          <w:rFonts w:ascii="Arial" w:cs="Arial" w:eastAsia="Arial" w:hAnsi="Arial"/>
          <w:sz w:val="13"/>
          <w:szCs w:val="13"/>
          <w:color w:val="auto"/>
        </w:rPr>
      </w:pPr>
    </w:p>
    <w:p>
      <w:pPr>
        <w:ind w:right="40" w:firstLine="162"/>
        <w:spacing w:after="0" w:line="264" w:lineRule="auto"/>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Rights as a Shareholder</w:t>
      </w:r>
      <w:r>
        <w:rPr>
          <w:rFonts w:ascii="Arial" w:cs="Arial" w:eastAsia="Arial" w:hAnsi="Arial"/>
          <w:sz w:val="13"/>
          <w:szCs w:val="13"/>
          <w:color w:val="auto"/>
        </w:rPr>
        <w:t>. The Employee shall have no rights as a shareholder with respect to any Shares which may be purchased by exercise of this Option unless and until a certificate or certificates representing such Shares are duly issued and delivered to the Employee. Except as otherwise expressly provided in the Plan, no adjustment shall be made for dividends or other rights for which the record date is prior to the date such stock certificate is issued.</w:t>
      </w:r>
    </w:p>
    <w:p>
      <w:pPr>
        <w:spacing w:after="0" w:line="57" w:lineRule="exact"/>
        <w:rPr>
          <w:rFonts w:ascii="Arial" w:cs="Arial" w:eastAsia="Arial" w:hAnsi="Arial"/>
          <w:sz w:val="13"/>
          <w:szCs w:val="13"/>
          <w:color w:val="auto"/>
        </w:rPr>
      </w:pPr>
    </w:p>
    <w:p>
      <w:pPr>
        <w:ind w:right="220" w:firstLine="162"/>
        <w:spacing w:after="0" w:line="276" w:lineRule="auto"/>
        <w:tabs>
          <w:tab w:leader="none" w:pos="355"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Withholding Taxes</w:t>
      </w:r>
      <w:r>
        <w:rPr>
          <w:rFonts w:ascii="Arial" w:cs="Arial" w:eastAsia="Arial" w:hAnsi="Arial"/>
          <w:sz w:val="13"/>
          <w:szCs w:val="13"/>
          <w:color w:val="auto"/>
        </w:rPr>
        <w:t>. Whenever Shares are to be issued upon exercise of this Option, the Company shall require the Employee to remit to the Company an amount sufficient to satisfy all Federal, state and local withholding tax requirements, domestic or foreign, prior to the delivery of any certificate or certificates for such Shares.</w:t>
      </w:r>
    </w:p>
    <w:p>
      <w:pPr>
        <w:spacing w:after="0" w:line="49" w:lineRule="exact"/>
        <w:rPr>
          <w:rFonts w:ascii="Arial" w:cs="Arial" w:eastAsia="Arial" w:hAnsi="Arial"/>
          <w:sz w:val="13"/>
          <w:szCs w:val="13"/>
          <w:color w:val="auto"/>
        </w:rPr>
      </w:pPr>
    </w:p>
    <w:p>
      <w:pPr>
        <w:ind w:left="360" w:hanging="198"/>
        <w:spacing w:after="0"/>
        <w:tabs>
          <w:tab w:leader="none" w:pos="360" w:val="left"/>
        </w:tabs>
        <w:numPr>
          <w:ilvl w:val="0"/>
          <w:numId w:val="77"/>
        </w:numPr>
        <w:rPr>
          <w:rFonts w:ascii="Arial" w:cs="Arial" w:eastAsia="Arial" w:hAnsi="Arial"/>
          <w:sz w:val="13"/>
          <w:szCs w:val="13"/>
          <w:color w:val="auto"/>
        </w:rPr>
      </w:pPr>
      <w:r>
        <w:rPr>
          <w:rFonts w:ascii="Arial" w:cs="Arial" w:eastAsia="Arial" w:hAnsi="Arial"/>
          <w:sz w:val="13"/>
          <w:szCs w:val="13"/>
          <w:u w:val="single" w:color="auto"/>
          <w:color w:val="auto"/>
        </w:rPr>
        <w:t>Data Privacy Consent</w:t>
      </w:r>
      <w:r>
        <w:rPr>
          <w:rFonts w:ascii="Arial" w:cs="Arial" w:eastAsia="Arial" w:hAnsi="Arial"/>
          <w:sz w:val="13"/>
          <w:szCs w:val="13"/>
          <w:color w:val="auto"/>
        </w:rPr>
        <w:t>.</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As a condition of the Grant, you consent to the collection, use and transfer of your personal data as described in this paragraph. You understand that the Company and its subsidiaries hold certain personal information about you, including your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your favor, for the purpose of implementing, managing and administering the Plan (“Data”). You further understand that the Company and/or a subsidiary may transfer Data amongst themselves as necessary for the purpose of implementation, administration and management of your participation in the Plan, and that the Company and/or a subsidiary may each further transfer Data to any third parties assisting the Company in the implementation, administration and management of the Plan. You understand that these recipients may be located in the European Economic Area, or elsewhere, such as the United States or Canada, and that the recipient’s country may have different data privacy laws and protections than your country. You authorize them to receive, possess, use, retain and transfer the Data, in electronic or other form, for the purposes of implementing, administering and managing your participation in the Plan,including any requisite transfer of such Data to a broker or other third party with whom you may elect to deposit any shares of Common Stock acquired pursuant to the Plan as may be required for the administration of the Plan and/or the subsequent holding of shares of Common Stock on your behalf. You understand that Data will be held only as long as is necessary to implement, administer and manage your participation in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7" w:name="page108"/>
    <w:bookmarkEnd w:id="107"/>
    <w:p>
      <w:pPr>
        <w:spacing w:after="0" w:line="296" w:lineRule="auto"/>
        <w:rPr>
          <w:sz w:val="20"/>
          <w:szCs w:val="20"/>
          <w:color w:val="auto"/>
        </w:rPr>
      </w:pPr>
      <w:r>
        <w:rPr>
          <w:rFonts w:ascii="Arial" w:cs="Arial" w:eastAsia="Arial" w:hAnsi="Arial"/>
          <w:sz w:val="12"/>
          <w:szCs w:val="12"/>
          <w:color w:val="auto"/>
        </w:rPr>
        <w:t>the Plan. You understand that you may, at any time, view Data, request additional information about the storage and processing of Data, require any necessary amendments to it or refuse or withdraw the consents herein, in any case without cost, by contacting in writing your local Human Resources representative. Refusal or withdrawal of consent may, however, affect your ability to exercise or realize benefits from the Grant or the Plan. For more information on the consequences of your refusal to consent or withdrawal of consent, you understand that you may contact your local Human Resources representative.</w:t>
      </w:r>
    </w:p>
    <w:p>
      <w:pPr>
        <w:spacing w:after="0" w:line="40"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IN WITNESS WHEREOF, the Company has caused this Agreement to be executed and its corporate seal to be hereto affixed by its officer thereunto duly authorized, and the Employee has accepted this agreement, all as of the day and year first above written.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HAEMONETICS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91465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Brian Concannon,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91465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9146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RETAIN A COPY OF THIS AGREEMENT FOR YOUR RECORDS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460"/>
          </w:cols>
          <w:pgMar w:left="220" w:top="720"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3"/>
          <w:szCs w:val="13"/>
          <w:b w:val="1"/>
          <w:bCs w:val="1"/>
          <w:color w:val="auto"/>
        </w:rPr>
        <w:t>Exhibit 10U</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HAEMONETICS CORPORATION</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u w:val="single" w:color="auto"/>
          <w:color w:val="auto"/>
        </w:rPr>
        <w:t>2005 LONG-TERM INCENTIVE COMPENSATION PLAN</w:t>
      </w:r>
    </w:p>
    <w:p>
      <w:pPr>
        <w:spacing w:after="0" w:line="9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u w:val="single" w:color="auto"/>
          <w:color w:val="auto"/>
        </w:rPr>
        <w:t>RESTRICTED STOCK UNITS AGREEMENT</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13"/>
          <w:szCs w:val="13"/>
          <w:u w:val="single" w:color="auto"/>
          <w:color w:val="auto"/>
        </w:rPr>
        <w:t>WITH</w:t>
      </w:r>
    </w:p>
    <w:p>
      <w:pPr>
        <w:spacing w:after="0" w:line="8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290830</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109" w:name="page110"/>
    <w:bookmarkEnd w:id="109"/>
    <w:p>
      <w:pPr>
        <w:jc w:val="center"/>
        <w:ind w:right="-80"/>
        <w:spacing w:after="0"/>
        <w:rPr>
          <w:sz w:val="20"/>
          <w:szCs w:val="20"/>
          <w:color w:val="auto"/>
        </w:rPr>
      </w:pPr>
      <w:r>
        <w:rPr>
          <w:rFonts w:ascii="Arial" w:cs="Arial" w:eastAsia="Arial" w:hAnsi="Arial"/>
          <w:sz w:val="13"/>
          <w:szCs w:val="13"/>
          <w:b w:val="1"/>
          <w:bCs w:val="1"/>
          <w:color w:val="auto"/>
        </w:rPr>
        <w:t>HAEMONETICS CORPORATION</w:t>
      </w:r>
    </w:p>
    <w:p>
      <w:pPr>
        <w:spacing w:after="0" w:line="19"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RESTRICTED STOCK UNIT AGREEMENT</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u w:val="single" w:color="auto"/>
          <w:color w:val="auto"/>
        </w:rPr>
        <w:t>UNDER 2005 LONG-TERM INCENTIVE COMPENSATION PLAN</w:t>
      </w:r>
    </w:p>
    <w:p>
      <w:pPr>
        <w:spacing w:after="0" w:line="79" w:lineRule="exact"/>
        <w:rPr>
          <w:sz w:val="20"/>
          <w:szCs w:val="20"/>
          <w:color w:val="auto"/>
        </w:rPr>
      </w:pPr>
    </w:p>
    <w:p>
      <w:pPr>
        <w:ind w:left="1" w:right="380" w:firstLine="325"/>
        <w:spacing w:after="0" w:line="276" w:lineRule="auto"/>
        <w:rPr>
          <w:sz w:val="20"/>
          <w:szCs w:val="20"/>
          <w:color w:val="auto"/>
        </w:rPr>
      </w:pPr>
      <w:r>
        <w:rPr>
          <w:rFonts w:ascii="Arial" w:cs="Arial" w:eastAsia="Arial" w:hAnsi="Arial"/>
          <w:sz w:val="13"/>
          <w:szCs w:val="13"/>
          <w:color w:val="auto"/>
        </w:rPr>
        <w:t>THIS RESTRICTED STOCK UNIT AGREEMENT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«Option_Date» (“</w:t>
      </w:r>
      <w:r>
        <w:rPr>
          <w:rFonts w:ascii="Arial" w:cs="Arial" w:eastAsia="Arial" w:hAnsi="Arial"/>
          <w:sz w:val="13"/>
          <w:szCs w:val="13"/>
          <w:u w:val="single" w:color="auto"/>
          <w:color w:val="auto"/>
        </w:rPr>
        <w:t>Grant Date</w:t>
      </w:r>
      <w:r>
        <w:rPr>
          <w:rFonts w:ascii="Arial" w:cs="Arial" w:eastAsia="Arial" w:hAnsi="Arial"/>
          <w:sz w:val="13"/>
          <w:szCs w:val="13"/>
          <w:color w:val="auto"/>
        </w:rPr>
        <w:t>”) by and between Haemonetics Corporation, a Massachusetts Corporation (“</w:t>
      </w:r>
      <w:r>
        <w:rPr>
          <w:rFonts w:ascii="Arial" w:cs="Arial" w:eastAsia="Arial" w:hAnsi="Arial"/>
          <w:sz w:val="13"/>
          <w:szCs w:val="13"/>
          <w:u w:val="single" w:color="auto"/>
          <w:color w:val="auto"/>
        </w:rPr>
        <w:t>Company</w:t>
      </w:r>
      <w:r>
        <w:rPr>
          <w:rFonts w:ascii="Arial" w:cs="Arial" w:eastAsia="Arial" w:hAnsi="Arial"/>
          <w:sz w:val="13"/>
          <w:szCs w:val="13"/>
          <w:color w:val="auto"/>
        </w:rPr>
        <w:t>”), and «Name» (“</w:t>
      </w:r>
      <w:r>
        <w:rPr>
          <w:rFonts w:ascii="Arial" w:cs="Arial" w:eastAsia="Arial" w:hAnsi="Arial"/>
          <w:sz w:val="13"/>
          <w:szCs w:val="13"/>
          <w:u w:val="single" w:color="auto"/>
          <w:color w:val="auto"/>
        </w:rPr>
        <w:t>Employee</w:t>
      </w:r>
      <w:r>
        <w:rPr>
          <w:rFonts w:ascii="Arial" w:cs="Arial" w:eastAsia="Arial" w:hAnsi="Arial"/>
          <w:sz w:val="13"/>
          <w:szCs w:val="13"/>
          <w:color w:val="auto"/>
        </w:rPr>
        <w:t>”), is entered into as follows:</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1"/>
          <w:szCs w:val="11"/>
          <w:color w:val="auto"/>
        </w:rPr>
        <w:t>WHEREAS, the Company has established the Haemonetics Corporation 2005 Incentive Compensation Plan (“</w:t>
      </w:r>
      <w:r>
        <w:rPr>
          <w:rFonts w:ascii="Arial" w:cs="Arial" w:eastAsia="Arial" w:hAnsi="Arial"/>
          <w:sz w:val="11"/>
          <w:szCs w:val="11"/>
          <w:u w:val="single" w:color="auto"/>
          <w:color w:val="auto"/>
        </w:rPr>
        <w:t>Plan</w:t>
      </w:r>
      <w:r>
        <w:rPr>
          <w:rFonts w:ascii="Arial" w:cs="Arial" w:eastAsia="Arial" w:hAnsi="Arial"/>
          <w:sz w:val="11"/>
          <w:szCs w:val="11"/>
          <w:color w:val="auto"/>
        </w:rPr>
        <w:t>”), a copy of which has been provided to Employee, and which Plan is made a part hereof; and</w:t>
      </w:r>
    </w:p>
    <w:p>
      <w:pPr>
        <w:spacing w:after="0" w:line="109" w:lineRule="exact"/>
        <w:rPr>
          <w:sz w:val="20"/>
          <w:szCs w:val="20"/>
          <w:color w:val="auto"/>
        </w:rPr>
      </w:pPr>
    </w:p>
    <w:p>
      <w:pPr>
        <w:ind w:left="1" w:right="120" w:firstLine="325"/>
        <w:spacing w:after="0" w:line="276" w:lineRule="auto"/>
        <w:rPr>
          <w:sz w:val="20"/>
          <w:szCs w:val="20"/>
          <w:color w:val="auto"/>
        </w:rPr>
      </w:pPr>
      <w:r>
        <w:rPr>
          <w:rFonts w:ascii="Arial" w:cs="Arial" w:eastAsia="Arial" w:hAnsi="Arial"/>
          <w:sz w:val="13"/>
          <w:szCs w:val="13"/>
          <w:color w:val="auto"/>
        </w:rPr>
        <w:t>WHEREAS, the Compensation Committee of the Board of Directors of the Company (“</w:t>
      </w:r>
      <w:r>
        <w:rPr>
          <w:rFonts w:ascii="Arial" w:cs="Arial" w:eastAsia="Arial" w:hAnsi="Arial"/>
          <w:sz w:val="13"/>
          <w:szCs w:val="13"/>
          <w:u w:val="single" w:color="auto"/>
          <w:color w:val="auto"/>
        </w:rPr>
        <w:t>Committee</w:t>
      </w:r>
      <w:r>
        <w:rPr>
          <w:rFonts w:ascii="Arial" w:cs="Arial" w:eastAsia="Arial" w:hAnsi="Arial"/>
          <w:sz w:val="13"/>
          <w:szCs w:val="13"/>
          <w:color w:val="auto"/>
        </w:rPr>
        <w:t>”) determined that the Employee be granted restricted stock units of the Company’s $0.01 par value Common Stock (“</w:t>
      </w:r>
      <w:r>
        <w:rPr>
          <w:rFonts w:ascii="Arial" w:cs="Arial" w:eastAsia="Arial" w:hAnsi="Arial"/>
          <w:sz w:val="13"/>
          <w:szCs w:val="13"/>
          <w:u w:val="single" w:color="auto"/>
          <w:color w:val="auto"/>
        </w:rPr>
        <w:t>Stock</w:t>
      </w:r>
      <w:r>
        <w:rPr>
          <w:rFonts w:ascii="Arial" w:cs="Arial" w:eastAsia="Arial" w:hAnsi="Arial"/>
          <w:sz w:val="13"/>
          <w:szCs w:val="13"/>
          <w:color w:val="auto"/>
        </w:rPr>
        <w:t>”) subject to the restrictions as hereinafter set forth;</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NOW, THEREFORE, the parties hereby agree as follows:</w:t>
      </w:r>
    </w:p>
    <w:p>
      <w:pPr>
        <w:spacing w:after="0" w:line="82"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 Grant of Restricted Stock Units.</w:t>
      </w:r>
    </w:p>
    <w:p>
      <w:pPr>
        <w:spacing w:after="0" w:line="90" w:lineRule="exact"/>
        <w:rPr>
          <w:sz w:val="20"/>
          <w:szCs w:val="20"/>
          <w:color w:val="auto"/>
        </w:rPr>
      </w:pPr>
    </w:p>
    <w:p>
      <w:pPr>
        <w:ind w:left="321"/>
        <w:spacing w:after="0"/>
        <w:rPr>
          <w:sz w:val="20"/>
          <w:szCs w:val="20"/>
          <w:color w:val="auto"/>
        </w:rPr>
      </w:pPr>
      <w:r>
        <w:rPr>
          <w:rFonts w:ascii="Arial" w:cs="Arial" w:eastAsia="Arial" w:hAnsi="Arial"/>
          <w:sz w:val="13"/>
          <w:szCs w:val="13"/>
          <w:color w:val="auto"/>
        </w:rPr>
        <w:t>Subject to the terms and conditions of this Agreement and of the Plan, the Company hereby grants to the Employee «X_Total_RSUs» Restricted Stock Units (“</w:t>
      </w:r>
      <w:r>
        <w:rPr>
          <w:rFonts w:ascii="Arial" w:cs="Arial" w:eastAsia="Arial" w:hAnsi="Arial"/>
          <w:sz w:val="13"/>
          <w:szCs w:val="13"/>
          <w:u w:val="single" w:color="auto"/>
          <w:color w:val="auto"/>
        </w:rPr>
        <w:t>RSUs</w:t>
      </w:r>
      <w:r>
        <w:rPr>
          <w:rFonts w:ascii="Arial" w:cs="Arial" w:eastAsia="Arial" w:hAnsi="Arial"/>
          <w:sz w:val="13"/>
          <w:szCs w:val="13"/>
          <w:color w:val="auto"/>
        </w:rPr>
        <w:t>”).</w:t>
      </w:r>
    </w:p>
    <w:p>
      <w:pPr>
        <w:spacing w:after="0" w:line="82" w:lineRule="exact"/>
        <w:rPr>
          <w:sz w:val="20"/>
          <w:szCs w:val="20"/>
          <w:color w:val="auto"/>
        </w:rPr>
      </w:pPr>
    </w:p>
    <w:p>
      <w:pPr>
        <w:ind w:left="121" w:hanging="121"/>
        <w:spacing w:after="0"/>
        <w:tabs>
          <w:tab w:leader="none" w:pos="121"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Vesting Schedule.</w:t>
      </w:r>
    </w:p>
    <w:p>
      <w:pPr>
        <w:spacing w:after="0" w:line="90" w:lineRule="exact"/>
        <w:rPr>
          <w:rFonts w:ascii="Arial" w:cs="Arial" w:eastAsia="Arial" w:hAnsi="Arial"/>
          <w:sz w:val="13"/>
          <w:szCs w:val="13"/>
          <w:b w:val="1"/>
          <w:bCs w:val="1"/>
          <w:color w:val="auto"/>
        </w:rPr>
      </w:pPr>
    </w:p>
    <w:p>
      <w:pPr>
        <w:ind w:left="1" w:firstLine="326"/>
        <w:spacing w:after="0" w:line="264" w:lineRule="auto"/>
        <w:tabs>
          <w:tab w:leader="none" w:pos="507" w:val="left"/>
        </w:tabs>
        <w:numPr>
          <w:ilvl w:val="1"/>
          <w:numId w:val="78"/>
        </w:numPr>
        <w:rPr>
          <w:rFonts w:ascii="Arial" w:cs="Arial" w:eastAsia="Arial" w:hAnsi="Arial"/>
          <w:sz w:val="13"/>
          <w:szCs w:val="13"/>
          <w:color w:val="auto"/>
        </w:rPr>
      </w:pPr>
      <w:r>
        <w:rPr>
          <w:rFonts w:ascii="Arial" w:cs="Arial" w:eastAsia="Arial" w:hAnsi="Arial"/>
          <w:sz w:val="13"/>
          <w:szCs w:val="13"/>
          <w:u w:val="single" w:color="auto"/>
          <w:color w:val="auto"/>
        </w:rPr>
        <w:t>Vesting Dates</w:t>
      </w:r>
      <w:r>
        <w:rPr>
          <w:rFonts w:ascii="Arial" w:cs="Arial" w:eastAsia="Arial" w:hAnsi="Arial"/>
          <w:sz w:val="13"/>
          <w:szCs w:val="13"/>
          <w:color w:val="auto"/>
        </w:rPr>
        <w:t>.The interest of the Employee in the RSUs shall vest as to 25% of such RSUs on the first anniversary of the Grant Date, and as to an additional 25% on each succeeding anniversary date, so as to be 100% vested on «Vest_Date_4», the fourth (4</w:t>
      </w:r>
      <w:r>
        <w:rPr>
          <w:rFonts w:ascii="Arial" w:cs="Arial" w:eastAsia="Arial" w:hAnsi="Arial"/>
          <w:sz w:val="11"/>
          <w:szCs w:val="11"/>
          <w:color w:val="auto"/>
        </w:rPr>
        <w:t>th</w:t>
      </w:r>
      <w:r>
        <w:rPr>
          <w:rFonts w:ascii="Arial" w:cs="Arial" w:eastAsia="Arial" w:hAnsi="Arial"/>
          <w:sz w:val="13"/>
          <w:szCs w:val="13"/>
          <w:color w:val="auto"/>
        </w:rPr>
        <w:t>) anniversary thereof, conditioned upon the Employee’s continued employment with the Company as of each vesting date. In situations where there is not continued employment, notwithstanding the foregoing, the interest of the Employee in the Stock shall vest as specified below.</w:t>
      </w:r>
    </w:p>
    <w:p>
      <w:pPr>
        <w:spacing w:after="0" w:line="54" w:lineRule="exact"/>
        <w:rPr>
          <w:rFonts w:ascii="Arial" w:cs="Arial" w:eastAsia="Arial" w:hAnsi="Arial"/>
          <w:sz w:val="13"/>
          <w:szCs w:val="13"/>
          <w:color w:val="auto"/>
        </w:rPr>
      </w:pPr>
    </w:p>
    <w:p>
      <w:pPr>
        <w:ind w:left="1" w:right="100" w:firstLine="326"/>
        <w:spacing w:after="0" w:line="266" w:lineRule="auto"/>
        <w:tabs>
          <w:tab w:leader="none" w:pos="514" w:val="left"/>
        </w:tabs>
        <w:numPr>
          <w:ilvl w:val="1"/>
          <w:numId w:val="78"/>
        </w:numPr>
        <w:rPr>
          <w:rFonts w:ascii="Arial" w:cs="Arial" w:eastAsia="Arial" w:hAnsi="Arial"/>
          <w:sz w:val="13"/>
          <w:szCs w:val="13"/>
          <w:color w:val="auto"/>
        </w:rPr>
      </w:pPr>
      <w:r>
        <w:rPr>
          <w:rFonts w:ascii="Arial" w:cs="Arial" w:eastAsia="Arial" w:hAnsi="Arial"/>
          <w:sz w:val="13"/>
          <w:szCs w:val="13"/>
          <w:u w:val="single" w:color="auto"/>
          <w:color w:val="auto"/>
        </w:rPr>
        <w:t>Employment Required</w:t>
      </w:r>
      <w:r>
        <w:rPr>
          <w:rFonts w:ascii="Arial" w:cs="Arial" w:eastAsia="Arial" w:hAnsi="Arial"/>
          <w:sz w:val="13"/>
          <w:szCs w:val="13"/>
          <w:color w:val="auto"/>
        </w:rPr>
        <w:t>. Except as otherwise provided in this Section 2, if the Employee ceases to be an employee of the Company prior to the fourth (4</w:t>
      </w:r>
      <w:r>
        <w:rPr>
          <w:rFonts w:ascii="Arial" w:cs="Arial" w:eastAsia="Arial" w:hAnsi="Arial"/>
          <w:sz w:val="11"/>
          <w:szCs w:val="11"/>
          <w:color w:val="auto"/>
        </w:rPr>
        <w:t>th</w:t>
      </w:r>
      <w:r>
        <w:rPr>
          <w:rFonts w:ascii="Arial" w:cs="Arial" w:eastAsia="Arial" w:hAnsi="Arial"/>
          <w:sz w:val="13"/>
          <w:szCs w:val="13"/>
          <w:color w:val="auto"/>
        </w:rPr>
        <w:t>) anniversary of the Grant Date, the RSUs granted to the Employee hereunder shall stop vesting on the last date of employment. In such event, vesting shall not be pro-rated between anniversary dates and the vested amount shall be determined as of the most recent anniversary of the Grant Date.</w:t>
      </w:r>
    </w:p>
    <w:p>
      <w:pPr>
        <w:spacing w:after="0" w:line="55" w:lineRule="exact"/>
        <w:rPr>
          <w:rFonts w:ascii="Arial" w:cs="Arial" w:eastAsia="Arial" w:hAnsi="Arial"/>
          <w:sz w:val="13"/>
          <w:szCs w:val="13"/>
          <w:color w:val="auto"/>
        </w:rPr>
      </w:pPr>
    </w:p>
    <w:p>
      <w:pPr>
        <w:ind w:left="501" w:hanging="174"/>
        <w:spacing w:after="0"/>
        <w:tabs>
          <w:tab w:leader="none" w:pos="501" w:val="left"/>
        </w:tabs>
        <w:numPr>
          <w:ilvl w:val="1"/>
          <w:numId w:val="78"/>
        </w:numPr>
        <w:rPr>
          <w:rFonts w:ascii="Arial" w:cs="Arial" w:eastAsia="Arial" w:hAnsi="Arial"/>
          <w:sz w:val="13"/>
          <w:szCs w:val="13"/>
          <w:color w:val="auto"/>
        </w:rPr>
      </w:pPr>
      <w:r>
        <w:rPr>
          <w:rFonts w:ascii="Arial" w:cs="Arial" w:eastAsia="Arial" w:hAnsi="Arial"/>
          <w:sz w:val="13"/>
          <w:szCs w:val="13"/>
          <w:u w:val="single" w:color="auto"/>
          <w:color w:val="auto"/>
        </w:rPr>
        <w:t>Disability</w:t>
      </w:r>
      <w:r>
        <w:rPr>
          <w:rFonts w:ascii="Arial" w:cs="Arial" w:eastAsia="Arial" w:hAnsi="Arial"/>
          <w:sz w:val="13"/>
          <w:szCs w:val="13"/>
          <w:color w:val="auto"/>
        </w:rPr>
        <w:t>. If such termination of employment is because of the Employee’s Disability, such RSUs shall continue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36" w:right="299" w:bottom="1440" w:gutter="0" w:footer="0" w:header="0"/>
        </w:sectPr>
      </w:pPr>
    </w:p>
    <w:bookmarkStart w:id="110" w:name="page111"/>
    <w:bookmarkEnd w:id="110"/>
    <w:p>
      <w:pPr>
        <w:ind w:left="194" w:hanging="194"/>
        <w:spacing w:after="0"/>
        <w:tabs>
          <w:tab w:leader="none" w:pos="194" w:val="left"/>
        </w:tabs>
        <w:numPr>
          <w:ilvl w:val="0"/>
          <w:numId w:val="79"/>
        </w:numPr>
        <w:rPr>
          <w:rFonts w:ascii="Arial" w:cs="Arial" w:eastAsia="Arial" w:hAnsi="Arial"/>
          <w:sz w:val="13"/>
          <w:szCs w:val="13"/>
          <w:color w:val="auto"/>
        </w:rPr>
      </w:pPr>
      <w:r>
        <w:rPr>
          <w:rFonts w:ascii="Arial" w:cs="Arial" w:eastAsia="Arial" w:hAnsi="Arial"/>
          <w:sz w:val="13"/>
          <w:szCs w:val="13"/>
          <w:color w:val="auto"/>
        </w:rPr>
        <w:t>Death. In the event of the death of the Employee while in the employ of the Company, any unvested RSUs shall immediately become fully vested.</w:t>
      </w:r>
    </w:p>
    <w:p>
      <w:pPr>
        <w:spacing w:after="0" w:line="86" w:lineRule="exact"/>
        <w:rPr>
          <w:rFonts w:ascii="Arial" w:cs="Arial" w:eastAsia="Arial" w:hAnsi="Arial"/>
          <w:sz w:val="13"/>
          <w:szCs w:val="13"/>
          <w:color w:val="auto"/>
        </w:rPr>
      </w:pPr>
    </w:p>
    <w:p>
      <w:pPr>
        <w:ind w:left="-326" w:right="60" w:firstLine="326"/>
        <w:spacing w:after="0" w:line="296" w:lineRule="auto"/>
        <w:tabs>
          <w:tab w:leader="none" w:pos="179" w:val="left"/>
        </w:tabs>
        <w:numPr>
          <w:ilvl w:val="0"/>
          <w:numId w:val="79"/>
        </w:numPr>
        <w:rPr>
          <w:rFonts w:ascii="Arial" w:cs="Arial" w:eastAsia="Arial" w:hAnsi="Arial"/>
          <w:sz w:val="12"/>
          <w:szCs w:val="12"/>
          <w:color w:val="auto"/>
        </w:rPr>
      </w:pPr>
      <w:r>
        <w:rPr>
          <w:rFonts w:ascii="Arial" w:cs="Arial" w:eastAsia="Arial" w:hAnsi="Arial"/>
          <w:sz w:val="12"/>
          <w:szCs w:val="12"/>
          <w:u w:val="single" w:color="auto"/>
          <w:color w:val="auto"/>
        </w:rPr>
        <w:t>Change in Control</w:t>
      </w:r>
      <w:r>
        <w:rPr>
          <w:rFonts w:ascii="Arial" w:cs="Arial" w:eastAsia="Arial" w:hAnsi="Arial"/>
          <w:sz w:val="12"/>
          <w:szCs w:val="12"/>
          <w:color w:val="auto"/>
        </w:rPr>
        <w:t>. Any unvested RSUs shall immediately become fully vested if (i) a Change in Control occurs and (ii) the surviving corporation or acquiring corporation following a Change in Control refuses to assume or continue the RSUs or to substitute a similar equity award. If the RSUs are so continued, assumed or substituted and at any time during the 24 months immediately following the Change in Control the Employee’s employment is terminated without Cause or is terminated by the Employee due to a Constructive Termination, then all unvested RSUs shall immediately become fully vested.</w:t>
      </w:r>
    </w:p>
    <w:p>
      <w:pPr>
        <w:spacing w:after="0" w:line="39" w:lineRule="exact"/>
        <w:rPr>
          <w:rFonts w:ascii="Arial" w:cs="Arial" w:eastAsia="Arial" w:hAnsi="Arial"/>
          <w:sz w:val="12"/>
          <w:szCs w:val="12"/>
          <w:color w:val="auto"/>
        </w:rPr>
      </w:pPr>
    </w:p>
    <w:p>
      <w:pPr>
        <w:ind w:left="154" w:hanging="154"/>
        <w:spacing w:after="0"/>
        <w:tabs>
          <w:tab w:leader="none" w:pos="154"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Special Definitions</w:t>
      </w:r>
      <w:r>
        <w:rPr>
          <w:rFonts w:ascii="Arial" w:cs="Arial" w:eastAsia="Arial" w:hAnsi="Arial"/>
          <w:sz w:val="13"/>
          <w:szCs w:val="13"/>
          <w:color w:val="auto"/>
        </w:rPr>
        <w:t>. For purposes of this Agreement, the following terms have the meanings set forth below:</w:t>
      </w:r>
    </w:p>
    <w:p>
      <w:pPr>
        <w:spacing w:after="0" w:line="86" w:lineRule="exact"/>
        <w:rPr>
          <w:rFonts w:ascii="Arial" w:cs="Arial" w:eastAsia="Arial" w:hAnsi="Arial"/>
          <w:sz w:val="13"/>
          <w:szCs w:val="13"/>
          <w:color w:val="auto"/>
        </w:rPr>
      </w:pPr>
    </w:p>
    <w:p>
      <w:pPr>
        <w:ind w:left="554" w:hanging="193"/>
        <w:spacing w:after="0"/>
        <w:tabs>
          <w:tab w:leader="none" w:pos="554" w:val="left"/>
        </w:tabs>
        <w:numPr>
          <w:ilvl w:val="1"/>
          <w:numId w:val="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Cause</w:t>
      </w:r>
      <w:r>
        <w:rPr>
          <w:rFonts w:ascii="Arial" w:cs="Arial" w:eastAsia="Arial" w:hAnsi="Arial"/>
          <w:sz w:val="13"/>
          <w:szCs w:val="13"/>
          <w:color w:val="auto"/>
        </w:rPr>
        <w:t>” means:</w:t>
      </w:r>
    </w:p>
    <w:p>
      <w:pPr>
        <w:spacing w:after="0" w:line="86" w:lineRule="exact"/>
        <w:rPr>
          <w:rFonts w:ascii="Arial" w:cs="Arial" w:eastAsia="Arial" w:hAnsi="Arial"/>
          <w:sz w:val="13"/>
          <w:szCs w:val="13"/>
          <w:color w:val="auto"/>
        </w:rPr>
      </w:pPr>
    </w:p>
    <w:p>
      <w:pPr>
        <w:ind w:left="814" w:hanging="224"/>
        <w:spacing w:after="0"/>
        <w:tabs>
          <w:tab w:leader="none" w:pos="814" w:val="left"/>
        </w:tabs>
        <w:numPr>
          <w:ilvl w:val="2"/>
          <w:numId w:val="79"/>
        </w:numPr>
        <w:rPr>
          <w:rFonts w:ascii="Arial" w:cs="Arial" w:eastAsia="Arial" w:hAnsi="Arial"/>
          <w:sz w:val="13"/>
          <w:szCs w:val="13"/>
          <w:color w:val="auto"/>
        </w:rPr>
      </w:pPr>
      <w:r>
        <w:rPr>
          <w:rFonts w:ascii="Arial" w:cs="Arial" w:eastAsia="Arial" w:hAnsi="Arial"/>
          <w:sz w:val="13"/>
          <w:szCs w:val="13"/>
          <w:color w:val="auto"/>
        </w:rPr>
        <w:t>the Employee’s conviction of (or a plea of guilty or nolo contendere to) a felony or any other crime involving moral turpitude, dishonesty, fraud, theft or financial impropriety; or</w:t>
      </w:r>
    </w:p>
    <w:p>
      <w:pPr>
        <w:spacing w:after="0" w:line="86" w:lineRule="exact"/>
        <w:rPr>
          <w:rFonts w:ascii="Arial" w:cs="Arial" w:eastAsia="Arial" w:hAnsi="Arial"/>
          <w:sz w:val="13"/>
          <w:szCs w:val="13"/>
          <w:color w:val="auto"/>
        </w:rPr>
      </w:pPr>
    </w:p>
    <w:p>
      <w:pPr>
        <w:ind w:left="594" w:hanging="4"/>
        <w:spacing w:after="0" w:line="285" w:lineRule="auto"/>
        <w:tabs>
          <w:tab w:leader="none" w:pos="801" w:val="left"/>
        </w:tabs>
        <w:numPr>
          <w:ilvl w:val="2"/>
          <w:numId w:val="79"/>
        </w:numPr>
        <w:rPr>
          <w:rFonts w:ascii="Arial" w:cs="Arial" w:eastAsia="Arial" w:hAnsi="Arial"/>
          <w:sz w:val="12"/>
          <w:szCs w:val="12"/>
          <w:color w:val="auto"/>
        </w:rPr>
      </w:pPr>
      <w:r>
        <w:rPr>
          <w:rFonts w:ascii="Arial" w:cs="Arial" w:eastAsia="Arial" w:hAnsi="Arial"/>
          <w:sz w:val="12"/>
          <w:szCs w:val="12"/>
          <w:color w:val="auto"/>
        </w:rPr>
        <w:t>a determination by the Company that the Employee has (i) willfully and continuously failed to perform substantially the Employee’s duties (other than any such failure resulting from the Employee’s CIC Disability) after a written demand for substantial performance is delivered to the Employee which specifically identifies the manner in which the Company believes that the Employee has not substantially performed the Employee’s duties, (ii) engaged in illegal conduct, an act of dishonesty or gross misconduct, or (iii) willfully violated a material requirement of the Company’s code of conduct or the Employee’s fiduciary duty to the Company. No act or failure to act on the part of the Employee shall be considered “willful” unless it is done, or omitted to be done, by the Employee in bad faith and without reasonable belief that the Employee’s action or omission was in, or not opposed to, the best interests of the Company or its subsidiaries.</w:t>
      </w:r>
    </w:p>
    <w:p>
      <w:pPr>
        <w:spacing w:after="0" w:line="45" w:lineRule="exact"/>
        <w:rPr>
          <w:rFonts w:ascii="Arial" w:cs="Arial" w:eastAsia="Arial" w:hAnsi="Arial"/>
          <w:sz w:val="12"/>
          <w:szCs w:val="12"/>
          <w:color w:val="auto"/>
        </w:rPr>
      </w:pPr>
    </w:p>
    <w:p>
      <w:pPr>
        <w:ind w:left="554" w:hanging="193"/>
        <w:spacing w:after="0"/>
        <w:tabs>
          <w:tab w:leader="none" w:pos="554" w:val="left"/>
        </w:tabs>
        <w:numPr>
          <w:ilvl w:val="1"/>
          <w:numId w:val="7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Control</w:t>
      </w:r>
      <w:r>
        <w:rPr>
          <w:rFonts w:ascii="Arial" w:cs="Arial" w:eastAsia="Arial" w:hAnsi="Arial"/>
          <w:sz w:val="13"/>
          <w:szCs w:val="13"/>
          <w:color w:val="auto"/>
        </w:rPr>
        <w:t>” means the earliest to occur of the following events.</w:t>
      </w:r>
    </w:p>
    <w:p>
      <w:pPr>
        <w:spacing w:after="0" w:line="86" w:lineRule="exact"/>
        <w:rPr>
          <w:rFonts w:ascii="Arial" w:cs="Arial" w:eastAsia="Arial" w:hAnsi="Arial"/>
          <w:sz w:val="13"/>
          <w:szCs w:val="13"/>
          <w:color w:val="auto"/>
        </w:rPr>
      </w:pPr>
    </w:p>
    <w:p>
      <w:pPr>
        <w:jc w:val="both"/>
        <w:ind w:left="594" w:right="40" w:hanging="4"/>
        <w:spacing w:after="0" w:line="264" w:lineRule="auto"/>
        <w:tabs>
          <w:tab w:leader="none" w:pos="808" w:val="left"/>
        </w:tabs>
        <w:numPr>
          <w:ilvl w:val="2"/>
          <w:numId w:val="79"/>
        </w:numPr>
        <w:rPr>
          <w:rFonts w:ascii="Arial" w:cs="Arial" w:eastAsia="Arial" w:hAnsi="Arial"/>
          <w:sz w:val="13"/>
          <w:szCs w:val="13"/>
          <w:color w:val="auto"/>
        </w:rPr>
      </w:pPr>
      <w:r>
        <w:rPr>
          <w:rFonts w:ascii="Arial" w:cs="Arial" w:eastAsia="Arial" w:hAnsi="Arial"/>
          <w:sz w:val="13"/>
          <w:szCs w:val="13"/>
          <w:color w:val="auto"/>
        </w:rPr>
        <w:t>a person, or any two or more persons acting as a group, and all affiliates of such person or persons, who prior to such time owned less than thirty-five percent (35%) of the then outstanding shares of the Common Stock, shall acquire such additional shares of the Common Stock in one or more transactions, or series of transactions, such that following such transaction or transactions such person or group and affiliates beneficially own thirty-five percent (35%) or more of the Common Stock outstanding,</w:t>
      </w:r>
    </w:p>
    <w:p>
      <w:pPr>
        <w:spacing w:after="0" w:line="57" w:lineRule="exact"/>
        <w:rPr>
          <w:rFonts w:ascii="Arial" w:cs="Arial" w:eastAsia="Arial" w:hAnsi="Arial"/>
          <w:sz w:val="13"/>
          <w:szCs w:val="13"/>
          <w:color w:val="auto"/>
        </w:rPr>
      </w:pPr>
    </w:p>
    <w:p>
      <w:pPr>
        <w:ind w:left="794" w:hanging="204"/>
        <w:spacing w:after="0"/>
        <w:tabs>
          <w:tab w:leader="none" w:pos="794" w:val="left"/>
        </w:tabs>
        <w:numPr>
          <w:ilvl w:val="2"/>
          <w:numId w:val="79"/>
        </w:numPr>
        <w:rPr>
          <w:rFonts w:ascii="Arial" w:cs="Arial" w:eastAsia="Arial" w:hAnsi="Arial"/>
          <w:sz w:val="13"/>
          <w:szCs w:val="13"/>
          <w:color w:val="auto"/>
        </w:rPr>
      </w:pPr>
      <w:r>
        <w:rPr>
          <w:rFonts w:ascii="Arial" w:cs="Arial" w:eastAsia="Arial" w:hAnsi="Arial"/>
          <w:sz w:val="13"/>
          <w:szCs w:val="13"/>
          <w:color w:val="auto"/>
        </w:rPr>
        <w:t>closing of the sale of all or substantially all of the assets of the Company on a consolidated basis to an unrelated person or entity,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294640</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74"/>
          </w:cols>
          <w:pgMar w:left="546" w:top="720" w:right="279" w:bottom="1440" w:gutter="0" w:footer="0" w:header="0"/>
        </w:sectPr>
      </w:pPr>
    </w:p>
    <w:bookmarkStart w:id="111" w:name="page112"/>
    <w:bookmarkEnd w:id="111"/>
    <w:p>
      <w:pPr>
        <w:ind w:left="233" w:hanging="4"/>
        <w:spacing w:after="0" w:line="258" w:lineRule="auto"/>
        <w:tabs>
          <w:tab w:leader="none" w:pos="441" w:val="left"/>
        </w:tabs>
        <w:numPr>
          <w:ilvl w:val="1"/>
          <w:numId w:val="80"/>
        </w:numPr>
        <w:rPr>
          <w:rFonts w:ascii="Arial" w:cs="Arial" w:eastAsia="Arial" w:hAnsi="Arial"/>
          <w:sz w:val="13"/>
          <w:szCs w:val="13"/>
          <w:color w:val="auto"/>
        </w:rPr>
      </w:pPr>
      <w:r>
        <w:rPr>
          <w:rFonts w:ascii="Arial" w:cs="Arial" w:eastAsia="Arial" w:hAnsi="Arial"/>
          <w:sz w:val="13"/>
          <w:szCs w:val="13"/>
          <w:color w:val="auto"/>
        </w:rPr>
        <w:t>the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definition, the percentage of the beneficially owned shares of the successor or survivor entity described above shall be determined exclusively by reference to the shares of the successor or survivor entity which result from the beneficial ownership of shares of Common Stock by the persons described above immediately before the consummation of such transaction.</w:t>
      </w:r>
    </w:p>
    <w:p>
      <w:pPr>
        <w:spacing w:after="0" w:line="61" w:lineRule="exact"/>
        <w:rPr>
          <w:rFonts w:ascii="Arial" w:cs="Arial" w:eastAsia="Arial" w:hAnsi="Arial"/>
          <w:sz w:val="13"/>
          <w:szCs w:val="13"/>
          <w:color w:val="auto"/>
        </w:rPr>
      </w:pPr>
    </w:p>
    <w:p>
      <w:pPr>
        <w:ind w:left="-7" w:right="80" w:firstLine="7"/>
        <w:spacing w:after="0" w:line="276" w:lineRule="auto"/>
        <w:tabs>
          <w:tab w:leader="none" w:pos="179" w:val="left"/>
        </w:tabs>
        <w:numPr>
          <w:ilvl w:val="0"/>
          <w:numId w:val="8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CIC Disability</w:t>
      </w:r>
      <w:r>
        <w:rPr>
          <w:rFonts w:ascii="Arial" w:cs="Arial" w:eastAsia="Arial" w:hAnsi="Arial"/>
          <w:sz w:val="13"/>
          <w:szCs w:val="13"/>
          <w:color w:val="auto"/>
        </w:rPr>
        <w:t>” means the Employee’s inability, due to physical or mental incapacity resulting from injury, sickness or disease, for one hundred and eighty days in any twelve month period to perform his duties hereunder.</w:t>
      </w:r>
    </w:p>
    <w:p>
      <w:pPr>
        <w:spacing w:after="0" w:line="49" w:lineRule="exact"/>
        <w:rPr>
          <w:rFonts w:ascii="Arial" w:cs="Arial" w:eastAsia="Arial" w:hAnsi="Arial"/>
          <w:sz w:val="13"/>
          <w:szCs w:val="13"/>
          <w:color w:val="auto"/>
        </w:rPr>
      </w:pPr>
    </w:p>
    <w:p>
      <w:pPr>
        <w:ind w:left="193" w:hanging="193"/>
        <w:spacing w:after="0"/>
        <w:tabs>
          <w:tab w:leader="none" w:pos="193" w:val="left"/>
        </w:tabs>
        <w:numPr>
          <w:ilvl w:val="0"/>
          <w:numId w:val="8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Constructive Termination</w:t>
      </w:r>
      <w:r>
        <w:rPr>
          <w:rFonts w:ascii="Arial" w:cs="Arial" w:eastAsia="Arial" w:hAnsi="Arial"/>
          <w:sz w:val="12"/>
          <w:szCs w:val="12"/>
          <w:color w:val="auto"/>
        </w:rPr>
        <w:t>” means, without the express written consent of the Employee, the occurrence of any of the following during the 24 months immediately after a Change in Control:</w:t>
      </w:r>
    </w:p>
    <w:p>
      <w:pPr>
        <w:spacing w:after="0" w:line="97" w:lineRule="exact"/>
        <w:rPr>
          <w:rFonts w:ascii="Arial" w:cs="Arial" w:eastAsia="Arial" w:hAnsi="Arial"/>
          <w:sz w:val="12"/>
          <w:szCs w:val="12"/>
          <w:color w:val="auto"/>
        </w:rPr>
      </w:pPr>
    </w:p>
    <w:p>
      <w:pPr>
        <w:ind w:left="233" w:hanging="4"/>
        <w:spacing w:after="0" w:line="264" w:lineRule="auto"/>
        <w:tabs>
          <w:tab w:leader="none" w:pos="448" w:val="left"/>
        </w:tabs>
        <w:numPr>
          <w:ilvl w:val="1"/>
          <w:numId w:val="81"/>
        </w:numPr>
        <w:rPr>
          <w:rFonts w:ascii="Arial" w:cs="Arial" w:eastAsia="Arial" w:hAnsi="Arial"/>
          <w:sz w:val="13"/>
          <w:szCs w:val="13"/>
          <w:color w:val="auto"/>
        </w:rPr>
      </w:pPr>
      <w:r>
        <w:rPr>
          <w:rFonts w:ascii="Arial" w:cs="Arial" w:eastAsia="Arial" w:hAnsi="Arial"/>
          <w:sz w:val="13"/>
          <w:szCs w:val="13"/>
          <w:color w:val="auto"/>
        </w:rPr>
        <w:t>a material reduction in the Employee’s annual base salary as in effect immediately prior to a Change in Control or as the same may be increased from time to time, or a material failure to provide the Employee with an opportunity to earn annual incentive compensation and long-term incentive compensation at least as favorable as in effect immediately prior to a Change of Control or as the same may be increased from time to time;</w:t>
      </w:r>
    </w:p>
    <w:p>
      <w:pPr>
        <w:spacing w:after="0" w:line="57" w:lineRule="exact"/>
        <w:rPr>
          <w:rFonts w:ascii="Arial" w:cs="Arial" w:eastAsia="Arial" w:hAnsi="Arial"/>
          <w:sz w:val="13"/>
          <w:szCs w:val="13"/>
          <w:color w:val="auto"/>
        </w:rPr>
      </w:pPr>
    </w:p>
    <w:p>
      <w:pPr>
        <w:ind w:left="433" w:hanging="204"/>
        <w:spacing w:after="0"/>
        <w:tabs>
          <w:tab w:leader="none" w:pos="433" w:val="left"/>
        </w:tabs>
        <w:numPr>
          <w:ilvl w:val="1"/>
          <w:numId w:val="81"/>
        </w:numPr>
        <w:rPr>
          <w:rFonts w:ascii="Arial" w:cs="Arial" w:eastAsia="Arial" w:hAnsi="Arial"/>
          <w:sz w:val="13"/>
          <w:szCs w:val="13"/>
          <w:color w:val="auto"/>
        </w:rPr>
      </w:pPr>
      <w:r>
        <w:rPr>
          <w:rFonts w:ascii="Arial" w:cs="Arial" w:eastAsia="Arial" w:hAnsi="Arial"/>
          <w:sz w:val="13"/>
          <w:szCs w:val="13"/>
          <w:color w:val="auto"/>
        </w:rPr>
        <w:t>a material diminution in the Employee’s authority, duties, or responsibilities as in effect at the time of the Change in Control;</w:t>
      </w:r>
    </w:p>
    <w:p>
      <w:pPr>
        <w:spacing w:after="0" w:line="86" w:lineRule="exact"/>
        <w:rPr>
          <w:rFonts w:ascii="Arial" w:cs="Arial" w:eastAsia="Arial" w:hAnsi="Arial"/>
          <w:sz w:val="13"/>
          <w:szCs w:val="13"/>
          <w:color w:val="auto"/>
        </w:rPr>
      </w:pPr>
    </w:p>
    <w:p>
      <w:pPr>
        <w:ind w:left="233" w:right="320" w:hanging="4"/>
        <w:spacing w:after="0" w:line="264" w:lineRule="auto"/>
        <w:tabs>
          <w:tab w:leader="none" w:pos="441" w:val="left"/>
        </w:tabs>
        <w:numPr>
          <w:ilvl w:val="1"/>
          <w:numId w:val="81"/>
        </w:numPr>
        <w:rPr>
          <w:rFonts w:ascii="Arial" w:cs="Arial" w:eastAsia="Arial" w:hAnsi="Arial"/>
          <w:sz w:val="13"/>
          <w:szCs w:val="13"/>
          <w:color w:val="auto"/>
        </w:rPr>
      </w:pPr>
      <w:r>
        <w:rPr>
          <w:rFonts w:ascii="Arial" w:cs="Arial" w:eastAsia="Arial" w:hAnsi="Arial"/>
          <w:sz w:val="13"/>
          <w:szCs w:val="13"/>
          <w:color w:val="auto"/>
        </w:rPr>
        <w:t>a material diminution in the authority, duties, or responsibilities of the supervisor to whom the Employee is required to report (it being understood that if the Employee reports directly to the Company’s Board of Directors prior to the Change in Control , a requirement that the Employee report to any individual or body other than the Board of the Directors of the surviving or acquiring corporation will constitute “Constructive Termination” hereunder);</w:t>
      </w:r>
    </w:p>
    <w:p>
      <w:pPr>
        <w:spacing w:after="0" w:line="57" w:lineRule="exact"/>
        <w:rPr>
          <w:rFonts w:ascii="Arial" w:cs="Arial" w:eastAsia="Arial" w:hAnsi="Arial"/>
          <w:sz w:val="13"/>
          <w:szCs w:val="13"/>
          <w:color w:val="auto"/>
        </w:rPr>
      </w:pPr>
    </w:p>
    <w:p>
      <w:pPr>
        <w:ind w:left="453" w:hanging="224"/>
        <w:spacing w:after="0"/>
        <w:tabs>
          <w:tab w:leader="none" w:pos="453" w:val="left"/>
        </w:tabs>
        <w:numPr>
          <w:ilvl w:val="1"/>
          <w:numId w:val="81"/>
        </w:numPr>
        <w:rPr>
          <w:rFonts w:ascii="Arial" w:cs="Arial" w:eastAsia="Arial" w:hAnsi="Arial"/>
          <w:sz w:val="13"/>
          <w:szCs w:val="13"/>
          <w:color w:val="auto"/>
        </w:rPr>
      </w:pPr>
      <w:r>
        <w:rPr>
          <w:rFonts w:ascii="Arial" w:cs="Arial" w:eastAsia="Arial" w:hAnsi="Arial"/>
          <w:sz w:val="13"/>
          <w:szCs w:val="13"/>
          <w:color w:val="auto"/>
        </w:rPr>
        <w:t>a material diminution in the budget over which the Employee retains authority;</w:t>
      </w:r>
    </w:p>
    <w:p>
      <w:pPr>
        <w:spacing w:after="0" w:line="86" w:lineRule="exact"/>
        <w:rPr>
          <w:rFonts w:ascii="Arial" w:cs="Arial" w:eastAsia="Arial" w:hAnsi="Arial"/>
          <w:sz w:val="13"/>
          <w:szCs w:val="13"/>
          <w:color w:val="auto"/>
        </w:rPr>
      </w:pPr>
    </w:p>
    <w:p>
      <w:pPr>
        <w:ind w:left="233" w:right="20" w:hanging="4"/>
        <w:spacing w:after="0" w:line="320" w:lineRule="auto"/>
        <w:tabs>
          <w:tab w:leader="none" w:pos="433" w:val="left"/>
        </w:tabs>
        <w:numPr>
          <w:ilvl w:val="1"/>
          <w:numId w:val="81"/>
        </w:numPr>
        <w:rPr>
          <w:rFonts w:ascii="Arial" w:cs="Arial" w:eastAsia="Arial" w:hAnsi="Arial"/>
          <w:sz w:val="12"/>
          <w:szCs w:val="12"/>
          <w:color w:val="auto"/>
        </w:rPr>
      </w:pPr>
      <w:r>
        <w:rPr>
          <w:rFonts w:ascii="Arial" w:cs="Arial" w:eastAsia="Arial" w:hAnsi="Arial"/>
          <w:sz w:val="12"/>
          <w:szCs w:val="12"/>
          <w:color w:val="auto"/>
        </w:rPr>
        <w:t>the Company’s requiring the Employee to be based anywhere outside a fifty mile radius of the Company’s offices at which the Employee is based as of immediately prior to a Change of Control (or any subsequent location at which the Employee has previously consented to be based) except for required travel on the Company’s business to an extent that is not substantially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255270</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73"/>
          </w:cols>
          <w:pgMar w:left="907" w:top="720" w:right="219" w:bottom="1440" w:gutter="0" w:footer="0" w:header="0"/>
        </w:sectPr>
      </w:pPr>
    </w:p>
    <w:bookmarkStart w:id="112" w:name="page113"/>
    <w:bookmarkEnd w:id="112"/>
    <w:p>
      <w:pPr>
        <w:ind w:left="921" w:right="2920"/>
        <w:spacing w:after="0" w:line="410" w:lineRule="auto"/>
        <w:rPr>
          <w:sz w:val="20"/>
          <w:szCs w:val="20"/>
          <w:color w:val="auto"/>
        </w:rPr>
      </w:pPr>
      <w:r>
        <w:rPr>
          <w:rFonts w:ascii="Arial" w:cs="Arial" w:eastAsia="Arial" w:hAnsi="Arial"/>
          <w:sz w:val="12"/>
          <w:szCs w:val="12"/>
          <w:color w:val="auto"/>
        </w:rPr>
        <w:t>than the Employee’s business travel obligations as of immediately prior to a Change in Control or, if more favorable, as of any time thereafter; or (F) any other action or inaction that constitutes a material breach by the Company or any of its subsidiaries of the terms of this Agreement.</w:t>
      </w:r>
    </w:p>
    <w:p>
      <w:pPr>
        <w:jc w:val="both"/>
        <w:ind w:left="1" w:right="20" w:firstLine="393"/>
        <w:spacing w:after="0" w:line="264" w:lineRule="auto"/>
        <w:rPr>
          <w:sz w:val="20"/>
          <w:szCs w:val="20"/>
          <w:color w:val="auto"/>
        </w:rPr>
      </w:pPr>
      <w:r>
        <w:rPr>
          <w:rFonts w:ascii="Arial" w:cs="Arial" w:eastAsia="Arial" w:hAnsi="Arial"/>
          <w:sz w:val="13"/>
          <w:szCs w:val="13"/>
          <w:color w:val="auto"/>
        </w:rPr>
        <w:t>In no event shall the Employee be entitled to terminate employment with the Company on account of “Constructive Termination” unless the Employee provides notice of the existence of the purported condition that constitutes “Constructive Termination” within a period not to exceed ninety (90) days of its initial existence, and the Company fails to cure such condition (if curable) within thirty (30) days after the receipt of such notice.</w:t>
      </w:r>
    </w:p>
    <w:p>
      <w:pPr>
        <w:spacing w:after="0" w:line="57" w:lineRule="exact"/>
        <w:rPr>
          <w:sz w:val="20"/>
          <w:szCs w:val="20"/>
          <w:color w:val="auto"/>
        </w:rPr>
      </w:pPr>
    </w:p>
    <w:p>
      <w:pPr>
        <w:ind w:left="881" w:hanging="193"/>
        <w:spacing w:after="0"/>
        <w:tabs>
          <w:tab w:leader="none" w:pos="881" w:val="left"/>
        </w:tabs>
        <w:numPr>
          <w:ilvl w:val="2"/>
          <w:numId w:val="8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Disability</w:t>
      </w:r>
      <w:r>
        <w:rPr>
          <w:rFonts w:ascii="Arial" w:cs="Arial" w:eastAsia="Arial" w:hAnsi="Arial"/>
          <w:sz w:val="13"/>
          <w:szCs w:val="13"/>
          <w:color w:val="auto"/>
        </w:rPr>
        <w:t>” has the meaning given it in Article 2 of the Plan.</w:t>
      </w:r>
    </w:p>
    <w:p>
      <w:pPr>
        <w:spacing w:after="0" w:line="82" w:lineRule="exact"/>
        <w:rPr>
          <w:rFonts w:ascii="Arial" w:cs="Arial" w:eastAsia="Arial" w:hAnsi="Arial"/>
          <w:sz w:val="13"/>
          <w:szCs w:val="13"/>
          <w:color w:val="auto"/>
        </w:rPr>
      </w:pPr>
    </w:p>
    <w:p>
      <w:pPr>
        <w:ind w:left="121" w:hanging="121"/>
        <w:spacing w:after="0"/>
        <w:tabs>
          <w:tab w:leader="none" w:pos="121"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Restrictions.</w:t>
      </w:r>
    </w:p>
    <w:p>
      <w:pPr>
        <w:spacing w:after="0" w:line="90" w:lineRule="exact"/>
        <w:rPr>
          <w:rFonts w:ascii="Arial" w:cs="Arial" w:eastAsia="Arial" w:hAnsi="Arial"/>
          <w:sz w:val="13"/>
          <w:szCs w:val="13"/>
          <w:b w:val="1"/>
          <w:bCs w:val="1"/>
          <w:color w:val="auto"/>
        </w:rPr>
      </w:pPr>
    </w:p>
    <w:p>
      <w:pPr>
        <w:ind w:left="501" w:hanging="174"/>
        <w:spacing w:after="0"/>
        <w:tabs>
          <w:tab w:leader="none" w:pos="501" w:val="left"/>
        </w:tabs>
        <w:numPr>
          <w:ilvl w:val="1"/>
          <w:numId w:val="83"/>
        </w:numPr>
        <w:rPr>
          <w:rFonts w:ascii="Arial" w:cs="Arial" w:eastAsia="Arial" w:hAnsi="Arial"/>
          <w:sz w:val="13"/>
          <w:szCs w:val="13"/>
          <w:color w:val="auto"/>
        </w:rPr>
      </w:pPr>
      <w:r>
        <w:rPr>
          <w:rFonts w:ascii="Arial" w:cs="Arial" w:eastAsia="Arial" w:hAnsi="Arial"/>
          <w:sz w:val="13"/>
          <w:szCs w:val="13"/>
          <w:u w:val="single" w:color="auto"/>
          <w:color w:val="auto"/>
        </w:rPr>
        <w:t>No Transfer</w:t>
      </w:r>
      <w:r>
        <w:rPr>
          <w:rFonts w:ascii="Arial" w:cs="Arial" w:eastAsia="Arial" w:hAnsi="Arial"/>
          <w:sz w:val="13"/>
          <w:szCs w:val="13"/>
          <w:color w:val="auto"/>
        </w:rPr>
        <w:t>. The RSUs granted hereunder may not be sold, transferred, pledged, assigned, encumbered, or otherwise alienated or hypothecated.</w:t>
      </w:r>
    </w:p>
    <w:p>
      <w:pPr>
        <w:spacing w:after="0" w:line="82" w:lineRule="exact"/>
        <w:rPr>
          <w:rFonts w:ascii="Arial" w:cs="Arial" w:eastAsia="Arial" w:hAnsi="Arial"/>
          <w:sz w:val="13"/>
          <w:szCs w:val="13"/>
          <w:color w:val="auto"/>
        </w:rPr>
      </w:pPr>
    </w:p>
    <w:p>
      <w:pPr>
        <w:ind w:left="1" w:firstLine="326"/>
        <w:spacing w:after="0" w:line="327" w:lineRule="auto"/>
        <w:tabs>
          <w:tab w:leader="none" w:pos="514" w:val="left"/>
        </w:tabs>
        <w:numPr>
          <w:ilvl w:val="1"/>
          <w:numId w:val="83"/>
        </w:numPr>
        <w:rPr>
          <w:rFonts w:ascii="Arial" w:cs="Arial" w:eastAsia="Arial" w:hAnsi="Arial"/>
          <w:sz w:val="12"/>
          <w:szCs w:val="12"/>
          <w:color w:val="auto"/>
        </w:rPr>
      </w:pPr>
      <w:r>
        <w:rPr>
          <w:rFonts w:ascii="Arial" w:cs="Arial" w:eastAsia="Arial" w:hAnsi="Arial"/>
          <w:sz w:val="12"/>
          <w:szCs w:val="12"/>
          <w:u w:val="single" w:color="auto"/>
          <w:color w:val="auto"/>
        </w:rPr>
        <w:t>Forfeiture</w:t>
      </w:r>
      <w:r>
        <w:rPr>
          <w:rFonts w:ascii="Arial" w:cs="Arial" w:eastAsia="Arial" w:hAnsi="Arial"/>
          <w:sz w:val="12"/>
          <w:szCs w:val="12"/>
          <w:color w:val="auto"/>
        </w:rPr>
        <w:t>. Except as provided for in Section 2, if the Employee’s employment with the Company terminates for any reason</w:t>
      </w:r>
      <w:r>
        <w:rPr>
          <w:rFonts w:ascii="Arial" w:cs="Arial" w:eastAsia="Arial" w:hAnsi="Arial"/>
          <w:sz w:val="12"/>
          <w:szCs w:val="12"/>
          <w:b w:val="1"/>
          <w:bCs w:val="1"/>
          <w:color w:val="auto"/>
        </w:rPr>
        <w:t>,</w:t>
      </w:r>
      <w:r>
        <w:rPr>
          <w:rFonts w:ascii="Arial" w:cs="Arial" w:eastAsia="Arial" w:hAnsi="Arial"/>
          <w:sz w:val="12"/>
          <w:szCs w:val="12"/>
          <w:color w:val="auto"/>
        </w:rPr>
        <w:t xml:space="preserve"> the balance of the RSUs subject to the provisions of this Agreement which have not vested at the time of the Employee’s termination of employment shall be forfeited by the Employee, and the Employee shall have no future rights with respect to any such unvested RSUs.</w:t>
      </w:r>
    </w:p>
    <w:p>
      <w:pPr>
        <w:spacing w:after="0" w:line="17" w:lineRule="exact"/>
        <w:rPr>
          <w:rFonts w:ascii="Arial" w:cs="Arial" w:eastAsia="Arial" w:hAnsi="Arial"/>
          <w:sz w:val="12"/>
          <w:szCs w:val="12"/>
          <w:color w:val="auto"/>
        </w:rPr>
      </w:pPr>
    </w:p>
    <w:p>
      <w:pPr>
        <w:ind w:left="121" w:hanging="121"/>
        <w:spacing w:after="0"/>
        <w:tabs>
          <w:tab w:leader="none" w:pos="121"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Delivery of Shares.</w:t>
      </w:r>
    </w:p>
    <w:p>
      <w:pPr>
        <w:spacing w:after="0" w:line="90" w:lineRule="exact"/>
        <w:rPr>
          <w:sz w:val="20"/>
          <w:szCs w:val="20"/>
          <w:color w:val="auto"/>
        </w:rPr>
      </w:pPr>
    </w:p>
    <w:p>
      <w:pPr>
        <w:ind w:left="1" w:right="180"/>
        <w:spacing w:after="0" w:line="369" w:lineRule="auto"/>
        <w:rPr>
          <w:sz w:val="20"/>
          <w:szCs w:val="20"/>
          <w:color w:val="auto"/>
        </w:rPr>
      </w:pPr>
      <w:r>
        <w:rPr>
          <w:rFonts w:ascii="Arial" w:cs="Arial" w:eastAsia="Arial" w:hAnsi="Arial"/>
          <w:sz w:val="11"/>
          <w:szCs w:val="11"/>
          <w:color w:val="auto"/>
        </w:rPr>
        <w:t>The means of settlement of vested RSUs is that the Company shall deliver to the Employee a certificate or certificates, or at the election of the Company make an appropriate book entry, for the number of shares of Stock equal to the number of the Employee’s RSUs that vest at the vesting date specified in Section 2. An Employee shall have no further rights with regard to RSUs once the underlying Stock has been so delivered.</w:t>
      </w:r>
    </w:p>
    <w:p>
      <w:pPr>
        <w:ind w:left="1"/>
        <w:spacing w:after="0"/>
        <w:rPr>
          <w:sz w:val="20"/>
          <w:szCs w:val="20"/>
          <w:color w:val="auto"/>
        </w:rPr>
      </w:pPr>
      <w:r>
        <w:rPr>
          <w:rFonts w:ascii="Arial" w:cs="Arial" w:eastAsia="Arial" w:hAnsi="Arial"/>
          <w:sz w:val="13"/>
          <w:szCs w:val="13"/>
          <w:b w:val="1"/>
          <w:bCs w:val="1"/>
          <w:color w:val="auto"/>
        </w:rPr>
        <w:t>5. Employee Shareholder Rights.</w:t>
      </w:r>
    </w:p>
    <w:p>
      <w:pPr>
        <w:spacing w:after="0" w:line="90" w:lineRule="exact"/>
        <w:rPr>
          <w:sz w:val="20"/>
          <w:szCs w:val="20"/>
          <w:color w:val="auto"/>
        </w:rPr>
      </w:pPr>
    </w:p>
    <w:p>
      <w:pPr>
        <w:jc w:val="both"/>
        <w:ind w:left="1" w:right="40"/>
        <w:spacing w:after="0" w:line="264" w:lineRule="auto"/>
        <w:rPr>
          <w:sz w:val="20"/>
          <w:szCs w:val="20"/>
          <w:color w:val="auto"/>
        </w:rPr>
      </w:pPr>
      <w:r>
        <w:rPr>
          <w:rFonts w:ascii="Arial" w:cs="Arial" w:eastAsia="Arial" w:hAnsi="Arial"/>
          <w:sz w:val="13"/>
          <w:szCs w:val="13"/>
          <w:color w:val="auto"/>
        </w:rPr>
        <w:t>Neither the Employee nor any person claiming through the Employee, will have any of the rights or privileges of a stockholder of Haemonetics with respect to the RSUs unless and until Stock has been issued, recorded on the records of the Company or its transfer agent, and delivered to the Employee upon vesting of the RSUs. No dividend equivalents shall be paid on RSUs with respect to any cash dividends declared during a period of RSU vesting.</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 Adjustments or Changes in Capitalization.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Adjustments as a result of changes in corporate capitalization and the like or as a result of a corporate transaction shall be made in accordance with Article 4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294640</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b w:val="1"/>
          <w:bCs w:val="1"/>
          <w:color w:val="auto"/>
        </w:rPr>
        <w:t>7. Disability or Death of Employee.</w:t>
      </w:r>
    </w:p>
    <w:p>
      <w:pPr>
        <w:spacing w:after="0" w:line="90"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Any Stock delivered pursuant to Section 4 shall be delivered to the Employee if legally competent or to a legally designated guardian or representative if the Employee is legally incompetent. If the Employee is not then living, the Stock shall be delivered to the representative of the Employee’s estate.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Taxes.</w:t>
      </w:r>
    </w:p>
    <w:p>
      <w:pPr>
        <w:spacing w:after="0" w:line="90"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Employee acknowledges and agrees that any income or other taxes due from the Employee with respect to the RSUs issued pursuant to this Agreement, including on account of the vesting of the RSUs, shall be the Employee’s responsibility. By accepting this Grant, the Employee agrees and acknowledges that the Company promptly will withhold from the Employee’s compensation, including but not limited to Stock delivered pursuant to Section 4, the amount of taxes the Company is required to withhold upon any vesting of the RSUs pursuant to this Agreement, unless the Employee shall satisfy such withholding obligation to the Company as provided in Article 17 of the Plan.</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Data Privacy Consent.</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2"/>
          <w:szCs w:val="12"/>
          <w:color w:val="auto"/>
        </w:rPr>
        <w:t>As a condition of the Grant, you consent to the collection, use and transfer of your personal data as described in this paragraph. You understand that the Company and its subsidiaries hold certain personal information about you, including your name, home address and telephone number, date of birth, social insurance (or security) number or identification number, salary, nationality, job title, any shares of Stock or directorships held in the Company (or any of its subsidiaries), details of all options or any other entitlement to shares of Stock awarded, canceled, exercised, vested, unvested or outstanding in your favor, for the purpose of implementing, managing and administering the Plan (“Data”). You further understand that the Company and/or a subsidiary may transfer Data amongst themselves as necessary for the purpose of implementation, administration and management of your participation in the Plan, and that the Company and/or a subsidiary may each further transfer Data to any third parties assisting the Company in the implementation, administration and management of the Plan. You understand that these recipients may be located in the European Economic Area, or elsewhere, such as the United States or Canada, and that the recipient’s country may have different data privacy laws and protections than your country. You authorize them to receive, possess, use, retain and transfer the Data, in electronic or other form, for the purposes of implementing, administering and managing your participation in the Plan, including any requisite transfer of such Data to a broker or other third party with whom you may elect to deposit any shares of Common Stock acquired pursuant to the Plan as may be required for the administration of the Plan and/or the subsequent holding of shares of Common Stock on your behalf.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it or refuse or withdraw the consents herein, in any case without cost, by contacting in writing your local Human Resources representative. Refusal or withdrawal of consent may, however, affect your ability to exercise or realize benefits from the Grant or the Plan. For more information on the consequences of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274320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14" w:name="page115"/>
    <w:bookmarkEnd w:id="114"/>
    <w:p>
      <w:pPr>
        <w:ind w:left="1"/>
        <w:spacing w:after="0"/>
        <w:rPr>
          <w:sz w:val="20"/>
          <w:szCs w:val="20"/>
          <w:color w:val="auto"/>
        </w:rPr>
      </w:pPr>
      <w:r>
        <w:rPr>
          <w:rFonts w:ascii="Arial" w:cs="Arial" w:eastAsia="Arial" w:hAnsi="Arial"/>
          <w:sz w:val="13"/>
          <w:szCs w:val="13"/>
          <w:color w:val="auto"/>
        </w:rPr>
        <w:t>refusal to consent or withdrawal of consent, you understand that you may contact your local Human Resources representative.</w:t>
      </w:r>
    </w:p>
    <w:p>
      <w:pPr>
        <w:spacing w:after="0" w:line="82" w:lineRule="exact"/>
        <w:rPr>
          <w:sz w:val="20"/>
          <w:szCs w:val="20"/>
          <w:color w:val="auto"/>
        </w:rPr>
      </w:pPr>
    </w:p>
    <w:p>
      <w:pPr>
        <w:ind w:left="201" w:hanging="201"/>
        <w:spacing w:after="0"/>
        <w:tabs>
          <w:tab w:leader="none" w:pos="201" w:val="left"/>
        </w:tabs>
        <w:numPr>
          <w:ilvl w:val="0"/>
          <w:numId w:val="84"/>
        </w:numPr>
        <w:rPr>
          <w:rFonts w:ascii="Arial" w:cs="Arial" w:eastAsia="Arial" w:hAnsi="Arial"/>
          <w:sz w:val="13"/>
          <w:szCs w:val="13"/>
          <w:b w:val="1"/>
          <w:bCs w:val="1"/>
          <w:color w:val="auto"/>
        </w:rPr>
      </w:pPr>
      <w:r>
        <w:rPr>
          <w:rFonts w:ascii="Arial" w:cs="Arial" w:eastAsia="Arial" w:hAnsi="Arial"/>
          <w:sz w:val="13"/>
          <w:szCs w:val="13"/>
          <w:b w:val="1"/>
          <w:bCs w:val="1"/>
          <w:color w:val="auto"/>
        </w:rPr>
        <w:t>Miscellaneous.</w:t>
      </w:r>
    </w:p>
    <w:p>
      <w:pPr>
        <w:spacing w:after="0" w:line="90" w:lineRule="exact"/>
        <w:rPr>
          <w:rFonts w:ascii="Arial" w:cs="Arial" w:eastAsia="Arial" w:hAnsi="Arial"/>
          <w:sz w:val="13"/>
          <w:szCs w:val="13"/>
          <w:b w:val="1"/>
          <w:bCs w:val="1"/>
          <w:color w:val="auto"/>
        </w:rPr>
      </w:pPr>
    </w:p>
    <w:p>
      <w:pPr>
        <w:ind w:left="1" w:firstLine="326"/>
        <w:spacing w:after="0" w:line="320" w:lineRule="auto"/>
        <w:tabs>
          <w:tab w:leader="none" w:pos="507" w:val="left"/>
        </w:tabs>
        <w:numPr>
          <w:ilvl w:val="1"/>
          <w:numId w:val="84"/>
        </w:numPr>
        <w:rPr>
          <w:rFonts w:ascii="Arial" w:cs="Arial" w:eastAsia="Arial" w:hAnsi="Arial"/>
          <w:sz w:val="12"/>
          <w:szCs w:val="12"/>
          <w:color w:val="auto"/>
        </w:rPr>
      </w:pPr>
      <w:r>
        <w:rPr>
          <w:rFonts w:ascii="Arial" w:cs="Arial" w:eastAsia="Arial" w:hAnsi="Arial"/>
          <w:sz w:val="12"/>
          <w:szCs w:val="12"/>
          <w:u w:val="single" w:color="auto"/>
          <w:color w:val="auto"/>
        </w:rPr>
        <w:t>Enforcement</w:t>
      </w:r>
      <w:r>
        <w:rPr>
          <w:rFonts w:ascii="Arial" w:cs="Arial" w:eastAsia="Arial" w:hAnsi="Arial"/>
          <w:sz w:val="12"/>
          <w:szCs w:val="12"/>
          <w:color w:val="auto"/>
        </w:rPr>
        <w:t>. The Company shall not be required (i) to transfer on its books any shares of Stock of the Company which shall have been sold or transferred in violation of any of the provisions set forth in this Agreement, or (ii) to treat as owner of such shares or to accord the right to vote as such owner or to pay dividends to any transferee to whom such shares shall have been so transferred.</w:t>
      </w:r>
    </w:p>
    <w:p>
      <w:pPr>
        <w:spacing w:after="0" w:line="25" w:lineRule="exact"/>
        <w:rPr>
          <w:rFonts w:ascii="Arial" w:cs="Arial" w:eastAsia="Arial" w:hAnsi="Arial"/>
          <w:sz w:val="12"/>
          <w:szCs w:val="12"/>
          <w:color w:val="auto"/>
        </w:rPr>
      </w:pPr>
    </w:p>
    <w:p>
      <w:pPr>
        <w:ind w:left="521" w:hanging="194"/>
        <w:spacing w:after="0"/>
        <w:tabs>
          <w:tab w:leader="none" w:pos="521"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Further Acts</w:t>
      </w:r>
      <w:r>
        <w:rPr>
          <w:rFonts w:ascii="Arial" w:cs="Arial" w:eastAsia="Arial" w:hAnsi="Arial"/>
          <w:sz w:val="13"/>
          <w:szCs w:val="13"/>
          <w:color w:val="auto"/>
        </w:rPr>
        <w:t>. The parties agree to execute such further instruments and to take such action as may reasonably be necessary to carry out the intent of this Agreement.</w:t>
      </w:r>
    </w:p>
    <w:p>
      <w:pPr>
        <w:spacing w:after="0" w:line="86" w:lineRule="exact"/>
        <w:rPr>
          <w:rFonts w:ascii="Arial" w:cs="Arial" w:eastAsia="Arial" w:hAnsi="Arial"/>
          <w:sz w:val="13"/>
          <w:szCs w:val="13"/>
          <w:color w:val="auto"/>
        </w:rPr>
      </w:pPr>
    </w:p>
    <w:p>
      <w:pPr>
        <w:ind w:left="501" w:hanging="174"/>
        <w:spacing w:after="0"/>
        <w:tabs>
          <w:tab w:leader="none" w:pos="501" w:val="left"/>
        </w:tabs>
        <w:numPr>
          <w:ilvl w:val="1"/>
          <w:numId w:val="84"/>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Any notice required or permitted hereunder shall be given in writing and shall be deemed effectively given upon delivery to the Employee at her/his address then on file with the Company.</w:t>
      </w:r>
    </w:p>
    <w:p>
      <w:pPr>
        <w:spacing w:after="0" w:line="97" w:lineRule="exact"/>
        <w:rPr>
          <w:rFonts w:ascii="Arial" w:cs="Arial" w:eastAsia="Arial" w:hAnsi="Arial"/>
          <w:sz w:val="12"/>
          <w:szCs w:val="12"/>
          <w:color w:val="auto"/>
        </w:rPr>
      </w:pPr>
    </w:p>
    <w:p>
      <w:pPr>
        <w:ind w:left="1" w:right="20" w:firstLine="326"/>
        <w:spacing w:after="0" w:line="276" w:lineRule="auto"/>
        <w:tabs>
          <w:tab w:leader="none" w:pos="514"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No Guarantee of Employment</w:t>
      </w:r>
      <w:r>
        <w:rPr>
          <w:rFonts w:ascii="Arial" w:cs="Arial" w:eastAsia="Arial" w:hAnsi="Arial"/>
          <w:sz w:val="13"/>
          <w:szCs w:val="13"/>
          <w:color w:val="auto"/>
        </w:rPr>
        <w:t>. Nothing contained in the Plan or this Agreement shall be construed or deemed by any person under any circumstances to bind the Company to grant the Employee any right to remain an Employee of the Company during the vesting period or otherwise.</w:t>
      </w:r>
    </w:p>
    <w:p>
      <w:pPr>
        <w:spacing w:after="0" w:line="49" w:lineRule="exact"/>
        <w:rPr>
          <w:rFonts w:ascii="Arial" w:cs="Arial" w:eastAsia="Arial" w:hAnsi="Arial"/>
          <w:sz w:val="13"/>
          <w:szCs w:val="13"/>
          <w:color w:val="auto"/>
        </w:rPr>
      </w:pPr>
    </w:p>
    <w:p>
      <w:pPr>
        <w:ind w:left="1" w:right="40" w:firstLine="326"/>
        <w:spacing w:after="0" w:line="276" w:lineRule="auto"/>
        <w:tabs>
          <w:tab w:leader="none" w:pos="507" w:val="left"/>
        </w:tabs>
        <w:numPr>
          <w:ilvl w:val="1"/>
          <w:numId w:val="84"/>
        </w:numPr>
        <w:rPr>
          <w:rFonts w:ascii="Arial" w:cs="Arial" w:eastAsia="Arial" w:hAnsi="Arial"/>
          <w:sz w:val="13"/>
          <w:szCs w:val="13"/>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Plan constitute the entire agreement of the parties with respect to the subject matter hereof. The Agreement is subject to and shall be construed in accordance with the terms of the Plan, and words or phrases defined in the Plan shall have the same meaning for purposes of this Agreement unless the context clearly requires otherwise.</w:t>
      </w:r>
    </w:p>
    <w:p>
      <w:pPr>
        <w:spacing w:after="0" w:line="49" w:lineRule="exact"/>
        <w:rPr>
          <w:rFonts w:ascii="Arial" w:cs="Arial" w:eastAsia="Arial" w:hAnsi="Arial"/>
          <w:sz w:val="13"/>
          <w:szCs w:val="13"/>
          <w:color w:val="auto"/>
        </w:rPr>
      </w:pPr>
    </w:p>
    <w:p>
      <w:pPr>
        <w:ind w:left="481" w:hanging="154"/>
        <w:spacing w:after="0"/>
        <w:tabs>
          <w:tab w:leader="none" w:pos="481" w:val="left"/>
        </w:tabs>
        <w:numPr>
          <w:ilvl w:val="1"/>
          <w:numId w:val="84"/>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shall be governed by and construed in accordance with the laws of the Commonwealth of Massachusetts and applicable federal law, without regard to applicable conflicts of</w:t>
      </w:r>
    </w:p>
    <w:p>
      <w:pPr>
        <w:spacing w:after="0" w:line="38"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3"/>
          <w:szCs w:val="13"/>
          <w:color w:val="auto"/>
        </w:rPr>
        <w:t>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1"/>
          </w:cols>
          <w:pgMar w:left="219" w:top="720" w:right="339" w:bottom="1440" w:gutter="0" w:footer="0" w:header="0"/>
        </w:sectPr>
      </w:pPr>
    </w:p>
    <w:bookmarkStart w:id="115" w:name="page116"/>
    <w:bookmarkEnd w:id="115"/>
    <w:p>
      <w:pPr>
        <w:ind w:firstLine="328"/>
        <w:spacing w:after="0" w:line="276" w:lineRule="auto"/>
        <w:rPr>
          <w:sz w:val="20"/>
          <w:szCs w:val="20"/>
          <w:color w:val="auto"/>
        </w:rPr>
      </w:pPr>
      <w:r>
        <w:rPr>
          <w:rFonts w:ascii="Arial" w:cs="Arial" w:eastAsia="Arial" w:hAnsi="Arial"/>
          <w:sz w:val="13"/>
          <w:szCs w:val="13"/>
          <w:color w:val="auto"/>
        </w:rPr>
        <w:t>IN WITNESS WHEREOF, the Company has caused this Agreement to be executed and its corporate seal to be hereto affixed by its officer thereunto duly authorized, and the Employee has accepted this agreement, all as of the day and year first above written.</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HAEMONETICS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19075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907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Brian Concannon,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1907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907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210185</wp:posOffset>
            </wp:positionV>
            <wp:extent cx="219075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90750" cy="635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RETAIN A COPY OF THIS AGREEMENT FOR YOUR RECORDS</w:t>
      </w:r>
    </w:p>
    <w:p>
      <w:pPr>
        <w:sectPr>
          <w:pgSz w:w="11900" w:h="16838" w:orient="portrait"/>
          <w:cols w:equalWidth="0" w:num="1">
            <w:col w:w="10920"/>
          </w:cols>
          <w:pgMar w:left="220" w:top="720" w:right="759" w:bottom="1440" w:gutter="0" w:footer="0" w:header="0"/>
        </w:sectPr>
      </w:pPr>
    </w:p>
    <w:bookmarkStart w:id="116" w:name="page117"/>
    <w:bookmarkEnd w:id="116"/>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7840" w:type="dxa"/>
            <w:vAlign w:val="bottom"/>
            <w:gridSpan w:val="3"/>
          </w:tcPr>
          <w:p>
            <w:pPr>
              <w:ind w:left="520"/>
              <w:spacing w:after="0"/>
              <w:rPr>
                <w:sz w:val="20"/>
                <w:szCs w:val="20"/>
                <w:color w:val="auto"/>
              </w:rPr>
            </w:pPr>
            <w:r>
              <w:rPr>
                <w:rFonts w:ascii="Arial" w:cs="Arial" w:eastAsia="Arial" w:hAnsi="Arial"/>
                <w:sz w:val="13"/>
                <w:szCs w:val="13"/>
                <w:b w:val="1"/>
                <w:bCs w:val="1"/>
                <w:color w:val="auto"/>
              </w:rPr>
              <w:t>SUBSIDIARIES OF HAEMONETICS CORPORATION</w:t>
            </w:r>
          </w:p>
        </w:tc>
      </w:tr>
      <w:tr>
        <w:trPr>
          <w:trHeight w:val="26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362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366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Jurisdiction of Incorporation</w:t>
            </w:r>
          </w:p>
        </w:tc>
      </w:tr>
      <w:tr>
        <w:trPr>
          <w:trHeight w:val="138"/>
        </w:trPr>
        <w:tc>
          <w:tcPr>
            <w:tcW w:w="3620" w:type="dxa"/>
            <w:vAlign w:val="bottom"/>
          </w:tcPr>
          <w:p>
            <w:pPr>
              <w:spacing w:after="0" w:line="139" w:lineRule="exact"/>
              <w:rPr>
                <w:sz w:val="20"/>
                <w:szCs w:val="20"/>
                <w:color w:val="auto"/>
              </w:rPr>
            </w:pPr>
            <w:r>
              <w:rPr>
                <w:rFonts w:ascii="Arial" w:cs="Arial" w:eastAsia="Arial" w:hAnsi="Arial"/>
                <w:sz w:val="13"/>
                <w:szCs w:val="13"/>
                <w:color w:val="auto"/>
              </w:rPr>
              <w:t>Haemonetics S.A.</w:t>
            </w:r>
          </w:p>
        </w:tc>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tcPr>
          <w:p>
            <w:pPr>
              <w:spacing w:after="0" w:line="139" w:lineRule="exact"/>
              <w:rPr>
                <w:sz w:val="20"/>
                <w:szCs w:val="20"/>
                <w:color w:val="auto"/>
              </w:rPr>
            </w:pPr>
            <w:r>
              <w:rPr>
                <w:rFonts w:ascii="Arial" w:cs="Arial" w:eastAsia="Arial" w:hAnsi="Arial"/>
                <w:sz w:val="13"/>
                <w:szCs w:val="13"/>
                <w:color w:val="auto"/>
              </w:rPr>
              <w:t>Switzerland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IP HC Sarl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Switzerland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Scandinavia, AB</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Sweden</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GmbH</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Germany</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France S.A.R.L.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France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England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(U.K.)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Scotland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Japan K.K.</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Japan</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Belgium N.V.</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Belgium</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B.V.</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Netherlands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Italia S.R.L.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Italy</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GesmbH</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Austria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Asia Inc., with branch in Taiwan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Hong Kong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Hong Kong</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CZ, s.p.o.l., S.r.o.</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Czech Republic</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Medical Devices (Shanghai) Trading Co.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People’s Republic of China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Transfusion Technologies Corporation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5D Information Management,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Canada,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British Columbia, Canada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Massachusetts Security Corp.</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Massachusetts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Korea,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Korea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Arryx,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Nevada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Haemoscope Corporation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Massachusetts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Medicell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England</w:t>
            </w:r>
          </w:p>
        </w:tc>
      </w:tr>
      <w:tr>
        <w:trPr>
          <w:trHeight w:val="165"/>
        </w:trPr>
        <w:tc>
          <w:tcPr>
            <w:tcW w:w="3620" w:type="dxa"/>
            <w:vAlign w:val="bottom"/>
          </w:tcPr>
          <w:p>
            <w:pPr>
              <w:spacing w:after="0"/>
              <w:rPr>
                <w:sz w:val="20"/>
                <w:szCs w:val="20"/>
                <w:color w:val="auto"/>
              </w:rPr>
            </w:pPr>
            <w:r>
              <w:rPr>
                <w:rFonts w:ascii="Arial" w:cs="Arial" w:eastAsia="Arial" w:hAnsi="Arial"/>
                <w:sz w:val="13"/>
                <w:szCs w:val="13"/>
                <w:color w:val="auto"/>
              </w:rPr>
              <w:t>Haemonetics Hospitalar, Lmtd.</w:t>
            </w:r>
          </w:p>
        </w:tc>
        <w:tc>
          <w:tcPr>
            <w:tcW w:w="3620" w:type="dxa"/>
            <w:vAlign w:val="bottom"/>
          </w:tcPr>
          <w:p>
            <w:pPr>
              <w:spacing w:after="0"/>
              <w:rPr>
                <w:sz w:val="14"/>
                <w:szCs w:val="14"/>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Brazil</w:t>
            </w:r>
          </w:p>
        </w:tc>
      </w:tr>
    </w:tbl>
    <w:p>
      <w:pPr>
        <w:sectPr>
          <w:pgSz w:w="11900" w:h="16838" w:orient="portrait"/>
          <w:cols w:equalWidth="0" w:num="1">
            <w:col w:w="11460"/>
          </w:cols>
          <w:pgMar w:left="220" w:top="127"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We consent to the incorporation by reference in the Registration Statements (Form S-8 Nos. 333-61453, 333-61455, 333-60020, 333-62598, 333-136839 and 333-149205) of our reports dated June 1, 2010, with respect to the consolidated financial statements and schedule of Haemonetics Corporation and subsidiaries and the effectiveness of internal control over financial reporting of Haemonetics Corporation and subsidiaries, included in this Annual Report (Form 10-K) for the fiscal year ended April 3, 2010.</w:t>
      </w: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June 1, 2010</w:t>
      </w:r>
    </w:p>
    <w:p>
      <w:pPr>
        <w:sectPr>
          <w:pgSz w:w="11900" w:h="16838" w:orient="portrait"/>
          <w:cols w:equalWidth="0" w:num="1">
            <w:col w:w="11460"/>
          </w:cols>
          <w:pgMar w:left="220" w:top="127"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Brian Concannon, certify that:</w:t>
      </w:r>
    </w:p>
    <w:p>
      <w:pPr>
        <w:spacing w:after="0" w:line="86" w:lineRule="exact"/>
        <w:rPr>
          <w:sz w:val="20"/>
          <w:szCs w:val="20"/>
          <w:color w:val="auto"/>
        </w:rPr>
      </w:pPr>
    </w:p>
    <w:p>
      <w:pPr>
        <w:ind w:left="461" w:hanging="461"/>
        <w:spacing w:after="0"/>
        <w:tabs>
          <w:tab w:leader="none" w:pos="461" w:val="left"/>
        </w:tabs>
        <w:numPr>
          <w:ilvl w:val="0"/>
          <w:numId w:val="85"/>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Haemonetics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8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340" w:hanging="461"/>
        <w:spacing w:after="0" w:line="276" w:lineRule="auto"/>
        <w:tabs>
          <w:tab w:leader="none" w:pos="461"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20" w:hanging="449"/>
        <w:spacing w:after="0" w:line="320" w:lineRule="auto"/>
        <w:tabs>
          <w:tab w:leader="none" w:pos="901" w:val="left"/>
        </w:tabs>
        <w:numPr>
          <w:ilvl w:val="1"/>
          <w:numId w:val="8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8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8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8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8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June 1,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CONCANNON</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Brian Concannon,</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461"/>
          </w:cols>
          <w:pgMar w:left="219" w:top="127"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Christopher Lindop, certify that:</w:t>
      </w:r>
    </w:p>
    <w:p>
      <w:pPr>
        <w:spacing w:after="0" w:line="86" w:lineRule="exact"/>
        <w:rPr>
          <w:sz w:val="20"/>
          <w:szCs w:val="20"/>
          <w:color w:val="auto"/>
        </w:rPr>
      </w:pPr>
    </w:p>
    <w:p>
      <w:pPr>
        <w:ind w:left="461" w:hanging="461"/>
        <w:spacing w:after="0"/>
        <w:tabs>
          <w:tab w:leader="none" w:pos="461" w:val="left"/>
        </w:tabs>
        <w:numPr>
          <w:ilvl w:val="0"/>
          <w:numId w:val="86"/>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Haemonetics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8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340" w:hanging="461"/>
        <w:spacing w:after="0" w:line="276" w:lineRule="auto"/>
        <w:tabs>
          <w:tab w:leader="none" w:pos="461"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8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20" w:hanging="449"/>
        <w:spacing w:after="0" w:line="320" w:lineRule="auto"/>
        <w:tabs>
          <w:tab w:leader="none" w:pos="901" w:val="left"/>
        </w:tabs>
        <w:numPr>
          <w:ilvl w:val="1"/>
          <w:numId w:val="8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8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8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8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8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June 1,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LINDOP</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Christopher Lindop,</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Financial Officer and Vice President</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Business Development</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ectPr>
          <w:pgSz w:w="11900" w:h="16838" w:orient="portrait"/>
          <w:cols w:equalWidth="0" w:num="1">
            <w:col w:w="11461"/>
          </w:cols>
          <w:pgMar w:left="219" w:top="127"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connection with the Annual Report of Haemonetics Corporation (the “Company”) on Form 10-K for the fiscal year ending April 3, 2010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Date: June 1,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Brian Concannon,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23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60"/>
          </w:cols>
          <w:pgMar w:left="220" w:top="127" w:right="2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connection with the Annual Report of Haemonetics Corporation (the “Company”) on Form 10-K for the fiscal year ending April 3, 2010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Date: June 1, 2010</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Christopher Lindop,</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 and Vice President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Business Development</w:t>
      </w:r>
    </w:p>
    <w:p>
      <w:pPr>
        <w:spacing w:after="0" w:line="23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1"/>
    </w:lvl>
  </w:abstractNum>
  <w:abstractNum w:abstractNumId="1">
    <w:nsid w:val="725A06FB"/>
    <w:multiLevelType w:val="hybridMultilevel"/>
    <w:lvl w:ilvl="0">
      <w:lvlJc w:val="left"/>
      <w:lvlText w:val="(%1)"/>
      <w:numFmt w:val="upperLetter"/>
      <w:start w:val="2"/>
    </w:lvl>
  </w:abstractNum>
  <w:abstractNum w:abstractNumId="2">
    <w:nsid w:val="2CD89A32"/>
    <w:multiLevelType w:val="hybridMultilevel"/>
    <w:lvl w:ilvl="0">
      <w:lvlJc w:val="left"/>
      <w:lvlText w:val="(%1)"/>
      <w:numFmt w:val="upperLetter"/>
      <w:start w:val="3"/>
    </w:lvl>
    <w:lvl w:ilvl="1">
      <w:lvlJc w:val="left"/>
      <w:lvlText w:val="(%2)"/>
      <w:numFmt w:val="lowerRoman"/>
      <w:start w:val="1"/>
    </w:lvl>
  </w:abstractNum>
  <w:abstractNum w:abstractNumId="3">
    <w:nsid w:val="57E4CCAF"/>
    <w:multiLevelType w:val="hybridMultilevel"/>
    <w:lvl w:ilvl="0">
      <w:lvlJc w:val="left"/>
      <w:lvlText w:val="(%1)"/>
      <w:numFmt w:val="lowerRoman"/>
      <w:start w:val="2"/>
    </w:lvl>
    <w:lvl w:ilvl="1">
      <w:lvlJc w:val="left"/>
      <w:lvlText w:val="•"/>
      <w:numFmt w:val="bullet"/>
      <w:start w:val="1"/>
    </w:lvl>
  </w:abstractNum>
  <w:abstractNum w:abstractNumId="4">
    <w:nsid w:val="7A6D8D3C"/>
    <w:multiLevelType w:val="hybridMultilevel"/>
    <w:lvl w:ilvl="0">
      <w:lvlJc w:val="left"/>
      <w:lvlText w:val="(%1)"/>
      <w:numFmt w:val="lowerRoman"/>
      <w:start w:val="3"/>
    </w:lvl>
  </w:abstractNum>
  <w:abstractNum w:abstractNumId="5">
    <w:nsid w:val="4B588F54"/>
    <w:multiLevelType w:val="hybridMultilevel"/>
    <w:lvl w:ilvl="0">
      <w:lvlJc w:val="left"/>
      <w:lvlText w:val="(%1)"/>
      <w:numFmt w:val="lowerRoman"/>
      <w:start w:val="4"/>
    </w:lvl>
  </w:abstractNum>
  <w:abstractNum w:abstractNumId="6">
    <w:nsid w:val="542289EC"/>
    <w:multiLevelType w:val="hybridMultilevel"/>
    <w:lvl w:ilvl="0">
      <w:lvlJc w:val="left"/>
      <w:lvlText w:val="(%1)"/>
      <w:numFmt w:val="lowerRoman"/>
      <w:start w:val="6"/>
    </w:lvl>
  </w:abstractNum>
  <w:abstractNum w:abstractNumId="7">
    <w:nsid w:val="6DE91B18"/>
    <w:multiLevelType w:val="hybridMultilevel"/>
    <w:lvl w:ilvl="0">
      <w:lvlJc w:val="left"/>
      <w:lvlText w:val="(%1)"/>
      <w:numFmt w:val="lowerRoman"/>
      <w:start w:val="7"/>
    </w:lvl>
  </w:abstractNum>
  <w:abstractNum w:abstractNumId="8">
    <w:nsid w:val="38437FDB"/>
    <w:multiLevelType w:val="hybridMultilevel"/>
    <w:lvl w:ilvl="0">
      <w:lvlJc w:val="left"/>
      <w:lvlText w:val="(%1)"/>
      <w:numFmt w:val="lowerRoman"/>
      <w:start w:val="8"/>
    </w:lvl>
  </w:abstractNum>
  <w:abstractNum w:abstractNumId="9">
    <w:nsid w:val="7644A45C"/>
    <w:multiLevelType w:val="hybridMultilevel"/>
    <w:lvl w:ilvl="0">
      <w:lvlJc w:val="left"/>
      <w:lvlText w:val="(%1)"/>
      <w:numFmt w:val="lowerRoman"/>
      <w:start w:val="9"/>
    </w:lvl>
  </w:abstractNum>
  <w:abstractNum w:abstractNumId="10">
    <w:nsid w:val="32FFF902"/>
    <w:multiLevelType w:val="hybridMultilevel"/>
    <w:lvl w:ilvl="0">
      <w:lvlJc w:val="left"/>
      <w:lvlText w:val="(%1)"/>
      <w:numFmt w:val="lowerRoman"/>
      <w:start w:val="11"/>
    </w:lvl>
  </w:abstractNum>
  <w:abstractNum w:abstractNumId="11">
    <w:nsid w:val="684A481A"/>
    <w:multiLevelType w:val="hybridMultilevel"/>
    <w:lvl w:ilvl="0">
      <w:lvlJc w:val="left"/>
      <w:lvlText w:val="(%1)"/>
      <w:numFmt w:val="lowerRoman"/>
      <w:start w:val="12"/>
    </w:lvl>
  </w:abstractNum>
  <w:abstractNum w:abstractNumId="12">
    <w:nsid w:val="579478FE"/>
    <w:multiLevelType w:val="hybridMultilevel"/>
    <w:lvl w:ilvl="0">
      <w:lvlJc w:val="left"/>
      <w:lvlText w:val="(%1)"/>
      <w:numFmt w:val="lowerRoman"/>
      <w:start w:val="13"/>
    </w:lvl>
  </w:abstractNum>
  <w:abstractNum w:abstractNumId="13">
    <w:nsid w:val="749ABB43"/>
    <w:multiLevelType w:val="hybridMultilevel"/>
    <w:lvl w:ilvl="0">
      <w:lvlJc w:val="left"/>
      <w:lvlText w:val="(%1)"/>
      <w:numFmt w:val="lowerRoman"/>
      <w:start w:val="14"/>
    </w:lvl>
  </w:abstractNum>
  <w:abstractNum w:abstractNumId="14">
    <w:nsid w:val="3DC240FB"/>
    <w:multiLevelType w:val="hybridMultilevel"/>
    <w:lvl w:ilvl="0">
      <w:lvlJc w:val="left"/>
      <w:lvlText w:val="(%1)"/>
      <w:numFmt w:val="lowerRoman"/>
      <w:start w:val="15"/>
    </w:lvl>
  </w:abstractNum>
  <w:abstractNum w:abstractNumId="15">
    <w:nsid w:val="1BA026FA"/>
    <w:multiLevelType w:val="hybridMultilevel"/>
    <w:lvl w:ilvl="0">
      <w:lvlJc w:val="left"/>
      <w:lvlText w:val="(%1)"/>
      <w:numFmt w:val="upperLetter"/>
      <w:start w:val="4"/>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1)"/>
      <w:numFmt w:val="lowerLetter"/>
      <w:start w:val="1"/>
    </w:lvl>
  </w:abstractNum>
  <w:abstractNum w:abstractNumId="18">
    <w:nsid w:val="12E685FB"/>
    <w:multiLevelType w:val="hybridMultilevel"/>
    <w:lvl w:ilvl="0">
      <w:lvlJc w:val="left"/>
      <w:lvlText w:val="(%1)"/>
      <w:numFmt w:val="upperLetter"/>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upperLetter"/>
      <w:start w:val="2"/>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1)"/>
      <w:numFmt w:val="lowerRoman"/>
      <w:start w:val="3"/>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decimal"/>
      <w:start w:val="2"/>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1."/>
      <w:numFmt w:val="decimal"/>
      <w:start w:val="3"/>
    </w:lvl>
  </w:abstractNum>
  <w:abstractNum w:abstractNumId="43">
    <w:nsid w:val="2F305DEF"/>
    <w:multiLevelType w:val="hybridMultilevel"/>
    <w:lvl w:ilvl="0">
      <w:lvlJc w:val="left"/>
      <w:lvlText w:val="%1."/>
      <w:numFmt w:val="decimal"/>
      <w:start w:val="4"/>
    </w:lvl>
  </w:abstractNum>
  <w:abstractNum w:abstractNumId="44">
    <w:nsid w:val="25A70BF7"/>
    <w:multiLevelType w:val="hybridMultilevel"/>
    <w:lvl w:ilvl="0">
      <w:lvlJc w:val="left"/>
      <w:lvlText w:val="%1."/>
      <w:numFmt w:val="decimal"/>
      <w:start w:val="5"/>
    </w:lvl>
  </w:abstractNum>
  <w:abstractNum w:abstractNumId="45">
    <w:nsid w:val="1DBABF00"/>
    <w:multiLevelType w:val="hybridMultilevel"/>
    <w:lvl w:ilvl="0">
      <w:lvlJc w:val="left"/>
      <w:lvlText w:val="(%1)"/>
      <w:numFmt w:val="lowerLetter"/>
      <w:start w:val="1"/>
    </w:lvl>
  </w:abstractNum>
  <w:abstractNum w:abstractNumId="46">
    <w:nsid w:val="4AD084E9"/>
    <w:multiLevelType w:val="hybridMultilevel"/>
    <w:lvl w:ilvl="0">
      <w:lvlJc w:val="left"/>
      <w:lvlText w:val="(%1)"/>
      <w:numFmt w:val="lowerLetter"/>
      <w:start w:val="3"/>
    </w:lvl>
  </w:abstractNum>
  <w:abstractNum w:abstractNumId="47">
    <w:nsid w:val="1F48EAA1"/>
    <w:multiLevelType w:val="hybridMultilevel"/>
    <w:lvl w:ilvl="0">
      <w:lvlJc w:val="left"/>
      <w:lvlText w:val="%1."/>
      <w:numFmt w:val="decimal"/>
      <w:start w:val="7"/>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decimal"/>
      <w:start w:val="10"/>
    </w:lvl>
  </w:abstractNum>
  <w:abstractNum w:abstractNumId="51">
    <w:nsid w:val="6590700B"/>
    <w:multiLevelType w:val="hybridMultilevel"/>
    <w:lvl w:ilvl="0">
      <w:lvlJc w:val="left"/>
      <w:lvlText w:val="%1."/>
      <w:numFmt w:val="decimal"/>
      <w:start w:val="1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2"/>
    </w:lvl>
  </w:abstractNum>
  <w:abstractNum w:abstractNumId="54">
    <w:nsid w:val="98A3148"/>
    <w:multiLevelType w:val="hybridMultilevel"/>
    <w:lvl w:ilvl="0">
      <w:lvlJc w:val="left"/>
      <w:lvlText w:val="%1."/>
      <w:numFmt w:val="decimal"/>
      <w:start w:val="13"/>
    </w:lvl>
  </w:abstractNum>
  <w:abstractNum w:abstractNumId="55">
    <w:nsid w:val="799D0247"/>
    <w:multiLevelType w:val="hybridMultilevel"/>
    <w:lvl w:ilvl="0">
      <w:lvlJc w:val="left"/>
      <w:lvlText w:val="%1."/>
      <w:numFmt w:val="decimal"/>
      <w:start w:val="14"/>
    </w:lvl>
  </w:abstractNum>
  <w:abstractNum w:abstractNumId="56">
    <w:nsid w:val="6B94764"/>
    <w:multiLevelType w:val="hybridMultilevel"/>
    <w:lvl w:ilvl="0">
      <w:lvlJc w:val="left"/>
      <w:lvlText w:val="%1."/>
      <w:numFmt w:val="decimal"/>
      <w:start w:val="16"/>
    </w:lvl>
  </w:abstractNum>
  <w:abstractNum w:abstractNumId="57">
    <w:nsid w:val="42C296BD"/>
    <w:multiLevelType w:val="hybridMultilevel"/>
    <w:lvl w:ilvl="0">
      <w:lvlJc w:val="left"/>
      <w:lvlText w:val="%1."/>
      <w:numFmt w:val="decimal"/>
      <w:start w:val="17"/>
    </w:lvl>
  </w:abstractNum>
  <w:abstractNum w:abstractNumId="58">
    <w:nsid w:val="168E121F"/>
    <w:multiLevelType w:val="hybridMultilevel"/>
    <w:lvl w:ilvl="0">
      <w:lvlJc w:val="left"/>
      <w:lvlText w:val="%1."/>
      <w:numFmt w:val="decimal"/>
      <w:start w:val="18"/>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decimal"/>
      <w:start w:val="18"/>
    </w:lvl>
    <w:lvl w:ilvl="1">
      <w:lvlJc w:val="left"/>
      <w:lvlText w:val="•"/>
      <w:numFmt w:val="bullet"/>
      <w:start w:val="1"/>
    </w:lvl>
  </w:abstractNum>
  <w:abstractNum w:abstractNumId="61">
    <w:nsid w:val="5DC79EA8"/>
    <w:multiLevelType w:val="hybridMultilevel"/>
    <w:lvl w:ilvl="0">
      <w:lvlJc w:val="left"/>
      <w:lvlText w:val="%1)"/>
      <w:numFmt w:val="upperLetter"/>
      <w:start w:val="1"/>
    </w:lvl>
  </w:abstractNum>
  <w:abstractNum w:abstractNumId="62">
    <w:nsid w:val="540A471C"/>
    <w:multiLevelType w:val="hybridMultilevel"/>
    <w:lvl w:ilvl="0">
      <w:lvlJc w:val="left"/>
      <w:lvlText w:val="%1)"/>
      <w:numFmt w:val="upperLetter"/>
      <w:start w:val="2"/>
    </w:lvl>
  </w:abstractNum>
  <w:abstractNum w:abstractNumId="63">
    <w:nsid w:val="7BD3EE7B"/>
    <w:multiLevelType w:val="hybridMultilevel"/>
    <w:lvl w:ilvl="0">
      <w:lvlJc w:val="left"/>
      <w:lvlText w:val="%1)"/>
      <w:numFmt w:val="upperLetter"/>
      <w:start w:val="3"/>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1)"/>
      <w:numFmt w:val="upperLetter"/>
      <w:start w:val="2"/>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72">
    <w:nsid w:val="3B0FD379"/>
    <w:multiLevelType w:val="hybridMultilevel"/>
    <w:lvl w:ilvl="0">
      <w:lvlJc w:val="left"/>
      <w:lvlText w:val="%1"/>
      <w:numFmt w:val="decimal"/>
      <w:start w:val="1"/>
    </w:lvl>
    <w:lvl w:ilvl="1">
      <w:lvlJc w:val="left"/>
      <w:lvlText w:val="(%2)"/>
      <w:numFmt w:val="upperLetter"/>
      <w:start w:val="1"/>
    </w:lvl>
  </w:abstractNum>
  <w:abstractNum w:abstractNumId="73">
    <w:nsid w:val="68EB2F63"/>
    <w:multiLevelType w:val="hybridMultilevel"/>
    <w:lvl w:ilvl="0">
      <w:lvlJc w:val="left"/>
      <w:lvlText w:val="(%1)"/>
      <w:numFmt w:val="decimal"/>
      <w:start w:val="2"/>
    </w:lvl>
    <w:lvl w:ilvl="1">
      <w:lvlJc w:val="left"/>
      <w:lvlText w:val="(%2)"/>
      <w:numFmt w:val="upperLetter"/>
      <w:start w:val="1"/>
    </w:lvl>
  </w:abstractNum>
  <w:abstractNum w:abstractNumId="74">
    <w:nsid w:val="4962813B"/>
    <w:multiLevelType w:val="hybridMultilevel"/>
    <w:lvl w:ilvl="0">
      <w:lvlJc w:val="left"/>
      <w:lvlText w:val="(%1)"/>
      <w:numFmt w:val="decimal"/>
      <w:start w:val="3"/>
    </w:lvl>
    <w:lvl w:ilvl="1">
      <w:lvlJc w:val="left"/>
      <w:lvlText w:val="(%2)"/>
      <w:numFmt w:val="upperLetter"/>
      <w:start w:val="1"/>
    </w:lvl>
  </w:abstractNum>
  <w:abstractNum w:abstractNumId="75">
    <w:nsid w:val="60B6DF70"/>
    <w:multiLevelType w:val="hybridMultilevel"/>
    <w:lvl w:ilvl="0">
      <w:lvlJc w:val="left"/>
      <w:lvlText w:val="%1."/>
      <w:numFmt w:val="decimal"/>
      <w:start w:val="5"/>
    </w:lvl>
    <w:lvl w:ilvl="1">
      <w:lvlJc w:val="left"/>
      <w:lvlText w:val="(%2)"/>
      <w:numFmt w:val="lowerLetter"/>
      <w:start w:val="1"/>
    </w:lvl>
  </w:abstractNum>
  <w:abstractNum w:abstractNumId="76">
    <w:nsid w:val="6A5EE64"/>
    <w:multiLevelType w:val="hybridMultilevel"/>
    <w:lvl w:ilvl="0">
      <w:lvlJc w:val="left"/>
      <w:lvlText w:val="%1."/>
      <w:numFmt w:val="decimal"/>
      <w:start w:val="8"/>
    </w:lvl>
  </w:abstractNum>
  <w:abstractNum w:abstractNumId="77">
    <w:nsid w:val="14330624"/>
    <w:multiLevelType w:val="hybridMultilevel"/>
    <w:lvl w:ilvl="0">
      <w:lvlJc w:val="left"/>
      <w:lvlText w:val="%1."/>
      <w:numFmt w:val="decimal"/>
      <w:start w:val="2"/>
    </w:lvl>
    <w:lvl w:ilvl="1">
      <w:lvlJc w:val="left"/>
      <w:lvlText w:val="(%2)"/>
      <w:numFmt w:val="lowerLetter"/>
      <w:start w:val="1"/>
    </w:lvl>
  </w:abstractNum>
  <w:abstractNum w:abstractNumId="78">
    <w:nsid w:val="7FFFCA11"/>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79">
    <w:nsid w:val="1A27709E"/>
    <w:multiLevelType w:val="hybridMultilevel"/>
    <w:lvl w:ilvl="0">
      <w:lvlJc w:val="left"/>
      <w:lvlText w:val="%1"/>
      <w:numFmt w:val="decimal"/>
      <w:start w:val="1"/>
    </w:lvl>
    <w:lvl w:ilvl="1">
      <w:lvlJc w:val="left"/>
      <w:lvlText w:val="(%2)"/>
      <w:numFmt w:val="upperLetter"/>
      <w:start w:val="3"/>
    </w:lvl>
  </w:abstractNum>
  <w:abstractNum w:abstractNumId="80">
    <w:nsid w:val="71EA1109"/>
    <w:multiLevelType w:val="hybridMultilevel"/>
    <w:lvl w:ilvl="0">
      <w:lvlJc w:val="left"/>
      <w:lvlText w:val="(%1)"/>
      <w:numFmt w:val="decimal"/>
      <w:start w:val="3"/>
    </w:lvl>
    <w:lvl w:ilvl="1">
      <w:lvlJc w:val="left"/>
      <w:lvlText w:val="(%2)"/>
      <w:numFmt w:val="upperLetter"/>
      <w:start w:val="1"/>
    </w:lvl>
  </w:abstractNum>
  <w:abstractNum w:abstractNumId="81">
    <w:nsid w:val="100F59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82">
    <w:nsid w:val="7FB7E0A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83">
    <w:nsid w:val="6EB5BD4"/>
    <w:multiLevelType w:val="hybridMultilevel"/>
    <w:lvl w:ilvl="0">
      <w:lvlJc w:val="left"/>
      <w:lvlText w:val="%1."/>
      <w:numFmt w:val="decimal"/>
      <w:start w:val="10"/>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2019-12-10T04:17:10Z</dcterms:created>
  <dcterms:modified xsi:type="dcterms:W3CDTF">2019-12-10T04:17:10Z</dcterms:modified>
</cp:coreProperties>
</file>