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spacing w:after="0"/>
        <w:rPr>
          <w:sz w:val="20"/>
          <w:szCs w:val="20"/>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50" w:lineRule="exact"/>
        <w:rPr>
          <w:sz w:val="20"/>
          <w:szCs w:val="20"/>
          <w:color w:val="auto"/>
        </w:rPr>
      </w:pPr>
    </w:p>
    <w:p>
      <w:pPr>
        <w:ind w:left="1080"/>
        <w:spacing w:after="0"/>
        <w:tabs>
          <w:tab w:leader="none" w:pos="7340" w:val="left"/>
        </w:tabs>
        <w:rPr>
          <w:sz w:val="20"/>
          <w:szCs w:val="20"/>
          <w:color w:val="auto"/>
        </w:rPr>
      </w:pPr>
      <w:r>
        <w:rPr>
          <w:rFonts w:ascii="Arial" w:cs="Arial" w:eastAsia="Arial" w:hAnsi="Arial"/>
          <w:sz w:val="18"/>
          <w:szCs w:val="18"/>
          <w:b w:val="1"/>
          <w:bCs w:val="1"/>
          <w:color w:val="auto"/>
        </w:rPr>
        <w:t>For the quarter ended: December 26, 2009</w:t>
      </w:r>
      <w:r>
        <w:rPr>
          <w:sz w:val="20"/>
          <w:szCs w:val="20"/>
          <w:color w:val="auto"/>
        </w:rPr>
        <w:tab/>
      </w:r>
      <w:r>
        <w:rPr>
          <w:rFonts w:ascii="Arial" w:cs="Arial" w:eastAsia="Arial" w:hAnsi="Arial"/>
          <w:sz w:val="16"/>
          <w:szCs w:val="16"/>
          <w:b w:val="1"/>
          <w:bCs w:val="1"/>
          <w:color w:val="auto"/>
        </w:rPr>
        <w:t>Commission File Number: 1-14041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HAEMONETICS CORPORATION</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122" w:right="239" w:bottom="1440" w:gutter="0" w:footer="0" w:header="0"/>
        </w:sectPr>
      </w:pPr>
    </w:p>
    <w:p>
      <w:pPr>
        <w:spacing w:after="0" w:line="205"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Massachusetts</w:t>
      </w:r>
    </w:p>
    <w:p>
      <w:pPr>
        <w:spacing w:after="0" w:line="27" w:lineRule="exact"/>
        <w:rPr>
          <w:sz w:val="20"/>
          <w:szCs w:val="20"/>
          <w:color w:val="auto"/>
        </w:rPr>
      </w:pPr>
    </w:p>
    <w:p>
      <w:pPr>
        <w:ind w:left="174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jc w:val="center"/>
        <w:ind w:right="1400"/>
        <w:spacing w:after="0"/>
        <w:rPr>
          <w:sz w:val="20"/>
          <w:szCs w:val="20"/>
          <w:color w:val="auto"/>
        </w:rPr>
      </w:pPr>
      <w:r>
        <w:rPr>
          <w:rFonts w:ascii="Arial" w:cs="Arial" w:eastAsia="Arial" w:hAnsi="Arial"/>
          <w:sz w:val="18"/>
          <w:szCs w:val="18"/>
          <w:b w:val="1"/>
          <w:bCs w:val="1"/>
          <w:color w:val="auto"/>
        </w:rPr>
        <w:t>04-2882273</w:t>
      </w:r>
    </w:p>
    <w:p>
      <w:pPr>
        <w:spacing w:after="0" w:line="27" w:lineRule="exact"/>
        <w:rPr>
          <w:sz w:val="20"/>
          <w:szCs w:val="20"/>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0"/>
          <w:szCs w:val="20"/>
          <w:color w:val="auto"/>
        </w:rPr>
      </w:pPr>
    </w:p>
    <w:p>
      <w:pPr>
        <w:sectPr>
          <w:pgSz w:w="11900" w:h="16838" w:orient="portrait"/>
          <w:cols w:equalWidth="0" w:num="2">
            <w:col w:w="6680" w:space="720"/>
            <w:col w:w="4020"/>
          </w:cols>
          <w:pgMar w:left="240" w:top="122" w:right="239" w:bottom="1440" w:gutter="0" w:footer="0" w:header="0"/>
          <w:type w:val="continuous"/>
        </w:sectPr>
      </w:pPr>
    </w:p>
    <w:p>
      <w:pPr>
        <w:ind w:left="1540"/>
        <w:spacing w:after="0"/>
        <w:rPr>
          <w:sz w:val="20"/>
          <w:szCs w:val="20"/>
          <w:color w:val="auto"/>
        </w:rPr>
      </w:pPr>
      <w:r>
        <w:rPr>
          <w:rFonts w:ascii="Arial" w:cs="Arial" w:eastAsia="Arial" w:hAnsi="Arial"/>
          <w:sz w:val="18"/>
          <w:szCs w:val="18"/>
          <w:color w:val="auto"/>
        </w:rPr>
        <w:t>of incorporation or organization)</w:t>
      </w:r>
    </w:p>
    <w:p>
      <w:pPr>
        <w:spacing w:after="0" w:line="20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400 Wood Road, Braintree, MA 02184</w:t>
      </w:r>
    </w:p>
    <w:p>
      <w:pPr>
        <w:spacing w:after="0" w:line="2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848-7100</w:t>
      </w:r>
    </w:p>
    <w:p>
      <w:pPr>
        <w:spacing w:after="0" w:line="121" w:lineRule="exact"/>
        <w:rPr>
          <w:sz w:val="20"/>
          <w:szCs w:val="20"/>
          <w:color w:val="auto"/>
        </w:rPr>
      </w:pPr>
    </w:p>
    <w:p>
      <w:pPr>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(2.) has been subject to the filing requirements for at least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73"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w:t>
      </w:r>
    </w:p>
    <w:p>
      <w:pPr>
        <w:sectPr>
          <w:pgSz w:w="11900" w:h="16838" w:orient="portrait"/>
          <w:cols w:equalWidth="0" w:num="1">
            <w:col w:w="11420"/>
          </w:cols>
          <w:pgMar w:left="240" w:top="122" w:right="239" w:bottom="1440" w:gutter="0" w:footer="0" w:header="0"/>
          <w:type w:val="continuous"/>
        </w:sectPr>
      </w:pPr>
    </w:p>
    <w:p>
      <w:pPr>
        <w:spacing w:after="0" w:line="91"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56" w:lineRule="exact"/>
        <w:rPr>
          <w:sz w:val="20"/>
          <w:szCs w:val="20"/>
          <w:color w:val="auto"/>
        </w:rPr>
      </w:pPr>
    </w:p>
    <w:p>
      <w:pPr>
        <w:sectPr>
          <w:pgSz w:w="11900" w:h="16838" w:orient="portrait"/>
          <w:cols w:equalWidth="0" w:num="4">
            <w:col w:w="2480" w:space="720"/>
            <w:col w:w="1420" w:space="720"/>
            <w:col w:w="3340" w:space="460"/>
            <w:col w:w="2280"/>
          </w:cols>
          <w:pgMar w:left="240" w:top="122" w:right="239" w:bottom="1440" w:gutter="0" w:footer="0" w:header="0"/>
          <w:type w:val="continuous"/>
        </w:sect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93" w:lineRule="exact"/>
        <w:rPr>
          <w:sz w:val="20"/>
          <w:szCs w:val="20"/>
          <w:color w:val="auto"/>
        </w:rPr>
      </w:pPr>
    </w:p>
    <w:p>
      <w:pPr>
        <w:jc w:val="center"/>
        <w:spacing w:after="0" w:line="207" w:lineRule="exact"/>
        <w:tabs>
          <w:tab w:leader="none" w:pos="300" w:val="left"/>
        </w:tabs>
        <w:rPr>
          <w:sz w:val="20"/>
          <w:szCs w:val="20"/>
          <w:color w:val="auto"/>
        </w:rPr>
      </w:pPr>
      <w:r>
        <w:rPr>
          <w:rFonts w:ascii="Arial" w:cs="Arial" w:eastAsia="Arial" w:hAnsi="Arial"/>
          <w:sz w:val="18"/>
          <w:szCs w:val="18"/>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number of shares of $.01 par value common stock outstanding as of December 26, 2009: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25,123,343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HAEMONETICS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gridSpan w:val="9"/>
            <w:vMerge w:val="restart"/>
          </w:tcPr>
          <w:p>
            <w:pPr>
              <w:spacing w:after="0"/>
              <w:rPr>
                <w:sz w:val="20"/>
                <w:szCs w:val="20"/>
                <w:color w:val="auto"/>
              </w:rPr>
            </w:pPr>
            <w:r>
              <w:rPr>
                <w:rFonts w:ascii="Arial" w:cs="Arial" w:eastAsia="Arial" w:hAnsi="Arial"/>
                <w:sz w:val="18"/>
                <w:szCs w:val="18"/>
                <w:b w:val="1"/>
                <w:bCs w:val="1"/>
                <w:color w:val="0000EE"/>
              </w:rPr>
              <w:t>PART I. FINANCIAL INFORMATION</w:t>
            </w:r>
          </w:p>
        </w:tc>
        <w:tc>
          <w:tcPr>
            <w:tcW w:w="6960" w:type="dxa"/>
            <w:vAlign w:val="bottom"/>
            <w:gridSpan w:val="11"/>
            <w:vMerge w:val="restart"/>
          </w:tcPr>
          <w:p>
            <w:pPr>
              <w:spacing w:after="0"/>
              <w:rPr>
                <w:sz w:val="14"/>
                <w:szCs w:val="14"/>
                <w:color w:val="auto"/>
              </w:rPr>
            </w:pPr>
          </w:p>
        </w:tc>
        <w:tc>
          <w:tcPr>
            <w:tcW w:w="1380" w:type="dxa"/>
            <w:vAlign w:val="bottom"/>
            <w:gridSpan w:val="3"/>
          </w:tcPr>
          <w:p>
            <w:pPr>
              <w:ind w:left="7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080" w:type="dxa"/>
            <w:vAlign w:val="bottom"/>
            <w:tcBorders>
              <w:bottom w:val="single" w:sz="8" w:color="0000EE"/>
            </w:tcBorders>
            <w:gridSpan w:val="9"/>
            <w:vMerge w:val="continue"/>
          </w:tcPr>
          <w:p>
            <w:pPr>
              <w:spacing w:after="0"/>
              <w:rPr>
                <w:sz w:val="14"/>
                <w:szCs w:val="14"/>
                <w:color w:val="auto"/>
              </w:rPr>
            </w:pPr>
          </w:p>
        </w:tc>
        <w:tc>
          <w:tcPr>
            <w:tcW w:w="6960" w:type="dxa"/>
            <w:vAlign w:val="bottom"/>
            <w:gridSpan w:val="11"/>
            <w:vMerge w:val="continue"/>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040" w:type="dxa"/>
            <w:vAlign w:val="bottom"/>
            <w:gridSpan w:val="20"/>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Arial" w:cs="Arial" w:eastAsia="Arial" w:hAnsi="Arial"/>
                <w:sz w:val="18"/>
                <w:szCs w:val="18"/>
                <w:color w:val="0000EE"/>
                <w:w w:val="97"/>
              </w:rPr>
            </w:pPr>
            <w:hyperlink w:anchor="page4">
              <w:r>
                <w:rPr>
                  <w:rFonts w:ascii="Arial" w:cs="Arial" w:eastAsia="Arial" w:hAnsi="Arial"/>
                  <w:sz w:val="18"/>
                  <w:szCs w:val="18"/>
                  <w:color w:val="0000EE"/>
                  <w:w w:val="97"/>
                </w:rPr>
                <w:t>Unaudited Consolidated Statements of Income — Three and Nine Months Ended December 26, 2009 and December 27, 2008</w:t>
              </w:r>
            </w:hyperlink>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6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Unaudited Consolidated Balance Sheets — December 26, 2009 and March 28, 2009</w:t>
              </w:r>
            </w:hyperlink>
          </w:p>
        </w:tc>
        <w:tc>
          <w:tcPr>
            <w:tcW w:w="300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2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Unaudited Consolidated Statement of Stockholders’ Equity — Nine Months Ended December 26, 2009</w:t>
              </w:r>
            </w:hyperlink>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22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0" w:type="dxa"/>
            <w:vAlign w:val="bottom"/>
            <w:tcBorders>
              <w:bottom w:val="single" w:sz="8" w:color="0000EE"/>
            </w:tcBorders>
            <w:gridSpan w:val="16"/>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 — Nine Months Ended December 26, 2009 and December 27, 2008</w:t>
              </w:r>
            </w:hyperlink>
          </w:p>
        </w:tc>
        <w:tc>
          <w:tcPr>
            <w:tcW w:w="1220" w:type="dxa"/>
            <w:vAlign w:val="bottom"/>
            <w:gridSpan w:val="2"/>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9"/>
              </w:rPr>
              <w:t>Notes to Unaudited Consolidated Financial Statements</w:t>
            </w:r>
          </w:p>
        </w:tc>
        <w:tc>
          <w:tcPr>
            <w:tcW w:w="5880" w:type="dxa"/>
            <w:vAlign w:val="bottom"/>
            <w:gridSpan w:val="10"/>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40" w:type="dxa"/>
            <w:vAlign w:val="bottom"/>
            <w:gridSpan w:val="20"/>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ITEM 2. Management’s Discussion and Analysis of Financial Condition and Results of Operations</w:t>
              </w:r>
            </w:hyperlink>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340" w:type="dxa"/>
            <w:vAlign w:val="bottom"/>
            <w:tcBorders>
              <w:top w:val="single" w:sz="8" w:color="0000EE"/>
              <w:bottom w:val="single" w:sz="8" w:color="0000EE"/>
            </w:tcBorders>
            <w:gridSpan w:val="14"/>
          </w:tcPr>
          <w:p>
            <w:pPr>
              <w:spacing w:after="0"/>
              <w:rPr>
                <w:rFonts w:ascii="Arial" w:cs="Arial" w:eastAsia="Arial" w:hAnsi="Arial"/>
                <w:sz w:val="18"/>
                <w:szCs w:val="18"/>
                <w:b w:val="1"/>
                <w:bCs w:val="1"/>
                <w:color w:val="0000EE"/>
                <w:w w:val="92"/>
              </w:rPr>
            </w:pPr>
            <w:hyperlink w:anchor="page38">
              <w:r>
                <w:rPr>
                  <w:rFonts w:ascii="Arial" w:cs="Arial" w:eastAsia="Arial" w:hAnsi="Arial"/>
                  <w:sz w:val="18"/>
                  <w:szCs w:val="18"/>
                  <w:b w:val="1"/>
                  <w:bCs w:val="1"/>
                  <w:color w:val="0000EE"/>
                  <w:w w:val="92"/>
                </w:rPr>
                <w:t>ITEM 3. Quantitative and Qualitative Disclosures about Market Risk</w:t>
              </w:r>
            </w:hyperlink>
          </w:p>
        </w:tc>
        <w:tc>
          <w:tcPr>
            <w:tcW w:w="2200" w:type="dxa"/>
            <w:vAlign w:val="bottom"/>
            <w:tcBorders>
              <w:top w:val="single" w:sz="8" w:color="0000EE"/>
            </w:tcBorders>
            <w:gridSpan w:val="2"/>
          </w:tcPr>
          <w:p>
            <w:pPr>
              <w:spacing w:after="0"/>
              <w:rPr>
                <w:sz w:val="24"/>
                <w:szCs w:val="24"/>
                <w:color w:val="auto"/>
              </w:rPr>
            </w:pPr>
          </w:p>
        </w:tc>
        <w:tc>
          <w:tcPr>
            <w:tcW w:w="2500" w:type="dxa"/>
            <w:vAlign w:val="bottom"/>
            <w:gridSpan w:val="4"/>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40" w:type="dxa"/>
            <w:vAlign w:val="bottom"/>
            <w:gridSpan w:val="20"/>
          </w:tcPr>
          <w:p>
            <w:pPr>
              <w:spacing w:after="0"/>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4. Controls and Procedures</w:t>
              </w:r>
            </w:hyperlink>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6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78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PART II. OTHER INFORMATION</w:t>
              </w:r>
            </w:hyperlink>
          </w:p>
        </w:tc>
        <w:tc>
          <w:tcPr>
            <w:tcW w:w="7260" w:type="dxa"/>
            <w:vAlign w:val="bottom"/>
            <w:gridSpan w:val="12"/>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60" w:type="dxa"/>
            <w:vAlign w:val="bottom"/>
            <w:tcBorders>
              <w:bottom w:val="single" w:sz="8" w:color="0000EE"/>
            </w:tcBorders>
            <w:gridSpan w:val="5"/>
          </w:tcPr>
          <w:p>
            <w:pPr>
              <w:spacing w:after="0"/>
              <w:rPr>
                <w:rFonts w:ascii="Arial" w:cs="Arial" w:eastAsia="Arial" w:hAnsi="Arial"/>
                <w:sz w:val="18"/>
                <w:szCs w:val="18"/>
                <w:b w:val="1"/>
                <w:bCs w:val="1"/>
                <w:color w:val="0000EE"/>
                <w:w w:val="97"/>
              </w:rPr>
            </w:pPr>
            <w:hyperlink w:anchor="page41">
              <w:r>
                <w:rPr>
                  <w:rFonts w:ascii="Arial" w:cs="Arial" w:eastAsia="Arial" w:hAnsi="Arial"/>
                  <w:sz w:val="18"/>
                  <w:szCs w:val="18"/>
                  <w:b w:val="1"/>
                  <w:bCs w:val="1"/>
                  <w:color w:val="0000EE"/>
                  <w:w w:val="97"/>
                </w:rPr>
                <w:t>ITEM 6. Exhibits</w:t>
              </w:r>
            </w:hyperlink>
          </w:p>
        </w:tc>
        <w:tc>
          <w:tcPr>
            <w:tcW w:w="8680" w:type="dxa"/>
            <w:vAlign w:val="bottom"/>
            <w:gridSpan w:val="15"/>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Borders>
              <w:bottom w:val="single" w:sz="8" w:color="0000EE"/>
            </w:tcBorders>
            <w:gridSpan w:val="2"/>
          </w:tcPr>
          <w:p>
            <w:pPr>
              <w:spacing w:after="0"/>
              <w:rPr>
                <w:rFonts w:ascii="Arial" w:cs="Arial" w:eastAsia="Arial" w:hAnsi="Arial"/>
                <w:sz w:val="18"/>
                <w:szCs w:val="18"/>
                <w:color w:val="0000EE"/>
                <w:w w:val="85"/>
              </w:rPr>
            </w:pPr>
            <w:hyperlink w:anchor="page42">
              <w:r>
                <w:rPr>
                  <w:rFonts w:ascii="Arial" w:cs="Arial" w:eastAsia="Arial" w:hAnsi="Arial"/>
                  <w:sz w:val="18"/>
                  <w:szCs w:val="18"/>
                  <w:color w:val="0000EE"/>
                  <w:w w:val="85"/>
                </w:rPr>
                <w:t>Signatures</w:t>
              </w:r>
            </w:hyperlink>
          </w:p>
        </w:tc>
        <w:tc>
          <w:tcPr>
            <w:tcW w:w="9060" w:type="dxa"/>
            <w:vAlign w:val="bottom"/>
            <w:gridSpan w:val="16"/>
          </w:tcPr>
          <w:p>
            <w:pPr>
              <w:spacing w:after="0"/>
              <w:rPr>
                <w:sz w:val="24"/>
                <w:szCs w:val="24"/>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EX-31.1</w:t>
            </w:r>
          </w:p>
        </w:tc>
        <w:tc>
          <w:tcPr>
            <w:tcW w:w="3700" w:type="dxa"/>
            <w:vAlign w:val="bottom"/>
            <w:tcBorders>
              <w:bottom w:val="single" w:sz="8" w:color="0000EE"/>
            </w:tcBorders>
            <w:gridSpan w:val="10"/>
          </w:tcPr>
          <w:p>
            <w:pPr>
              <w:ind w:left="20"/>
              <w:spacing w:after="0" w:line="196" w:lineRule="exact"/>
              <w:rPr>
                <w:sz w:val="20"/>
                <w:szCs w:val="20"/>
                <w:color w:val="auto"/>
              </w:rPr>
            </w:pPr>
            <w:r>
              <w:rPr>
                <w:rFonts w:ascii="Arial" w:cs="Arial" w:eastAsia="Arial" w:hAnsi="Arial"/>
                <w:sz w:val="18"/>
                <w:szCs w:val="18"/>
                <w:color w:val="0000EE"/>
                <w:w w:val="90"/>
              </w:rPr>
              <w:t>Section 302 Certification of Chief Executive Officer</w:t>
            </w:r>
          </w:p>
        </w:tc>
        <w:tc>
          <w:tcPr>
            <w:tcW w:w="566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EX-31.2</w:t>
            </w:r>
          </w:p>
        </w:tc>
        <w:tc>
          <w:tcPr>
            <w:tcW w:w="3660" w:type="dxa"/>
            <w:vAlign w:val="bottom"/>
            <w:tcBorders>
              <w:bottom w:val="single" w:sz="8" w:color="0000EE"/>
            </w:tcBorders>
            <w:gridSpan w:val="9"/>
          </w:tcPr>
          <w:p>
            <w:pPr>
              <w:ind w:left="20"/>
              <w:spacing w:after="0" w:line="196" w:lineRule="exact"/>
              <w:rPr>
                <w:sz w:val="20"/>
                <w:szCs w:val="20"/>
                <w:color w:val="auto"/>
              </w:rPr>
            </w:pPr>
            <w:r>
              <w:rPr>
                <w:rFonts w:ascii="Arial" w:cs="Arial" w:eastAsia="Arial" w:hAnsi="Arial"/>
                <w:sz w:val="18"/>
                <w:szCs w:val="18"/>
                <w:color w:val="0000EE"/>
                <w:w w:val="91"/>
              </w:rPr>
              <w:t>Section 302 Certification of Chief Financial Officer</w:t>
            </w:r>
          </w:p>
        </w:tc>
        <w:tc>
          <w:tcPr>
            <w:tcW w:w="5700" w:type="dxa"/>
            <w:vAlign w:val="bottom"/>
            <w:gridSpan w:val="8"/>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EX-32.1</w:t>
            </w:r>
          </w:p>
        </w:tc>
        <w:tc>
          <w:tcPr>
            <w:tcW w:w="3700" w:type="dxa"/>
            <w:vAlign w:val="bottom"/>
            <w:tcBorders>
              <w:bottom w:val="single" w:sz="8" w:color="0000EE"/>
            </w:tcBorders>
            <w:gridSpan w:val="10"/>
          </w:tcPr>
          <w:p>
            <w:pPr>
              <w:ind w:left="20"/>
              <w:spacing w:after="0" w:line="196" w:lineRule="exact"/>
              <w:rPr>
                <w:sz w:val="20"/>
                <w:szCs w:val="20"/>
                <w:color w:val="auto"/>
              </w:rPr>
            </w:pPr>
            <w:r>
              <w:rPr>
                <w:rFonts w:ascii="Arial" w:cs="Arial" w:eastAsia="Arial" w:hAnsi="Arial"/>
                <w:sz w:val="18"/>
                <w:szCs w:val="18"/>
                <w:color w:val="0000EE"/>
                <w:w w:val="90"/>
              </w:rPr>
              <w:t>Section 906 Certification of Chief Executive Officer</w:t>
            </w:r>
          </w:p>
        </w:tc>
        <w:tc>
          <w:tcPr>
            <w:tcW w:w="566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20" w:type="dxa"/>
            <w:vAlign w:val="bottom"/>
            <w:gridSpan w:val="2"/>
          </w:tcPr>
          <w:p>
            <w:pPr>
              <w:spacing w:after="0" w:line="196" w:lineRule="exact"/>
              <w:rPr>
                <w:sz w:val="20"/>
                <w:szCs w:val="20"/>
                <w:color w:val="auto"/>
              </w:rPr>
            </w:pPr>
            <w:r>
              <w:rPr>
                <w:rFonts w:ascii="Arial" w:cs="Arial" w:eastAsia="Arial" w:hAnsi="Arial"/>
                <w:sz w:val="18"/>
                <w:szCs w:val="18"/>
                <w:color w:val="0000EE"/>
                <w:w w:val="92"/>
              </w:rPr>
              <w:t>EX-32.2</w:t>
            </w:r>
          </w:p>
        </w:tc>
        <w:tc>
          <w:tcPr>
            <w:tcW w:w="9360" w:type="dxa"/>
            <w:vAlign w:val="bottom"/>
            <w:gridSpan w:val="17"/>
          </w:tcPr>
          <w:p>
            <w:pPr>
              <w:ind w:left="20"/>
              <w:spacing w:after="0" w:line="196" w:lineRule="exact"/>
              <w:rPr>
                <w:sz w:val="20"/>
                <w:szCs w:val="20"/>
                <w:color w:val="auto"/>
              </w:rPr>
            </w:pPr>
            <w:r>
              <w:rPr>
                <w:rFonts w:ascii="Arial" w:cs="Arial" w:eastAsia="Arial" w:hAnsi="Arial"/>
                <w:sz w:val="18"/>
                <w:szCs w:val="18"/>
                <w:color w:val="0000EE"/>
              </w:rPr>
              <w:t>Section 906 Certification of Chief Financial Officer</w:t>
            </w: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3640" w:type="dxa"/>
            <w:vAlign w:val="bottom"/>
            <w:tcBorders>
              <w:top w:val="single" w:sz="8" w:color="0000EE"/>
            </w:tcBorders>
            <w:gridSpan w:val="8"/>
          </w:tcPr>
          <w:p>
            <w:pPr>
              <w:spacing w:after="0"/>
              <w:rPr>
                <w:sz w:val="24"/>
                <w:szCs w:val="24"/>
                <w:color w:val="auto"/>
              </w:rPr>
            </w:pPr>
          </w:p>
        </w:tc>
        <w:tc>
          <w:tcPr>
            <w:tcW w:w="1960" w:type="dxa"/>
            <w:vAlign w:val="bottom"/>
            <w:gridSpan w:val="4"/>
          </w:tcPr>
          <w:p>
            <w:pPr>
              <w:jc w:val="right"/>
              <w:ind w:right="520"/>
              <w:spacing w:after="0"/>
              <w:rPr>
                <w:sz w:val="20"/>
                <w:szCs w:val="20"/>
                <w:color w:val="auto"/>
              </w:rPr>
            </w:pPr>
            <w:r>
              <w:rPr>
                <w:rFonts w:ascii="Arial" w:cs="Arial" w:eastAsia="Arial" w:hAnsi="Arial"/>
                <w:sz w:val="18"/>
                <w:szCs w:val="18"/>
                <w:color w:val="auto"/>
              </w:rPr>
              <w:t>1</w:t>
            </w: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(Unaudited 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6"/>
          </w:tcPr>
          <w:p>
            <w:pPr>
              <w:jc w:val="right"/>
              <w:ind w:right="116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2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40" w:type="dxa"/>
            <w:vAlign w:val="bottom"/>
          </w:tcPr>
          <w:p>
            <w:pPr>
              <w:spacing w:after="0"/>
              <w:rPr>
                <w:sz w:val="10"/>
                <w:szCs w:val="10"/>
                <w:color w:val="auto"/>
              </w:rPr>
            </w:pPr>
          </w:p>
        </w:tc>
        <w:tc>
          <w:tcPr>
            <w:tcW w:w="11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12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4"/>
              </w:rPr>
              <w:t>December 27,</w:t>
            </w:r>
          </w:p>
        </w:tc>
        <w:tc>
          <w:tcPr>
            <w:tcW w:w="640" w:type="dxa"/>
            <w:vAlign w:val="bottom"/>
          </w:tcPr>
          <w:p>
            <w:pPr>
              <w:spacing w:after="0"/>
              <w:rPr>
                <w:sz w:val="10"/>
                <w:szCs w:val="10"/>
                <w:color w:val="auto"/>
              </w:rPr>
            </w:pPr>
          </w:p>
        </w:tc>
        <w:tc>
          <w:tcPr>
            <w:tcW w:w="14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165,169</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155,447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476,326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445,482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Cost of goods sold</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79,722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77,151</w:t>
            </w: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226,969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219,460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85,447</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78,296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249,357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226,022</w:t>
            </w:r>
          </w:p>
        </w:tc>
        <w:tc>
          <w:tcPr>
            <w:tcW w:w="0" w:type="dxa"/>
            <w:vAlign w:val="bottom"/>
          </w:tcPr>
          <w:p>
            <w:pPr>
              <w:spacing w:after="0"/>
              <w:rPr>
                <w:sz w:val="1"/>
                <w:szCs w:val="1"/>
                <w:color w:val="auto"/>
              </w:rPr>
            </w:pPr>
          </w:p>
        </w:tc>
      </w:tr>
      <w:tr>
        <w:trPr>
          <w:trHeight w:val="439"/>
        </w:trPr>
        <w:tc>
          <w:tcPr>
            <w:tcW w:w="60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Research, development and engineering</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6,461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5,840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19,714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53,151</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47,965</w:t>
            </w: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150,459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141,687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59,612</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53,805</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170,173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158,588</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6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25,835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24,491</w:t>
            </w:r>
          </w:p>
        </w:tc>
        <w:tc>
          <w:tcPr>
            <w:tcW w:w="18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79,184</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469</w:t>
            </w: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(266)</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(1,451)</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23"/>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Income before provision for income taxes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23,489</w:t>
            </w:r>
          </w:p>
        </w:tc>
        <w:tc>
          <w:tcPr>
            <w:tcW w:w="6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77,382</w:t>
            </w: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66,637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7,091</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7,273</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22,973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21,272</w:t>
            </w:r>
          </w:p>
        </w:tc>
        <w:tc>
          <w:tcPr>
            <w:tcW w:w="0" w:type="dxa"/>
            <w:vAlign w:val="bottom"/>
          </w:tcPr>
          <w:p>
            <w:pPr>
              <w:spacing w:after="0"/>
              <w:rPr>
                <w:sz w:val="1"/>
                <w:szCs w:val="1"/>
                <w:color w:val="auto"/>
              </w:rPr>
            </w:pPr>
          </w:p>
        </w:tc>
      </w:tr>
      <w:tr>
        <w:trPr>
          <w:trHeight w:val="20"/>
        </w:trPr>
        <w:tc>
          <w:tcPr>
            <w:tcW w:w="606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18,286</w:t>
            </w:r>
          </w:p>
        </w:tc>
        <w:tc>
          <w:tcPr>
            <w:tcW w:w="340" w:type="dxa"/>
            <w:vAlign w:val="bottom"/>
          </w:tcPr>
          <w:p>
            <w:pPr>
              <w:spacing w:after="0"/>
              <w:rPr>
                <w:sz w:val="24"/>
                <w:szCs w:val="24"/>
                <w:color w:val="auto"/>
              </w:rPr>
            </w:pPr>
          </w:p>
        </w:tc>
        <w:tc>
          <w:tcPr>
            <w:tcW w:w="46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16,216</w:t>
            </w: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54,409</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45,365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income per common share</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0.72</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0.64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per common share assuming dilution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0.71</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0.62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Basic</w:t>
            </w:r>
          </w:p>
        </w:tc>
        <w:tc>
          <w:tcPr>
            <w:tcW w:w="16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25,289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25,375</w:t>
            </w:r>
          </w:p>
        </w:tc>
        <w:tc>
          <w:tcPr>
            <w:tcW w:w="180" w:type="dxa"/>
            <w:vAlign w:val="bottom"/>
          </w:tcPr>
          <w:p>
            <w:pPr>
              <w:spacing w:after="0"/>
              <w:rPr>
                <w:sz w:val="18"/>
                <w:szCs w:val="18"/>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rPr>
              <w:t>25,544</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25,907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26,056</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26,150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26,163</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b w:val="1"/>
                <w:bCs w:val="1"/>
                <w:color w:val="auto"/>
              </w:rPr>
              <w:t>December 26, 2009</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March 28,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168,993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Accounts receivable, less allowance of $2,569 at December 26, 2009 and $2,312 at March 28, 2009</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114,732</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113,598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 net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78,806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Deferred tax asset, net</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8,777</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22,799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394,107</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382,393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Land, building and building improvements</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48,249</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Plant equipment and machinery</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111,022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Office equipment and information technology</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72,067</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52,461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Haemonetics equipment</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209,711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194,290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color w:val="auto"/>
              </w:rPr>
              <w:t>Total property, plant and equipment</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441,049</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397,863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accumulated depreciation</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(287,043)</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(260,056)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b w:val="1"/>
                <w:bCs w:val="1"/>
                <w:color w:val="auto"/>
              </w:rPr>
              <w:t>Net property, plant and equipment</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154,006</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Intangible assets, less amortization of $31,088 at December 26, 2009 and $25,508 at March 28, 2009</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74,496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65,261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71,255</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Deferred tax asset, long term</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2,814</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assets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400"/>
              <w:spacing w:after="0"/>
              <w:rPr>
                <w:sz w:val="20"/>
                <w:szCs w:val="20"/>
                <w:color w:val="auto"/>
              </w:rPr>
            </w:pPr>
            <w:r>
              <w:rPr>
                <w:rFonts w:ascii="Arial" w:cs="Arial" w:eastAsia="Arial" w:hAnsi="Arial"/>
                <w:sz w:val="18"/>
                <w:szCs w:val="18"/>
                <w:b w:val="1"/>
                <w:bCs w:val="1"/>
                <w:color w:val="auto"/>
              </w:rPr>
              <w:t>Total other assets</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154,099</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129,493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702,212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649,693</w:t>
            </w:r>
          </w:p>
        </w:tc>
        <w:tc>
          <w:tcPr>
            <w:tcW w:w="0" w:type="dxa"/>
            <w:vAlign w:val="bottom"/>
          </w:tcPr>
          <w:p>
            <w:pPr>
              <w:spacing w:after="0"/>
              <w:rPr>
                <w:sz w:val="1"/>
                <w:szCs w:val="1"/>
                <w:color w:val="auto"/>
              </w:rPr>
            </w:pPr>
          </w:p>
        </w:tc>
      </w:tr>
      <w:tr>
        <w:trPr>
          <w:trHeight w:val="20"/>
        </w:trPr>
        <w:tc>
          <w:tcPr>
            <w:tcW w:w="8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Notes payable and current maturities of long-term debt</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15,132</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23,740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Accrued payroll and related costs</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28,036</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Accrued income taxes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5,536</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Deferred tax liability</w:t>
            </w:r>
          </w:p>
        </w:tc>
        <w:tc>
          <w:tcPr>
            <w:tcW w:w="140" w:type="dxa"/>
            <w:vAlign w:val="bottom"/>
          </w:tcPr>
          <w:p>
            <w:pPr>
              <w:spacing w:after="0"/>
              <w:rPr>
                <w:sz w:val="18"/>
                <w:szCs w:val="18"/>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120</w:t>
            </w: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34,581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37,895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60" w:type="dxa"/>
            <w:vAlign w:val="bottom"/>
          </w:tcPr>
          <w:p>
            <w:pPr>
              <w:ind w:left="4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107,145</w:t>
            </w:r>
          </w:p>
        </w:tc>
        <w:tc>
          <w:tcPr>
            <w:tcW w:w="6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maturities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4,778</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deferred tax liability</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3,658</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13,551</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8,474</w:t>
            </w:r>
          </w:p>
        </w:tc>
        <w:tc>
          <w:tcPr>
            <w:tcW w:w="0" w:type="dxa"/>
            <w:vAlign w:val="bottom"/>
          </w:tcPr>
          <w:p>
            <w:pPr>
              <w:spacing w:after="0"/>
              <w:rPr>
                <w:sz w:val="1"/>
                <w:szCs w:val="1"/>
                <w:color w:val="auto"/>
              </w:rPr>
            </w:pPr>
          </w:p>
        </w:tc>
      </w:tr>
      <w:tr>
        <w:trPr>
          <w:trHeight w:val="432"/>
        </w:trPr>
        <w:tc>
          <w:tcPr>
            <w:tcW w:w="85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12)</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60" w:type="dxa"/>
            <w:vAlign w:val="bottom"/>
          </w:tcPr>
          <w:p>
            <w:pPr>
              <w:spacing w:after="0" w:line="201" w:lineRule="exact"/>
              <w:rPr>
                <w:sz w:val="20"/>
                <w:szCs w:val="20"/>
                <w:color w:val="auto"/>
              </w:rPr>
            </w:pPr>
            <w:r>
              <w:rPr>
                <w:rFonts w:ascii="Arial" w:cs="Arial" w:eastAsia="Arial" w:hAnsi="Arial"/>
                <w:sz w:val="18"/>
                <w:szCs w:val="18"/>
                <w:color w:val="auto"/>
                <w:w w:val="95"/>
              </w:rPr>
              <w:t>Common stock, $0.01 par value; Authorized - 150,000,000 shares; Issued and outstanding— 25,123,343 shares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Arial" w:cs="Arial" w:eastAsia="Arial" w:hAnsi="Arial"/>
                <w:sz w:val="18"/>
                <w:szCs w:val="18"/>
                <w:color w:val="auto"/>
              </w:rPr>
              <w:t>at December 26, 2009 and 25,622,449 shares at March 28, 2009</w:t>
            </w:r>
          </w:p>
        </w:tc>
        <w:tc>
          <w:tcPr>
            <w:tcW w:w="140" w:type="dxa"/>
            <w:vAlign w:val="bottom"/>
          </w:tcPr>
          <w:p>
            <w:pPr>
              <w:spacing w:after="0"/>
              <w:rPr>
                <w:sz w:val="20"/>
                <w:szCs w:val="20"/>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8"/>
                <w:szCs w:val="18"/>
                <w:color w:val="auto"/>
              </w:rPr>
              <w:t>252</w:t>
            </w:r>
          </w:p>
        </w:tc>
        <w:tc>
          <w:tcPr>
            <w:tcW w:w="20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236,553</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226,829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330,680</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309,516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r>
        <w:trPr>
          <w:trHeight w:val="230"/>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573,080</w:t>
            </w:r>
          </w:p>
        </w:tc>
        <w:tc>
          <w:tcPr>
            <w:tcW w:w="6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539,884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CCEEFF"/>
          </w:tcPr>
          <w:p>
            <w:pPr>
              <w:ind w:left="400"/>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702,212</w:t>
            </w: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649,693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left="260" w:right="1280"/>
        <w:spacing w:after="0" w:line="275" w:lineRule="auto"/>
        <w:rPr>
          <w:sz w:val="20"/>
          <w:szCs w:val="20"/>
          <w:color w:val="auto"/>
        </w:rPr>
      </w:pPr>
      <w:r>
        <w:rPr>
          <w:rFonts w:ascii="Arial" w:cs="Arial" w:eastAsia="Arial" w:hAnsi="Arial"/>
          <w:sz w:val="18"/>
          <w:szCs w:val="18"/>
          <w:b w:val="1"/>
          <w:bCs w:val="1"/>
          <w:color w:val="auto"/>
        </w:rPr>
        <w:t>HAEMONETICS CORPORATION AND SUBSIDIARIES CONSOLIDATED STATEMENT OF STOCKHOLDERS’ EQUITY AND OTHER COMPREHENSIVE INCOME (Unaudited in thousands)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Additional</w:t>
            </w:r>
          </w:p>
        </w:tc>
        <w:tc>
          <w:tcPr>
            <w:tcW w:w="1220" w:type="dxa"/>
            <w:vAlign w:val="bottom"/>
          </w:tcPr>
          <w:p>
            <w:pPr>
              <w:spacing w:after="0"/>
              <w:rPr>
                <w:sz w:val="14"/>
                <w:szCs w:val="14"/>
                <w:color w:val="auto"/>
              </w:rPr>
            </w:pPr>
          </w:p>
        </w:tc>
        <w:tc>
          <w:tcPr>
            <w:tcW w:w="1600" w:type="dxa"/>
            <w:vAlign w:val="bottom"/>
            <w:gridSpan w:val="2"/>
          </w:tcPr>
          <w:p>
            <w:pPr>
              <w:jc w:val="right"/>
              <w:ind w:right="411"/>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31"/>
              <w:spacing w:after="0"/>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tcBorders>
              <w:bottom w:val="single" w:sz="8" w:color="auto"/>
            </w:tcBorders>
            <w:gridSpan w:val="2"/>
            <w:vMerge w:val="continue"/>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jc w:val="right"/>
              <w:ind w:right="314"/>
              <w:spacing w:after="0" w:line="158" w:lineRule="exact"/>
              <w:rPr>
                <w:sz w:val="20"/>
                <w:szCs w:val="20"/>
                <w:color w:val="auto"/>
              </w:rPr>
            </w:pPr>
            <w:r>
              <w:rPr>
                <w:rFonts w:ascii="Arial" w:cs="Arial" w:eastAsia="Arial" w:hAnsi="Arial"/>
                <w:sz w:val="14"/>
                <w:szCs w:val="14"/>
                <w:b w:val="1"/>
                <w:bCs w:val="1"/>
                <w:color w:val="auto"/>
              </w:rPr>
              <w:t>Paid-in</w:t>
            </w:r>
          </w:p>
        </w:tc>
        <w:tc>
          <w:tcPr>
            <w:tcW w:w="1220" w:type="dxa"/>
            <w:vAlign w:val="bottom"/>
          </w:tcPr>
          <w:p>
            <w:pPr>
              <w:jc w:val="right"/>
              <w:ind w:right="293"/>
              <w:spacing w:after="0" w:line="158" w:lineRule="exact"/>
              <w:rPr>
                <w:sz w:val="20"/>
                <w:szCs w:val="20"/>
                <w:color w:val="auto"/>
              </w:rPr>
            </w:pPr>
            <w:r>
              <w:rPr>
                <w:rFonts w:ascii="Arial" w:cs="Arial" w:eastAsia="Arial" w:hAnsi="Arial"/>
                <w:sz w:val="14"/>
                <w:szCs w:val="14"/>
                <w:b w:val="1"/>
                <w:bCs w:val="1"/>
                <w:color w:val="auto"/>
              </w:rPr>
              <w:t>Retained</w:t>
            </w:r>
          </w:p>
        </w:tc>
        <w:tc>
          <w:tcPr>
            <w:tcW w:w="1600" w:type="dxa"/>
            <w:vAlign w:val="bottom"/>
            <w:gridSpan w:val="2"/>
          </w:tcPr>
          <w:p>
            <w:pPr>
              <w:ind w:left="220"/>
              <w:spacing w:after="0" w:line="158" w:lineRule="exact"/>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w w:val="99"/>
              </w:rPr>
              <w:t>Stockholders’</w:t>
            </w:r>
          </w:p>
        </w:tc>
        <w:tc>
          <w:tcPr>
            <w:tcW w:w="40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8"/>
              </w:rPr>
              <w:t>Comprehensive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Shares</w:t>
            </w: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$’s</w:t>
            </w:r>
          </w:p>
        </w:tc>
        <w:tc>
          <w:tcPr>
            <w:tcW w:w="2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Capital</w:t>
            </w:r>
          </w:p>
        </w:tc>
        <w:tc>
          <w:tcPr>
            <w:tcW w:w="12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Earnings</w:t>
            </w:r>
          </w:p>
        </w:tc>
        <w:tc>
          <w:tcPr>
            <w:tcW w:w="16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Income / (Loss)</w:t>
            </w: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Equity</w:t>
            </w:r>
          </w:p>
        </w:tc>
        <w:tc>
          <w:tcPr>
            <w:tcW w:w="4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28, 2009</w:t>
            </w:r>
          </w:p>
        </w:tc>
        <w:tc>
          <w:tcPr>
            <w:tcW w:w="3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25,622</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256</w:t>
            </w:r>
          </w:p>
        </w:tc>
        <w:tc>
          <w:tcPr>
            <w:tcW w:w="12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$ 226,829</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$ 309,516</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3,283</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539,884</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w w:val="91"/>
              </w:rPr>
              <w:t>Employee stock purchase plan</w:t>
            </w:r>
          </w:p>
        </w:tc>
        <w:tc>
          <w:tcPr>
            <w:tcW w:w="1300" w:type="dxa"/>
            <w:vAlign w:val="bottom"/>
            <w:gridSpan w:val="2"/>
          </w:tcPr>
          <w:p>
            <w:pPr>
              <w:jc w:val="right"/>
              <w:ind w:right="194"/>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4"/>
                <w:szCs w:val="2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2,908</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4"/>
                <w:szCs w:val="24"/>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2,909</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5"/>
              </w:rPr>
              <w:t>Exercise of stock options and</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related tax benefit</w:t>
            </w:r>
          </w:p>
        </w:tc>
        <w:tc>
          <w:tcPr>
            <w:tcW w:w="1300" w:type="dxa"/>
            <w:vAlign w:val="bottom"/>
            <w:gridSpan w:val="2"/>
            <w:shd w:val="clear" w:color="auto" w:fill="CCEEFF"/>
          </w:tcPr>
          <w:p>
            <w:pPr>
              <w:jc w:val="right"/>
              <w:ind w:right="194"/>
              <w:spacing w:after="0"/>
              <w:rPr>
                <w:sz w:val="20"/>
                <w:szCs w:val="20"/>
                <w:color w:val="auto"/>
              </w:rPr>
            </w:pPr>
            <w:r>
              <w:rPr>
                <w:rFonts w:ascii="Arial" w:cs="Arial" w:eastAsia="Arial" w:hAnsi="Arial"/>
                <w:sz w:val="18"/>
                <w:szCs w:val="18"/>
                <w:color w:val="auto"/>
              </w:rPr>
              <w:t>170</w:t>
            </w:r>
          </w:p>
        </w:tc>
        <w:tc>
          <w:tcPr>
            <w:tcW w:w="4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5,989</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5,991</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Shares repurchased</w:t>
            </w:r>
          </w:p>
        </w:tc>
        <w:tc>
          <w:tcPr>
            <w:tcW w:w="1300" w:type="dxa"/>
            <w:vAlign w:val="bottom"/>
            <w:gridSpan w:val="2"/>
          </w:tcPr>
          <w:p>
            <w:pPr>
              <w:jc w:val="right"/>
              <w:ind w:right="134"/>
              <w:spacing w:after="0"/>
              <w:rPr>
                <w:sz w:val="20"/>
                <w:szCs w:val="20"/>
                <w:color w:val="auto"/>
              </w:rPr>
            </w:pPr>
            <w:r>
              <w:rPr>
                <w:rFonts w:ascii="Arial" w:cs="Arial" w:eastAsia="Arial" w:hAnsi="Arial"/>
                <w:sz w:val="18"/>
                <w:szCs w:val="18"/>
                <w:color w:val="auto"/>
              </w:rPr>
              <w:t>(735)</w:t>
            </w:r>
          </w:p>
        </w:tc>
        <w:tc>
          <w:tcPr>
            <w:tcW w:w="44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200" w:type="dxa"/>
            <w:vAlign w:val="bottom"/>
          </w:tcPr>
          <w:p>
            <w:pPr>
              <w:jc w:val="right"/>
              <w:ind w:right="134"/>
              <w:spacing w:after="0"/>
              <w:rPr>
                <w:sz w:val="20"/>
                <w:szCs w:val="20"/>
                <w:color w:val="auto"/>
              </w:rPr>
            </w:pPr>
            <w:r>
              <w:rPr>
                <w:rFonts w:ascii="Arial" w:cs="Arial" w:eastAsia="Arial" w:hAnsi="Arial"/>
                <w:sz w:val="18"/>
                <w:szCs w:val="18"/>
                <w:color w:val="auto"/>
              </w:rPr>
              <w:t>(6,748)</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(33,245)</w:t>
            </w:r>
          </w:p>
        </w:tc>
        <w:tc>
          <w:tcPr>
            <w:tcW w:w="40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Stock compensation expense</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7,575</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7,575</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360" w:type="dxa"/>
            <w:vAlign w:val="bottom"/>
          </w:tcPr>
          <w:p>
            <w:pPr>
              <w:spacing w:after="0"/>
              <w:rPr>
                <w:sz w:val="18"/>
                <w:szCs w:val="18"/>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54,409</w:t>
            </w:r>
          </w:p>
        </w:tc>
        <w:tc>
          <w:tcPr>
            <w:tcW w:w="400" w:type="dxa"/>
            <w:vAlign w:val="bottom"/>
          </w:tcPr>
          <w:p>
            <w:pPr>
              <w:spacing w:after="0"/>
              <w:rPr>
                <w:sz w:val="18"/>
                <w:szCs w:val="18"/>
                <w:color w:val="auto"/>
              </w:rPr>
            </w:pPr>
          </w:p>
        </w:tc>
        <w:tc>
          <w:tcPr>
            <w:tcW w:w="1200" w:type="dxa"/>
            <w:vAlign w:val="bottom"/>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54,409</w:t>
            </w:r>
          </w:p>
        </w:tc>
        <w:tc>
          <w:tcPr>
            <w:tcW w:w="58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54,409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Foreign currency translation</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adjustment</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4,706</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4,706</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tcPr>
          <w:p>
            <w:pPr>
              <w:ind w:left="200"/>
              <w:spacing w:after="0" w:line="201" w:lineRule="exact"/>
              <w:rPr>
                <w:sz w:val="20"/>
                <w:szCs w:val="20"/>
                <w:color w:val="auto"/>
              </w:rPr>
            </w:pPr>
            <w:r>
              <w:rPr>
                <w:rFonts w:ascii="Arial" w:cs="Arial" w:eastAsia="Arial" w:hAnsi="Arial"/>
                <w:sz w:val="18"/>
                <w:szCs w:val="18"/>
                <w:color w:val="auto"/>
                <w:w w:val="90"/>
              </w:rPr>
              <w:t>Unrealized loss on hedges, net</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tcPr>
          <w:p>
            <w:pPr>
              <w:ind w:left="400"/>
              <w:spacing w:after="0"/>
              <w:rPr>
                <w:sz w:val="20"/>
                <w:szCs w:val="20"/>
                <w:color w:val="auto"/>
              </w:rPr>
            </w:pPr>
            <w:r>
              <w:rPr>
                <w:rFonts w:ascii="Arial" w:cs="Arial" w:eastAsia="Arial" w:hAnsi="Arial"/>
                <w:sz w:val="18"/>
                <w:szCs w:val="18"/>
                <w:color w:val="auto"/>
              </w:rPr>
              <w:t>of tax</w:t>
            </w:r>
          </w:p>
        </w:tc>
        <w:tc>
          <w:tcPr>
            <w:tcW w:w="360" w:type="dxa"/>
            <w:vAlign w:val="bottom"/>
          </w:tcPr>
          <w:p>
            <w:pPr>
              <w:spacing w:after="0"/>
              <w:rPr>
                <w:sz w:val="20"/>
                <w:szCs w:val="20"/>
                <w:color w:val="auto"/>
              </w:rPr>
            </w:pPr>
          </w:p>
        </w:tc>
        <w:tc>
          <w:tcPr>
            <w:tcW w:w="94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200" w:type="dxa"/>
            <w:vAlign w:val="bottom"/>
          </w:tcPr>
          <w:p>
            <w:pPr>
              <w:jc w:val="right"/>
              <w:ind w:right="291"/>
              <w:spacing w:after="0"/>
              <w:rPr>
                <w:sz w:val="20"/>
                <w:szCs w:val="20"/>
                <w:color w:val="auto"/>
              </w:rPr>
            </w:pPr>
            <w:r>
              <w:rPr>
                <w:rFonts w:ascii="Arial" w:cs="Arial" w:eastAsia="Arial" w:hAnsi="Arial"/>
                <w:sz w:val="18"/>
                <w:szCs w:val="18"/>
                <w:color w:val="auto"/>
              </w:rPr>
              <w:t>(2,836)</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(2,836)</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Reclassification of hedge loss</w:t>
            </w: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 earnings, net of tax</w:t>
            </w:r>
          </w:p>
        </w:tc>
        <w:tc>
          <w:tcPr>
            <w:tcW w:w="36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442</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442</w:t>
            </w: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60" w:type="dxa"/>
            <w:vAlign w:val="bottom"/>
          </w:tcPr>
          <w:p>
            <w:pPr>
              <w:ind w:left="200"/>
              <w:spacing w:after="0"/>
              <w:rPr>
                <w:sz w:val="20"/>
                <w:szCs w:val="20"/>
                <w:color w:val="auto"/>
              </w:rPr>
            </w:pPr>
            <w:r>
              <w:rPr>
                <w:rFonts w:ascii="Arial" w:cs="Arial" w:eastAsia="Arial" w:hAnsi="Arial"/>
                <w:sz w:val="18"/>
                <w:szCs w:val="18"/>
                <w:color w:val="auto"/>
              </w:rPr>
              <w:t>Comprehensive income</w:t>
            </w:r>
          </w:p>
        </w:tc>
        <w:tc>
          <w:tcPr>
            <w:tcW w:w="360" w:type="dxa"/>
            <w:vAlign w:val="bottom"/>
          </w:tcPr>
          <w:p>
            <w:pPr>
              <w:spacing w:after="0"/>
              <w:rPr>
                <w:sz w:val="19"/>
                <w:szCs w:val="19"/>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94"/>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26, 2009</w:t>
            </w:r>
          </w:p>
        </w:tc>
        <w:tc>
          <w:tcPr>
            <w:tcW w:w="36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25,123</w:t>
            </w:r>
          </w:p>
        </w:tc>
        <w:tc>
          <w:tcPr>
            <w:tcW w:w="4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252</w:t>
            </w:r>
          </w:p>
        </w:tc>
        <w:tc>
          <w:tcPr>
            <w:tcW w:w="12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8"/>
                <w:szCs w:val="18"/>
                <w:color w:val="auto"/>
              </w:rPr>
              <w:t>$ 236,553</w:t>
            </w:r>
          </w:p>
        </w:tc>
        <w:tc>
          <w:tcPr>
            <w:tcW w:w="12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$ 330,680</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351"/>
              <w:spacing w:after="0"/>
              <w:rPr>
                <w:sz w:val="20"/>
                <w:szCs w:val="20"/>
                <w:color w:val="auto"/>
              </w:rPr>
            </w:pPr>
            <w:r>
              <w:rPr>
                <w:rFonts w:ascii="Arial" w:cs="Arial" w:eastAsia="Arial" w:hAnsi="Arial"/>
                <w:sz w:val="18"/>
                <w:szCs w:val="18"/>
                <w:color w:val="auto"/>
              </w:rPr>
              <w:t>5,595</w:t>
            </w: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573,080</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100" w:type="dxa"/>
            <w:vAlign w:val="bottom"/>
            <w:tcBorders>
              <w:bottom w:val="single" w:sz="8" w:color="auto"/>
            </w:tcBorders>
            <w:gridSpan w:val="8"/>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60" w:type="dxa"/>
            <w:vAlign w:val="bottom"/>
            <w:gridSpan w:val="9"/>
          </w:tcPr>
          <w:p>
            <w:pPr>
              <w:jc w:val="right"/>
              <w:spacing w:after="0"/>
              <w:rPr>
                <w:sz w:val="20"/>
                <w:szCs w:val="20"/>
                <w:color w:val="auto"/>
              </w:rPr>
            </w:pPr>
            <w:r>
              <w:rPr>
                <w:rFonts w:ascii="Arial" w:cs="Arial" w:eastAsia="Arial" w:hAnsi="Arial"/>
                <w:sz w:val="18"/>
                <w:szCs w:val="18"/>
                <w:color w:val="auto"/>
                <w:w w:val="90"/>
              </w:rPr>
              <w:t>The accompanying notes are an integral part of these consolidated financial statements.</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274"/>
              <w:spacing w:after="0"/>
              <w:rPr>
                <w:sz w:val="20"/>
                <w:szCs w:val="20"/>
                <w:color w:val="auto"/>
              </w:rPr>
            </w:pPr>
            <w:r>
              <w:rPr>
                <w:rFonts w:ascii="Arial" w:cs="Arial" w:eastAsia="Arial" w:hAnsi="Arial"/>
                <w:sz w:val="18"/>
                <w:szCs w:val="18"/>
                <w:color w:val="auto"/>
              </w:rPr>
              <w:t>4</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HAEMONETICS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96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54,409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45,365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Non cash items: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31,781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Stock compensation expense</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7,575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on sales of plant, property and equipment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Unrealized (gain)/loss from hedging activities</w:t>
            </w: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(1,578)</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Accretion of interest expense on contingent consideration</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Change in operating assets and liabilities: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Decrease/(increase) in accounts receivable, net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Decrease/(increase) in inventories</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297</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Decrease/(increase) in prepaid income taxes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5,452</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Increase in other assets and other long-term liabilities</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128</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Tax benefit of exercise of stock options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(Decrease)/increase in accounts payable and accrued expenses</w:t>
            </w:r>
          </w:p>
        </w:tc>
        <w:tc>
          <w:tcPr>
            <w:tcW w:w="160" w:type="dxa"/>
            <w:vAlign w:val="bottom"/>
          </w:tcPr>
          <w:p>
            <w:pPr>
              <w:spacing w:after="0"/>
              <w:rPr>
                <w:sz w:val="19"/>
                <w:szCs w:val="19"/>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(10,400)</w:t>
            </w:r>
          </w:p>
        </w:tc>
        <w:tc>
          <w:tcPr>
            <w:tcW w:w="1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93,981</w:t>
            </w: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expenditures on property, plant and equipment</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(44,876)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Proceeds from sale of property, plant and equipment</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SEBRA</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(12,845)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Acquisition of Neoteric</w:t>
            </w: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(6,613)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Medicell</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(64,031)</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(45,607)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Payments on long-term real estate mortgage</w:t>
            </w:r>
          </w:p>
        </w:tc>
        <w:tc>
          <w:tcPr>
            <w:tcW w:w="160" w:type="dxa"/>
            <w:vAlign w:val="bottom"/>
          </w:tcPr>
          <w:p>
            <w:pPr>
              <w:spacing w:after="0"/>
              <w:rPr>
                <w:sz w:val="18"/>
                <w:szCs w:val="18"/>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increase/(decrease) in short-term revolving credit agreements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13,595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Employee stock purchase plan</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2,909</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stock options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5,078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Excess tax benefit on exercise of stock options</w:t>
            </w:r>
          </w:p>
        </w:tc>
        <w:tc>
          <w:tcPr>
            <w:tcW w:w="160" w:type="dxa"/>
            <w:vAlign w:val="bottom"/>
          </w:tcPr>
          <w:p>
            <w:pPr>
              <w:spacing w:after="0"/>
              <w:rPr>
                <w:sz w:val="18"/>
                <w:szCs w:val="18"/>
                <w:color w:val="auto"/>
              </w:rPr>
            </w:pP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180</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 repurchase</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(40,000)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(59,998)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60" w:type="dxa"/>
            <w:vAlign w:val="bottom"/>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(18,803)</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(33,880)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Increase/(Decrease) in Cash and Cash Equivalents</w:t>
            </w: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1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156,721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133,553</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168,993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Transfers from inventory to fixed assets for placements of Haemonetics equipment</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4,118</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6,174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tcPr>
          <w:p>
            <w:pPr>
              <w:ind w:left="200"/>
              <w:spacing w:after="0"/>
              <w:rPr>
                <w:sz w:val="20"/>
                <w:szCs w:val="20"/>
                <w:color w:val="auto"/>
              </w:rPr>
            </w:pPr>
            <w:r>
              <w:rPr>
                <w:rFonts w:ascii="Arial" w:cs="Arial" w:eastAsia="Arial" w:hAnsi="Arial"/>
                <w:sz w:val="18"/>
                <w:szCs w:val="18"/>
                <w:color w:val="auto"/>
              </w:rPr>
              <w:t>Interest paid</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15,521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2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accompanying unaudited consolidated financial statements have been prepared in accordance with generally accepted accounting principles (“GAAP”) in the United States for interim financial information and with the instructions to Form 10-Q and Article 10 of Regulation S-X. Accordingly, they do not include all of the information and footnotes required by GAAP for complete financial statements. In the opinion of our management, all adjustments (consisting of normal recurring accruals) considered necessary for a fair presentation have been included. All significant intercompany transactions have been eliminated. Certain reclassifications were made to prior year balances to conform with the presentation of the financial statements for the nine months ended December 26, 2009. Operating results for the nine month period ended December 26, 2009 are not necessarily indicative of the results that may be expected for the full fiscal year ending April 3, 2010, or any other interim period. These unaudited consolidated financial statements should be read in conjunction with our audited consolidated financial statements and footnotes included in our annual report on Form 10-K for the fiscal year ended March 28, 2009.</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fiscal year ends on the Saturday closest to the last day of March. Fiscal year 2010 includes 53 weeks with each of the first three quarters having 13 weeks and the fourth quarter having 14 weeks. Fiscal year 2009 included 52 weeks with all four quarters having 13 weeks.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Our revenue recognition policy is to recognize revenues from product sales, software and services in accordance with ASC Topic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(formerly known as SAB No. 104,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and as EITF 00-21, </w:t>
      </w:r>
      <w:r>
        <w:rPr>
          <w:rFonts w:ascii="Arial" w:cs="Arial" w:eastAsia="Arial" w:hAnsi="Arial"/>
          <w:sz w:val="17"/>
          <w:szCs w:val="17"/>
          <w:i w:val="1"/>
          <w:iCs w:val="1"/>
          <w:color w:val="auto"/>
        </w:rPr>
        <w:t>Revenue Arrangements with Multiple Deliverables</w:t>
      </w:r>
      <w:r>
        <w:rPr>
          <w:rFonts w:ascii="Arial" w:cs="Arial" w:eastAsia="Arial" w:hAnsi="Arial"/>
          <w:sz w:val="17"/>
          <w:szCs w:val="17"/>
          <w:color w:val="auto"/>
        </w:rPr>
        <w:t xml:space="preserve">), and ASC Topic 985-605, </w:t>
      </w:r>
      <w:r>
        <w:rPr>
          <w:rFonts w:ascii="Arial" w:cs="Arial" w:eastAsia="Arial" w:hAnsi="Arial"/>
          <w:sz w:val="17"/>
          <w:szCs w:val="17"/>
          <w:i w:val="1"/>
          <w:iCs w:val="1"/>
          <w:color w:val="auto"/>
        </w:rPr>
        <w:t xml:space="preserve">Software </w:t>
      </w:r>
      <w:r>
        <w:rPr>
          <w:rFonts w:ascii="Arial" w:cs="Arial" w:eastAsia="Arial" w:hAnsi="Arial"/>
          <w:sz w:val="17"/>
          <w:szCs w:val="17"/>
          <w:color w:val="auto"/>
        </w:rPr>
        <w:t>(formerly known as Statement of Position 97-2,</w:t>
      </w:r>
      <w:r>
        <w:rPr>
          <w:rFonts w:ascii="Arial" w:cs="Arial" w:eastAsia="Arial" w:hAnsi="Arial"/>
          <w:sz w:val="17"/>
          <w:szCs w:val="17"/>
          <w:i w:val="1"/>
          <w:iCs w:val="1"/>
          <w:color w:val="auto"/>
        </w:rPr>
        <w:t xml:space="preserve"> Software Revenue Recognition, as amended</w:t>
      </w:r>
      <w:r>
        <w:rPr>
          <w:rFonts w:ascii="Arial" w:cs="Arial" w:eastAsia="Arial" w:hAnsi="Arial"/>
          <w:sz w:val="17"/>
          <w:szCs w:val="17"/>
          <w:color w:val="auto"/>
        </w:rPr>
        <w:t>). These standards require that revenues are recognized</w:t>
      </w:r>
      <w:r>
        <w:rPr>
          <w:rFonts w:ascii="Arial" w:cs="Arial" w:eastAsia="Arial" w:hAnsi="Arial"/>
          <w:sz w:val="17"/>
          <w:szCs w:val="17"/>
          <w:i w:val="1"/>
          <w:iCs w:val="1"/>
          <w:color w:val="auto"/>
        </w:rPr>
        <w:t xml:space="preserve"> </w:t>
      </w:r>
      <w:r>
        <w:rPr>
          <w:rFonts w:ascii="Arial" w:cs="Arial" w:eastAsia="Arial" w:hAnsi="Arial"/>
          <w:sz w:val="17"/>
          <w:szCs w:val="17"/>
          <w:color w:val="auto"/>
        </w:rPr>
        <w:t>when persuasive evidence of an arrangement exists, product delivery, including customer acceptance, has occurred or services have been rendered, the price is fixed or determinable and collectibility is reasonably assured. When more than one element such as equipment, disposables and services are contained in a single arrangement, we allocate revenue between the elements based on each element’s relative fair value, provided that each element meets the criteria for treatment as a separate unit of accounting. An item is considered a separate unit of accounting if it has value to the customer on a stand alone basis and there is objective and reliable evidence of the fair value of the undelivered items. The fair value of the undelivered elements is determined by the price charged when the element is sold separately, or in cases when the item is not sold separately, by using vendor specific objective evidenced under ASC Topic 985-605 or other objective evidence as defined in ASC Topic 605.</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Revenues</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Product sales consist of the sale of our equipment devices and the related disposables used with these devices. On product sales to end customers, revenue is recognized when both the title and risk of loss have transferred to the customer as determined by the shipping terms and all obligations have been completed. Examples of common post delivery obligations are installation and training. For product sales to distributors, we recognize revenue for both equipment and disposables upon shipment of these products to our distributors. Our standard contracts with our distributors state that title to the equipment passes to the distributors at point of shipment to a distributor’s location. The distributors are responsible for shipment to the end customer along with installation, training and acceptance of the equipment by the end customer. All shipments to distributors are at contract prices and payment is not contingent upon resale of the product.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Software Solutions Revenues</w:t>
      </w:r>
    </w:p>
    <w:p>
      <w:pPr>
        <w:spacing w:after="0" w:line="11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At this time, our software solutions business principally provides support to our plasma and blood collection customers and hospitals. Through our Haemonetics Software Solutions unit, we provide information technology platforms and technical support for donor recruitment, blood and plasma testing laboratories, and for efficient and compliant operations of blood and plasma collection centers. For plasma customers, we also provide information technology platforms for managing distribution of plasma from collection centers to plasma fractionation facilities. Software license revenues are generally billed periodically, monthly or quarterly and recognized for the period for which the service is provided. Our software solutions business model includes the provision of services, including in some instances hosting, technical support, and maintenance, for the payment of periodic, monthly or quarterly fees. We recognize these fees and charges as earned, typically as these services are provided during the contract period.</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2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an amendment to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Update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an amendment to FASB ASC subtopic 985-605, </w:t>
      </w:r>
      <w:r>
        <w:rPr>
          <w:rFonts w:ascii="Arial" w:cs="Arial" w:eastAsia="Arial" w:hAnsi="Arial"/>
          <w:sz w:val="16"/>
          <w:szCs w:val="16"/>
          <w:i w:val="1"/>
          <w:iCs w:val="1"/>
          <w:color w:val="auto"/>
        </w:rPr>
        <w:t>Software — Revenue Recognition</w:t>
      </w:r>
      <w:r>
        <w:rPr>
          <w:rFonts w:ascii="Arial" w:cs="Arial" w:eastAsia="Arial" w:hAnsi="Arial"/>
          <w:sz w:val="16"/>
          <w:szCs w:val="16"/>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June 2009, the FASB issued requirements under FASB Statement No. 168, </w:t>
      </w:r>
      <w:r>
        <w:rPr>
          <w:rFonts w:ascii="Arial" w:cs="Arial" w:eastAsia="Arial" w:hAnsi="Arial"/>
          <w:sz w:val="18"/>
          <w:szCs w:val="18"/>
          <w:i w:val="1"/>
          <w:iCs w:val="1"/>
          <w:color w:val="auto"/>
        </w:rPr>
        <w:t>The FASB Accounting Standards Codification and the Hierarchy of 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Accepted Accounting Principles — a replacement of FASB Statement No. 162</w:t>
      </w:r>
      <w:r>
        <w:rPr>
          <w:rFonts w:ascii="Arial" w:cs="Arial" w:eastAsia="Arial" w:hAnsi="Arial"/>
          <w:sz w:val="18"/>
          <w:szCs w:val="18"/>
          <w:color w:val="auto"/>
        </w:rPr>
        <w:t>. The FASB Accounting Standards Codification (ASC) will become the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authoritative U.S. generally accepted accounting principles (GAAP) recognized by the FASB to be applied by nongovernmental entities. Rules and interpretive releases of the SEC under authority of federal securities laws are also sources of authoritative GAAP for SEC registrants. FASB Statement No. 168 is effective for financial statements issued for interim and annual periods ending after September 15, 2009. This statement became effective during our second quarter of fiscal year 2010 and its impact is reflected in our financial position and results of operation for the nine months ended December 26, 2009.</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(formerly known as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FASB requires that all business combinations use the acquisition method (formerly the purchase method) and that an acquiring entity be identified in all business combinations. ASC Topic 805 also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This statement became effective for our fiscal year 2010 and its impact is reflected in our financial position and results of operations for the nine months ended December 26, 2009. The Company’s acquisition of L’Attitude Medical Systems, Inc. (“Neoteric”) and asset acquisition of the blood collection and processing business unit (“SEBRA”) of Engineering and Research Associates, Inc. during the first nine months of fiscal year 2010 were both accounted for in accordance to the requirements of ASC Topic 805 — see Note 9.</w:t>
      </w:r>
    </w:p>
    <w:p>
      <w:pPr>
        <w:spacing w:after="0" w:line="7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June 2009, the FASB issued SFAS No.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xml:space="preserve"> (“SFAS 167”). SFAS 167 modifies how a company determines when an entity that is insufficiently capitalized or is not controlled through voting (or similar rights) should be consolidated. SFAS No. 167 has not yet been incorporated into the Codification. SFAS 167 clarifies that the determination of whether a company is required to consolidate an entity is based on, among other things, an entity’s purpose and design and a company’s ability to direct the activities of the entity that most significantly impact the entity’s economic performance. SFAS 167 requires an ongoing reassessment of whether a company is the primary beneficiary of a variable interest entity. SFAS 167 also requires additional disclosures about a company’s involvement in variable interest entities and any significant changes in risk exposure due to that involvement. SFAS 167 is effective for fiscal years beginning after November 15, 2009. The Company has not completed its assessment of the impact SFAS 167, if any, will have on its financial condition, results of operations or cash flows.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 (“EPS”)</w:t>
      </w:r>
    </w:p>
    <w:p>
      <w:pPr>
        <w:spacing w:after="0" w:line="121"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The following table provides a reconciliation of the numerators and denominators of the basic and diluted earnings per share computations. Basic EPS is computed by dividing net income by weighted average shares outstanding. Diluted EPS includes the effect of potentially dilutive common shares.</w:t>
      </w:r>
    </w:p>
    <w:p>
      <w:pPr>
        <w:sectPr>
          <w:pgSz w:w="11900" w:h="16838" w:orient="portrait"/>
          <w:cols w:equalWidth="0" w:num="1">
            <w:col w:w="11320"/>
          </w:cols>
          <w:pgMar w:left="240" w:top="4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effect of common stock equivalents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Diluted income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Basic income per share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Basic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Net effect of common stock equivalents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Diluted weighted average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Diluted income per share</w:t>
      </w:r>
    </w:p>
    <w:p>
      <w:pPr>
        <w:spacing w:after="0" w:line="20" w:lineRule="exact"/>
        <w:rPr>
          <w:sz w:val="20"/>
          <w:szCs w:val="20"/>
          <w:color w:val="auto"/>
        </w:rPr>
      </w:pPr>
      <w:r>
        <w:rPr>
          <w:sz w:val="20"/>
          <w:szCs w:val="20"/>
          <w:color w:val="auto"/>
        </w:rPr>
        <w:br w:type="column"/>
      </w:r>
    </w:p>
    <w:p>
      <w:pPr>
        <w:spacing w:after="0" w:line="100"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the Three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jc w:val="center"/>
              <w:ind w:right="308"/>
              <w:spacing w:after="0" w:line="123" w:lineRule="exact"/>
              <w:rPr>
                <w:sz w:val="20"/>
                <w:szCs w:val="20"/>
                <w:color w:val="auto"/>
              </w:rPr>
            </w:pPr>
            <w:r>
              <w:rPr>
                <w:rFonts w:ascii="Arial" w:cs="Arial" w:eastAsia="Arial" w:hAnsi="Arial"/>
                <w:sz w:val="14"/>
                <w:szCs w:val="14"/>
                <w:color w:val="auto"/>
                <w:w w:val="93"/>
              </w:rPr>
              <w:t>December 26,</w:t>
            </w:r>
          </w:p>
        </w:tc>
        <w:tc>
          <w:tcPr>
            <w:tcW w:w="1200" w:type="dxa"/>
            <w:vAlign w:val="bottom"/>
            <w:tcBorders>
              <w:top w:val="single" w:sz="8" w:color="auto"/>
            </w:tcBorders>
          </w:tcPr>
          <w:p>
            <w:pPr>
              <w:jc w:val="center"/>
              <w:ind w:left="308"/>
              <w:spacing w:after="0" w:line="123" w:lineRule="exact"/>
              <w:rPr>
                <w:sz w:val="20"/>
                <w:szCs w:val="20"/>
                <w:color w:val="auto"/>
              </w:rPr>
            </w:pPr>
            <w:r>
              <w:rPr>
                <w:rFonts w:ascii="Arial" w:cs="Arial" w:eastAsia="Arial" w:hAnsi="Arial"/>
                <w:sz w:val="14"/>
                <w:szCs w:val="14"/>
                <w:color w:val="auto"/>
                <w:w w:val="93"/>
              </w:rPr>
              <w:t>December 27,</w:t>
            </w:r>
          </w:p>
        </w:tc>
      </w:tr>
      <w:tr>
        <w:trPr>
          <w:trHeight w:val="174"/>
        </w:trPr>
        <w:tc>
          <w:tcPr>
            <w:tcW w:w="1200" w:type="dxa"/>
            <w:vAlign w:val="bottom"/>
          </w:tcPr>
          <w:p>
            <w:pPr>
              <w:jc w:val="right"/>
              <w:ind w:right="568"/>
              <w:spacing w:after="0"/>
              <w:rPr>
                <w:sz w:val="20"/>
                <w:szCs w:val="20"/>
                <w:color w:val="auto"/>
              </w:rPr>
            </w:pPr>
            <w:r>
              <w:rPr>
                <w:rFonts w:ascii="Arial" w:cs="Arial" w:eastAsia="Arial" w:hAnsi="Arial"/>
                <w:sz w:val="14"/>
                <w:szCs w:val="14"/>
                <w:color w:val="auto"/>
              </w:rPr>
              <w:t>2009</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5176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18,286</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16,216</w:t>
            </w: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25,289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25,375</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18,286</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16,216</w:t>
            </w:r>
          </w:p>
        </w:tc>
      </w:tr>
      <w:tr>
        <w:trPr>
          <w:trHeight w:val="418"/>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25,289</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25,375</w:t>
            </w:r>
          </w:p>
        </w:tc>
      </w:tr>
      <w:tr>
        <w:trPr>
          <w:trHeight w:val="230"/>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617</w:t>
            </w: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681</w:t>
            </w:r>
          </w:p>
        </w:tc>
      </w:tr>
      <w:tr>
        <w:trPr>
          <w:trHeight w:val="224"/>
        </w:trPr>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25,907</w:t>
            </w:r>
          </w:p>
        </w:tc>
        <w:tc>
          <w:tcPr>
            <w:tcW w:w="7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26,056</w:t>
            </w:r>
          </w:p>
        </w:tc>
        <w:tc>
          <w:tcPr>
            <w:tcW w:w="20" w:type="dxa"/>
            <w:vAlign w:val="bottom"/>
          </w:tcPr>
          <w:p>
            <w:pPr>
              <w:spacing w:after="0"/>
              <w:rPr>
                <w:sz w:val="19"/>
                <w:szCs w:val="19"/>
                <w:color w:val="auto"/>
              </w:rPr>
            </w:pPr>
          </w:p>
        </w:tc>
      </w:tr>
      <w:tr>
        <w:trPr>
          <w:trHeight w:val="431"/>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0.71</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0.62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For the 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1200" w:type="dxa"/>
            <w:vAlign w:val="bottom"/>
            <w:tcBorders>
              <w:top w:val="single" w:sz="8" w:color="auto"/>
            </w:tcBorders>
          </w:tcPr>
          <w:p>
            <w:pPr>
              <w:jc w:val="center"/>
              <w:ind w:right="308"/>
              <w:spacing w:after="0" w:line="123" w:lineRule="exact"/>
              <w:rPr>
                <w:sz w:val="20"/>
                <w:szCs w:val="20"/>
                <w:color w:val="auto"/>
              </w:rPr>
            </w:pPr>
            <w:r>
              <w:rPr>
                <w:rFonts w:ascii="Arial" w:cs="Arial" w:eastAsia="Arial" w:hAnsi="Arial"/>
                <w:sz w:val="14"/>
                <w:szCs w:val="14"/>
                <w:color w:val="auto"/>
                <w:w w:val="93"/>
              </w:rPr>
              <w:t>December 26,</w:t>
            </w:r>
          </w:p>
        </w:tc>
        <w:tc>
          <w:tcPr>
            <w:tcW w:w="1200" w:type="dxa"/>
            <w:vAlign w:val="bottom"/>
            <w:tcBorders>
              <w:top w:val="single" w:sz="8" w:color="auto"/>
            </w:tcBorders>
          </w:tcPr>
          <w:p>
            <w:pPr>
              <w:jc w:val="center"/>
              <w:ind w:left="308"/>
              <w:spacing w:after="0" w:line="123" w:lineRule="exact"/>
              <w:rPr>
                <w:sz w:val="20"/>
                <w:szCs w:val="20"/>
                <w:color w:val="auto"/>
              </w:rPr>
            </w:pPr>
            <w:r>
              <w:rPr>
                <w:rFonts w:ascii="Arial" w:cs="Arial" w:eastAsia="Arial" w:hAnsi="Arial"/>
                <w:sz w:val="14"/>
                <w:szCs w:val="14"/>
                <w:color w:val="auto"/>
                <w:w w:val="93"/>
              </w:rPr>
              <w:t>December 27,</w:t>
            </w:r>
          </w:p>
        </w:tc>
      </w:tr>
      <w:tr>
        <w:trPr>
          <w:trHeight w:val="174"/>
        </w:trPr>
        <w:tc>
          <w:tcPr>
            <w:tcW w:w="1200" w:type="dxa"/>
            <w:vAlign w:val="bottom"/>
          </w:tcPr>
          <w:p>
            <w:pPr>
              <w:jc w:val="right"/>
              <w:ind w:right="568"/>
              <w:spacing w:after="0"/>
              <w:rPr>
                <w:sz w:val="20"/>
                <w:szCs w:val="20"/>
                <w:color w:val="auto"/>
              </w:rPr>
            </w:pPr>
            <w:r>
              <w:rPr>
                <w:rFonts w:ascii="Arial" w:cs="Arial" w:eastAsia="Arial" w:hAnsi="Arial"/>
                <w:sz w:val="14"/>
                <w:szCs w:val="14"/>
                <w:color w:val="auto"/>
              </w:rPr>
              <w:t>2009</w:t>
            </w:r>
          </w:p>
        </w:tc>
        <w:tc>
          <w:tcPr>
            <w:tcW w:w="1200" w:type="dxa"/>
            <w:vAlign w:val="bottom"/>
          </w:tcPr>
          <w:p>
            <w:pPr>
              <w:jc w:val="right"/>
              <w:ind w:right="188"/>
              <w:spacing w:after="0"/>
              <w:rPr>
                <w:sz w:val="20"/>
                <w:szCs w:val="20"/>
                <w:color w:val="auto"/>
              </w:rPr>
            </w:pPr>
            <w:r>
              <w:rPr>
                <w:rFonts w:ascii="Arial" w:cs="Arial" w:eastAsia="Arial" w:hAnsi="Arial"/>
                <w:sz w:val="14"/>
                <w:szCs w:val="14"/>
                <w:color w:val="auto"/>
              </w:rPr>
              <w:t>2008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151765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(in thousands, except per share amounts)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54,409</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45,365</w:t>
            </w:r>
          </w:p>
        </w:tc>
      </w:tr>
      <w:tr>
        <w:trPr>
          <w:trHeight w:val="432"/>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25,544</w:t>
            </w: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25,340</w:t>
            </w:r>
          </w:p>
        </w:tc>
      </w:tr>
      <w:tr>
        <w:trPr>
          <w:trHeight w:val="223"/>
        </w:trPr>
        <w:tc>
          <w:tcPr>
            <w:tcW w:w="20" w:type="dxa"/>
            <w:vAlign w:val="bottom"/>
            <w:tcBorders>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7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42"/>
        </w:trPr>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54,409</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45,365</w:t>
            </w:r>
          </w:p>
        </w:tc>
      </w:tr>
    </w:tbl>
    <w:p>
      <w:pPr>
        <w:spacing w:after="0" w:line="202" w:lineRule="exact"/>
        <w:rPr>
          <w:sz w:val="20"/>
          <w:szCs w:val="20"/>
          <w:color w:val="auto"/>
        </w:rPr>
      </w:pPr>
    </w:p>
    <w:p>
      <w:pPr>
        <w:jc w:val="both"/>
        <w:ind w:left="320"/>
        <w:spacing w:after="0"/>
        <w:tabs>
          <w:tab w:leader="none" w:pos="1880" w:val="left"/>
        </w:tabs>
        <w:rPr>
          <w:sz w:val="20"/>
          <w:szCs w:val="20"/>
          <w:color w:val="auto"/>
        </w:rPr>
      </w:pPr>
      <w:r>
        <w:rPr>
          <w:rFonts w:ascii="Arial" w:cs="Arial" w:eastAsia="Arial" w:hAnsi="Arial"/>
          <w:sz w:val="18"/>
          <w:szCs w:val="18"/>
          <w:color w:val="auto"/>
        </w:rPr>
        <w:t>25,544</w:t>
      </w:r>
      <w:r>
        <w:rPr>
          <w:sz w:val="20"/>
          <w:szCs w:val="20"/>
          <w:color w:val="auto"/>
        </w:rPr>
        <w:tab/>
      </w:r>
      <w:r>
        <w:rPr>
          <w:rFonts w:ascii="Arial" w:cs="Arial" w:eastAsia="Arial" w:hAnsi="Arial"/>
          <w:sz w:val="18"/>
          <w:szCs w:val="18"/>
          <w:color w:val="auto"/>
        </w:rPr>
        <w:t>25,340</w:t>
      </w:r>
    </w:p>
    <w:p>
      <w:pPr>
        <w:spacing w:after="0" w:line="23" w:lineRule="exact"/>
        <w:rPr>
          <w:sz w:val="20"/>
          <w:szCs w:val="20"/>
          <w:color w:val="auto"/>
        </w:rPr>
      </w:pPr>
    </w:p>
    <w:p>
      <w:pPr>
        <w:ind w:left="2120" w:hanging="1578"/>
        <w:spacing w:after="0"/>
        <w:tabs>
          <w:tab w:leader="none" w:pos="2120" w:val="left"/>
        </w:tabs>
        <w:numPr>
          <w:ilvl w:val="0"/>
          <w:numId w:val="1"/>
        </w:numPr>
        <w:rPr>
          <w:rFonts w:ascii="Arial" w:cs="Arial" w:eastAsia="Arial" w:hAnsi="Arial"/>
          <w:sz w:val="16"/>
          <w:szCs w:val="16"/>
          <w:color w:val="auto"/>
        </w:rPr>
      </w:pPr>
      <w:r>
        <w:rPr>
          <w:rFonts w:ascii="Arial" w:cs="Arial" w:eastAsia="Arial" w:hAnsi="Arial"/>
          <w:sz w:val="16"/>
          <w:szCs w:val="16"/>
          <w:color w:val="auto"/>
        </w:rPr>
        <w:t>823</w:t>
      </w:r>
    </w:p>
    <w:p>
      <w:pPr>
        <w:spacing w:after="0" w:line="44"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color w:val="auto"/>
        </w:rPr>
        <w:t>26,150</w:t>
      </w:r>
      <w:r>
        <w:rPr>
          <w:rFonts w:ascii="Arial" w:cs="Arial" w:eastAsia="Arial" w:hAnsi="Arial"/>
          <w:sz w:val="16"/>
          <w:szCs w:val="16"/>
          <w:color w:val="auto"/>
        </w:rPr>
        <w:t>26,163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5143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-139065</wp:posOffset>
            </wp:positionV>
            <wp:extent cx="5143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205" w:lineRule="exact"/>
        <w:rPr>
          <w:sz w:val="20"/>
          <w:szCs w:val="20"/>
          <w:color w:val="auto"/>
        </w:rPr>
      </w:pPr>
    </w:p>
    <w:p>
      <w:pPr>
        <w:spacing w:after="0"/>
        <w:tabs>
          <w:tab w:leader="none" w:pos="480" w:val="left"/>
          <w:tab w:leader="none" w:pos="1560" w:val="left"/>
          <w:tab w:leader="none" w:pos="2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2.08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514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31750</wp:posOffset>
            </wp:positionV>
            <wp:extent cx="5143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14605</wp:posOffset>
            </wp:positionV>
            <wp:extent cx="51435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1004570</wp:posOffset>
            </wp:positionH>
            <wp:positionV relativeFrom="paragraph">
              <wp:posOffset>31750</wp:posOffset>
            </wp:positionV>
            <wp:extent cx="5143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 cy="889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8200" w:space="720"/>
            <w:col w:w="2400"/>
          </w:cols>
          <w:pgMar w:left="240" w:top="419" w:right="339" w:bottom="1440" w:gutter="0" w:footer="0" w:header="0"/>
          <w:type w:val="continuous"/>
        </w:sectPr>
      </w:pPr>
    </w:p>
    <w:p>
      <w:pPr>
        <w:ind w:right="20"/>
        <w:spacing w:after="0" w:line="264" w:lineRule="auto"/>
        <w:rPr>
          <w:sz w:val="20"/>
          <w:szCs w:val="20"/>
          <w:color w:val="auto"/>
        </w:rPr>
      </w:pPr>
      <w:r>
        <w:rPr>
          <w:rFonts w:ascii="Arial" w:cs="Arial" w:eastAsia="Arial" w:hAnsi="Arial"/>
          <w:sz w:val="18"/>
          <w:szCs w:val="18"/>
          <w:color w:val="auto"/>
        </w:rPr>
        <w:t>Weighted average shares outstanding, assuming dilution, excludes the impact of 0.8 million stock options for both the third quarter and first nine months of fiscal year 2010 and 0.7 and 0.5 million stock options for the third quarter and the first nine months, respectively, of fiscal year 2009 because these securities were anti-dilutive during the noted periods.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STOCK-BASED COMPENSATION</w:t>
      </w:r>
    </w:p>
    <w:p>
      <w:pPr>
        <w:spacing w:after="0" w:line="121"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Stock-based compensation expense of $7.6 and $7.3 million was recognized for the nine months ended December 26, 2009 and December 27, 2008, respectively. The related income tax benefit recognized was $2.3 and $2.1 million for the nine months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9" w:right="33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ended December 26, 2009 and December 27, 2008, respectively. We recognize stock-based compensation on a straight line basis.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a more detailed description of our stock-based compensation plans, see Note 11—Capital Stock to the Company’s consolidated financial statements included in our Annual Report on Form 10-K for the year ended March 28, 2009. Our stock-based compensation plans currently consist of stock options, restricted stock awards, restricted stock units and an employee stock purchase plan. Options become exercisable in the manner specified by the Compensation Committee of our Board of Directors. With the exception of one performance based restricted stock unit granted during the second quarter of fiscal year 2010 and one option and one restricted stock unit granted during the third quarter of fiscal year 2010, all options, restricted stock awards and restricted stock units granted to employees in the nine months ended December 26, 2009 vest over a four year period of time and the options expire not more than 7 years from the date of grant.</w:t>
      </w:r>
    </w:p>
    <w:p>
      <w:pPr>
        <w:spacing w:after="0" w:line="81" w:lineRule="exact"/>
        <w:rPr>
          <w:sz w:val="20"/>
          <w:szCs w:val="20"/>
          <w:color w:val="auto"/>
        </w:rPr>
      </w:pPr>
    </w:p>
    <w:p>
      <w:pPr>
        <w:jc w:val="both"/>
        <w:ind w:right="540"/>
        <w:spacing w:after="0" w:line="312" w:lineRule="auto"/>
        <w:rPr>
          <w:sz w:val="20"/>
          <w:szCs w:val="20"/>
          <w:color w:val="auto"/>
        </w:rPr>
      </w:pPr>
      <w:r>
        <w:rPr>
          <w:rFonts w:ascii="Arial" w:cs="Arial" w:eastAsia="Arial" w:hAnsi="Arial"/>
          <w:sz w:val="16"/>
          <w:szCs w:val="16"/>
          <w:color w:val="auto"/>
        </w:rPr>
        <w:t>Cash flows relating to the benefits of tax deductions in excess of compensation cost recognized are reported as a financing cash flow, rather than as an operating cash flow. This excess tax benefit was $0.0 million and $0.7 million for the three months ended December 26, 2009 and December 27, 2008, respectively, and $0.2 million and $6.1 million for the nine months ended December 26, 2009 and December 27, 2008,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stock options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20" w:type="dxa"/>
            <w:vAlign w:val="bottom"/>
            <w:gridSpan w:val="3"/>
          </w:tcPr>
          <w:p>
            <w:pPr>
              <w:jc w:val="center"/>
              <w:ind w:right="340"/>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color w:val="auto"/>
                <w:w w:val="94"/>
              </w:rPr>
              <w:t>Weighted</w:t>
            </w:r>
          </w:p>
        </w:tc>
        <w:tc>
          <w:tcPr>
            <w:tcW w:w="34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1"/>
              </w:rPr>
              <w:t>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Intrinsic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520" w:type="dxa"/>
            <w:vAlign w:val="bottom"/>
            <w:gridSpan w:val="2"/>
          </w:tcPr>
          <w:p>
            <w:pPr>
              <w:jc w:val="right"/>
              <w:ind w:right="860"/>
              <w:spacing w:after="0" w:line="149" w:lineRule="exact"/>
              <w:rPr>
                <w:sz w:val="20"/>
                <w:szCs w:val="20"/>
                <w:color w:val="auto"/>
              </w:rPr>
            </w:pPr>
            <w:r>
              <w:rPr>
                <w:rFonts w:ascii="Arial" w:cs="Arial" w:eastAsia="Arial" w:hAnsi="Arial"/>
                <w:sz w:val="14"/>
                <w:szCs w:val="14"/>
                <w:color w:val="auto"/>
              </w:rPr>
              <w:t>Options</w:t>
            </w:r>
          </w:p>
        </w:tc>
        <w:tc>
          <w:tcPr>
            <w:tcW w:w="100" w:type="dxa"/>
            <w:vAlign w:val="bottom"/>
          </w:tcPr>
          <w:p>
            <w:pPr>
              <w:spacing w:after="0"/>
              <w:rPr>
                <w:sz w:val="12"/>
                <w:szCs w:val="12"/>
                <w:color w:val="auto"/>
              </w:rPr>
            </w:pPr>
          </w:p>
        </w:tc>
        <w:tc>
          <w:tcPr>
            <w:tcW w:w="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89"/>
              </w:rPr>
              <w:t>Exercise</w:t>
            </w:r>
          </w:p>
        </w:tc>
        <w:tc>
          <w:tcPr>
            <w:tcW w:w="34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5"/>
              </w:rPr>
              <w:t>Remaining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Outstanding</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3"/>
              <w:spacing w:after="0"/>
              <w:rPr>
                <w:sz w:val="20"/>
                <w:szCs w:val="20"/>
                <w:color w:val="auto"/>
              </w:rPr>
            </w:pPr>
            <w:r>
              <w:rPr>
                <w:rFonts w:ascii="Arial" w:cs="Arial" w:eastAsia="Arial" w:hAnsi="Arial"/>
                <w:sz w:val="14"/>
                <w:szCs w:val="14"/>
                <w:color w:val="auto"/>
                <w:w w:val="87"/>
              </w:rPr>
              <w:t>Price</w:t>
            </w:r>
          </w:p>
        </w:tc>
        <w:tc>
          <w:tcPr>
            <w:tcW w:w="340" w:type="dxa"/>
            <w:vAlign w:val="bottom"/>
          </w:tcPr>
          <w:p>
            <w:pPr>
              <w:spacing w:after="0"/>
              <w:rPr>
                <w:sz w:val="14"/>
                <w:szCs w:val="14"/>
                <w:color w:val="auto"/>
              </w:rPr>
            </w:pPr>
          </w:p>
        </w:tc>
        <w:tc>
          <w:tcPr>
            <w:tcW w:w="1360" w:type="dxa"/>
            <w:vAlign w:val="bottom"/>
            <w:gridSpan w:val="3"/>
          </w:tcPr>
          <w:p>
            <w:pPr>
              <w:jc w:val="right"/>
              <w:ind w:right="340"/>
              <w:spacing w:after="0"/>
              <w:rPr>
                <w:sz w:val="20"/>
                <w:szCs w:val="20"/>
                <w:color w:val="auto"/>
              </w:rPr>
            </w:pPr>
            <w:r>
              <w:rPr>
                <w:rFonts w:ascii="Arial" w:cs="Arial" w:eastAsia="Arial" w:hAnsi="Arial"/>
                <w:sz w:val="14"/>
                <w:szCs w:val="14"/>
                <w:color w:val="auto"/>
              </w:rPr>
              <w:t>Life (Years)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color w:val="auto"/>
                <w:w w:val="94"/>
              </w:rPr>
              <w:t>($000’s)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28,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3,054,724</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37,601</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32,845</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55.37</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(32,462)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28.00</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49.75</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June 27,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3,048,391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42.82</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43,917</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52,594</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59.27</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(62,728)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39.13</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(24,516)</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51.83</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26,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3,013,741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43.11</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38,595</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293,215</w:t>
            </w:r>
          </w:p>
        </w:tc>
        <w:tc>
          <w:tcPr>
            <w:tcW w:w="100" w:type="dxa"/>
            <w:vAlign w:val="bottom"/>
          </w:tcPr>
          <w:p>
            <w:pPr>
              <w:spacing w:after="0"/>
              <w:rPr>
                <w:sz w:val="24"/>
                <w:szCs w:val="24"/>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52.94</w:t>
            </w: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(51,318)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40.19</w:t>
            </w:r>
          </w:p>
        </w:tc>
        <w:tc>
          <w:tcPr>
            <w:tcW w:w="3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Forfeited</w:t>
            </w:r>
          </w:p>
        </w:tc>
        <w:tc>
          <w:tcPr>
            <w:tcW w:w="1520" w:type="dxa"/>
            <w:vAlign w:val="bottom"/>
            <w:gridSpan w:val="2"/>
          </w:tcPr>
          <w:p>
            <w:pPr>
              <w:jc w:val="right"/>
              <w:ind w:right="620"/>
              <w:spacing w:after="0"/>
              <w:rPr>
                <w:sz w:val="20"/>
                <w:szCs w:val="20"/>
                <w:color w:val="auto"/>
              </w:rPr>
            </w:pPr>
            <w:r>
              <w:rPr>
                <w:rFonts w:ascii="Arial" w:cs="Arial" w:eastAsia="Arial" w:hAnsi="Arial"/>
                <w:sz w:val="18"/>
                <w:szCs w:val="18"/>
                <w:color w:val="auto"/>
              </w:rPr>
              <w:t>(50,827)</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42.27</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3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26, 2009</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3,204,811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44.07</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3.85</w:t>
            </w:r>
          </w:p>
        </w:tc>
        <w:tc>
          <w:tcPr>
            <w:tcW w:w="11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$ 37,758</w:t>
            </w:r>
          </w:p>
        </w:tc>
        <w:tc>
          <w:tcPr>
            <w:tcW w:w="0" w:type="dxa"/>
            <w:vAlign w:val="bottom"/>
          </w:tcPr>
          <w:p>
            <w:pPr>
              <w:spacing w:after="0"/>
              <w:rPr>
                <w:sz w:val="1"/>
                <w:szCs w:val="1"/>
                <w:color w:val="auto"/>
              </w:rPr>
            </w:pPr>
          </w:p>
        </w:tc>
      </w:tr>
      <w:tr>
        <w:trPr>
          <w:trHeight w:val="20"/>
        </w:trPr>
        <w:tc>
          <w:tcPr>
            <w:tcW w:w="640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00" w:type="dxa"/>
            <w:vAlign w:val="bottom"/>
            <w:gridSpan w:val="2"/>
          </w:tcPr>
          <w:p>
            <w:pPr>
              <w:spacing w:after="0"/>
              <w:rPr>
                <w:sz w:val="20"/>
                <w:szCs w:val="20"/>
                <w:color w:val="auto"/>
              </w:rPr>
            </w:pPr>
            <w:r>
              <w:rPr>
                <w:rFonts w:ascii="Arial" w:cs="Arial" w:eastAsia="Arial" w:hAnsi="Arial"/>
                <w:sz w:val="18"/>
                <w:szCs w:val="18"/>
                <w:color w:val="auto"/>
              </w:rPr>
              <w:t>Exercisable at December 26, 2009</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2,243,325</w:t>
            </w:r>
          </w:p>
        </w:tc>
        <w:tc>
          <w:tcPr>
            <w:tcW w:w="6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40.07</w:t>
            </w:r>
          </w:p>
        </w:tc>
        <w:tc>
          <w:tcPr>
            <w:tcW w:w="1360" w:type="dxa"/>
            <w:vAlign w:val="bottom"/>
            <w:gridSpan w:val="3"/>
          </w:tcPr>
          <w:p>
            <w:pPr>
              <w:jc w:val="right"/>
              <w:ind w:right="340"/>
              <w:spacing w:after="0"/>
              <w:rPr>
                <w:sz w:val="20"/>
                <w:szCs w:val="20"/>
                <w:color w:val="auto"/>
              </w:rPr>
            </w:pPr>
            <w:r>
              <w:rPr>
                <w:rFonts w:ascii="Arial" w:cs="Arial" w:eastAsia="Arial" w:hAnsi="Arial"/>
                <w:sz w:val="18"/>
                <w:szCs w:val="18"/>
                <w:color w:val="auto"/>
              </w:rPr>
              <w:t>3.09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Vested or expected to vest at December 26, 2009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2,996,737</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43.44</w:t>
            </w:r>
          </w:p>
        </w:tc>
        <w:tc>
          <w:tcPr>
            <w:tcW w:w="13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total intrinsic value of options exercised during the three month period ended December 26, 2009 and December 27, 2008, was $0.8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$2.8 million, respectively, and $2.7 million and $21.6 million for the nine month period ended December 26, 2009 and December 27, 2008, respectively.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December 26, 2009 and December 27, 2008, there was $10.9 million and $13.8 million, respectively, of total unrecognized compensation cost related to non vested stock options. That cost is expected to be recognized over a weighted average period of 2.6 years and 2.4 years, respectively. The total fair value of shares fully vested during the nine months ended December 26, 2009 was $25.9 million and during the nine months ended December 27, 2008 was $29.0 million.</w:t>
      </w:r>
    </w:p>
    <w:p>
      <w:pPr>
        <w:spacing w:after="0" w:line="7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weighted average fair value for our options granted in the first nine months of fiscal year 2010 and 2009 was $14.92 and $16.67, respectively. The assumptions utilized for option grants during the periods presented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920" w:type="dxa"/>
            <w:vAlign w:val="bottom"/>
          </w:tcPr>
          <w:p>
            <w:pPr>
              <w:spacing w:after="0"/>
              <w:rPr>
                <w:sz w:val="14"/>
                <w:szCs w:val="14"/>
                <w:color w:val="auto"/>
              </w:rPr>
            </w:pPr>
          </w:p>
        </w:tc>
        <w:tc>
          <w:tcPr>
            <w:tcW w:w="2500" w:type="dxa"/>
            <w:vAlign w:val="bottom"/>
            <w:gridSpan w:val="4"/>
          </w:tcPr>
          <w:p>
            <w:pPr>
              <w:jc w:val="right"/>
              <w:ind w:right="760"/>
              <w:spacing w:after="0"/>
              <w:rPr>
                <w:sz w:val="20"/>
                <w:szCs w:val="20"/>
                <w:color w:val="auto"/>
              </w:rPr>
            </w:pPr>
            <w:r>
              <w:rPr>
                <w:rFonts w:ascii="Arial" w:cs="Arial" w:eastAsia="Arial" w:hAnsi="Arial"/>
                <w:sz w:val="14"/>
                <w:szCs w:val="14"/>
                <w:color w:val="auto"/>
              </w:rPr>
              <w:t>Nine Months Ended</w:t>
            </w:r>
          </w:p>
        </w:tc>
      </w:tr>
      <w:tr>
        <w:trPr>
          <w:trHeight w:val="123"/>
        </w:trPr>
        <w:tc>
          <w:tcPr>
            <w:tcW w:w="8920" w:type="dxa"/>
            <w:vAlign w:val="bottom"/>
          </w:tcPr>
          <w:p>
            <w:pPr>
              <w:spacing w:after="0"/>
              <w:rPr>
                <w:sz w:val="10"/>
                <w:szCs w:val="10"/>
                <w:color w:val="auto"/>
              </w:rPr>
            </w:pPr>
          </w:p>
        </w:tc>
        <w:tc>
          <w:tcPr>
            <w:tcW w:w="1520" w:type="dxa"/>
            <w:vAlign w:val="bottom"/>
            <w:tcBorders>
              <w:top w:val="single" w:sz="8" w:color="auto"/>
            </w:tcBorders>
            <w:gridSpan w:val="2"/>
          </w:tcPr>
          <w:p>
            <w:pPr>
              <w:jc w:val="right"/>
              <w:ind w:right="700"/>
              <w:spacing w:after="0" w:line="123" w:lineRule="exact"/>
              <w:rPr>
                <w:sz w:val="20"/>
                <w:szCs w:val="20"/>
                <w:color w:val="auto"/>
              </w:rPr>
            </w:pPr>
            <w:r>
              <w:rPr>
                <w:rFonts w:ascii="Arial" w:cs="Arial" w:eastAsia="Arial" w:hAnsi="Arial"/>
                <w:sz w:val="14"/>
                <w:szCs w:val="14"/>
                <w:color w:val="auto"/>
                <w:w w:val="90"/>
              </w:rPr>
              <w:t>December 26,</w:t>
            </w:r>
          </w:p>
        </w:tc>
        <w:tc>
          <w:tcPr>
            <w:tcW w:w="8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w w:val="90"/>
              </w:rPr>
              <w:t>December 27,</w:t>
            </w:r>
          </w:p>
        </w:tc>
        <w:tc>
          <w:tcPr>
            <w:tcW w:w="160" w:type="dxa"/>
            <w:vAlign w:val="bottom"/>
          </w:tcPr>
          <w:p>
            <w:pPr>
              <w:spacing w:after="0"/>
              <w:rPr>
                <w:sz w:val="10"/>
                <w:szCs w:val="10"/>
                <w:color w:val="auto"/>
              </w:rPr>
            </w:pPr>
          </w:p>
        </w:tc>
      </w:tr>
      <w:tr>
        <w:trPr>
          <w:trHeight w:val="167"/>
        </w:trPr>
        <w:tc>
          <w:tcPr>
            <w:tcW w:w="8920" w:type="dxa"/>
            <w:vAlign w:val="bottom"/>
          </w:tcPr>
          <w:p>
            <w:pPr>
              <w:spacing w:after="0"/>
              <w:rPr>
                <w:sz w:val="14"/>
                <w:szCs w:val="14"/>
                <w:color w:val="auto"/>
              </w:rPr>
            </w:pPr>
          </w:p>
        </w:tc>
        <w:tc>
          <w:tcPr>
            <w:tcW w:w="8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2009</w:t>
            </w:r>
          </w:p>
        </w:tc>
        <w:tc>
          <w:tcPr>
            <w:tcW w:w="700" w:type="dxa"/>
            <w:vAlign w:val="bottom"/>
          </w:tcPr>
          <w:p>
            <w:pPr>
              <w:spacing w:after="0"/>
              <w:rPr>
                <w:sz w:val="14"/>
                <w:szCs w:val="14"/>
                <w:color w:val="auto"/>
              </w:rPr>
            </w:pPr>
          </w:p>
        </w:tc>
        <w:tc>
          <w:tcPr>
            <w:tcW w:w="8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color w:val="auto"/>
              </w:rPr>
              <w:t>2008</w:t>
            </w:r>
          </w:p>
        </w:tc>
        <w:tc>
          <w:tcPr>
            <w:tcW w:w="160" w:type="dxa"/>
            <w:vAlign w:val="bottom"/>
          </w:tcPr>
          <w:p>
            <w:pPr>
              <w:spacing w:after="0"/>
              <w:rPr>
                <w:sz w:val="14"/>
                <w:szCs w:val="14"/>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Black-Scholes assumptions (weighted average):</w:t>
            </w:r>
          </w:p>
        </w:tc>
        <w:tc>
          <w:tcPr>
            <w:tcW w:w="8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Volatility</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28.34%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29.79%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Expected life (years)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7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r>
      <w:tr>
        <w:trPr>
          <w:trHeight w:val="216"/>
        </w:trPr>
        <w:tc>
          <w:tcPr>
            <w:tcW w:w="8920" w:type="dxa"/>
            <w:vAlign w:val="bottom"/>
          </w:tcPr>
          <w:p>
            <w:pPr>
              <w:ind w:left="220"/>
              <w:spacing w:after="0"/>
              <w:rPr>
                <w:sz w:val="20"/>
                <w:szCs w:val="20"/>
                <w:color w:val="auto"/>
              </w:rPr>
            </w:pPr>
            <w:r>
              <w:rPr>
                <w:rFonts w:ascii="Arial" w:cs="Arial" w:eastAsia="Arial" w:hAnsi="Arial"/>
                <w:sz w:val="18"/>
                <w:szCs w:val="18"/>
                <w:color w:val="auto"/>
              </w:rPr>
              <w:t>Risk-free interest rate</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2.46%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8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yield</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0.00%</w:t>
            </w:r>
          </w:p>
        </w:tc>
      </w:tr>
    </w:tbl>
    <w:p>
      <w:pPr>
        <w:spacing w:after="0" w:line="94"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As of December 26, 2009 and December 27, 2008, there was $0.1 and $0.3 million, respectively, of total unrecognized compensation cost related to non vested restricted stock awards. That cost is expected to be recognized over a weighted average period of 1.4 years and 1.9 years, respectively. The total fair value of restricted stock awards vested was $0.1 million for both the nine months ended December 26, 2009 and December 27, 2008.</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awards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6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color w:val="auto"/>
              </w:rPr>
              <w:t>Shares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7"/>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28, 2009</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10,956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Released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(2,500)</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27, 2009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51.82</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Canceled</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color w:val="auto"/>
              </w:rPr>
              <w:t>(3,456)</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57.22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26, 2009</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3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0"/>
        </w:trPr>
        <w:tc>
          <w:tcPr>
            <w:tcW w:w="9280" w:type="dxa"/>
            <w:vAlign w:val="bottom"/>
            <w:gridSpan w:val="2"/>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80" w:type="dxa"/>
            <w:vAlign w:val="bottom"/>
            <w:gridSpan w:val="2"/>
          </w:tcPr>
          <w:p>
            <w:pPr>
              <w:spacing w:after="0"/>
              <w:rPr>
                <w:sz w:val="20"/>
                <w:szCs w:val="20"/>
                <w:color w:val="auto"/>
              </w:rPr>
            </w:pPr>
            <w:r>
              <w:rPr>
                <w:rFonts w:ascii="Arial" w:cs="Arial" w:eastAsia="Arial" w:hAnsi="Arial"/>
                <w:sz w:val="18"/>
                <w:szCs w:val="18"/>
                <w:color w:val="auto"/>
              </w:rPr>
              <w:t>Nonvested at December 26, 2009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w:t>
            </w:r>
          </w:p>
        </w:tc>
        <w:tc>
          <w:tcPr>
            <w:tcW w:w="360" w:type="dxa"/>
            <w:vAlign w:val="bottom"/>
          </w:tcPr>
          <w:p>
            <w:pPr>
              <w:spacing w:after="0"/>
              <w:rPr>
                <w:sz w:val="24"/>
                <w:szCs w:val="24"/>
                <w:color w:val="auto"/>
              </w:rPr>
            </w:pP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As of December 26, 2009 and December 27, 2008, there was $4.5 million and $4.2 million, respectively, of total unrecognized compensation cost related to non vested restricted stock units. That cost is expected to be recognized over a weighted average period of 2.6 years and 3.4 years, respectively. The total fair value of shares fully vested was $1.5 million and $0.8 million for the nine months ended December 26, 2009 and December 27, 2008, respectively.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information related to restricted stock units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Market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140" w:type="dxa"/>
            <w:vAlign w:val="bottom"/>
          </w:tcPr>
          <w:p>
            <w:pPr>
              <w:spacing w:after="0"/>
              <w:rPr>
                <w:sz w:val="14"/>
                <w:szCs w:val="14"/>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Shares</w:t>
            </w:r>
          </w:p>
        </w:tc>
        <w:tc>
          <w:tcPr>
            <w:tcW w:w="680" w:type="dxa"/>
            <w:vAlign w:val="bottom"/>
          </w:tcPr>
          <w:p>
            <w:pPr>
              <w:spacing w:after="0"/>
              <w:rPr>
                <w:sz w:val="14"/>
                <w:szCs w:val="14"/>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at Grant Date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March 28, 2009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102,302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53.48</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2,501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(598)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52.66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June 27, 2009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103,916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53.50</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6,716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(3,324)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(2,639)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51.89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26, 2009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104,669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53.88</w:t>
            </w:r>
          </w:p>
        </w:tc>
        <w:tc>
          <w:tcPr>
            <w:tcW w:w="0" w:type="dxa"/>
            <w:vAlign w:val="bottom"/>
          </w:tcPr>
          <w:p>
            <w:pPr>
              <w:spacing w:after="0"/>
              <w:rPr>
                <w:sz w:val="1"/>
                <w:szCs w:val="1"/>
                <w:color w:val="auto"/>
              </w:rPr>
            </w:pPr>
          </w:p>
        </w:tc>
      </w:tr>
      <w:tr>
        <w:trPr>
          <w:trHeight w:val="20"/>
        </w:trPr>
        <w:tc>
          <w:tcPr>
            <w:tcW w:w="9160" w:type="dxa"/>
            <w:vAlign w:val="bottom"/>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1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33,376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(23,626)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(3,689)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52.70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14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26, 2009</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110,730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As of December 26, 2009 and December 27, 2008, there was $0.2 million and $0.3 million, respectively, of total unrecognized compensation expense, net of estimated forfeitures, related to the Employee Stock Purchase Plan (“ESPP”) shares. That cost is recognized over the remaining purchase period.</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During the nine months ended December 26, 2009 and December 27, 2008, there were 66,100 and 59,263 shares purchased under the ESPP,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They were purchased at $44.01 and $44.86 per share under the ESPP, respectively.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ACCOUNTING FOR SHIPPING AND HANDLING COSTS</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Shipping and handling costs are included in cost of goods sold with the exception of $3.0 million and $3.1 million for the three months ended December 26, 2009 and December 27, 2008, respectively, and $8.8 million and $9.0 million for the nine months ended December 26, 2009 and December 27, 2008, respectively, that are included in selling, general, and administrative expenses. Freight is classified in cost of goods sold when the customer is charged for freight and in selling, general and administration when the customer is not explicitly charged for freight.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PRODUCT WARRANTIES</w:t>
      </w:r>
    </w:p>
    <w:p>
      <w:pPr>
        <w:spacing w:after="0" w:line="121"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We generally provide a warranty on parts and labor for one year after the sale and installation of each device. We also warrant our disposables products through their use or expiration. We estimate our potential warranty expense based on our historical warranty experience, and we periodically assess the adequacy of our warranty accrual and make adjustments as necessary.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7"/>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23"/>
        </w:trPr>
        <w:tc>
          <w:tcPr>
            <w:tcW w:w="9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December 26,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27,</w:t>
            </w:r>
          </w:p>
        </w:tc>
        <w:tc>
          <w:tcPr>
            <w:tcW w:w="100" w:type="dxa"/>
            <w:vAlign w:val="bottom"/>
          </w:tcPr>
          <w:p>
            <w:pPr>
              <w:spacing w:after="0"/>
              <w:rPr>
                <w:sz w:val="10"/>
                <w:szCs w:val="10"/>
                <w:color w:val="auto"/>
              </w:rPr>
            </w:pPr>
          </w:p>
        </w:tc>
      </w:tr>
      <w:tr>
        <w:trPr>
          <w:trHeight w:val="167"/>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5"/>
          </w:tcPr>
          <w:p>
            <w:pPr>
              <w:jc w:val="center"/>
              <w:ind w:left="378"/>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992</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Warranty provision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(805)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9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20" w:type="dxa"/>
            <w:vAlign w:val="bottom"/>
            <w:gridSpan w:val="7"/>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23"/>
        </w:trPr>
        <w:tc>
          <w:tcPr>
            <w:tcW w:w="90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Borders>
              <w:top w:val="single" w:sz="8" w:color="auto"/>
            </w:tcBorders>
            <w:gridSpan w:val="4"/>
          </w:tcPr>
          <w:p>
            <w:pPr>
              <w:spacing w:after="0" w:line="123" w:lineRule="exact"/>
              <w:rPr>
                <w:sz w:val="20"/>
                <w:szCs w:val="20"/>
                <w:color w:val="auto"/>
              </w:rPr>
            </w:pPr>
            <w:r>
              <w:rPr>
                <w:rFonts w:ascii="Arial" w:cs="Arial" w:eastAsia="Arial" w:hAnsi="Arial"/>
                <w:sz w:val="14"/>
                <w:szCs w:val="14"/>
                <w:color w:val="auto"/>
              </w:rPr>
              <w:t>December 26,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27,</w:t>
            </w:r>
          </w:p>
        </w:tc>
        <w:tc>
          <w:tcPr>
            <w:tcW w:w="100" w:type="dxa"/>
            <w:vAlign w:val="bottom"/>
          </w:tcPr>
          <w:p>
            <w:pPr>
              <w:spacing w:after="0"/>
              <w:rPr>
                <w:sz w:val="10"/>
                <w:szCs w:val="10"/>
                <w:color w:val="auto"/>
              </w:rPr>
            </w:pPr>
          </w:p>
        </w:tc>
      </w:tr>
      <w:tr>
        <w:trPr>
          <w:trHeight w:val="167"/>
        </w:trPr>
        <w:tc>
          <w:tcPr>
            <w:tcW w:w="9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8"/>
              <w:spacing w:after="0"/>
              <w:rPr>
                <w:sz w:val="20"/>
                <w:szCs w:val="20"/>
                <w:color w:val="auto"/>
              </w:rPr>
            </w:pPr>
            <w:r>
              <w:rPr>
                <w:rFonts w:ascii="Arial" w:cs="Arial" w:eastAsia="Arial" w:hAnsi="Arial"/>
                <w:sz w:val="14"/>
                <w:szCs w:val="14"/>
                <w:color w:val="auto"/>
              </w:rPr>
              <w:t>2009</w:t>
            </w: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9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5"/>
          </w:tcPr>
          <w:p>
            <w:pPr>
              <w:jc w:val="center"/>
              <w:ind w:left="378"/>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Warranty accrual as of the beginning of the period</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1,835</w:t>
            </w:r>
          </w:p>
        </w:tc>
        <w:tc>
          <w:tcPr>
            <w:tcW w:w="3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929</w:t>
            </w: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Warranty provision</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857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1,296</w:t>
            </w:r>
          </w:p>
        </w:tc>
      </w:tr>
      <w:tr>
        <w:trPr>
          <w:trHeight w:val="216"/>
        </w:trPr>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Warranty spending</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(1,548)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(1,049)</w:t>
            </w:r>
          </w:p>
        </w:tc>
      </w:tr>
      <w:tr>
        <w:trPr>
          <w:trHeight w:val="223"/>
        </w:trPr>
        <w:tc>
          <w:tcPr>
            <w:tcW w:w="9020" w:type="dxa"/>
            <w:vAlign w:val="bottom"/>
          </w:tcPr>
          <w:p>
            <w:pPr>
              <w:spacing w:after="0"/>
              <w:rPr>
                <w:sz w:val="20"/>
                <w:szCs w:val="20"/>
                <w:color w:val="auto"/>
              </w:rPr>
            </w:pPr>
            <w:r>
              <w:rPr>
                <w:rFonts w:ascii="Arial" w:cs="Arial" w:eastAsia="Arial" w:hAnsi="Arial"/>
                <w:sz w:val="18"/>
                <w:szCs w:val="18"/>
                <w:color w:val="auto"/>
              </w:rPr>
              <w:t>Warranty accrual as of the end of the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r>
      <w:tr>
        <w:trPr>
          <w:trHeight w:val="20"/>
        </w:trPr>
        <w:tc>
          <w:tcPr>
            <w:tcW w:w="9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COMPREHENSIVE INCOME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Comprehensive income is the total of net income and all other non-owner changes in stockholders’ equity. Other non-owner changes are primarily foreign currency translation, the change in our net minimum pension liability, and the changes in fair value of the effective portion of our outstanding cash flow hedge contracts.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components of other comprehensive income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rPr>
              <w:t>For the three months ended</w:t>
            </w:r>
          </w:p>
        </w:tc>
        <w:tc>
          <w:tcPr>
            <w:tcW w:w="6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December 26, 2009</w:t>
            </w:r>
          </w:p>
        </w:tc>
        <w:tc>
          <w:tcPr>
            <w:tcW w:w="32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27,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18,286</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16,216</w:t>
            </w:r>
          </w:p>
        </w:tc>
        <w:tc>
          <w:tcPr>
            <w:tcW w:w="0" w:type="dxa"/>
            <w:vAlign w:val="bottom"/>
          </w:tcPr>
          <w:p>
            <w:pPr>
              <w:spacing w:after="0"/>
              <w:rPr>
                <w:sz w:val="1"/>
                <w:szCs w:val="1"/>
                <w:color w:val="auto"/>
              </w:rPr>
            </w:pPr>
          </w:p>
        </w:tc>
      </w:tr>
      <w:tr>
        <w:trPr>
          <w:trHeight w:val="439"/>
        </w:trPr>
        <w:tc>
          <w:tcPr>
            <w:tcW w:w="75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(1,349)</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Unrealized gain/(loss) on cash flow hedges, net of tax</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1,427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losses, net of tax</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1,456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19,820</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5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5"/>
          </w:tcPr>
          <w:p>
            <w:pPr>
              <w:jc w:val="right"/>
              <w:ind w:right="59"/>
              <w:spacing w:after="0"/>
              <w:rPr>
                <w:sz w:val="20"/>
                <w:szCs w:val="20"/>
                <w:color w:val="auto"/>
              </w:rPr>
            </w:pPr>
            <w:r>
              <w:rPr>
                <w:rFonts w:ascii="Arial" w:cs="Arial" w:eastAsia="Arial" w:hAnsi="Arial"/>
                <w:sz w:val="14"/>
                <w:szCs w:val="14"/>
                <w:b w:val="1"/>
                <w:bCs w:val="1"/>
                <w:color w:val="auto"/>
              </w:rPr>
              <w:t>For the nine months ended</w:t>
            </w:r>
          </w:p>
        </w:tc>
        <w:tc>
          <w:tcPr>
            <w:tcW w:w="6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560" w:type="dxa"/>
            <w:vAlign w:val="bottom"/>
            <w:gridSpan w:val="2"/>
            <w:vMerge w:val="continue"/>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w w:val="90"/>
              </w:rPr>
              <w:t>December 26, 2009</w:t>
            </w:r>
          </w:p>
        </w:tc>
        <w:tc>
          <w:tcPr>
            <w:tcW w:w="320" w:type="dxa"/>
            <w:vAlign w:val="bottom"/>
          </w:tcPr>
          <w:p>
            <w:pPr>
              <w:spacing w:after="0"/>
              <w:rPr>
                <w:sz w:val="12"/>
                <w:szCs w:val="12"/>
                <w:color w:val="auto"/>
              </w:rPr>
            </w:pPr>
          </w:p>
        </w:tc>
        <w:tc>
          <w:tcPr>
            <w:tcW w:w="12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December 27, 2008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3"/>
            <w:shd w:val="clear" w:color="auto" w:fill="CCEEFF"/>
          </w:tcPr>
          <w:p>
            <w:pPr>
              <w:jc w:val="right"/>
              <w:ind w:right="259"/>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54,409</w:t>
            </w: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45,365</w:t>
            </w:r>
          </w:p>
        </w:tc>
        <w:tc>
          <w:tcPr>
            <w:tcW w:w="0" w:type="dxa"/>
            <w:vAlign w:val="bottom"/>
          </w:tcPr>
          <w:p>
            <w:pPr>
              <w:spacing w:after="0"/>
              <w:rPr>
                <w:sz w:val="1"/>
                <w:szCs w:val="1"/>
                <w:color w:val="auto"/>
              </w:rPr>
            </w:pPr>
          </w:p>
        </w:tc>
      </w:tr>
      <w:tr>
        <w:trPr>
          <w:trHeight w:val="439"/>
        </w:trPr>
        <w:tc>
          <w:tcPr>
            <w:tcW w:w="756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4,706</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Unrealized (loss)/gain on cash flow hedges, net of tax</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gridSpan w:val="3"/>
          </w:tcPr>
          <w:p>
            <w:pPr>
              <w:jc w:val="right"/>
              <w:ind w:right="320"/>
              <w:spacing w:after="0"/>
              <w:rPr>
                <w:sz w:val="20"/>
                <w:szCs w:val="20"/>
                <w:color w:val="auto"/>
              </w:rPr>
            </w:pPr>
            <w:r>
              <w:rPr>
                <w:rFonts w:ascii="Arial" w:cs="Arial" w:eastAsia="Arial" w:hAnsi="Arial"/>
                <w:sz w:val="18"/>
                <w:szCs w:val="18"/>
                <w:color w:val="auto"/>
              </w:rPr>
              <w:t>(2,836)</w:t>
            </w: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Reclassifications into earnings of cash flow hedge (gains)/losses, net of tax</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442</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60" w:type="dxa"/>
            <w:vAlign w:val="bottom"/>
            <w:gridSpan w:val="2"/>
          </w:tcPr>
          <w:p>
            <w:pPr>
              <w:spacing w:after="0"/>
              <w:rPr>
                <w:sz w:val="20"/>
                <w:szCs w:val="20"/>
                <w:color w:val="auto"/>
              </w:rPr>
            </w:pPr>
            <w:r>
              <w:rPr>
                <w:rFonts w:ascii="Arial" w:cs="Arial" w:eastAsia="Arial" w:hAnsi="Arial"/>
                <w:sz w:val="18"/>
                <w:szCs w:val="18"/>
                <w:color w:val="auto"/>
              </w:rPr>
              <w:t>Total comprehensive income</w:t>
            </w:r>
          </w:p>
        </w:tc>
        <w:tc>
          <w:tcPr>
            <w:tcW w:w="6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56,721</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color w:val="auto"/>
        </w:rPr>
        <w:t>.</w:t>
      </w:r>
      <w:r>
        <w:rPr>
          <w:rFonts w:ascii="Arial" w:cs="Arial" w:eastAsia="Arial" w:hAnsi="Arial"/>
          <w:sz w:val="18"/>
          <w:szCs w:val="18"/>
          <w:b w:val="1"/>
          <w:bCs w:val="1"/>
          <w:color w:val="auto"/>
        </w:rPr>
        <w:t xml:space="preserve"> INVENTORIES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Inventories are stated at the lower of cost or market and include the cost of material, labor and manufacturing overhead. Cost is determined on the first-in, first-out method.</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780" w:type="dxa"/>
            <w:vAlign w:val="bottom"/>
            <w:gridSpan w:val="3"/>
          </w:tcPr>
          <w:p>
            <w:pPr>
              <w:spacing w:after="0"/>
              <w:rPr>
                <w:sz w:val="20"/>
                <w:szCs w:val="20"/>
                <w:color w:val="auto"/>
              </w:rPr>
            </w:pPr>
            <w:r>
              <w:rPr>
                <w:rFonts w:ascii="Arial" w:cs="Arial" w:eastAsia="Arial" w:hAnsi="Arial"/>
                <w:sz w:val="14"/>
                <w:szCs w:val="14"/>
                <w:color w:val="auto"/>
              </w:rPr>
              <w:t>December 26, 2009</w:t>
            </w:r>
          </w:p>
        </w:tc>
        <w:tc>
          <w:tcPr>
            <w:tcW w:w="1020" w:type="dxa"/>
            <w:vAlign w:val="bottom"/>
            <w:gridSpan w:val="4"/>
          </w:tcPr>
          <w:p>
            <w:pPr>
              <w:spacing w:after="0"/>
              <w:rPr>
                <w:sz w:val="20"/>
                <w:szCs w:val="20"/>
                <w:color w:val="auto"/>
              </w:rPr>
            </w:pPr>
            <w:r>
              <w:rPr>
                <w:rFonts w:ascii="Arial" w:cs="Arial" w:eastAsia="Arial" w:hAnsi="Arial"/>
                <w:sz w:val="14"/>
                <w:szCs w:val="14"/>
                <w:color w:val="auto"/>
              </w:rPr>
              <w:t>March 28,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2"/>
          </w:tcPr>
          <w:p>
            <w:pPr>
              <w:ind w:left="580"/>
              <w:spacing w:after="0" w:line="142" w:lineRule="exact"/>
              <w:rPr>
                <w:sz w:val="20"/>
                <w:szCs w:val="20"/>
                <w:color w:val="auto"/>
              </w:rPr>
            </w:pPr>
            <w:r>
              <w:rPr>
                <w:rFonts w:ascii="Arial" w:cs="Arial" w:eastAsia="Arial" w:hAnsi="Arial"/>
                <w:sz w:val="14"/>
                <w:szCs w:val="14"/>
                <w:color w:val="auto"/>
                <w:w w:val="92"/>
              </w:rPr>
              <w:t>(in thousands)</w:t>
            </w: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25,744</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Work-in-process</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4,492</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48,570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44,012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78,806</w:t>
            </w:r>
          </w:p>
        </w:tc>
        <w:tc>
          <w:tcPr>
            <w:tcW w:w="6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76,522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9</w:t>
            </w:r>
            <w:r>
              <w:rPr>
                <w:rFonts w:ascii="Arial" w:cs="Arial" w:eastAsia="Arial" w:hAnsi="Arial"/>
                <w:sz w:val="18"/>
                <w:szCs w:val="18"/>
                <w:color w:val="auto"/>
              </w:rPr>
              <w:t>.</w:t>
            </w:r>
            <w:r>
              <w:rPr>
                <w:rFonts w:ascii="Arial" w:cs="Arial" w:eastAsia="Arial" w:hAnsi="Arial"/>
                <w:sz w:val="18"/>
                <w:szCs w:val="18"/>
                <w:b w:val="1"/>
                <w:bCs w:val="1"/>
                <w:color w:val="auto"/>
              </w:rPr>
              <w:t xml:space="preserve"> GOODWILL, OTHER INTANGIBLE ASSETS, AND ACQUISITIONS</w:t>
            </w: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2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620" w:type="dxa"/>
            <w:vAlign w:val="bottom"/>
            <w:gridSpan w:val="2"/>
          </w:tcPr>
          <w:p>
            <w:pPr>
              <w:spacing w:after="0"/>
              <w:rPr>
                <w:sz w:val="20"/>
                <w:szCs w:val="20"/>
                <w:color w:val="auto"/>
              </w:rPr>
            </w:pPr>
            <w:r>
              <w:rPr>
                <w:rFonts w:ascii="Arial" w:cs="Arial" w:eastAsia="Arial" w:hAnsi="Arial"/>
                <w:sz w:val="18"/>
                <w:szCs w:val="18"/>
                <w:b w:val="1"/>
                <w:bCs w:val="1"/>
                <w:color w:val="auto"/>
              </w:rPr>
              <w:t>Goodwill</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400" w:type="dxa"/>
            <w:vAlign w:val="bottom"/>
            <w:gridSpan w:val="5"/>
          </w:tcPr>
          <w:p>
            <w:pPr>
              <w:spacing w:after="0"/>
              <w:rPr>
                <w:sz w:val="20"/>
                <w:szCs w:val="20"/>
                <w:color w:val="auto"/>
              </w:rPr>
            </w:pPr>
            <w:r>
              <w:rPr>
                <w:rFonts w:ascii="Arial" w:cs="Arial" w:eastAsia="Arial" w:hAnsi="Arial"/>
                <w:sz w:val="18"/>
                <w:szCs w:val="18"/>
                <w:color w:val="auto"/>
              </w:rPr>
              <w:t>The change in the carrying amount of our goodwill during the nine months ended December 26, 2009 is as follows (in thousands):</w:t>
            </w: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March 28, 2009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SEBRA (a)</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L’Attitude Medical Systems Inc. (Neoteric) (b)</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Altivation Software Inc. (c)</w:t>
            </w: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Medicell Ltd. (d)</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Effect of change in rates used for translation</w:t>
            </w: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Carrying amount as of December 26, 2009</w:t>
            </w: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71,255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13036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49"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description of the acquisition of SEBRA ®, which occurred on September 4, 2009, is included later in this footnote.</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A description of the acquisition of L’Attitude Medical Systems, Inc. (“Neoteric”), which occurred on April 16, 2009, is included later in this footnote.</w:t>
      </w:r>
    </w:p>
    <w:p>
      <w:pPr>
        <w:spacing w:after="0" w:line="142"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Acquisitions, in our fiscal year 2009 Form 10-K for a full description of the acquisition of Altivation Software (“Altivation”), which occurred on March 27, 2009.</w:t>
      </w:r>
    </w:p>
    <w:p>
      <w:pPr>
        <w:spacing w:after="0" w:line="75" w:lineRule="exact"/>
        <w:rPr>
          <w:rFonts w:ascii="Arial" w:cs="Arial" w:eastAsia="Arial" w:hAnsi="Arial"/>
          <w:sz w:val="18"/>
          <w:szCs w:val="18"/>
          <w:color w:val="auto"/>
        </w:rPr>
      </w:pPr>
    </w:p>
    <w:p>
      <w:pPr>
        <w:ind w:left="340" w:right="36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Note 3, Acqusitions, in our fiscal year 2009 Form 10-K for a full description of the acquisition of Medicell Ltd. (“Medicell”), which occurred on April 4, 2008.</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Intangible Assets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91"/>
              </w:rPr>
              <w:t>Gross Carrying</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9"/>
              </w:rPr>
              <w:t>Amount</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Amortization</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7060" w:type="dxa"/>
            <w:vAlign w:val="bottom"/>
            <w:gridSpan w:val="2"/>
          </w:tcPr>
          <w:p>
            <w:pPr>
              <w:spacing w:after="0"/>
              <w:rPr>
                <w:sz w:val="20"/>
                <w:szCs w:val="20"/>
                <w:color w:val="auto"/>
              </w:rPr>
            </w:pPr>
            <w:r>
              <w:rPr>
                <w:rFonts w:ascii="Arial" w:cs="Arial" w:eastAsia="Arial" w:hAnsi="Arial"/>
                <w:sz w:val="14"/>
                <w:szCs w:val="14"/>
                <w:color w:val="auto"/>
              </w:rPr>
              <w:t>As of December 26, 2009</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right="700"/>
              <w:spacing w:after="0"/>
              <w:rPr>
                <w:sz w:val="20"/>
                <w:szCs w:val="20"/>
                <w:color w:val="auto"/>
              </w:rPr>
            </w:pPr>
            <w:r>
              <w:rPr>
                <w:rFonts w:ascii="Arial" w:cs="Arial" w:eastAsia="Arial" w:hAnsi="Arial"/>
                <w:sz w:val="14"/>
                <w:szCs w:val="14"/>
                <w:color w:val="auto"/>
                <w:w w:val="92"/>
              </w:rPr>
              <w:t>(in thousands)</w:t>
            </w:r>
          </w:p>
        </w:tc>
        <w:tc>
          <w:tcPr>
            <w:tcW w:w="14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11,886</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5,553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Capitalized software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22,528</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933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37,118</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13,377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32,936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10,686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1,116</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105,584</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31,088</w:t>
            </w:r>
          </w:p>
        </w:tc>
        <w:tc>
          <w:tcPr>
            <w:tcW w:w="6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91"/>
              </w:rPr>
              <w:t>Gross Carrying</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Accumulated</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right="800"/>
              <w:spacing w:after="0" w:line="149" w:lineRule="exact"/>
              <w:rPr>
                <w:sz w:val="20"/>
                <w:szCs w:val="20"/>
                <w:color w:val="auto"/>
              </w:rPr>
            </w:pPr>
            <w:r>
              <w:rPr>
                <w:rFonts w:ascii="Arial" w:cs="Arial" w:eastAsia="Arial" w:hAnsi="Arial"/>
                <w:sz w:val="14"/>
                <w:szCs w:val="14"/>
                <w:color w:val="auto"/>
                <w:w w:val="99"/>
              </w:rPr>
              <w:t>Amount</w:t>
            </w:r>
          </w:p>
        </w:tc>
        <w:tc>
          <w:tcPr>
            <w:tcW w:w="14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Amortization</w:t>
            </w:r>
          </w:p>
        </w:tc>
        <w:tc>
          <w:tcPr>
            <w:tcW w:w="7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9"/>
              </w:rPr>
              <w:t>Useful Life</w:t>
            </w:r>
          </w:p>
        </w:tc>
        <w:tc>
          <w:tcPr>
            <w:tcW w:w="0" w:type="dxa"/>
            <w:vAlign w:val="bottom"/>
          </w:tcPr>
          <w:p>
            <w:pPr>
              <w:spacing w:after="0"/>
              <w:rPr>
                <w:sz w:val="1"/>
                <w:szCs w:val="1"/>
                <w:color w:val="auto"/>
              </w:rPr>
            </w:pPr>
          </w:p>
        </w:tc>
      </w:tr>
      <w:tr>
        <w:trPr>
          <w:trHeight w:val="167"/>
        </w:trPr>
        <w:tc>
          <w:tcPr>
            <w:tcW w:w="7060" w:type="dxa"/>
            <w:vAlign w:val="bottom"/>
            <w:gridSpan w:val="2"/>
          </w:tcPr>
          <w:p>
            <w:pPr>
              <w:spacing w:after="0"/>
              <w:rPr>
                <w:sz w:val="20"/>
                <w:szCs w:val="20"/>
                <w:color w:val="auto"/>
              </w:rPr>
            </w:pPr>
            <w:r>
              <w:rPr>
                <w:rFonts w:ascii="Arial" w:cs="Arial" w:eastAsia="Arial" w:hAnsi="Arial"/>
                <w:sz w:val="14"/>
                <w:szCs w:val="14"/>
                <w:color w:val="auto"/>
              </w:rPr>
              <w:t>As of March 28, 2009</w:t>
            </w: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20" w:type="dxa"/>
            <w:vAlign w:val="bottom"/>
            <w:gridSpan w:val="4"/>
          </w:tcPr>
          <w:p>
            <w:pPr>
              <w:jc w:val="center"/>
              <w:ind w:right="700"/>
              <w:spacing w:after="0"/>
              <w:rPr>
                <w:sz w:val="20"/>
                <w:szCs w:val="20"/>
                <w:color w:val="auto"/>
              </w:rPr>
            </w:pPr>
            <w:r>
              <w:rPr>
                <w:rFonts w:ascii="Arial" w:cs="Arial" w:eastAsia="Arial" w:hAnsi="Arial"/>
                <w:sz w:val="14"/>
                <w:szCs w:val="14"/>
                <w:color w:val="auto"/>
                <w:w w:val="92"/>
              </w:rPr>
              <w:t>(in thousands)</w:t>
            </w:r>
          </w:p>
        </w:tc>
        <w:tc>
          <w:tcPr>
            <w:tcW w:w="148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(in years)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Patents</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12,008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4,945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Capitalized software</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18,994</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572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Other technology</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28,784</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Customer contracts and related relationships</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29,886</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8,240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7060" w:type="dxa"/>
            <w:vAlign w:val="bottom"/>
            <w:gridSpan w:val="2"/>
          </w:tcPr>
          <w:p>
            <w:pPr>
              <w:spacing w:after="0"/>
              <w:rPr>
                <w:sz w:val="20"/>
                <w:szCs w:val="20"/>
                <w:color w:val="auto"/>
              </w:rPr>
            </w:pPr>
            <w:r>
              <w:rPr>
                <w:rFonts w:ascii="Arial" w:cs="Arial" w:eastAsia="Arial" w:hAnsi="Arial"/>
                <w:sz w:val="18"/>
                <w:szCs w:val="18"/>
                <w:color w:val="auto"/>
              </w:rPr>
              <w:t>Total intangibles</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90,769</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25,508</w:t>
            </w:r>
          </w:p>
        </w:tc>
        <w:tc>
          <w:tcPr>
            <w:tcW w:w="66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On September 4, 2009, Haemonetics acquired the assets of the blood collection and processing business unit (“SEBRA”) of Engineering and Research Associates, Inc., a leading provider of blood and medical manufacturing technologies. SEBRA products, which include tubing sealers, blood shakers, sterile connection systems, mobile lounges and ancillary products used in blood collection and processing, complement Haemonetics’ portfolio and add even greater depth to Haemonetics Blood Bank and Plasma product lines. The acquisition will give Haemonetics entry into the whole blood collection market, an important strategic position as Haemonetics prepares to enter this market with an automated whole blood collection system. The purchase price was $12.8 million.</w:t>
      </w:r>
    </w:p>
    <w:p>
      <w:pPr>
        <w:spacing w:after="0" w:line="85" w:lineRule="exact"/>
        <w:rPr>
          <w:sz w:val="20"/>
          <w:szCs w:val="20"/>
          <w:color w:val="auto"/>
        </w:rPr>
      </w:pPr>
    </w:p>
    <w:p>
      <w:pPr>
        <w:spacing w:after="0"/>
        <w:rPr>
          <w:sz w:val="20"/>
          <w:szCs w:val="20"/>
          <w:color w:val="auto"/>
        </w:rPr>
      </w:pPr>
      <w:r>
        <w:rPr>
          <w:rFonts w:ascii="Arial" w:cs="Arial" w:eastAsia="Arial" w:hAnsi="Arial"/>
          <w:sz w:val="17"/>
          <w:szCs w:val="17"/>
          <w:color w:val="auto"/>
        </w:rPr>
        <w:t>The purchase price was preliminarily allocated to core technology of $3.4 million, customer relationships of $2.5 million, trade accounts receivables of</w:t>
      </w:r>
    </w:p>
    <w:p>
      <w:pPr>
        <w:spacing w:after="0" w:line="3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$1.0 million, inventory of $1.3 million, and goodwill of $4.6 million. The Company is still in the process of evaluating the information necessary to determine the fair value of the assets and liabilities acquired. The preliminary purchase price allocation will be finalized once the Company has completed this evaluation, which will occur not later than one year from the acquisition date. Net revenues for the SEBRA operations after the acquisition date of $2.1 million are included in our consolidated results for the nine months ended December 26, 2009.</w:t>
      </w:r>
    </w:p>
    <w:p>
      <w:pPr>
        <w:spacing w:after="0" w:line="8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April 16, 2009, Haemonetics acquired the outstanding shares of L’Attitude Medical Systems Inc. (“Neoteric”). Neoteric is a medical information management company that markets a full end-to-end suite of products to track, allocate, release, and dispense hospital blood units while controlling inventory and recording the disposition of blood. The acquisition strategically broadened Haemonetics’ blood management solutions. The purchase price was $6.6 million plus contingent consideration.</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contingent consideration is based upon annual revenue growth for the three years following the acquisition, at established profitability thresholds. Using projected revenues for fiscal years 2010, 2011, and 2012, an analysis was performed that probability weighted three performance outcomes for the noted years. The performance outcomes were then discounted using a discount rate commensurate with the risks associated with Neoteric to arrive at a recorded $5.0 million fair value for the contingent consideration.</w:t>
      </w:r>
    </w:p>
    <w:p>
      <w:pPr>
        <w:spacing w:after="0" w:line="7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contingent consideration is based upon future operating performance and is not contractually limited. The purchase price was allocated to other intangible assets of $5.0 million, deferred tax liabilities of $1.6 million, and goodwill of $8.4 million. The Company is still in the process of evaluating the information necessary to determine the fair value of the assets and liabilities acquired. The preliminary purchase price allocation will be finalized once the Company has completed this evaluation, which will occur not later than one year from the acquisition date. Net revenues of the Neoteric operations after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acquisition date of $1.9 million are included in our consolidated results for the nine months ended December 26, 2009 and $0.6 million of interest expense has been recorded relating to the accretion of the noted contingent consideration for the first nine months of fiscal year 2010.</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addition to the acquisition of SEBRA and Neoteric discussed above, changes to the net carrying value of our intangible assets from March 28, 2009 to December 26, 2009, reflect the capitalization of software costs associated with our devices and software products (see Note 16), amortization expense and the effect of exchange rate changes in the translation of our intangible assets held by our international subsidiaries.</w:t>
      </w:r>
    </w:p>
    <w:p>
      <w:pPr>
        <w:spacing w:after="0" w:line="18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Amortization expense for amortized intangible assets was $2.0 million and $1.4 million for the three months ended December 26, 2009 and December 27, 2008, respectively, and $5.5 and $4.4 for the nine months ended December 26, 2009 and December 27, 2008, respectively. Annual amortization expense is expected to approximate $7.9 million for fiscal year 2010, $8.7 million for fiscal year 2011, $8.2 million for fiscal year 2012, $8.1 million for fiscal year 2013, and $8.7 million for fiscal year 2014.</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DERIVATIVES AND FAIR VALUE MEASUREMENTS</w:t>
      </w:r>
    </w:p>
    <w:p>
      <w:pPr>
        <w:spacing w:after="0" w:line="12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manufacture, market and sell our products globally. Approximately 53% of our sales are generated outside the U.S. in local currencies. We also incur certain manufacturing, marketing and selling costs in international markets in local currency. Accordingly, our earnings and cash flows are exposed to market risk from changes in foreign currency exchange rates relative to the U.S. dollar, our reporting currency.</w:t>
      </w:r>
    </w:p>
    <w:p>
      <w:pPr>
        <w:spacing w:after="0" w:line="7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We have a program in place that is designed to mitigate our exposure to changes in foreign currency exchange rates. That program includes the use of derivative financial instruments to minimize for a period of time, the unforeseen impact on our financial results from changes in foreign exchange rates. We utilize forward foreign currency contracts to hedge the anticipated cash flows from transactions denominated in foreign currencies, primarily the Japanese Yen and the Euro, and to lesser extent the Great British Pound Sterling and the Canadian Dollar. This does not eliminate the volatility of foreign exchange rates, but because we generally enter into forward contracts one year out, rates are fixed for a one-year period, thereby facilitating financial planning and resource allocation.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Designated Foreign Currency Hedge Contracts</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All of our designated foreign currency hedge contracts as of December 26, 2009 and March 28, 2009 were cash flow hedges under ASC Topic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(formerly known as FASB Statement No. 133). We record the effective portion of any change in the fair value of designated foreign</w:t>
      </w:r>
      <w:r>
        <w:rPr>
          <w:rFonts w:ascii="Arial" w:cs="Arial" w:eastAsia="Arial" w:hAnsi="Arial"/>
          <w:sz w:val="17"/>
          <w:szCs w:val="17"/>
          <w:i w:val="1"/>
          <w:iCs w:val="1"/>
          <w:color w:val="auto"/>
        </w:rPr>
        <w:t xml:space="preserve"> </w:t>
      </w:r>
      <w:r>
        <w:rPr>
          <w:rFonts w:ascii="Arial" w:cs="Arial" w:eastAsia="Arial" w:hAnsi="Arial"/>
          <w:sz w:val="17"/>
          <w:szCs w:val="17"/>
          <w:color w:val="auto"/>
        </w:rPr>
        <w:t>currency hedge contracts in other comprehensive income (OCI) in the Statement of Stockholders’ Equity until the related third-party transaction occurs. Once the related third-party transaction occurs, we reclassify the effective portion of any related gain or loss on the designated foreign currency hedge contracts to earnings. In the event the hedged forecasted transaction does not occur, or it becomes probable that it will not occur, we would reclassify the amount of any gain or loss on the related cash flow hedge to earnings at that time. We had designated foreign currency hedge contracts outstanding in the contract amount of $136.7 million as of December 26, 2009 and $117.4 million as of March 28, 2009.</w:t>
      </w:r>
    </w:p>
    <w:p>
      <w:pPr>
        <w:spacing w:after="0" w:line="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third quarter of fiscal year 2010, we recognized net losses of $0.4 million in earnings on our cash flow hedges. All currency cash flow hedges outstanding as of December 26, 2009 mature within twelve months. For the quarter ended December 26, 2009, $1.4 million of gains, net of tax, were recorded in OCI to recognize the effective portion of the fair value of any designated foreign currency hedge contracts that are, or previously were, designated as foreign currency cash flow hedges, as compared to net losses of $4.3 million as of December 27, 2008. At December 26, 2009, $2.8 million of losses, net of tax, may be reclassified to earnings within the next twelve months.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Non-designated Foreign Currency Contracts</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We manage our exposure to changes in foreign currency on a consolidated basis to take advantage of offsetting transactions and balances. We use currency forward contracts as a part of our strategy to manage exposure related to foreign currency denominated monetary assets and liabilities. These currency forward contracts are not designated as cash flow or fair value hedges under ASC Topic 815. These forward contracts are marked-to-market with changes in fair value recorded to earnings; and are entered into for periods consistent with currency transaction exposures, generally one month. We had non-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designated foreign currency hedge contracts under ASC Topic 815 outstanding in the contract amount of $29.0 million as of December 26, 2009 and $51.6 million as of March 28, 2009.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following table presents the effect of our derivative instruments designated as cash flow hedges and those not designated as hedging instruments under ASC Topic 815 in our consolidated statement of income for the nine months ended December 26, 2009.</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40" w:type="dxa"/>
            <w:vAlign w:val="bottom"/>
            <w:gridSpan w:val="2"/>
          </w:tcPr>
          <w:p>
            <w:pPr>
              <w:jc w:val="center"/>
              <w:ind w:left="59"/>
              <w:spacing w:after="0"/>
              <w:rPr>
                <w:sz w:val="20"/>
                <w:szCs w:val="20"/>
                <w:color w:val="auto"/>
              </w:rPr>
            </w:pPr>
            <w:r>
              <w:rPr>
                <w:rFonts w:ascii="Arial" w:cs="Arial" w:eastAsia="Arial" w:hAnsi="Arial"/>
                <w:sz w:val="14"/>
                <w:szCs w:val="14"/>
                <w:color w:val="auto"/>
                <w:w w:val="96"/>
              </w:rPr>
              <w:t>Amount of Loss</w:t>
            </w:r>
          </w:p>
        </w:tc>
        <w:tc>
          <w:tcPr>
            <w:tcW w:w="1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49"/>
        </w:trPr>
        <w:tc>
          <w:tcPr>
            <w:tcW w:w="4280" w:type="dxa"/>
            <w:vAlign w:val="bottom"/>
          </w:tcPr>
          <w:p>
            <w:pPr>
              <w:spacing w:after="0"/>
              <w:rPr>
                <w:sz w:val="12"/>
                <w:szCs w:val="12"/>
                <w:color w:val="auto"/>
              </w:rPr>
            </w:pPr>
          </w:p>
        </w:tc>
        <w:tc>
          <w:tcPr>
            <w:tcW w:w="1380" w:type="dxa"/>
            <w:vAlign w:val="bottom"/>
            <w:gridSpan w:val="2"/>
          </w:tcPr>
          <w:p>
            <w:pPr>
              <w:jc w:val="center"/>
              <w:ind w:right="197"/>
              <w:spacing w:after="0" w:line="149" w:lineRule="exact"/>
              <w:rPr>
                <w:sz w:val="20"/>
                <w:szCs w:val="20"/>
                <w:color w:val="auto"/>
              </w:rPr>
            </w:pPr>
            <w:r>
              <w:rPr>
                <w:rFonts w:ascii="Arial" w:cs="Arial" w:eastAsia="Arial" w:hAnsi="Arial"/>
                <w:sz w:val="14"/>
                <w:szCs w:val="14"/>
                <w:color w:val="auto"/>
                <w:w w:val="96"/>
              </w:rPr>
              <w:t>Amount of Loss</w:t>
            </w:r>
          </w:p>
        </w:tc>
        <w:tc>
          <w:tcPr>
            <w:tcW w:w="36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2"/>
              </w:rPr>
              <w:t>Reclassified</w:t>
            </w:r>
          </w:p>
        </w:tc>
        <w:tc>
          <w:tcPr>
            <w:tcW w:w="1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5"/>
              </w:rPr>
              <w:t>Amount</w:t>
            </w:r>
          </w:p>
        </w:tc>
        <w:tc>
          <w:tcPr>
            <w:tcW w:w="1300" w:type="dxa"/>
            <w:vAlign w:val="bottom"/>
          </w:tcPr>
          <w:p>
            <w:pPr>
              <w:spacing w:after="0"/>
              <w:rPr>
                <w:sz w:val="12"/>
                <w:szCs w:val="12"/>
                <w:color w:val="auto"/>
              </w:rPr>
            </w:pP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377"/>
              <w:spacing w:after="0" w:line="149" w:lineRule="exact"/>
              <w:rPr>
                <w:sz w:val="20"/>
                <w:szCs w:val="20"/>
                <w:color w:val="auto"/>
              </w:rPr>
            </w:pPr>
            <w:r>
              <w:rPr>
                <w:rFonts w:ascii="Arial" w:cs="Arial" w:eastAsia="Arial" w:hAnsi="Arial"/>
                <w:sz w:val="14"/>
                <w:szCs w:val="14"/>
                <w:color w:val="auto"/>
                <w:w w:val="91"/>
              </w:rPr>
              <w:t>Recognized</w:t>
            </w:r>
          </w:p>
        </w:tc>
        <w:tc>
          <w:tcPr>
            <w:tcW w:w="36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Arial" w:cs="Arial" w:eastAsia="Arial" w:hAnsi="Arial"/>
                <w:sz w:val="14"/>
                <w:szCs w:val="14"/>
                <w:color w:val="auto"/>
                <w:w w:val="98"/>
              </w:rPr>
              <w:t>from OCI into</w:t>
            </w:r>
          </w:p>
        </w:tc>
        <w:tc>
          <w:tcPr>
            <w:tcW w:w="1640" w:type="dxa"/>
            <w:vAlign w:val="bottom"/>
          </w:tcPr>
          <w:p>
            <w:pPr>
              <w:jc w:val="center"/>
              <w:ind w:left="24"/>
              <w:spacing w:after="0" w:line="149" w:lineRule="exact"/>
              <w:rPr>
                <w:sz w:val="20"/>
                <w:szCs w:val="20"/>
                <w:color w:val="auto"/>
              </w:rPr>
            </w:pPr>
            <w:r>
              <w:rPr>
                <w:rFonts w:ascii="Arial" w:cs="Arial" w:eastAsia="Arial" w:hAnsi="Arial"/>
                <w:sz w:val="14"/>
                <w:szCs w:val="14"/>
                <w:color w:val="auto"/>
                <w:w w:val="97"/>
              </w:rPr>
              <w:t>Location in</w:t>
            </w:r>
          </w:p>
        </w:tc>
        <w:tc>
          <w:tcPr>
            <w:tcW w:w="1380" w:type="dxa"/>
            <w:vAlign w:val="bottom"/>
            <w:gridSpan w:val="4"/>
          </w:tcPr>
          <w:p>
            <w:pPr>
              <w:jc w:val="center"/>
              <w:ind w:right="80"/>
              <w:spacing w:after="0" w:line="149" w:lineRule="exact"/>
              <w:rPr>
                <w:sz w:val="20"/>
                <w:szCs w:val="20"/>
                <w:color w:val="auto"/>
              </w:rPr>
            </w:pPr>
            <w:r>
              <w:rPr>
                <w:rFonts w:ascii="Arial" w:cs="Arial" w:eastAsia="Arial" w:hAnsi="Arial"/>
                <w:sz w:val="14"/>
                <w:szCs w:val="14"/>
                <w:color w:val="auto"/>
                <w:w w:val="96"/>
              </w:rPr>
              <w:t>Excluded from</w:t>
            </w:r>
          </w:p>
        </w:tc>
        <w:tc>
          <w:tcPr>
            <w:tcW w:w="1300" w:type="dxa"/>
            <w:vAlign w:val="bottom"/>
          </w:tcPr>
          <w:p>
            <w:pPr>
              <w:jc w:val="center"/>
              <w:ind w:left="41"/>
              <w:spacing w:after="0" w:line="149" w:lineRule="exact"/>
              <w:rPr>
                <w:sz w:val="20"/>
                <w:szCs w:val="20"/>
                <w:color w:val="auto"/>
              </w:rPr>
            </w:pPr>
            <w:r>
              <w:rPr>
                <w:rFonts w:ascii="Arial" w:cs="Arial" w:eastAsia="Arial" w:hAnsi="Arial"/>
                <w:sz w:val="14"/>
                <w:szCs w:val="14"/>
                <w:color w:val="auto"/>
                <w:w w:val="97"/>
              </w:rPr>
              <w:t>Location in</w:t>
            </w:r>
          </w:p>
        </w:tc>
      </w:tr>
      <w:tr>
        <w:trPr>
          <w:trHeight w:val="149"/>
        </w:trPr>
        <w:tc>
          <w:tcPr>
            <w:tcW w:w="4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jc w:val="center"/>
              <w:ind w:right="377"/>
              <w:spacing w:after="0" w:line="149" w:lineRule="exact"/>
              <w:rPr>
                <w:sz w:val="20"/>
                <w:szCs w:val="20"/>
                <w:color w:val="auto"/>
              </w:rPr>
            </w:pPr>
            <w:r>
              <w:rPr>
                <w:rFonts w:ascii="Arial" w:cs="Arial" w:eastAsia="Arial" w:hAnsi="Arial"/>
                <w:sz w:val="14"/>
                <w:szCs w:val="14"/>
                <w:color w:val="auto"/>
              </w:rPr>
              <w:t>in OCI</w:t>
            </w:r>
          </w:p>
        </w:tc>
        <w:tc>
          <w:tcPr>
            <w:tcW w:w="360" w:type="dxa"/>
            <w:vAlign w:val="bottom"/>
          </w:tcPr>
          <w:p>
            <w:pPr>
              <w:spacing w:after="0"/>
              <w:rPr>
                <w:sz w:val="12"/>
                <w:szCs w:val="12"/>
                <w:color w:val="auto"/>
              </w:rPr>
            </w:pPr>
          </w:p>
        </w:tc>
        <w:tc>
          <w:tcPr>
            <w:tcW w:w="1080" w:type="dxa"/>
            <w:vAlign w:val="bottom"/>
          </w:tcPr>
          <w:p>
            <w:pPr>
              <w:jc w:val="center"/>
              <w:ind w:right="119"/>
              <w:spacing w:after="0" w:line="149" w:lineRule="exact"/>
              <w:rPr>
                <w:sz w:val="20"/>
                <w:szCs w:val="20"/>
                <w:color w:val="auto"/>
              </w:rPr>
            </w:pPr>
            <w:r>
              <w:rPr>
                <w:rFonts w:ascii="Arial" w:cs="Arial" w:eastAsia="Arial" w:hAnsi="Arial"/>
                <w:sz w:val="14"/>
                <w:szCs w:val="14"/>
                <w:color w:val="auto"/>
                <w:w w:val="94"/>
              </w:rPr>
              <w:t>Earnings</w:t>
            </w:r>
          </w:p>
        </w:tc>
        <w:tc>
          <w:tcPr>
            <w:tcW w:w="1640" w:type="dxa"/>
            <w:vAlign w:val="bottom"/>
          </w:tcPr>
          <w:p>
            <w:pPr>
              <w:jc w:val="center"/>
              <w:ind w:left="4"/>
              <w:spacing w:after="0" w:line="149" w:lineRule="exact"/>
              <w:rPr>
                <w:sz w:val="20"/>
                <w:szCs w:val="20"/>
                <w:color w:val="auto"/>
              </w:rPr>
            </w:pPr>
            <w:r>
              <w:rPr>
                <w:rFonts w:ascii="Arial" w:cs="Arial" w:eastAsia="Arial" w:hAnsi="Arial"/>
                <w:sz w:val="14"/>
                <w:szCs w:val="14"/>
                <w:color w:val="auto"/>
                <w:w w:val="90"/>
              </w:rPr>
              <w:t>Statement of</w:t>
            </w:r>
          </w:p>
        </w:tc>
        <w:tc>
          <w:tcPr>
            <w:tcW w:w="220" w:type="dxa"/>
            <w:vAlign w:val="bottom"/>
          </w:tcPr>
          <w:p>
            <w:pPr>
              <w:spacing w:after="0"/>
              <w:rPr>
                <w:sz w:val="12"/>
                <w:szCs w:val="12"/>
                <w:color w:val="auto"/>
              </w:rPr>
            </w:pPr>
          </w:p>
        </w:tc>
        <w:tc>
          <w:tcPr>
            <w:tcW w:w="116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3"/>
              </w:rPr>
              <w:t>Effectiveness</w:t>
            </w:r>
          </w:p>
        </w:tc>
        <w:tc>
          <w:tcPr>
            <w:tcW w:w="1300" w:type="dxa"/>
            <w:vAlign w:val="bottom"/>
          </w:tcPr>
          <w:p>
            <w:pPr>
              <w:jc w:val="center"/>
              <w:ind w:left="41"/>
              <w:spacing w:after="0" w:line="149" w:lineRule="exact"/>
              <w:rPr>
                <w:sz w:val="20"/>
                <w:szCs w:val="20"/>
                <w:color w:val="auto"/>
              </w:rPr>
            </w:pPr>
            <w:r>
              <w:rPr>
                <w:rFonts w:ascii="Arial" w:cs="Arial" w:eastAsia="Arial" w:hAnsi="Arial"/>
                <w:sz w:val="14"/>
                <w:szCs w:val="14"/>
                <w:color w:val="auto"/>
                <w:w w:val="93"/>
              </w:rPr>
              <w:t>Statement of</w:t>
            </w:r>
          </w:p>
        </w:tc>
      </w:tr>
      <w:tr>
        <w:trPr>
          <w:trHeight w:val="167"/>
        </w:trPr>
        <w:tc>
          <w:tcPr>
            <w:tcW w:w="42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Derivative Instruments</w:t>
            </w:r>
          </w:p>
        </w:tc>
        <w:tc>
          <w:tcPr>
            <w:tcW w:w="1380" w:type="dxa"/>
            <w:vAlign w:val="bottom"/>
            <w:tcBorders>
              <w:bottom w:val="single" w:sz="8" w:color="auto"/>
            </w:tcBorders>
            <w:gridSpan w:val="2"/>
          </w:tcPr>
          <w:p>
            <w:pPr>
              <w:jc w:val="center"/>
              <w:ind w:right="217"/>
              <w:spacing w:after="0"/>
              <w:rPr>
                <w:sz w:val="20"/>
                <w:szCs w:val="20"/>
                <w:color w:val="auto"/>
              </w:rPr>
            </w:pPr>
            <w:r>
              <w:rPr>
                <w:rFonts w:ascii="Arial" w:cs="Arial" w:eastAsia="Arial" w:hAnsi="Arial"/>
                <w:sz w:val="14"/>
                <w:szCs w:val="14"/>
                <w:color w:val="auto"/>
                <w:w w:val="97"/>
              </w:rPr>
              <w:t>(Effective Portion)</w:t>
            </w:r>
          </w:p>
        </w:tc>
        <w:tc>
          <w:tcPr>
            <w:tcW w:w="1440" w:type="dxa"/>
            <w:vAlign w:val="bottom"/>
            <w:tcBorders>
              <w:bottom w:val="single" w:sz="8" w:color="auto"/>
            </w:tcBorders>
            <w:gridSpan w:val="2"/>
          </w:tcPr>
          <w:p>
            <w:pPr>
              <w:jc w:val="center"/>
              <w:ind w:left="79"/>
              <w:spacing w:after="0"/>
              <w:rPr>
                <w:sz w:val="20"/>
                <w:szCs w:val="20"/>
                <w:color w:val="auto"/>
              </w:rPr>
            </w:pPr>
            <w:r>
              <w:rPr>
                <w:rFonts w:ascii="Arial" w:cs="Arial" w:eastAsia="Arial" w:hAnsi="Arial"/>
                <w:sz w:val="14"/>
                <w:szCs w:val="14"/>
                <w:color w:val="auto"/>
                <w:w w:val="97"/>
              </w:rPr>
              <w:t>(Effective Portion)</w:t>
            </w:r>
          </w:p>
        </w:tc>
        <w:tc>
          <w:tcPr>
            <w:tcW w:w="1640" w:type="dxa"/>
            <w:vAlign w:val="bottom"/>
            <w:tcBorders>
              <w:bottom w:val="single" w:sz="8" w:color="auto"/>
            </w:tcBorders>
          </w:tcPr>
          <w:p>
            <w:pPr>
              <w:jc w:val="center"/>
              <w:ind w:left="4"/>
              <w:spacing w:after="0"/>
              <w:rPr>
                <w:sz w:val="20"/>
                <w:szCs w:val="20"/>
                <w:color w:val="auto"/>
              </w:rPr>
            </w:pPr>
            <w:r>
              <w:rPr>
                <w:rFonts w:ascii="Arial" w:cs="Arial" w:eastAsia="Arial" w:hAnsi="Arial"/>
                <w:sz w:val="14"/>
                <w:szCs w:val="14"/>
                <w:color w:val="auto"/>
                <w:w w:val="93"/>
              </w:rPr>
              <w:t>Operations</w:t>
            </w: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color w:val="auto"/>
                <w:w w:val="95"/>
              </w:rPr>
              <w:t>Testing (*)</w:t>
            </w:r>
          </w:p>
        </w:tc>
        <w:tc>
          <w:tcPr>
            <w:tcW w:w="1300" w:type="dxa"/>
            <w:vAlign w:val="bottom"/>
            <w:tcBorders>
              <w:bottom w:val="single" w:sz="8" w:color="auto"/>
            </w:tcBorders>
          </w:tcPr>
          <w:p>
            <w:pPr>
              <w:jc w:val="center"/>
              <w:ind w:left="41"/>
              <w:spacing w:after="0"/>
              <w:rPr>
                <w:sz w:val="20"/>
                <w:szCs w:val="20"/>
                <w:color w:val="auto"/>
              </w:rPr>
            </w:pPr>
            <w:r>
              <w:rPr>
                <w:rFonts w:ascii="Arial" w:cs="Arial" w:eastAsia="Arial" w:hAnsi="Arial"/>
                <w:sz w:val="14"/>
                <w:szCs w:val="14"/>
                <w:color w:val="auto"/>
                <w:w w:val="90"/>
              </w:rPr>
              <w:t>Operations</w:t>
            </w:r>
          </w:p>
        </w:tc>
      </w:tr>
      <w:tr>
        <w:trPr>
          <w:trHeight w:val="156"/>
        </w:trPr>
        <w:tc>
          <w:tcPr>
            <w:tcW w:w="4280" w:type="dxa"/>
            <w:vAlign w:val="bottom"/>
          </w:tcPr>
          <w:p>
            <w:pPr>
              <w:spacing w:after="0" w:line="155" w:lineRule="exact"/>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(2,836)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Net revenues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466</w:t>
            </w:r>
          </w:p>
        </w:tc>
        <w:tc>
          <w:tcPr>
            <w:tcW w:w="1300" w:type="dxa"/>
            <w:vAlign w:val="bottom"/>
            <w:shd w:val="clear" w:color="auto" w:fill="CCEEFF"/>
          </w:tcPr>
          <w:p>
            <w:pPr>
              <w:jc w:val="center"/>
              <w:ind w:left="181"/>
              <w:spacing w:after="0"/>
              <w:rPr>
                <w:sz w:val="20"/>
                <w:szCs w:val="20"/>
                <w:color w:val="auto"/>
              </w:rPr>
            </w:pPr>
            <w:r>
              <w:rPr>
                <w:rFonts w:ascii="Arial" w:cs="Arial" w:eastAsia="Arial" w:hAnsi="Arial"/>
                <w:sz w:val="18"/>
                <w:szCs w:val="18"/>
                <w:color w:val="auto"/>
                <w:w w:val="92"/>
              </w:rPr>
              <w:t>Other income</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Non-designated foreign currency hedge contracts</w:t>
            </w:r>
          </w:p>
        </w:tc>
        <w:tc>
          <w:tcPr>
            <w:tcW w:w="160" w:type="dxa"/>
            <w:vAlign w:val="bottom"/>
          </w:tcPr>
          <w:p>
            <w:pPr>
              <w:spacing w:after="0"/>
              <w:rPr>
                <w:sz w:val="18"/>
                <w:szCs w:val="18"/>
                <w:color w:val="auto"/>
              </w:rPr>
            </w:pPr>
          </w:p>
        </w:tc>
        <w:tc>
          <w:tcPr>
            <w:tcW w:w="1220" w:type="dxa"/>
            <w:vAlign w:val="bottom"/>
          </w:tcPr>
          <w:p>
            <w:pPr>
              <w:jc w:val="right"/>
              <w:ind w:right="217"/>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(3,132)</w:t>
            </w:r>
          </w:p>
        </w:tc>
        <w:tc>
          <w:tcPr>
            <w:tcW w:w="1300" w:type="dxa"/>
            <w:vAlign w:val="bottom"/>
          </w:tcPr>
          <w:p>
            <w:pPr>
              <w:jc w:val="center"/>
              <w:ind w:left="181"/>
              <w:spacing w:after="0"/>
              <w:rPr>
                <w:sz w:val="20"/>
                <w:szCs w:val="20"/>
                <w:color w:val="auto"/>
              </w:rPr>
            </w:pPr>
            <w:r>
              <w:rPr>
                <w:rFonts w:ascii="Arial" w:cs="Arial" w:eastAsia="Arial" w:hAnsi="Arial"/>
                <w:sz w:val="18"/>
                <w:szCs w:val="18"/>
                <w:color w:val="auto"/>
                <w:w w:val="88"/>
              </w:rPr>
              <w:t>Other expense</w:t>
            </w:r>
          </w:p>
        </w:tc>
      </w:tr>
      <w:tr>
        <w:trPr>
          <w:trHeight w:val="27"/>
        </w:trPr>
        <w:tc>
          <w:tcPr>
            <w:tcW w:w="4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16"/>
        </w:trPr>
        <w:tc>
          <w:tcPr>
            <w:tcW w:w="42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(2,836)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(2,666)</w:t>
            </w:r>
          </w:p>
        </w:tc>
        <w:tc>
          <w:tcPr>
            <w:tcW w:w="130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exclude the difference between the spot rate and hedge forward rate from our effectiveness testing.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fair value hedges or net investment hedges outstanding as of December 26, 2009 or March 28, 2009.</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 xml:space="preserve">ASC Topic 815 requires all derivative instruments to be recognized at their fair values as either assets or liabilities on the balance sheet. We determine the fair value of our derivative instruments using the framework prescribed by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(formerly known as FASB Statement No. 157, </w:t>
      </w:r>
      <w:r>
        <w:rPr>
          <w:rFonts w:ascii="Arial" w:cs="Arial" w:eastAsia="Arial" w:hAnsi="Arial"/>
          <w:sz w:val="17"/>
          <w:szCs w:val="17"/>
          <w:i w:val="1"/>
          <w:iCs w:val="1"/>
          <w:color w:val="auto"/>
        </w:rPr>
        <w:t>Fair Value Measurements</w:t>
      </w:r>
      <w:r>
        <w:rPr>
          <w:rFonts w:ascii="Arial" w:cs="Arial" w:eastAsia="Arial" w:hAnsi="Arial"/>
          <w:sz w:val="17"/>
          <w:szCs w:val="17"/>
          <w:color w:val="auto"/>
        </w:rPr>
        <w:t>), by considering the estimated amount we would receive or pay to sell or transfer these instruments at the reporting date and by taking into account current interest rates, currency exchange rates, the creditworthiness of the counterparty for assets, and our creditworthiness for liabilities. In certain instances, we may utilize financial models to measure fair value. Generally, we use inputs that include quoted prices for similar assets or liabilities in active markets; quoted prices for identical or similar assets or liabilities in markets that are not active; other observable inputs for the asset or liability; and inputs derived principally from, or corroborated by, observable market data by correlation or other means. As of December 26, 2009, we have classified our derivative assets and liabilities within Level 2 of the fair value hierarchy prescribed by ASC Topic 815, as discussed below, because these observable inputs are available for substantially the full term of our derivative instruments.</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tables present the fair value of our derivative instruments as they appear in our consolidated balance sheets as of December 26, 2009 by type of contract and whether it is a qualifying hedge under ASC Topic 815.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color w:val="auto"/>
                <w:w w:val="94"/>
              </w:rPr>
              <w:t>Balance as of</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2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7"/>
              </w:rPr>
              <w:t>Location in</w:t>
            </w:r>
          </w:p>
        </w:tc>
        <w:tc>
          <w:tcPr>
            <w:tcW w:w="840" w:type="dxa"/>
            <w:vAlign w:val="bottom"/>
            <w:gridSpan w:val="3"/>
          </w:tcPr>
          <w:p>
            <w:pPr>
              <w:spacing w:after="0" w:line="149" w:lineRule="exact"/>
              <w:rPr>
                <w:sz w:val="20"/>
                <w:szCs w:val="20"/>
                <w:color w:val="auto"/>
              </w:rPr>
            </w:pPr>
            <w:r>
              <w:rPr>
                <w:rFonts w:ascii="Arial" w:cs="Arial" w:eastAsia="Arial" w:hAnsi="Arial"/>
                <w:sz w:val="14"/>
                <w:szCs w:val="14"/>
                <w:color w:val="auto"/>
                <w:w w:val="93"/>
              </w:rPr>
              <w:t>December 26,</w:t>
            </w:r>
          </w:p>
        </w:tc>
        <w:tc>
          <w:tcPr>
            <w:tcW w:w="560" w:type="dxa"/>
            <w:vAlign w:val="bottom"/>
          </w:tcPr>
          <w:p>
            <w:pPr>
              <w:spacing w:after="0"/>
              <w:rPr>
                <w:sz w:val="12"/>
                <w:szCs w:val="12"/>
                <w:color w:val="auto"/>
              </w:rPr>
            </w:pPr>
          </w:p>
        </w:tc>
        <w:tc>
          <w:tcPr>
            <w:tcW w:w="1020" w:type="dxa"/>
            <w:vAlign w:val="bottom"/>
            <w:gridSpan w:val="3"/>
          </w:tcPr>
          <w:p>
            <w:pPr>
              <w:ind w:left="80"/>
              <w:spacing w:after="0" w:line="149" w:lineRule="exact"/>
              <w:rPr>
                <w:sz w:val="20"/>
                <w:szCs w:val="20"/>
                <w:color w:val="auto"/>
              </w:rPr>
            </w:pPr>
            <w:r>
              <w:rPr>
                <w:rFonts w:ascii="Arial" w:cs="Arial" w:eastAsia="Arial" w:hAnsi="Arial"/>
                <w:sz w:val="14"/>
                <w:szCs w:val="14"/>
                <w:color w:val="auto"/>
              </w:rPr>
              <w:t>Balance as of</w:t>
            </w:r>
          </w:p>
        </w:tc>
        <w:tc>
          <w:tcPr>
            <w:tcW w:w="0" w:type="dxa"/>
            <w:vAlign w:val="bottom"/>
          </w:tcPr>
          <w:p>
            <w:pPr>
              <w:spacing w:after="0"/>
              <w:rPr>
                <w:sz w:val="1"/>
                <w:szCs w:val="1"/>
                <w:color w:val="auto"/>
              </w:rPr>
            </w:pPr>
          </w:p>
        </w:tc>
      </w:tr>
      <w:tr>
        <w:trPr>
          <w:trHeight w:val="167"/>
        </w:trPr>
        <w:tc>
          <w:tcPr>
            <w:tcW w:w="63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80" w:type="dxa"/>
            <w:vAlign w:val="bottom"/>
          </w:tcPr>
          <w:p>
            <w:pPr>
              <w:spacing w:after="0"/>
              <w:rPr>
                <w:sz w:val="14"/>
                <w:szCs w:val="14"/>
                <w:color w:val="auto"/>
              </w:rPr>
            </w:pPr>
          </w:p>
        </w:tc>
        <w:tc>
          <w:tcPr>
            <w:tcW w:w="2220" w:type="dxa"/>
            <w:vAlign w:val="bottom"/>
            <w:gridSpan w:val="2"/>
          </w:tcPr>
          <w:p>
            <w:pPr>
              <w:jc w:val="center"/>
              <w:ind w:right="720"/>
              <w:spacing w:after="0"/>
              <w:rPr>
                <w:sz w:val="20"/>
                <w:szCs w:val="20"/>
                <w:color w:val="auto"/>
              </w:rPr>
            </w:pPr>
            <w:r>
              <w:rPr>
                <w:rFonts w:ascii="Arial" w:cs="Arial" w:eastAsia="Arial" w:hAnsi="Arial"/>
                <w:sz w:val="14"/>
                <w:szCs w:val="14"/>
                <w:color w:val="auto"/>
                <w:w w:val="90"/>
              </w:rPr>
              <w:t>Balance Sheet</w:t>
            </w:r>
          </w:p>
        </w:tc>
        <w:tc>
          <w:tcPr>
            <w:tcW w:w="180" w:type="dxa"/>
            <w:vAlign w:val="bottom"/>
          </w:tcPr>
          <w:p>
            <w:pPr>
              <w:spacing w:after="0"/>
              <w:rPr>
                <w:sz w:val="14"/>
                <w:szCs w:val="14"/>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4"/>
                <w:szCs w:val="14"/>
                <w:color w:val="auto"/>
              </w:rPr>
            </w:pPr>
          </w:p>
        </w:tc>
        <w:tc>
          <w:tcPr>
            <w:tcW w:w="1580" w:type="dxa"/>
            <w:vAlign w:val="bottom"/>
            <w:gridSpan w:val="4"/>
          </w:tcPr>
          <w:p>
            <w:pPr>
              <w:ind w:left="560"/>
              <w:spacing w:after="0"/>
              <w:rPr>
                <w:sz w:val="20"/>
                <w:szCs w:val="20"/>
                <w:color w:val="auto"/>
              </w:rPr>
            </w:pPr>
            <w:r>
              <w:rPr>
                <w:rFonts w:ascii="Arial" w:cs="Arial" w:eastAsia="Arial" w:hAnsi="Arial"/>
                <w:sz w:val="14"/>
                <w:szCs w:val="14"/>
                <w:color w:val="auto"/>
              </w:rPr>
              <w:t>March 28, 2009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80" w:type="dxa"/>
            <w:vAlign w:val="bottom"/>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Designated foreign currency hedge contracts</w:t>
            </w:r>
          </w:p>
        </w:tc>
        <w:tc>
          <w:tcPr>
            <w:tcW w:w="480" w:type="dxa"/>
            <w:vAlign w:val="bottom"/>
          </w:tcPr>
          <w:p>
            <w:pPr>
              <w:spacing w:after="0"/>
              <w:rPr>
                <w:sz w:val="19"/>
                <w:szCs w:val="19"/>
                <w:color w:val="auto"/>
              </w:rPr>
            </w:pPr>
          </w:p>
        </w:tc>
        <w:tc>
          <w:tcPr>
            <w:tcW w:w="2220" w:type="dxa"/>
            <w:vAlign w:val="bottom"/>
            <w:gridSpan w:val="2"/>
          </w:tcPr>
          <w:p>
            <w:pPr>
              <w:jc w:val="center"/>
              <w:ind w:right="480"/>
              <w:spacing w:after="0"/>
              <w:rPr>
                <w:sz w:val="20"/>
                <w:szCs w:val="20"/>
                <w:color w:val="auto"/>
              </w:rPr>
            </w:pPr>
            <w:r>
              <w:rPr>
                <w:rFonts w:ascii="Arial" w:cs="Arial" w:eastAsia="Arial" w:hAnsi="Arial"/>
                <w:sz w:val="18"/>
                <w:szCs w:val="18"/>
                <w:color w:val="auto"/>
                <w:w w:val="87"/>
              </w:rPr>
              <w:t>Other current assets</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1,948</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3,936</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Derivative Liabilities:</w:t>
            </w: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Designated foreign currency hedge contracts</w:t>
            </w:r>
          </w:p>
        </w:tc>
        <w:tc>
          <w:tcPr>
            <w:tcW w:w="27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2"/>
              </w:rPr>
              <w:t>Other accrued liabilities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3,590</w:t>
            </w: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3,590</w:t>
            </w:r>
          </w:p>
        </w:tc>
        <w:tc>
          <w:tcPr>
            <w:tcW w:w="2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Fair Value Measurements</w:t>
      </w:r>
    </w:p>
    <w:p>
      <w:pPr>
        <w:spacing w:after="0" w:line="117"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 xml:space="preserve">We adopted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(formerly known as FASB Statement No. 157, </w:t>
      </w:r>
      <w:r>
        <w:rPr>
          <w:rFonts w:ascii="Arial" w:cs="Arial" w:eastAsia="Arial" w:hAnsi="Arial"/>
          <w:sz w:val="18"/>
          <w:szCs w:val="18"/>
          <w:i w:val="1"/>
          <w:iCs w:val="1"/>
          <w:color w:val="auto"/>
        </w:rPr>
        <w:t>Fair Value Measurement</w:t>
      </w:r>
      <w:r>
        <w:rPr>
          <w:rFonts w:ascii="Arial" w:cs="Arial" w:eastAsia="Arial" w:hAnsi="Arial"/>
          <w:sz w:val="18"/>
          <w:szCs w:val="18"/>
          <w:color w:val="auto"/>
        </w:rPr>
        <w:t>) as of March 30, 2008. ASC Topic 820 defines fair value, establishes a framework for measuring fair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value in accordance with U.S. GAAP, and expands disclosures about fair value measurements. ASC Topic 820 does not require any new fair value measurements; rather, it applies to other accounting pronouncements that require or permit fair value measurements. In accordance with ASC Topic 820, for the nine months ended December 26, 2009, we applied the requirements under ASC Topic 820 to our non-financial assets and non-financial liabilities. As we did not have an impairment of any non-financial assets or non-financial liabilities, there was no disclosure required relating to our non-financial assets or non-financial liabilities.</w:t>
      </w:r>
    </w:p>
    <w:p>
      <w:pPr>
        <w:spacing w:after="0" w:line="8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a recurring basis, we measure certain financial assets and financial liabilities at fair value, including our money market funds, foreign currency derivative contracts, and contingent consideration. ASC Topic 820 defines fair value as the price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liability. We base fair value upon quoted market prices, where available. Where quoted market prices or other observable inputs are not available, we apply valuation techniques to estimate fair value.</w:t>
      </w:r>
    </w:p>
    <w:p>
      <w:pPr>
        <w:spacing w:after="0" w:line="5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ASC Topic 820 establishes a three-level valuation hierarchy for disclosure of fair value measurements. The categorization of assets and liabilities within the valuation hierarchy is based upon the lowest level of input that is significant to the measurement of fair value. The three levels of the hierarchy are defined as follows:</w:t>
      </w:r>
    </w:p>
    <w:p>
      <w:pPr>
        <w:spacing w:after="0" w:line="73" w:lineRule="exact"/>
        <w:rPr>
          <w:sz w:val="20"/>
          <w:szCs w:val="20"/>
          <w:color w:val="auto"/>
        </w:rPr>
      </w:pPr>
    </w:p>
    <w:p>
      <w:pPr>
        <w:ind w:left="660" w:hanging="314"/>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1 – Inputs to the valuation methodology are quoted market prices for identical assets or liabilities.</w:t>
      </w:r>
    </w:p>
    <w:p>
      <w:pPr>
        <w:spacing w:after="0" w:line="130"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2 – Inputs to the valuation methodology are other observable inputs, including quoted market prices for similar assets or liabilities and market-corroborated inputs.</w:t>
      </w:r>
    </w:p>
    <w:p>
      <w:pPr>
        <w:spacing w:after="0" w:line="75" w:lineRule="exact"/>
        <w:rPr>
          <w:rFonts w:ascii="Arial" w:cs="Arial" w:eastAsia="Arial" w:hAnsi="Arial"/>
          <w:sz w:val="18"/>
          <w:szCs w:val="18"/>
          <w:b w:val="1"/>
          <w:bCs w:val="1"/>
          <w:color w:val="auto"/>
        </w:rPr>
      </w:pPr>
    </w:p>
    <w:p>
      <w:pPr>
        <w:ind w:left="660" w:right="20" w:hanging="314"/>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Level 3 – Inputs to the valuation methodology are unobservable inputs based on management’s best estimate of inputs market participants would use in pricing the asset or liability at the measurement date, including assumptions about risk.</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money market funds carried at fair value are generally classified within Level 1 of the fair value hierarchy because they are valued using quoted market prices.</w:t>
      </w:r>
    </w:p>
    <w:p>
      <w:pPr>
        <w:spacing w:after="0" w:line="62"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We recognize all derivative financial instruments in our consolidated financial statements at fair value in accordance with ASC Topic 815, </w:t>
      </w:r>
      <w:r>
        <w:rPr>
          <w:rFonts w:ascii="Arial" w:cs="Arial" w:eastAsia="Arial" w:hAnsi="Arial"/>
          <w:sz w:val="18"/>
          <w:szCs w:val="18"/>
          <w:i w:val="1"/>
          <w:iCs w:val="1"/>
          <w:color w:val="auto"/>
        </w:rPr>
        <w:t>Derivatives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Hedging </w:t>
      </w:r>
      <w:r>
        <w:rPr>
          <w:rFonts w:ascii="Arial" w:cs="Arial" w:eastAsia="Arial" w:hAnsi="Arial"/>
          <w:sz w:val="18"/>
          <w:szCs w:val="18"/>
          <w:color w:val="auto"/>
        </w:rPr>
        <w:t>(formerly known as FASB Statement No. 133,</w:t>
      </w:r>
      <w:r>
        <w:rPr>
          <w:rFonts w:ascii="Arial" w:cs="Arial" w:eastAsia="Arial" w:hAnsi="Arial"/>
          <w:sz w:val="18"/>
          <w:szCs w:val="18"/>
          <w:i w:val="1"/>
          <w:iCs w:val="1"/>
          <w:color w:val="auto"/>
        </w:rPr>
        <w:t xml:space="preserve"> Accounting for Derivative Instruments and Hedging Activities</w:t>
      </w:r>
      <w:r>
        <w:rPr>
          <w:rFonts w:ascii="Arial" w:cs="Arial" w:eastAsia="Arial" w:hAnsi="Arial"/>
          <w:sz w:val="18"/>
          <w:szCs w:val="18"/>
          <w:color w:val="auto"/>
        </w:rPr>
        <w:t>). We determine the fair value of these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using the framework prescribed by ASC Topic 820 by considering the estimated amount we would receive or pay to terminate these agreements at the reporting date and by taking into account current spot rates, the creditworthiness of the counterparty for assets, and our creditworthiness for liabilities. We have classified our foreign currency hedge contracts within Level 2 of the fair value hierarchy because these observable inputs are available for substantially the full term of our derivative instruments. For the quarter ended December 26, 2009, we have classified our other liabilities – contingent consideration relating to our acquisition of Neoteric within Level 3 of the fair value hierarchy because the value is determined using significant unobservable inputs.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Measured on a Recurring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Financial assets and financial liabilities measured at fair value on a recurring basis consist of the following as of December 26,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color w:val="auto"/>
                <w:w w:val="99"/>
              </w:rPr>
              <w:t>Significant</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Quoted Market</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1"/>
              </w:rPr>
              <w:t>Other</w:t>
            </w: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9"/>
              </w:rPr>
              <w:t>Significant</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40" w:type="dxa"/>
            <w:vAlign w:val="bottom"/>
          </w:tcPr>
          <w:p>
            <w:pPr>
              <w:jc w:val="center"/>
              <w:ind w:right="374"/>
              <w:spacing w:after="0" w:line="149" w:lineRule="exact"/>
              <w:rPr>
                <w:sz w:val="20"/>
                <w:szCs w:val="20"/>
                <w:color w:val="auto"/>
              </w:rPr>
            </w:pPr>
            <w:r>
              <w:rPr>
                <w:rFonts w:ascii="Arial" w:cs="Arial" w:eastAsia="Arial" w:hAnsi="Arial"/>
                <w:sz w:val="14"/>
                <w:szCs w:val="14"/>
                <w:color w:val="auto"/>
                <w:w w:val="91"/>
              </w:rPr>
              <w:t>Prices for</w:t>
            </w:r>
          </w:p>
        </w:tc>
        <w:tc>
          <w:tcPr>
            <w:tcW w:w="28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Observable</w:t>
            </w:r>
          </w:p>
        </w:tc>
        <w:tc>
          <w:tcPr>
            <w:tcW w:w="28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Unobservable</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spacing w:after="0"/>
              <w:rPr>
                <w:sz w:val="12"/>
                <w:szCs w:val="12"/>
                <w:color w:val="auto"/>
              </w:rPr>
            </w:pPr>
          </w:p>
        </w:tc>
        <w:tc>
          <w:tcPr>
            <w:tcW w:w="15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Identical Assets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jc w:val="center"/>
              <w:ind w:right="174"/>
              <w:spacing w:after="0" w:line="149" w:lineRule="exact"/>
              <w:rPr>
                <w:sz w:val="20"/>
                <w:szCs w:val="20"/>
                <w:color w:val="auto"/>
              </w:rPr>
            </w:pPr>
            <w:r>
              <w:rPr>
                <w:rFonts w:ascii="Arial" w:cs="Arial" w:eastAsia="Arial" w:hAnsi="Arial"/>
                <w:sz w:val="14"/>
                <w:szCs w:val="14"/>
                <w:color w:val="auto"/>
                <w:w w:val="94"/>
              </w:rPr>
              <w:t>Inputs</w:t>
            </w: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57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374"/>
              <w:spacing w:after="0"/>
              <w:rPr>
                <w:sz w:val="20"/>
                <w:szCs w:val="20"/>
                <w:color w:val="auto"/>
              </w:rPr>
            </w:pPr>
            <w:r>
              <w:rPr>
                <w:rFonts w:ascii="Arial" w:cs="Arial" w:eastAsia="Arial" w:hAnsi="Arial"/>
                <w:sz w:val="14"/>
                <w:szCs w:val="14"/>
                <w:color w:val="auto"/>
                <w:w w:val="99"/>
              </w:rPr>
              <w:t>(Level 1)</w:t>
            </w:r>
          </w:p>
        </w:tc>
        <w:tc>
          <w:tcPr>
            <w:tcW w:w="280" w:type="dxa"/>
            <w:vAlign w:val="bottom"/>
          </w:tcPr>
          <w:p>
            <w:pPr>
              <w:spacing w:after="0"/>
              <w:rPr>
                <w:sz w:val="14"/>
                <w:szCs w:val="14"/>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5"/>
              </w:rPr>
              <w:t>(Level 2)</w:t>
            </w:r>
          </w:p>
        </w:tc>
        <w:tc>
          <w:tcPr>
            <w:tcW w:w="2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color w:val="auto"/>
                <w:w w:val="95"/>
              </w:rPr>
              <w:t>(Level 3)</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Money market funds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w w:val="86"/>
              </w:rPr>
              <w:t>135,420</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3"/>
              <w:spacing w:after="0"/>
              <w:rPr>
                <w:sz w:val="20"/>
                <w:szCs w:val="20"/>
                <w:color w:val="auto"/>
              </w:rPr>
            </w:pPr>
            <w:r>
              <w:rPr>
                <w:rFonts w:ascii="Arial" w:cs="Arial" w:eastAsia="Arial" w:hAnsi="Arial"/>
                <w:sz w:val="18"/>
                <w:szCs w:val="18"/>
                <w:color w:val="auto"/>
                <w:w w:val="89"/>
              </w:rPr>
              <w:t>135,420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Forward currency exchange contracts</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84"/>
              </w:rPr>
              <w:t>1,948</w:t>
            </w: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1,948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w w:val="86"/>
              </w:rPr>
              <w:t>135,420</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4"/>
              </w:rPr>
              <w:t>1,948</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w w:val="89"/>
              </w:rPr>
              <w:t>137,368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Forward currency exchange contracts</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4"/>
              <w:spacing w:after="0"/>
              <w:rPr>
                <w:sz w:val="20"/>
                <w:szCs w:val="20"/>
                <w:color w:val="auto"/>
              </w:rPr>
            </w:pPr>
            <w:r>
              <w:rPr>
                <w:rFonts w:ascii="Arial" w:cs="Arial" w:eastAsia="Arial" w:hAnsi="Arial"/>
                <w:sz w:val="18"/>
                <w:szCs w:val="18"/>
                <w:color w:val="auto"/>
                <w:w w:val="84"/>
              </w:rPr>
              <w:t>3,590</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14"/>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73"/>
              <w:spacing w:after="0"/>
              <w:rPr>
                <w:sz w:val="20"/>
                <w:szCs w:val="20"/>
                <w:color w:val="auto"/>
              </w:rPr>
            </w:pPr>
            <w:r>
              <w:rPr>
                <w:rFonts w:ascii="Arial" w:cs="Arial" w:eastAsia="Arial" w:hAnsi="Arial"/>
                <w:sz w:val="18"/>
                <w:szCs w:val="18"/>
                <w:color w:val="auto"/>
              </w:rPr>
              <w:t>3,590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 — contingent consideration</w:t>
            </w:r>
          </w:p>
        </w:tc>
        <w:tc>
          <w:tcPr>
            <w:tcW w:w="4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8"/>
                <w:szCs w:val="18"/>
                <w:color w:val="auto"/>
                <w:w w:val="88"/>
              </w:rPr>
              <w:t>5,619</w:t>
            </w:r>
          </w:p>
        </w:tc>
        <w:tc>
          <w:tcPr>
            <w:tcW w:w="2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8"/>
                <w:szCs w:val="18"/>
                <w:color w:val="auto"/>
              </w:rPr>
              <w:t>5,619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color w:val="auto"/>
                <w:w w:val="84"/>
              </w:rPr>
              <w:t>3,590</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8"/>
                <w:szCs w:val="18"/>
                <w:color w:val="auto"/>
                <w:w w:val="88"/>
              </w:rPr>
              <w:t>5,619</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273"/>
              <w:spacing w:after="0"/>
              <w:rPr>
                <w:sz w:val="20"/>
                <w:szCs w:val="20"/>
                <w:color w:val="auto"/>
              </w:rPr>
            </w:pPr>
            <w:r>
              <w:rPr>
                <w:rFonts w:ascii="Arial" w:cs="Arial" w:eastAsia="Arial" w:hAnsi="Arial"/>
                <w:sz w:val="18"/>
                <w:szCs w:val="18"/>
                <w:color w:val="auto"/>
              </w:rPr>
              <w:t>9,209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A description of the methods used to determine the fair value of the Level 3 liabilities (other liabilities — contingent consideration) is included within Note 9</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 Goodwill, Other Intangible Assets, and Acquisitions. The table below provides a reconciliation of the beginning and ending Level 3 liabilities for the nine months ended December 26, 2009.</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3"/>
          </w:tcPr>
          <w:p>
            <w:pPr>
              <w:jc w:val="center"/>
              <w:ind w:right="180"/>
              <w:spacing w:after="0"/>
              <w:rPr>
                <w:sz w:val="20"/>
                <w:szCs w:val="20"/>
                <w:color w:val="auto"/>
              </w:rPr>
            </w:pPr>
            <w:r>
              <w:rPr>
                <w:rFonts w:ascii="Arial" w:cs="Arial" w:eastAsia="Arial" w:hAnsi="Arial"/>
                <w:sz w:val="14"/>
                <w:szCs w:val="14"/>
                <w:color w:val="auto"/>
                <w:w w:val="93"/>
              </w:rPr>
              <w:t>Fair Value</w:t>
            </w:r>
          </w:p>
        </w:tc>
      </w:tr>
      <w:tr>
        <w:trPr>
          <w:trHeight w:val="149"/>
        </w:trPr>
        <w:tc>
          <w:tcPr>
            <w:tcW w:w="1032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0"/>
              </w:rPr>
              <w:t>Measurements</w:t>
            </w:r>
          </w:p>
        </w:tc>
      </w:tr>
      <w:tr>
        <w:trPr>
          <w:trHeight w:val="149"/>
        </w:trPr>
        <w:tc>
          <w:tcPr>
            <w:tcW w:w="10320" w:type="dxa"/>
            <w:vAlign w:val="bottom"/>
          </w:tcPr>
          <w:p>
            <w:pPr>
              <w:spacing w:after="0"/>
              <w:rPr>
                <w:sz w:val="12"/>
                <w:szCs w:val="12"/>
                <w:color w:val="auto"/>
              </w:rPr>
            </w:pPr>
          </w:p>
        </w:tc>
        <w:tc>
          <w:tcPr>
            <w:tcW w:w="1100" w:type="dxa"/>
            <w:vAlign w:val="bottom"/>
            <w:gridSpan w:val="4"/>
          </w:tcPr>
          <w:p>
            <w:pPr>
              <w:jc w:val="center"/>
              <w:ind w:right="100"/>
              <w:spacing w:after="0" w:line="149" w:lineRule="exact"/>
              <w:rPr>
                <w:sz w:val="20"/>
                <w:szCs w:val="20"/>
                <w:color w:val="auto"/>
              </w:rPr>
            </w:pPr>
            <w:r>
              <w:rPr>
                <w:rFonts w:ascii="Arial" w:cs="Arial" w:eastAsia="Arial" w:hAnsi="Arial"/>
                <w:sz w:val="14"/>
                <w:szCs w:val="14"/>
                <w:color w:val="auto"/>
                <w:w w:val="95"/>
              </w:rPr>
              <w:t>Using Significant</w:t>
            </w:r>
          </w:p>
        </w:tc>
      </w:tr>
      <w:tr>
        <w:trPr>
          <w:trHeight w:val="149"/>
        </w:trPr>
        <w:tc>
          <w:tcPr>
            <w:tcW w:w="10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2"/>
              </w:rPr>
              <w:t>Unobservable</w:t>
            </w:r>
          </w:p>
        </w:tc>
      </w:tr>
      <w:tr>
        <w:trPr>
          <w:trHeight w:val="149"/>
        </w:trPr>
        <w:tc>
          <w:tcPr>
            <w:tcW w:w="10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tcPr>
          <w:p>
            <w:pPr>
              <w:jc w:val="center"/>
              <w:ind w:right="180"/>
              <w:spacing w:after="0" w:line="149" w:lineRule="exact"/>
              <w:rPr>
                <w:sz w:val="20"/>
                <w:szCs w:val="20"/>
                <w:color w:val="auto"/>
              </w:rPr>
            </w:pPr>
            <w:r>
              <w:rPr>
                <w:rFonts w:ascii="Arial" w:cs="Arial" w:eastAsia="Arial" w:hAnsi="Arial"/>
                <w:sz w:val="14"/>
                <w:szCs w:val="14"/>
                <w:color w:val="auto"/>
                <w:w w:val="94"/>
              </w:rPr>
              <w:t>Inputs</w:t>
            </w:r>
          </w:p>
        </w:tc>
      </w:tr>
      <w:tr>
        <w:trPr>
          <w:trHeight w:val="167"/>
        </w:trPr>
        <w:tc>
          <w:tcPr>
            <w:tcW w:w="103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color w:val="auto"/>
                <w:w w:val="99"/>
              </w:rPr>
              <w:t>(Level 3)</w:t>
            </w:r>
          </w:p>
        </w:tc>
        <w:tc>
          <w:tcPr>
            <w:tcW w:w="100" w:type="dxa"/>
            <w:vAlign w:val="bottom"/>
            <w:gridSpan w:val="2"/>
          </w:tcPr>
          <w:p>
            <w:pPr>
              <w:spacing w:after="0"/>
              <w:rPr>
                <w:sz w:val="14"/>
                <w:szCs w:val="14"/>
                <w:color w:val="auto"/>
              </w:rPr>
            </w:pPr>
          </w:p>
        </w:tc>
      </w:tr>
      <w:tr>
        <w:trPr>
          <w:trHeight w:val="210"/>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320" w:type="dxa"/>
            <w:vAlign w:val="bottom"/>
          </w:tcPr>
          <w:p>
            <w:pPr>
              <w:spacing w:after="0"/>
              <w:rPr>
                <w:sz w:val="20"/>
                <w:szCs w:val="20"/>
                <w:color w:val="auto"/>
              </w:rPr>
            </w:pPr>
            <w:r>
              <w:rPr>
                <w:rFonts w:ascii="Arial" w:cs="Arial" w:eastAsia="Arial" w:hAnsi="Arial"/>
                <w:sz w:val="18"/>
                <w:szCs w:val="18"/>
                <w:color w:val="auto"/>
              </w:rPr>
              <w:t>Transfers into Level 3</w:t>
            </w:r>
          </w:p>
        </w:tc>
        <w:tc>
          <w:tcPr>
            <w:tcW w:w="8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4,988</w:t>
            </w:r>
          </w:p>
        </w:tc>
        <w:tc>
          <w:tcPr>
            <w:tcW w:w="80" w:type="dxa"/>
            <w:vAlign w:val="bottom"/>
          </w:tcPr>
          <w:p>
            <w:pPr>
              <w:spacing w:after="0"/>
              <w:rPr>
                <w:sz w:val="18"/>
                <w:szCs w:val="18"/>
                <w:color w:val="auto"/>
              </w:rPr>
            </w:pPr>
          </w:p>
        </w:tc>
      </w:tr>
      <w:tr>
        <w:trPr>
          <w:trHeight w:val="216"/>
        </w:trPr>
        <w:tc>
          <w:tcPr>
            <w:tcW w:w="10320" w:type="dxa"/>
            <w:vAlign w:val="bottom"/>
            <w:shd w:val="clear" w:color="auto" w:fill="CCEEFF"/>
          </w:tcPr>
          <w:p>
            <w:pPr>
              <w:spacing w:after="0"/>
              <w:rPr>
                <w:sz w:val="20"/>
                <w:szCs w:val="20"/>
                <w:color w:val="auto"/>
              </w:rPr>
            </w:pPr>
            <w:r>
              <w:rPr>
                <w:rFonts w:ascii="Arial" w:cs="Arial" w:eastAsia="Arial" w:hAnsi="Arial"/>
                <w:sz w:val="18"/>
                <w:szCs w:val="18"/>
                <w:color w:val="auto"/>
              </w:rPr>
              <w:t>Change in value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631</w:t>
            </w:r>
          </w:p>
        </w:tc>
        <w:tc>
          <w:tcPr>
            <w:tcW w:w="80" w:type="dxa"/>
            <w:vAlign w:val="bottom"/>
            <w:shd w:val="clear" w:color="auto" w:fill="CCEEFF"/>
          </w:tcPr>
          <w:p>
            <w:pPr>
              <w:spacing w:after="0"/>
              <w:rPr>
                <w:sz w:val="18"/>
                <w:szCs w:val="18"/>
                <w:color w:val="auto"/>
              </w:rPr>
            </w:pPr>
          </w:p>
        </w:tc>
      </w:tr>
      <w:tr>
        <w:trPr>
          <w:trHeight w:val="223"/>
        </w:trPr>
        <w:tc>
          <w:tcPr>
            <w:tcW w:w="10320" w:type="dxa"/>
            <w:vAlign w:val="bottom"/>
          </w:tcPr>
          <w:p>
            <w:pPr>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0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ASC Topic 825</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In February 2007, the FASB issued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(formerly known as FASB Statement No. 159, </w:t>
      </w:r>
      <w:r>
        <w:rPr>
          <w:rFonts w:ascii="Arial" w:cs="Arial" w:eastAsia="Arial" w:hAnsi="Arial"/>
          <w:sz w:val="18"/>
          <w:szCs w:val="18"/>
          <w:i w:val="1"/>
          <w:iCs w:val="1"/>
          <w:color w:val="auto"/>
        </w:rPr>
        <w:t>The Fair Value Option for</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Assets and Financial Liabilities, including an amendment of FASB Statement No. 115</w:t>
      </w:r>
      <w:r>
        <w:rPr>
          <w:rFonts w:ascii="Arial" w:cs="Arial" w:eastAsia="Arial" w:hAnsi="Arial"/>
          <w:sz w:val="18"/>
          <w:szCs w:val="18"/>
          <w:color w:val="auto"/>
        </w:rPr>
        <w:t>) which allows an entity to elect to record financial assets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liabilities at fair value upon their initial recognition on a contract-by-contract basis. We adopted ASC Topic 825 as of March 30, 2008 and did not elect the fair value option for our eligible financial assets and financial liabilities.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Fair Value Disclosures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our long-term debt obligations was $5.4 million and $6.2 million at December 26, 2009 and December 27, 2008,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Events or items that give rise to discrete recognition include finalizing audit examinations for open tax years or a statute of limitation’s expiration.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27.9% for the three months ended December 26, 2009. The reported tax rate includes:</w:t>
      </w:r>
    </w:p>
    <w:p>
      <w:pPr>
        <w:spacing w:after="0" w:line="117" w:lineRule="exact"/>
        <w:rPr>
          <w:sz w:val="20"/>
          <w:szCs w:val="20"/>
          <w:color w:val="auto"/>
        </w:rPr>
      </w:pPr>
    </w:p>
    <w:p>
      <w:pPr>
        <w:jc w:val="both"/>
        <w:ind w:left="340" w:right="220" w:hanging="332"/>
        <w:spacing w:after="0" w:line="264" w:lineRule="auto"/>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 comprised of the U.S. federal statutory tax rate of 35.0% reduced by tax benefits from foreign taxes (including our Swiss principal) and a domestic manufacturing deduction, offset in part by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items:</w:t>
      </w:r>
    </w:p>
    <w:p>
      <w:pPr>
        <w:spacing w:after="0" w:line="11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 $0.8 million benefit from the expected full utilization of the foreign tax gross-up associated with a FY10 dividend from Japan</w:t>
      </w:r>
    </w:p>
    <w:p>
      <w:pPr>
        <w:spacing w:after="0" w:line="130" w:lineRule="exact"/>
        <w:rPr>
          <w:rFonts w:ascii="Arial" w:cs="Arial" w:eastAsia="Arial" w:hAnsi="Arial"/>
          <w:sz w:val="18"/>
          <w:szCs w:val="18"/>
          <w:b w:val="1"/>
          <w:bCs w:val="1"/>
          <w:color w:val="auto"/>
        </w:rPr>
      </w:pPr>
    </w:p>
    <w:p>
      <w:pPr>
        <w:ind w:left="340" w:hanging="332"/>
        <w:spacing w:after="0"/>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A $0.1 million benefit from the expiration of various reserves, the fiscal year 2009 provision to return analysis and foreign and state tax assessments.</w:t>
      </w:r>
    </w:p>
    <w:p>
      <w:pPr>
        <w:spacing w:after="0" w:line="140"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 reported tax rate was 31.0% for the three months ended December 27, 2008. The reported tax rate equaled the expected effective annual tax rate which reflected tax benefits from foreign taxes and a domestic manufacturing deduction, offset in part by the state tax provision, and stock compensation expense not deductible in all jurisdictions.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29.7% for the nine months ended December 26, 2009. The reported tax rate includes:</w:t>
      </w:r>
    </w:p>
    <w:p>
      <w:pPr>
        <w:spacing w:after="0" w:line="117" w:lineRule="exact"/>
        <w:rPr>
          <w:sz w:val="20"/>
          <w:szCs w:val="20"/>
          <w:color w:val="auto"/>
        </w:rPr>
      </w:pPr>
    </w:p>
    <w:p>
      <w:pPr>
        <w:ind w:left="340" w:right="40" w:hanging="332"/>
        <w:spacing w:after="0" w:line="264" w:lineRule="auto"/>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comprised of the U.S. federal statutory rate of 35.0% reduced by tax benefits from foreign taxes (including our Swiss principal) and a domestic manufacturing deduction, plus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w:t>
      </w:r>
    </w:p>
    <w:p>
      <w:pPr>
        <w:spacing w:after="0" w:line="11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A $0.1 million benefit from the expiration of various reserves, the fiscal year 2009 provision to return analysis and foreign and state tax assessments.</w:t>
      </w:r>
    </w:p>
    <w:p>
      <w:pPr>
        <w:spacing w:after="0" w:line="153" w:lineRule="exact"/>
        <w:rPr>
          <w:rFonts w:ascii="Arial" w:cs="Arial" w:eastAsia="Arial" w:hAnsi="Arial"/>
          <w:sz w:val="16"/>
          <w:szCs w:val="16"/>
          <w:b w:val="1"/>
          <w:bCs w:val="1"/>
          <w:color w:val="auto"/>
        </w:rPr>
      </w:pPr>
    </w:p>
    <w:p>
      <w:pPr>
        <w:ind w:firstLine="8"/>
        <w:spacing w:after="0" w:line="373" w:lineRule="auto"/>
        <w:tabs>
          <w:tab w:leader="none" w:pos="324"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$1.2 million benefit (on a year to date basis) from the expected full utilization of the foreign tax gross-up associated with a FY10 dividend from Japan. The reported tax rate was 31.9% for the nine months ended December 27, 2008. The reported tax rate included:</w:t>
      </w:r>
    </w:p>
    <w:p>
      <w:pPr>
        <w:spacing w:after="0" w:line="4" w:lineRule="exact"/>
        <w:rPr>
          <w:rFonts w:ascii="Arial" w:cs="Arial" w:eastAsia="Arial" w:hAnsi="Arial"/>
          <w:sz w:val="18"/>
          <w:szCs w:val="18"/>
          <w:b w:val="1"/>
          <w:bCs w:val="1"/>
          <w:color w:val="auto"/>
        </w:rPr>
      </w:pPr>
    </w:p>
    <w:p>
      <w:pPr>
        <w:ind w:left="340" w:right="140" w:hanging="332"/>
        <w:spacing w:after="0" w:line="264" w:lineRule="auto"/>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A 35.1% expected effective annual tax rate which reflects tax benefits from foreign taxes and a domestic manufacturing deduction, offset in part by the state tax provision, and stock compensation expenses not deductible in all jurisdictions. The reported tax rate also included a $1.1 million reversal of previously accrued income taxes because of the expiration of the statute of limitations.</w:t>
      </w:r>
    </w:p>
    <w:p>
      <w:pPr>
        <w:spacing w:after="0" w:line="73"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We conduct business globally and, as a result, file consolidated federal and separate state and foreign income tax returns in multiple jurisdictions. In the normal course of business, we are subject to examination by taxing authorities throughout the world in jurisdictions including the U.S., Japan, Germany, France, the United Kingdom, and Switzerland. With few exceptions, we are no longer subject to U.S. federal, state and local, or foreign income tax examinations for years before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COMMITMENTS AND CONTINGENCIES</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are presently engaged in various legal actions, and although ultimate liability cannot be determined at the present time, we believe, based on consultation with counsel, that any such liability will not materially affect our consolidated financial position or our results of operations.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DEFINED BENEFIT PENSION PLANS</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Certain of the Company’s foreign subsidiaries have defined benefit pension plans covering substantially all full time employees at those subsidiaries. Net periodic benefit costs for the plans in the aggregate include the following components:</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6"/>
          </w:tcPr>
          <w:p>
            <w:pPr>
              <w:jc w:val="center"/>
              <w:ind w:right="280"/>
              <w:spacing w:after="0"/>
              <w:rPr>
                <w:sz w:val="20"/>
                <w:szCs w:val="20"/>
                <w:color w:val="auto"/>
              </w:rPr>
            </w:pPr>
            <w:r>
              <w:rPr>
                <w:rFonts w:ascii="Arial" w:cs="Arial" w:eastAsia="Arial" w:hAnsi="Arial"/>
                <w:sz w:val="14"/>
                <w:szCs w:val="14"/>
                <w:color w:val="auto"/>
                <w:w w:val="91"/>
              </w:rPr>
              <w:t>For the three months ended</w:t>
            </w:r>
          </w:p>
        </w:tc>
      </w:tr>
      <w:tr>
        <w:trPr>
          <w:trHeight w:val="123"/>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1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26,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27,</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left="377"/>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 gain and unrecognized initial obligation</w:t>
            </w:r>
          </w:p>
        </w:tc>
        <w:tc>
          <w:tcPr>
            <w:tcW w:w="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6"/>
          </w:tcPr>
          <w:p>
            <w:pPr>
              <w:jc w:val="center"/>
              <w:ind w:right="280"/>
              <w:spacing w:after="0"/>
              <w:rPr>
                <w:sz w:val="20"/>
                <w:szCs w:val="20"/>
                <w:color w:val="auto"/>
              </w:rPr>
            </w:pPr>
            <w:r>
              <w:rPr>
                <w:rFonts w:ascii="Arial" w:cs="Arial" w:eastAsia="Arial" w:hAnsi="Arial"/>
                <w:sz w:val="14"/>
                <w:szCs w:val="14"/>
                <w:color w:val="auto"/>
                <w:w w:val="92"/>
              </w:rPr>
              <w:t>For the nine months ended</w:t>
            </w:r>
          </w:p>
        </w:tc>
      </w:tr>
      <w:tr>
        <w:trPr>
          <w:trHeight w:val="123"/>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18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26,</w:t>
            </w:r>
          </w:p>
        </w:tc>
        <w:tc>
          <w:tcPr>
            <w:tcW w:w="3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27,</w:t>
            </w:r>
          </w:p>
        </w:tc>
        <w:tc>
          <w:tcPr>
            <w:tcW w:w="100" w:type="dxa"/>
            <w:vAlign w:val="bottom"/>
          </w:tcPr>
          <w:p>
            <w:pPr>
              <w:spacing w:after="0"/>
              <w:rPr>
                <w:sz w:val="10"/>
                <w:szCs w:val="10"/>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color w:val="auto"/>
              </w:rPr>
              <w:t>2009</w:t>
            </w: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gridSpan w:val="4"/>
          </w:tcPr>
          <w:p>
            <w:pPr>
              <w:jc w:val="center"/>
              <w:ind w:left="377"/>
              <w:spacing w:after="0" w:line="142" w:lineRule="exact"/>
              <w:rPr>
                <w:sz w:val="20"/>
                <w:szCs w:val="20"/>
                <w:color w:val="auto"/>
              </w:rPr>
            </w:pPr>
            <w:r>
              <w:rPr>
                <w:rFonts w:ascii="Arial" w:cs="Arial" w:eastAsia="Arial" w:hAnsi="Arial"/>
                <w:sz w:val="14"/>
                <w:szCs w:val="14"/>
                <w:color w:val="auto"/>
                <w:w w:val="92"/>
              </w:rPr>
              <w:t>(in 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372</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w:t>
            </w: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Interest cost on benefit obligation</w:t>
            </w: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198</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w:t>
            </w: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Amortization of unrecognized prior service cost, unrecognized gain and unrecognized initial obligation</w:t>
            </w:r>
          </w:p>
        </w:tc>
        <w:tc>
          <w:tcPr>
            <w:tcW w:w="18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SEGMENT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Definition Criteria</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manage our business on the basis of one operating segment: the design, manufacture and marketing of automated blood processing systems. Our chief operating decision-maker uses consolidated results to make operating and strategic decisions. Manufacturing processes, as well as the regulatory environment in which we operate, are largely the same for all product lines.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Enterprise Wide Disclosures about Product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have three families of products: (1) disposables, (2) software solutions and (3) equipment &amp; other.</w:t>
      </w:r>
    </w:p>
    <w:p>
      <w:pPr>
        <w:spacing w:after="0" w:line="11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Disposables include the plasma, blood bank, and hospital product lines. Plasma consists of the disposables used to perform apheresis for the separation of whole blood components and subsequent collection of plasma. Blood bank consists of disposables which separate whole blood for the subsequent collection of platelets, red cells, or a combination of these components. Hospital consists of surgical disposables (principally the Cell Saver</w:t>
      </w:r>
      <w:r>
        <w:rPr>
          <w:rFonts w:ascii="Arial" w:cs="Arial" w:eastAsia="Arial" w:hAnsi="Arial"/>
          <w:sz w:val="14"/>
          <w:szCs w:val="14"/>
          <w:color w:val="auto"/>
        </w:rPr>
        <w:t>®</w:t>
      </w:r>
      <w:r>
        <w:rPr>
          <w:rFonts w:ascii="Arial" w:cs="Arial" w:eastAsia="Arial" w:hAnsi="Arial"/>
          <w:sz w:val="17"/>
          <w:szCs w:val="17"/>
          <w:color w:val="auto"/>
        </w:rPr>
        <w:t xml:space="preserve"> autologous blood recovery system and cardioPAT</w:t>
      </w:r>
      <w:r>
        <w:rPr>
          <w:rFonts w:ascii="Arial" w:cs="Arial" w:eastAsia="Arial" w:hAnsi="Arial"/>
          <w:sz w:val="14"/>
          <w:szCs w:val="14"/>
          <w:color w:val="auto"/>
        </w:rPr>
        <w:t>®</w:t>
      </w:r>
      <w:r>
        <w:rPr>
          <w:rFonts w:ascii="Arial" w:cs="Arial" w:eastAsia="Arial" w:hAnsi="Arial"/>
          <w:sz w:val="17"/>
          <w:szCs w:val="17"/>
          <w:color w:val="auto"/>
        </w:rPr>
        <w:t xml:space="preserve"> cardiovascular perioperative autotransfusion system), OrthoPAT</w:t>
      </w:r>
      <w:r>
        <w:rPr>
          <w:rFonts w:ascii="Arial" w:cs="Arial" w:eastAsia="Arial" w:hAnsi="Arial"/>
          <w:sz w:val="14"/>
          <w:szCs w:val="14"/>
          <w:color w:val="auto"/>
        </w:rPr>
        <w:t>®</w:t>
      </w:r>
      <w:r>
        <w:rPr>
          <w:rFonts w:ascii="Arial" w:cs="Arial" w:eastAsia="Arial" w:hAnsi="Arial"/>
          <w:sz w:val="17"/>
          <w:szCs w:val="17"/>
          <w:color w:val="auto"/>
        </w:rPr>
        <w:t xml:space="preserve"> orthopedic perioperative autotransfusion system, and diagnostics products (principally the TEG</w:t>
      </w:r>
      <w:r>
        <w:rPr>
          <w:rFonts w:ascii="Arial" w:cs="Arial" w:eastAsia="Arial" w:hAnsi="Arial"/>
          <w:sz w:val="14"/>
          <w:szCs w:val="14"/>
          <w:color w:val="auto"/>
        </w:rPr>
        <w:t>®</w:t>
      </w:r>
      <w:r>
        <w:rPr>
          <w:rFonts w:ascii="Arial" w:cs="Arial" w:eastAsia="Arial" w:hAnsi="Arial"/>
          <w:sz w:val="17"/>
          <w:szCs w:val="17"/>
          <w:color w:val="auto"/>
        </w:rPr>
        <w:t xml:space="preserve"> Thrombelastograph</w:t>
      </w:r>
      <w:r>
        <w:rPr>
          <w:rFonts w:ascii="Arial" w:cs="Arial" w:eastAsia="Arial" w:hAnsi="Arial"/>
          <w:sz w:val="14"/>
          <w:szCs w:val="14"/>
          <w:color w:val="auto"/>
        </w:rPr>
        <w:t>®</w:t>
      </w:r>
      <w:r>
        <w:rPr>
          <w:rFonts w:ascii="Arial" w:cs="Arial" w:eastAsia="Arial" w:hAnsi="Arial"/>
          <w:sz w:val="17"/>
          <w:szCs w:val="17"/>
          <w:color w:val="auto"/>
        </w:rPr>
        <w:t xml:space="preserve"> hemostasis analyzer).</w:t>
      </w:r>
    </w:p>
    <w:p>
      <w:pPr>
        <w:spacing w:after="0" w:line="64"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Software solutions include information technology platforms that assist blood banks, plasma centers, and hospitals more effectively manage regulatory compliance and operational efficiency.</w:t>
      </w:r>
    </w:p>
    <w:p>
      <w:pPr>
        <w:spacing w:after="0" w:line="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Equipment &amp; other revenues include revenue from equipment sales, repairs performed under preventive maintenance contracts or emergency service visits, spare part sales, and various service and training programs.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Revenues from External Customers: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center"/>
              <w:ind w:right="26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26,</w:t>
            </w: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left="414"/>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Plasma disposables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59,177</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53,594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Blood bank disposables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Platelet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39,793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36,435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 cell</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12,022</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51,815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Hospital disposables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Surgical</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17,864</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17,742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OrthoPAT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9,864</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Diagnostics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5,813</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33,541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16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144,533</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135,159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8,256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Equipment &amp; 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12,380</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165,169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155,447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9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6"/>
          </w:tcPr>
          <w:p>
            <w:pPr>
              <w:jc w:val="center"/>
              <w:ind w:right="24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9000" w:type="dxa"/>
            <w:vAlign w:val="bottom"/>
          </w:tcPr>
          <w:p>
            <w:pPr>
              <w:spacing w:after="0"/>
              <w:rPr>
                <w:sz w:val="10"/>
                <w:szCs w:val="10"/>
                <w:color w:val="auto"/>
              </w:rPr>
            </w:pPr>
          </w:p>
        </w:tc>
        <w:tc>
          <w:tcPr>
            <w:tcW w:w="1160" w:type="dxa"/>
            <w:vAlign w:val="bottom"/>
            <w:tcBorders>
              <w:top w:val="single" w:sz="8" w:color="auto"/>
            </w:tcBorders>
            <w:gridSpan w:val="3"/>
          </w:tcPr>
          <w:p>
            <w:pPr>
              <w:ind w:left="20"/>
              <w:spacing w:after="0" w:line="123" w:lineRule="exact"/>
              <w:rPr>
                <w:sz w:val="20"/>
                <w:szCs w:val="20"/>
                <w:color w:val="auto"/>
              </w:rPr>
            </w:pPr>
            <w:r>
              <w:rPr>
                <w:rFonts w:ascii="Arial" w:cs="Arial" w:eastAsia="Arial" w:hAnsi="Arial"/>
                <w:sz w:val="14"/>
                <w:szCs w:val="14"/>
                <w:color w:val="auto"/>
              </w:rPr>
              <w:t>December 26,</w:t>
            </w: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spacing w:after="0" w:line="123" w:lineRule="exact"/>
              <w:rPr>
                <w:sz w:val="20"/>
                <w:szCs w:val="20"/>
                <w:color w:val="auto"/>
              </w:rPr>
            </w:pPr>
            <w:r>
              <w:rPr>
                <w:rFonts w:ascii="Arial" w:cs="Arial" w:eastAsia="Arial" w:hAnsi="Arial"/>
                <w:sz w:val="14"/>
                <w:szCs w:val="14"/>
                <w:color w:val="auto"/>
                <w:w w:val="90"/>
              </w:rPr>
              <w:t>December 27,</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color w:val="auto"/>
              </w:rPr>
              <w:t>2009</w:t>
            </w: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gridSpan w:val="4"/>
          </w:tcPr>
          <w:p>
            <w:pPr>
              <w:jc w:val="center"/>
              <w:ind w:left="414"/>
              <w:spacing w:after="0" w:line="142" w:lineRule="exact"/>
              <w:rPr>
                <w:sz w:val="20"/>
                <w:szCs w:val="20"/>
                <w:color w:val="auto"/>
              </w:rPr>
            </w:pPr>
            <w:r>
              <w:rPr>
                <w:rFonts w:ascii="Arial" w:cs="Arial" w:eastAsia="Arial" w:hAnsi="Arial"/>
                <w:sz w:val="14"/>
                <w:szCs w:val="14"/>
                <w:color w:val="auto"/>
                <w:w w:val="92"/>
              </w:rPr>
              <w:t>(in thousands)</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Disposable revenues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200"/>
              <w:spacing w:after="0"/>
              <w:rPr>
                <w:sz w:val="20"/>
                <w:szCs w:val="20"/>
                <w:color w:val="auto"/>
              </w:rPr>
            </w:pPr>
            <w:r>
              <w:rPr>
                <w:rFonts w:ascii="Arial" w:cs="Arial" w:eastAsia="Arial" w:hAnsi="Arial"/>
                <w:sz w:val="18"/>
                <w:szCs w:val="18"/>
                <w:color w:val="auto"/>
              </w:rPr>
              <w:t>Plasma disposables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177,469</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150,386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Blood bank disposables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Platelet</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111,350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108,388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Red cell</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35,285</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146,635</w:t>
            </w: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145,039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Hospital disposables</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Surgical</w:t>
            </w:r>
          </w:p>
        </w:tc>
        <w:tc>
          <w:tcPr>
            <w:tcW w:w="16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51,920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50,995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OrthoPAT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27,126</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00"/>
              <w:spacing w:after="0"/>
              <w:rPr>
                <w:sz w:val="20"/>
                <w:szCs w:val="20"/>
                <w:color w:val="auto"/>
              </w:rPr>
            </w:pPr>
            <w:r>
              <w:rPr>
                <w:rFonts w:ascii="Arial" w:cs="Arial" w:eastAsia="Arial" w:hAnsi="Arial"/>
                <w:sz w:val="18"/>
                <w:szCs w:val="18"/>
                <w:color w:val="auto"/>
              </w:rPr>
              <w:t>Diagnostics</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15,092</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94,138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020" w:type="dxa"/>
            <w:vAlign w:val="bottom"/>
            <w:gridSpan w:val="2"/>
          </w:tcPr>
          <w:p>
            <w:pPr>
              <w:spacing w:after="0"/>
              <w:rPr>
                <w:sz w:val="20"/>
                <w:szCs w:val="20"/>
                <w:color w:val="auto"/>
              </w:rPr>
            </w:pPr>
            <w:r>
              <w:rPr>
                <w:rFonts w:ascii="Arial" w:cs="Arial" w:eastAsia="Arial" w:hAnsi="Arial"/>
                <w:sz w:val="18"/>
                <w:szCs w:val="18"/>
                <w:color w:val="auto"/>
              </w:rPr>
              <w:t>Disposables revenue</w:t>
            </w:r>
          </w:p>
        </w:tc>
        <w:tc>
          <w:tcPr>
            <w:tcW w:w="160" w:type="dxa"/>
            <w:vAlign w:val="bottom"/>
          </w:tcPr>
          <w:p>
            <w:pPr>
              <w:spacing w:after="0"/>
              <w:rPr>
                <w:sz w:val="24"/>
                <w:szCs w:val="2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418,242</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387,803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Software solutions</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25,810</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Equipment &amp; other</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32,274</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8"/>
              </w:rPr>
              <w:t>476,326</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445,482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REORGANIZATION</w:t>
      </w:r>
    </w:p>
    <w:p>
      <w:pPr>
        <w:spacing w:after="0" w:line="121"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During the last two years, the Company has transformed aspects of its international businesses, and more recently, its U.S. domestic Technical Operations organizations. The following summarizes the restructuring activity for the nine months ended December 26, 2009 and December 27, 2008, respectively: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gridSpan w:val="9"/>
          </w:tcPr>
          <w:p>
            <w:pPr>
              <w:ind w:left="400"/>
              <w:spacing w:after="0"/>
              <w:rPr>
                <w:sz w:val="20"/>
                <w:szCs w:val="20"/>
                <w:color w:val="auto"/>
              </w:rPr>
            </w:pPr>
            <w:r>
              <w:rPr>
                <w:rFonts w:ascii="Arial" w:cs="Arial" w:eastAsia="Arial" w:hAnsi="Arial"/>
                <w:sz w:val="14"/>
                <w:szCs w:val="14"/>
                <w:color w:val="auto"/>
              </w:rPr>
              <w:t>Nine Months Ended December 26, 2009</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5"/>
        </w:trPr>
        <w:tc>
          <w:tcPr>
            <w:tcW w:w="4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Accrual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Balance at</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Asset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20"/>
                <w:szCs w:val="20"/>
                <w:color w:val="auto"/>
              </w:rPr>
            </w:pPr>
            <w:r>
              <w:rPr>
                <w:rFonts w:ascii="Arial" w:cs="Arial" w:eastAsia="Arial" w:hAnsi="Arial"/>
                <w:sz w:val="14"/>
                <w:szCs w:val="14"/>
                <w:color w:val="auto"/>
              </w:rPr>
              <w:t>(Dollars in thousands)</w:t>
            </w:r>
          </w:p>
        </w:tc>
        <w:tc>
          <w:tcPr>
            <w:tcW w:w="1520" w:type="dxa"/>
            <w:vAlign w:val="bottom"/>
            <w:gridSpan w:val="5"/>
          </w:tcPr>
          <w:p>
            <w:pPr>
              <w:spacing w:after="0"/>
              <w:rPr>
                <w:sz w:val="20"/>
                <w:szCs w:val="20"/>
                <w:color w:val="auto"/>
              </w:rPr>
            </w:pPr>
            <w:r>
              <w:rPr>
                <w:rFonts w:ascii="Arial" w:cs="Arial" w:eastAsia="Arial" w:hAnsi="Arial"/>
                <w:sz w:val="14"/>
                <w:szCs w:val="14"/>
                <w:color w:val="auto"/>
              </w:rPr>
              <w:t>March 28, 2009</w:t>
            </w:r>
          </w:p>
        </w:tc>
        <w:tc>
          <w:tcPr>
            <w:tcW w:w="1100" w:type="dxa"/>
            <w:vAlign w:val="bottom"/>
            <w:gridSpan w:val="3"/>
          </w:tcPr>
          <w:p>
            <w:pPr>
              <w:spacing w:after="0"/>
              <w:rPr>
                <w:sz w:val="20"/>
                <w:szCs w:val="20"/>
                <w:color w:val="auto"/>
              </w:rPr>
            </w:pPr>
            <w:r>
              <w:rPr>
                <w:rFonts w:ascii="Arial" w:cs="Arial" w:eastAsia="Arial" w:hAnsi="Arial"/>
                <w:sz w:val="14"/>
                <w:szCs w:val="14"/>
                <w:color w:val="auto"/>
              </w:rPr>
              <w:t>Cost Incurred</w:t>
            </w:r>
          </w:p>
        </w:tc>
        <w:tc>
          <w:tcPr>
            <w:tcW w:w="30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color w:val="auto"/>
                <w:w w:val="96"/>
              </w:rPr>
              <w:t>Payments</w:t>
            </w:r>
          </w:p>
        </w:tc>
        <w:tc>
          <w:tcPr>
            <w:tcW w:w="980" w:type="dxa"/>
            <w:vAlign w:val="bottom"/>
            <w:gridSpan w:val="3"/>
          </w:tcPr>
          <w:p>
            <w:pPr>
              <w:spacing w:after="0"/>
              <w:rPr>
                <w:sz w:val="20"/>
                <w:szCs w:val="20"/>
                <w:color w:val="auto"/>
              </w:rPr>
            </w:pPr>
            <w:r>
              <w:rPr>
                <w:rFonts w:ascii="Arial" w:cs="Arial" w:eastAsia="Arial" w:hAnsi="Arial"/>
                <w:sz w:val="14"/>
                <w:szCs w:val="14"/>
                <w:color w:val="auto"/>
              </w:rPr>
              <w:t>Write down</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26, 2009</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(1,387)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1,343</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Facility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(42)</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(78)</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2,850</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(1,507</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4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40" w:type="dxa"/>
            <w:vAlign w:val="bottom"/>
            <w:gridSpan w:val="9"/>
          </w:tcPr>
          <w:p>
            <w:pPr>
              <w:ind w:left="400"/>
              <w:spacing w:after="0"/>
              <w:rPr>
                <w:sz w:val="20"/>
                <w:szCs w:val="20"/>
                <w:color w:val="auto"/>
              </w:rPr>
            </w:pPr>
            <w:r>
              <w:rPr>
                <w:rFonts w:ascii="Arial" w:cs="Arial" w:eastAsia="Arial" w:hAnsi="Arial"/>
                <w:sz w:val="14"/>
                <w:szCs w:val="14"/>
                <w:color w:val="auto"/>
              </w:rPr>
              <w:t>Nine Months Ended December 27, 2008</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w w:val="93"/>
              </w:rPr>
              <w:t>Restructuring</w:t>
            </w:r>
          </w:p>
        </w:tc>
        <w:tc>
          <w:tcPr>
            <w:tcW w:w="0" w:type="dxa"/>
            <w:vAlign w:val="bottom"/>
          </w:tcPr>
          <w:p>
            <w:pPr>
              <w:spacing w:after="0"/>
              <w:rPr>
                <w:sz w:val="1"/>
                <w:szCs w:val="1"/>
                <w:color w:val="auto"/>
              </w:rPr>
            </w:pPr>
          </w:p>
        </w:tc>
      </w:tr>
      <w:tr>
        <w:trPr>
          <w:trHeight w:val="115"/>
        </w:trPr>
        <w:tc>
          <w:tcPr>
            <w:tcW w:w="4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8"/>
              </w:rPr>
              <w:t>Accrual</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Balance at</w:t>
            </w: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Asset</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Balance at</w:t>
            </w:r>
          </w:p>
        </w:tc>
        <w:tc>
          <w:tcPr>
            <w:tcW w:w="0" w:type="dxa"/>
            <w:vAlign w:val="bottom"/>
          </w:tcPr>
          <w:p>
            <w:pPr>
              <w:spacing w:after="0"/>
              <w:rPr>
                <w:sz w:val="1"/>
                <w:szCs w:val="1"/>
                <w:color w:val="auto"/>
              </w:rPr>
            </w:pPr>
          </w:p>
        </w:tc>
      </w:tr>
      <w:tr>
        <w:trPr>
          <w:trHeight w:val="167"/>
        </w:trPr>
        <w:tc>
          <w:tcPr>
            <w:tcW w:w="4660" w:type="dxa"/>
            <w:vAlign w:val="bottom"/>
          </w:tcPr>
          <w:p>
            <w:pPr>
              <w:spacing w:after="0"/>
              <w:rPr>
                <w:sz w:val="20"/>
                <w:szCs w:val="20"/>
                <w:color w:val="auto"/>
              </w:rPr>
            </w:pPr>
            <w:r>
              <w:rPr>
                <w:rFonts w:ascii="Arial" w:cs="Arial" w:eastAsia="Arial" w:hAnsi="Arial"/>
                <w:sz w:val="14"/>
                <w:szCs w:val="14"/>
                <w:color w:val="auto"/>
              </w:rPr>
              <w:t>(Dollars in thousands)</w:t>
            </w:r>
          </w:p>
        </w:tc>
        <w:tc>
          <w:tcPr>
            <w:tcW w:w="1520" w:type="dxa"/>
            <w:vAlign w:val="bottom"/>
            <w:gridSpan w:val="5"/>
          </w:tcPr>
          <w:p>
            <w:pPr>
              <w:spacing w:after="0"/>
              <w:rPr>
                <w:sz w:val="20"/>
                <w:szCs w:val="20"/>
                <w:color w:val="auto"/>
              </w:rPr>
            </w:pPr>
            <w:r>
              <w:rPr>
                <w:rFonts w:ascii="Arial" w:cs="Arial" w:eastAsia="Arial" w:hAnsi="Arial"/>
                <w:sz w:val="14"/>
                <w:szCs w:val="14"/>
                <w:color w:val="auto"/>
              </w:rPr>
              <w:t>March 29, 2008</w:t>
            </w:r>
          </w:p>
        </w:tc>
        <w:tc>
          <w:tcPr>
            <w:tcW w:w="1100" w:type="dxa"/>
            <w:vAlign w:val="bottom"/>
            <w:gridSpan w:val="3"/>
          </w:tcPr>
          <w:p>
            <w:pPr>
              <w:spacing w:after="0"/>
              <w:rPr>
                <w:sz w:val="20"/>
                <w:szCs w:val="20"/>
                <w:color w:val="auto"/>
              </w:rPr>
            </w:pPr>
            <w:r>
              <w:rPr>
                <w:rFonts w:ascii="Arial" w:cs="Arial" w:eastAsia="Arial" w:hAnsi="Arial"/>
                <w:sz w:val="14"/>
                <w:szCs w:val="14"/>
                <w:color w:val="auto"/>
              </w:rPr>
              <w:t>Cost Incurred</w:t>
            </w:r>
          </w:p>
        </w:tc>
        <w:tc>
          <w:tcPr>
            <w:tcW w:w="300" w:type="dxa"/>
            <w:vAlign w:val="bottom"/>
          </w:tcPr>
          <w:p>
            <w:pPr>
              <w:spacing w:after="0"/>
              <w:rPr>
                <w:sz w:val="14"/>
                <w:szCs w:val="14"/>
                <w:color w:val="auto"/>
              </w:rPr>
            </w:pPr>
          </w:p>
        </w:tc>
        <w:tc>
          <w:tcPr>
            <w:tcW w:w="1300" w:type="dxa"/>
            <w:vAlign w:val="bottom"/>
            <w:gridSpan w:val="3"/>
          </w:tcPr>
          <w:p>
            <w:pPr>
              <w:jc w:val="right"/>
              <w:ind w:right="600"/>
              <w:spacing w:after="0"/>
              <w:rPr>
                <w:sz w:val="20"/>
                <w:szCs w:val="20"/>
                <w:color w:val="auto"/>
              </w:rPr>
            </w:pPr>
            <w:r>
              <w:rPr>
                <w:rFonts w:ascii="Arial" w:cs="Arial" w:eastAsia="Arial" w:hAnsi="Arial"/>
                <w:sz w:val="14"/>
                <w:szCs w:val="14"/>
                <w:color w:val="auto"/>
                <w:w w:val="96"/>
              </w:rPr>
              <w:t>Payments</w:t>
            </w:r>
          </w:p>
        </w:tc>
        <w:tc>
          <w:tcPr>
            <w:tcW w:w="980" w:type="dxa"/>
            <w:vAlign w:val="bottom"/>
            <w:gridSpan w:val="3"/>
          </w:tcPr>
          <w:p>
            <w:pPr>
              <w:spacing w:after="0"/>
              <w:rPr>
                <w:sz w:val="20"/>
                <w:szCs w:val="20"/>
                <w:color w:val="auto"/>
              </w:rPr>
            </w:pPr>
            <w:r>
              <w:rPr>
                <w:rFonts w:ascii="Arial" w:cs="Arial" w:eastAsia="Arial" w:hAnsi="Arial"/>
                <w:sz w:val="14"/>
                <w:szCs w:val="14"/>
                <w:color w:val="auto"/>
              </w:rPr>
              <w:t>Write down</w:t>
            </w:r>
          </w:p>
        </w:tc>
        <w:tc>
          <w:tcPr>
            <w:tcW w:w="3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w w:val="99"/>
              </w:rPr>
              <w:t>December 27, 2008</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Employee-related costs</w:t>
            </w: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8"/>
              </w:rPr>
              <w:t>(1,886)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Facility related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71</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84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 exit &amp; termination costs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(1,957</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CAPITALIZATION OF SOFTWARE DEVELOPMENT COSTS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implemented an Enterprise Resource Planning (ERP) system over the last three years.</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The cost of software that is developed or obtained for internal use is accounted for pursuant to ASC Topic 350, </w:t>
      </w:r>
      <w:r>
        <w:rPr>
          <w:rFonts w:ascii="Arial" w:cs="Arial" w:eastAsia="Arial" w:hAnsi="Arial"/>
          <w:sz w:val="16"/>
          <w:szCs w:val="16"/>
          <w:i w:val="1"/>
          <w:iCs w:val="1"/>
          <w:color w:val="auto"/>
        </w:rPr>
        <w:t>Intangibles — Goodwill and Other</w:t>
      </w:r>
      <w:r>
        <w:rPr>
          <w:rFonts w:ascii="Arial" w:cs="Arial" w:eastAsia="Arial" w:hAnsi="Arial"/>
          <w:sz w:val="16"/>
          <w:szCs w:val="16"/>
          <w:color w:val="auto"/>
        </w:rPr>
        <w:t xml:space="preserve"> (formerly known as AICPA Statement of Position 98-1, </w:t>
      </w:r>
      <w:r>
        <w:rPr>
          <w:rFonts w:ascii="Arial" w:cs="Arial" w:eastAsia="Arial" w:hAnsi="Arial"/>
          <w:sz w:val="16"/>
          <w:szCs w:val="16"/>
          <w:i w:val="1"/>
          <w:iCs w:val="1"/>
          <w:color w:val="auto"/>
        </w:rPr>
        <w:t>Accounting for the Costs of Computer Software Developed or Obtained for Internal Use</w:t>
      </w:r>
      <w:r>
        <w:rPr>
          <w:rFonts w:ascii="Arial" w:cs="Arial" w:eastAsia="Arial" w:hAnsi="Arial"/>
          <w:sz w:val="16"/>
          <w:szCs w:val="16"/>
          <w:color w:val="auto"/>
        </w:rPr>
        <w:t>). Pursuant to ASC Topic 350, the Company capitalizes costs incurred during the application development stage of software developed for internal use, and expenses costs incurred during the preliminary project and the post-implementation operation stages of development. The Company capitalized $4.9 million and</w:t>
      </w:r>
    </w:p>
    <w:p>
      <w:pPr>
        <w:spacing w:after="0" w:line="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$4.5 million, respectively, during the nine months ended December 26, 2009 and December 27, 2008, in costs incurred for acquisition of the software license and related software development costs for new internal software that was in the application development stage. The total capitalized costs incurred include $1.8 million for the cost of the software license and $26.1 million in third party development costs and internal personnel costs. The capitalized costs are included as a component of property, plant and equipment in the consolidated financial statements.</w:t>
      </w:r>
    </w:p>
    <w:p>
      <w:pPr>
        <w:spacing w:after="0" w:line="6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successfully completed the final major go-live milestone implementations in the ERP system during the first nine months ended December 26, 2009.</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development of the software for our next generation Blood Bank apheresis platform, the Company capitalized $0.0 million and</w:t>
      </w:r>
    </w:p>
    <w:p>
      <w:pPr>
        <w:spacing w:after="0" w:line="3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 xml:space="preserve">$0.8 million in software development costs during the nine months ended December 26, 2009 and December 27, 2008, respectively, in accordance with ASC Topic 985-20, </w:t>
      </w:r>
      <w:r>
        <w:rPr>
          <w:rFonts w:ascii="Arial" w:cs="Arial" w:eastAsia="Arial" w:hAnsi="Arial"/>
          <w:sz w:val="16"/>
          <w:szCs w:val="16"/>
          <w:i w:val="1"/>
          <w:iCs w:val="1"/>
          <w:color w:val="auto"/>
        </w:rPr>
        <w:t>Software</w:t>
      </w:r>
      <w:r>
        <w:rPr>
          <w:rFonts w:ascii="Arial" w:cs="Arial" w:eastAsia="Arial" w:hAnsi="Arial"/>
          <w:sz w:val="16"/>
          <w:szCs w:val="16"/>
          <w:color w:val="auto"/>
        </w:rPr>
        <w:t xml:space="preserve"> (formerly known as SFAS No. 86, </w:t>
      </w:r>
      <w:r>
        <w:rPr>
          <w:rFonts w:ascii="Arial" w:cs="Arial" w:eastAsia="Arial" w:hAnsi="Arial"/>
          <w:sz w:val="16"/>
          <w:szCs w:val="16"/>
          <w:i w:val="1"/>
          <w:iCs w:val="1"/>
          <w:color w:val="auto"/>
        </w:rPr>
        <w:t>Accounting for the Cost of Computer Software to be Sold, Leased, or Otherwise Marketed</w:t>
      </w:r>
      <w:r>
        <w:rPr>
          <w:rFonts w:ascii="Arial" w:cs="Arial" w:eastAsia="Arial" w:hAnsi="Arial"/>
          <w:sz w:val="16"/>
          <w:szCs w:val="16"/>
          <w:color w:val="auto"/>
        </w:rPr>
        <w:t>). Since the start of the project, a total of $12.0 million in total software development costs has been capitalized in connection with the next generation Blood Bank apheresis platform. All costs capitalized were incurred after a detailed design of the software was developed and research and development activities on the underlying device were completed. Work on the apheresis platform has been temporarily suspended while the Company focuses on completing another project, which is expected to be completed during fiscal year 2010. We will begin to amortize these costs when the device is released for sale.</w:t>
      </w:r>
    </w:p>
    <w:p>
      <w:pPr>
        <w:spacing w:after="0" w:line="5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Additionally, the Company capitalized $3.5 million and $2.3 million in other software development costs for ongoing initiatives during the nine-months ended December 26, 2009 and December 27, 2008, respectively. At December 26, 2009, we have a total of $9.5 million of costs capitalized related to other in process software development initiatives of which $4.1 million has been placed into service to date. The costs capitalized for each project are included in intangible assets in the consolidated financial statements.</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On January 31, 2010, the Company entered a definitive agreement under which we will acquire Global Med Technologies, Inc. for approximately $60 million in cash tender offer. The tender offer is conditioned on the tender of a majority of the outstanding shares of Global Med’s common and preferred stock, and subject to other customary closing conditions. The Company will fund this acquisition from available cash.</w:t>
      </w:r>
    </w:p>
    <w:p>
      <w:pPr>
        <w:spacing w:after="0" w:line="5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Global Med is a healthcare information technology company which markets a breadth of software solutions and services that span the blood supply continuum, from blood collection to the hospital transfusion center to the patient care environment. Global Med’s software offerings are a strategic complement to our existing products and will allow us to offer customers an end-to-end software solution for blood management, from donor recruitment to the patient transfusion. Global Med had $24 million in revenues through the first nine months of its current fiscal year.</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300"/>
        <w:spacing w:after="0" w:line="276" w:lineRule="auto"/>
        <w:rPr>
          <w:sz w:val="20"/>
          <w:szCs w:val="20"/>
          <w:color w:val="auto"/>
        </w:rPr>
      </w:pPr>
      <w:r>
        <w:rPr>
          <w:rFonts w:ascii="Arial" w:cs="Arial" w:eastAsia="Arial" w:hAnsi="Arial"/>
          <w:sz w:val="17"/>
          <w:szCs w:val="17"/>
          <w:color w:val="auto"/>
        </w:rPr>
        <w:t>This Management’s Discussion and Analysis of Financial Condition and Results of Operations (“MD&amp;A”) should be read in conjunction with both our interim consolidated financial statements and notes thereto which appear elsewhere in this Quarterly Report on Form 10-Q and our annual consolidated financial statements, notes thereto, and the MD&amp;A contained in our fiscal year 2009 Annual Report on Form 10-K filed with the Securities and Exchange Commission (the “SEC”) on May 22, 2009. The following discussion may contain forward-looking statements and should be read in conjunction with the “</w:t>
      </w:r>
      <w:r>
        <w:rPr>
          <w:rFonts w:ascii="Arial" w:cs="Arial" w:eastAsia="Arial" w:hAnsi="Arial"/>
          <w:sz w:val="17"/>
          <w:szCs w:val="17"/>
          <w:b w:val="1"/>
          <w:bCs w:val="1"/>
          <w:color w:val="auto"/>
        </w:rPr>
        <w:t>Cautionary Statement Regarding Forward-Looking Information</w:t>
      </w:r>
      <w:r>
        <w:rPr>
          <w:rFonts w:ascii="Arial" w:cs="Arial" w:eastAsia="Arial" w:hAnsi="Arial"/>
          <w:sz w:val="17"/>
          <w:szCs w:val="17"/>
          <w:color w:val="auto"/>
        </w:rPr>
        <w:t>” beginning on page 33.</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Haemonetics is a blood management solutions company for our customers. Anchored by our reputable medical device systems, we also provide information technology platforms and value added services to provide customers with business solutions which support improved clinical outcomes for patients and efficiency in the blood supply chain.</w:t>
      </w:r>
    </w:p>
    <w:p>
      <w:pPr>
        <w:spacing w:after="0" w:line="7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Plasma and Blood Bank systems automate the collection and processing of donated blood, allowing users to collect only the blood component(s) they target — plasma, platelets, or red blood cells — increasing donor and patient safety as well as collection efficiencies. Our Diagnostics systems aid surgeons in assessing the likelihood for patient blood loss. Our Surgical systems salvage and process blood lost in surgery so the patient’s blood is recovered for transfusion. These systems include devices and single-use, proprietary disposable sets (“disposables”) that operate only with our specialized devices. Our information technology platforms are used by blood and plasma collectors to improve the safety and efficiency of blood collection by eliminating previously manual functions at not-for-profit blood banks and commercial plasma centers. Our business services products include consulting, Six Sigma, LEAN manufacturing and Impact</w:t>
      </w:r>
      <w:r>
        <w:rPr>
          <w:rFonts w:ascii="Arial" w:cs="Arial" w:eastAsia="Arial" w:hAnsi="Arial"/>
          <w:sz w:val="15"/>
          <w:szCs w:val="15"/>
          <w:color w:val="auto"/>
        </w:rPr>
        <w:t>TM</w:t>
      </w:r>
      <w:r>
        <w:rPr>
          <w:rFonts w:ascii="Arial" w:cs="Arial" w:eastAsia="Arial" w:hAnsi="Arial"/>
          <w:sz w:val="18"/>
          <w:szCs w:val="18"/>
          <w:color w:val="auto"/>
        </w:rPr>
        <w:t xml:space="preserve"> Online offerings that support our customers’ needs for regulatory compliance and operational efficiency in the blood supply chain.</w:t>
      </w:r>
    </w:p>
    <w:p>
      <w:pPr>
        <w:spacing w:after="0" w:line="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either sell our devices to customers or place our devices with customers subject to certain conditions. When the device is placed and remains our property, the customer has the right to use it for a period of time as long as the customer meets certain conditions we have established, which among other things, generally include one or more of the following:</w:t>
      </w:r>
    </w:p>
    <w:p>
      <w:pPr>
        <w:spacing w:after="0" w:line="73" w:lineRule="exact"/>
        <w:rPr>
          <w:sz w:val="20"/>
          <w:szCs w:val="20"/>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Purchase and consumption of a minimum level of disposables products;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Payment of monthly rental fees; and/or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An asset utilization performance metric, such as performing a minimum level of procedures per month per device.</w:t>
      </w:r>
    </w:p>
    <w:p>
      <w:pPr>
        <w:spacing w:after="0" w:line="11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disposables revenue stream, which includes the sales of disposables and fees for the use of our equipment, accounted for approximately 88% of our total revenues for both the third quarter and first nine months of fiscal year 2010, respectively, and 87% for both the third quarter and first nine months of fiscal year 2009, respectively.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w w:val="97"/>
              </w:rPr>
              <w:t>For the three months ended</w:t>
            </w:r>
          </w:p>
        </w:tc>
        <w:tc>
          <w:tcPr>
            <w:tcW w:w="13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 Increase/</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8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w w:val="97"/>
              </w:rPr>
              <w:t>For the nine months ended</w:t>
            </w:r>
          </w:p>
        </w:tc>
        <w:tc>
          <w:tcPr>
            <w:tcW w:w="118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06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380" w:type="dxa"/>
            <w:vAlign w:val="bottom"/>
          </w:tcPr>
          <w:p>
            <w:pPr>
              <w:spacing w:after="0"/>
              <w:rPr>
                <w:sz w:val="10"/>
                <w:szCs w:val="10"/>
                <w:color w:val="auto"/>
              </w:rPr>
            </w:pPr>
          </w:p>
        </w:tc>
        <w:tc>
          <w:tcPr>
            <w:tcW w:w="138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06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380" w:type="dxa"/>
            <w:vAlign w:val="bottom"/>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gridSpan w:val="2"/>
          </w:tcPr>
          <w:p>
            <w:pPr>
              <w:spacing w:after="0"/>
              <w:rPr>
                <w:sz w:val="20"/>
                <w:szCs w:val="20"/>
                <w:color w:val="auto"/>
              </w:rPr>
            </w:pPr>
            <w:r>
              <w:rPr>
                <w:rFonts w:ascii="Arial" w:cs="Arial" w:eastAsia="Arial" w:hAnsi="Arial"/>
                <w:sz w:val="14"/>
                <w:szCs w:val="14"/>
                <w:color w:val="auto"/>
              </w:rPr>
              <w:t>(in thousands, except per share data)</w:t>
            </w: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(Decrease)</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2009</w:t>
            </w:r>
          </w:p>
        </w:tc>
        <w:tc>
          <w:tcPr>
            <w:tcW w:w="4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2008</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8"/>
              </w:rPr>
              <w:t>165,169</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155,447</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6.3%</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w w:val="98"/>
              </w:rPr>
              <w:t>476,326</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445,482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Gross profit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85,447</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78,296</w:t>
            </w:r>
          </w:p>
        </w:tc>
        <w:tc>
          <w:tcPr>
            <w:tcW w:w="1380" w:type="dxa"/>
            <w:vAlign w:val="bottom"/>
          </w:tcPr>
          <w:p>
            <w:pPr>
              <w:jc w:val="right"/>
              <w:ind w:right="193"/>
              <w:spacing w:after="0"/>
              <w:rPr>
                <w:sz w:val="20"/>
                <w:szCs w:val="20"/>
                <w:color w:val="auto"/>
              </w:rPr>
            </w:pPr>
            <w:r>
              <w:rPr>
                <w:rFonts w:ascii="Arial" w:cs="Arial" w:eastAsia="Arial" w:hAnsi="Arial"/>
                <w:sz w:val="18"/>
                <w:szCs w:val="18"/>
                <w:color w:val="auto"/>
              </w:rPr>
              <w:t>9.1%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w w:val="98"/>
              </w:rPr>
              <w:t>249,357</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226,022</w:t>
            </w:r>
          </w:p>
        </w:tc>
        <w:tc>
          <w:tcPr>
            <w:tcW w:w="118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51.7%</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50.4%</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32"/>
              <w:spacing w:after="0"/>
              <w:rPr>
                <w:sz w:val="20"/>
                <w:szCs w:val="20"/>
                <w:color w:val="auto"/>
              </w:rPr>
            </w:pPr>
            <w:r>
              <w:rPr>
                <w:rFonts w:ascii="Arial" w:cs="Arial" w:eastAsia="Arial" w:hAnsi="Arial"/>
                <w:sz w:val="18"/>
                <w:szCs w:val="18"/>
                <w:i w:val="1"/>
                <w:iCs w:val="1"/>
                <w:color w:val="auto"/>
              </w:rPr>
              <w:t>52.4%</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50.7%</w:t>
            </w: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59,612</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53,805</w:t>
            </w:r>
          </w:p>
        </w:tc>
        <w:tc>
          <w:tcPr>
            <w:tcW w:w="1380" w:type="dxa"/>
            <w:vAlign w:val="bottom"/>
          </w:tcPr>
          <w:p>
            <w:pPr>
              <w:jc w:val="right"/>
              <w:ind w:right="193"/>
              <w:spacing w:after="0"/>
              <w:rPr>
                <w:sz w:val="20"/>
                <w:szCs w:val="20"/>
                <w:color w:val="auto"/>
              </w:rPr>
            </w:pPr>
            <w:r>
              <w:rPr>
                <w:rFonts w:ascii="Arial" w:cs="Arial" w:eastAsia="Arial" w:hAnsi="Arial"/>
                <w:sz w:val="18"/>
                <w:szCs w:val="18"/>
                <w:color w:val="auto"/>
              </w:rPr>
              <w:t>10.8%</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w w:val="98"/>
              </w:rPr>
              <w:t>170,173</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158,588</w:t>
            </w: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25,835</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24,491</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5.5%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79,184</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67,434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i w:val="1"/>
                <w:iCs w:val="1"/>
                <w:color w:val="auto"/>
              </w:rPr>
              <w:t>15.6%</w:t>
            </w:r>
          </w:p>
        </w:tc>
        <w:tc>
          <w:tcPr>
            <w:tcW w:w="4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15.8%</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i w:val="1"/>
                <w:iCs w:val="1"/>
                <w:color w:val="auto"/>
              </w:rPr>
              <w:t>16.6%</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15.1%</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(248)</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1140.0%</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(722)</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56</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469</w:t>
            </w:r>
          </w:p>
        </w:tc>
        <w:tc>
          <w:tcPr>
            <w:tcW w:w="1380" w:type="dxa"/>
            <w:vAlign w:val="bottom"/>
          </w:tcPr>
          <w:p>
            <w:pPr>
              <w:jc w:val="right"/>
              <w:ind w:right="133"/>
              <w:spacing w:after="0"/>
              <w:rPr>
                <w:sz w:val="20"/>
                <w:szCs w:val="20"/>
                <w:color w:val="auto"/>
              </w:rPr>
            </w:pPr>
            <w:r>
              <w:rPr>
                <w:rFonts w:ascii="Arial" w:cs="Arial" w:eastAsia="Arial" w:hAnsi="Arial"/>
                <w:sz w:val="18"/>
                <w:szCs w:val="18"/>
                <w:color w:val="auto"/>
              </w:rPr>
              <w:t>(88.1%)</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309</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1,623</w:t>
            </w:r>
          </w:p>
        </w:tc>
        <w:tc>
          <w:tcPr>
            <w:tcW w:w="1180" w:type="dxa"/>
            <w:vAlign w:val="bottom"/>
          </w:tcPr>
          <w:p>
            <w:pPr>
              <w:jc w:val="right"/>
              <w:spacing w:after="0"/>
              <w:rPr>
                <w:sz w:val="20"/>
                <w:szCs w:val="20"/>
                <w:color w:val="auto"/>
              </w:rPr>
            </w:pPr>
            <w:r>
              <w:rPr>
                <w:rFonts w:ascii="Arial" w:cs="Arial" w:eastAsia="Arial" w:hAnsi="Arial"/>
                <w:sz w:val="18"/>
                <w:szCs w:val="18"/>
                <w:color w:val="auto"/>
              </w:rPr>
              <w:t>(81.0%)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(266)</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(1,451)</w:t>
            </w: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(81.7%)</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(1,389)</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(2,366)</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432"/>
        </w:trPr>
        <w:tc>
          <w:tcPr>
            <w:tcW w:w="334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25,377</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23,489</w:t>
            </w:r>
          </w:p>
        </w:tc>
        <w:tc>
          <w:tcPr>
            <w:tcW w:w="1380" w:type="dxa"/>
            <w:vAlign w:val="bottom"/>
          </w:tcPr>
          <w:p>
            <w:pPr>
              <w:jc w:val="right"/>
              <w:ind w:right="193"/>
              <w:spacing w:after="0"/>
              <w:rPr>
                <w:sz w:val="20"/>
                <w:szCs w:val="20"/>
                <w:color w:val="auto"/>
              </w:rPr>
            </w:pPr>
            <w:r>
              <w:rPr>
                <w:rFonts w:ascii="Arial" w:cs="Arial" w:eastAsia="Arial" w:hAnsi="Arial"/>
                <w:sz w:val="18"/>
                <w:szCs w:val="18"/>
                <w:color w:val="auto"/>
              </w:rPr>
              <w:t>8.0%</w:t>
            </w:r>
          </w:p>
        </w:tc>
        <w:tc>
          <w:tcPr>
            <w:tcW w:w="4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92"/>
              <w:spacing w:after="0"/>
              <w:rPr>
                <w:sz w:val="20"/>
                <w:szCs w:val="20"/>
                <w:color w:val="auto"/>
              </w:rPr>
            </w:pPr>
            <w:r>
              <w:rPr>
                <w:rFonts w:ascii="Arial" w:cs="Arial" w:eastAsia="Arial" w:hAnsi="Arial"/>
                <w:sz w:val="18"/>
                <w:szCs w:val="18"/>
                <w:color w:val="auto"/>
              </w:rPr>
              <w:t>77,382</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66,637</w:t>
            </w:r>
          </w:p>
        </w:tc>
        <w:tc>
          <w:tcPr>
            <w:tcW w:w="1180" w:type="dxa"/>
            <w:vAlign w:val="bottom"/>
          </w:tcPr>
          <w:p>
            <w:pPr>
              <w:jc w:val="right"/>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7,091</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7,273</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22,973</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21,272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i w:val="1"/>
                <w:iCs w:val="1"/>
                <w:color w:val="auto"/>
              </w:rPr>
              <w:t>% of pre-tax income</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i w:val="1"/>
                <w:iCs w:val="1"/>
                <w:color w:val="auto"/>
              </w:rPr>
              <w:t>27.9%</w:t>
            </w:r>
          </w:p>
        </w:tc>
        <w:tc>
          <w:tcPr>
            <w:tcW w:w="4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31.0%</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i w:val="1"/>
                <w:iCs w:val="1"/>
                <w:color w:val="auto"/>
              </w:rPr>
              <w:t>29.7%</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31.9%</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18,286</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16,216</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12.8%</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54,409</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45,365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i w:val="1"/>
                <w:iCs w:val="1"/>
                <w:color w:val="auto"/>
              </w:rPr>
              <w:t>% of net revenues</w:t>
            </w:r>
          </w:p>
        </w:tc>
        <w:tc>
          <w:tcPr>
            <w:tcW w:w="16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i w:val="1"/>
                <w:iCs w:val="1"/>
                <w:color w:val="auto"/>
              </w:rPr>
              <w:t>11.1%</w:t>
            </w:r>
          </w:p>
        </w:tc>
        <w:tc>
          <w:tcPr>
            <w:tcW w:w="4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10.4%</w:t>
            </w:r>
          </w:p>
        </w:tc>
        <w:tc>
          <w:tcPr>
            <w:tcW w:w="1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i w:val="1"/>
                <w:iCs w:val="1"/>
                <w:color w:val="auto"/>
              </w:rPr>
              <w:t>11.4%</w:t>
            </w:r>
          </w:p>
        </w:tc>
        <w:tc>
          <w:tcPr>
            <w:tcW w:w="4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10.2%</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0.71</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138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13.5%</w:t>
            </w:r>
          </w:p>
        </w:tc>
        <w:tc>
          <w:tcPr>
            <w:tcW w:w="4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2.08</w:t>
            </w:r>
          </w:p>
        </w:tc>
        <w:tc>
          <w:tcPr>
            <w:tcW w:w="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Net revenues increased 6.3% and 6.9% for the third quarter and first nine months of fiscal year 2010 over the comparable periods of fiscal year 2009. The effects of foreign exchange accounted for an increase of 3.0% and 1.9% for the third quarter and nine months, respectively. The remaining increase of 3.3% for the quarter and 5.0% for the nine months is mainly due to increases in our plasma and OrthoPAT disposables revenue combined with the impact of recent acquisitions, which contributed 1.6% and 1.0% to revenue growth for the quarter and the nine months, respectively.</w:t>
      </w:r>
    </w:p>
    <w:p>
      <w:pPr>
        <w:spacing w:after="0" w:line="63" w:lineRule="exact"/>
        <w:rPr>
          <w:sz w:val="20"/>
          <w:szCs w:val="20"/>
          <w:color w:val="auto"/>
        </w:rPr>
      </w:pPr>
    </w:p>
    <w:p>
      <w:pPr>
        <w:jc w:val="both"/>
        <w:ind w:right="180"/>
        <w:spacing w:after="0" w:line="279" w:lineRule="auto"/>
        <w:rPr>
          <w:sz w:val="20"/>
          <w:szCs w:val="20"/>
          <w:color w:val="auto"/>
        </w:rPr>
      </w:pPr>
      <w:r>
        <w:rPr>
          <w:rFonts w:ascii="Arial" w:cs="Arial" w:eastAsia="Arial" w:hAnsi="Arial"/>
          <w:sz w:val="17"/>
          <w:szCs w:val="17"/>
          <w:color w:val="auto"/>
        </w:rPr>
        <w:t>Gross profit increased 9.1% and 10.3% as compared to the third quarter and first nine months of fiscal year 2009. The favorable effects of foreign exchange accounted for an increase of 6.0% and 5.9% for the third quarter and first nine months, respectively, of fiscal year 2010. The remaining increase of 3.1% for the quarter and 4.4% for the nine months was due primarily to increased sales and manufacturing efficiencies in our plasma business. This was partly offset by changes in product mix driven by higher sales of our lower margin plasma products.</w:t>
      </w:r>
    </w:p>
    <w:p>
      <w:pPr>
        <w:spacing w:after="0" w:line="63"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Operating expenses increased 10.8% and 7.3% for the third quarter and first nine months of fiscal year 2010 over the comparable periods of fiscal year 2009. The unfavorable effects of foreign exchange accounted for an increase in operating expenses of 3.8% for the quarter and 0.3% for the nine months, respectively. Without the effects of foreign exchange, operating expenses increased 7.0% in the third quarter and 7.0% in the first nine months of fiscal year 2010. The higher operating expenses are primarily related to increased investment in research and development, the expenses from recent acquisitions, expenses associated with our ERP Phase II go-live, and higher expenses due to the marketing of blood management solutions. The recent acquisitions accounted for an increase in expenses of 3.4% in the third quarter and 2.3% in the first nine months. The noted increases in operating expenses were partly offset by a lack of restructuring costs in the first nine months of fiscal year 2010 when compared to the first nine months of fiscal year 2009.</w:t>
      </w:r>
    </w:p>
    <w:p>
      <w:pPr>
        <w:spacing w:after="0" w:line="5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income increased 5.5% and 17.4% for the third quarter and first nine months, respectively, of fiscal year 2010 over the comparable periods of fiscal year 2009. The effects of foreign exchange accounted for an increase of 11.1% and 18.9% for the third quarter and nine months, respectively. Without the effects of foreign exchange operating income decreased 5.6% for the quarter and 1.5% for the nine months as a result of noted changes in gross profit and operating expenses.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Net income increased 12.8% and 19.9% for the third quarter and first nine months of fiscal year 2010 over the comparable periods of fiscal year 2009. The effects of foreign exchange accounted for an increase in net income of 11.7% and 19.8% for the quarter and nine months, respectively. Without the effects of foreign exchange, net income increased 1.1% for the quarter and 0.1% for the nine months ended December 26, 2009. The increase in net income in the quarter is a result of a reduction in other expense and a reduction in the income tax rate, while the increase in the first nine months results from a reduction in the income tax rate that was partially offset by lower interest income.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Geography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6"/>
          </w:tcPr>
          <w:p>
            <w:pPr>
              <w:ind w:left="120"/>
              <w:spacing w:after="0"/>
              <w:rPr>
                <w:sz w:val="20"/>
                <w:szCs w:val="20"/>
                <w:color w:val="auto"/>
              </w:rPr>
            </w:pPr>
            <w:r>
              <w:rPr>
                <w:rFonts w:ascii="Arial" w:cs="Arial" w:eastAsia="Arial" w:hAnsi="Arial"/>
                <w:sz w:val="14"/>
                <w:szCs w:val="14"/>
                <w:b w:val="1"/>
                <w:bCs w:val="1"/>
                <w:color w:val="auto"/>
              </w:rPr>
              <w:t>For the three months ended</w:t>
            </w: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w w:val="99"/>
              </w:rPr>
              <w:t>For the nine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14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62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27,</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92"/>
              </w:rPr>
              <w:t>% Increase</w:t>
            </w:r>
          </w:p>
        </w:tc>
        <w:tc>
          <w:tcPr>
            <w:tcW w:w="160" w:type="dxa"/>
            <w:vAlign w:val="bottom"/>
          </w:tcPr>
          <w:p>
            <w:pPr>
              <w:spacing w:after="0"/>
              <w:rPr>
                <w:sz w:val="14"/>
                <w:szCs w:val="14"/>
                <w:color w:val="auto"/>
              </w:rPr>
            </w:pPr>
          </w:p>
        </w:tc>
        <w:tc>
          <w:tcPr>
            <w:tcW w:w="660" w:type="dxa"/>
            <w:vAlign w:val="bottom"/>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74,997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73,448</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225,223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205,748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432"/>
        </w:trPr>
        <w:tc>
          <w:tcPr>
            <w:tcW w:w="3380" w:type="dxa"/>
            <w:vAlign w:val="bottom"/>
            <w:gridSpan w:val="2"/>
          </w:tcPr>
          <w:p>
            <w:pPr>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90,172</w:t>
            </w: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81,999</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4"/>
                <w:szCs w:val="24"/>
                <w:color w:val="auto"/>
              </w:rPr>
            </w:pPr>
          </w:p>
        </w:tc>
        <w:tc>
          <w:tcPr>
            <w:tcW w:w="1300" w:type="dxa"/>
            <w:vAlign w:val="bottom"/>
            <w:gridSpan w:val="2"/>
          </w:tcPr>
          <w:p>
            <w:pPr>
              <w:jc w:val="right"/>
              <w:ind w:right="640"/>
              <w:spacing w:after="0"/>
              <w:rPr>
                <w:sz w:val="20"/>
                <w:szCs w:val="20"/>
                <w:color w:val="auto"/>
              </w:rPr>
            </w:pPr>
            <w:r>
              <w:rPr>
                <w:rFonts w:ascii="Arial" w:cs="Arial" w:eastAsia="Arial" w:hAnsi="Arial"/>
                <w:sz w:val="18"/>
                <w:szCs w:val="18"/>
                <w:color w:val="auto"/>
                <w:w w:val="98"/>
              </w:rPr>
              <w:t>251,103</w:t>
            </w:r>
          </w:p>
        </w:tc>
        <w:tc>
          <w:tcPr>
            <w:tcW w:w="160" w:type="dxa"/>
            <w:vAlign w:val="bottom"/>
          </w:tcPr>
          <w:p>
            <w:pPr>
              <w:spacing w:after="0"/>
              <w:rPr>
                <w:sz w:val="24"/>
                <w:szCs w:val="24"/>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239,734</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3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165,169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155,447</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8"/>
              </w:rPr>
              <w:t>476,326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445,482</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 and the Impact of Foreign Exchange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Our principal operations are in the U.S., Europe, Japan and other parts of Asia. Our products are marketed in more than 80 countries around the world via a direct sales force as well as independent distributors and agents.</w:t>
      </w:r>
    </w:p>
    <w:p>
      <w:pPr>
        <w:spacing w:after="0" w:line="62"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Our revenues generated outside the U.S. approximated 55% for the third quarter and 53% for the first nine months of fiscal year 2010 and 53% for the third quarter and 54% for the first nine months of fiscal year 2009. Revenues in Japan accounted for approximately 18.8% and 17.7% of total revenues for the third quarter of fiscal year 2010 and 2009, respectively and 17.2% and 16.5% of total revenues for the first nine months of fiscal year 2010 and 2009, respectively. Revenues in Europe accounted for approximately 27.7% and 27.6% of total revenues for the third quarters of fiscal year 2010 and 2009, respectively, and</w:t>
      </w:r>
    </w:p>
    <w:p>
      <w:pPr>
        <w:spacing w:after="0" w:line="2"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27.7% and 29.5% of total revenues for the first nine months of fiscal year 2010 and 2009, respectively. International sales are primarily conducted in local currencies, primarily the Japanese Yen and the Euro. As discussed above, our results of operations are impacted by changes in the value of the Yen and the Euro relative to the U.S. dollar.</w:t>
      </w:r>
    </w:p>
    <w:p>
      <w:pPr>
        <w:spacing w:after="0" w:line="82"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Please see section entitled “Foreign Exchange” in this discussion for a more complete explanation of how foreign currency affects our business and our strategy for managing this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Net Revenues by Product Type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20" w:type="dxa"/>
            <w:vAlign w:val="bottom"/>
            <w:gridSpan w:val="6"/>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200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4"/>
                <w:szCs w:val="14"/>
                <w:color w:val="auto"/>
              </w:rPr>
            </w:pPr>
          </w:p>
        </w:tc>
        <w:tc>
          <w:tcPr>
            <w:tcW w:w="272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w w:val="99"/>
              </w:rPr>
              <w:t>For the nine months ended</w:t>
            </w:r>
          </w:p>
        </w:tc>
        <w:tc>
          <w:tcPr>
            <w:tcW w:w="9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 Increase/</w:t>
            </w:r>
          </w:p>
        </w:tc>
        <w:tc>
          <w:tcPr>
            <w:tcW w:w="0" w:type="dxa"/>
            <w:vAlign w:val="bottom"/>
          </w:tcPr>
          <w:p>
            <w:pPr>
              <w:spacing w:after="0"/>
              <w:rPr>
                <w:sz w:val="1"/>
                <w:szCs w:val="1"/>
                <w:color w:val="auto"/>
              </w:rPr>
            </w:pPr>
          </w:p>
        </w:tc>
      </w:tr>
      <w:tr>
        <w:trPr>
          <w:trHeight w:val="119"/>
        </w:trPr>
        <w:tc>
          <w:tcPr>
            <w:tcW w:w="3300" w:type="dxa"/>
            <w:vAlign w:val="bottom"/>
          </w:tcPr>
          <w:p>
            <w:pPr>
              <w:spacing w:after="0"/>
              <w:rPr>
                <w:sz w:val="10"/>
                <w:szCs w:val="10"/>
                <w:color w:val="auto"/>
              </w:rPr>
            </w:pPr>
          </w:p>
        </w:tc>
        <w:tc>
          <w:tcPr>
            <w:tcW w:w="11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140" w:type="dxa"/>
            <w:vAlign w:val="bottom"/>
            <w:tcBorders>
              <w:top w:val="single" w:sz="8" w:color="auto"/>
            </w:tcBorders>
            <w:gridSpan w:val="3"/>
          </w:tcPr>
          <w:p>
            <w:pPr>
              <w:ind w:left="30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20" w:type="dxa"/>
            <w:vAlign w:val="bottom"/>
          </w:tcPr>
          <w:p>
            <w:pPr>
              <w:spacing w:after="0"/>
              <w:rPr>
                <w:sz w:val="10"/>
                <w:szCs w:val="10"/>
                <w:color w:val="auto"/>
              </w:rPr>
            </w:pPr>
          </w:p>
        </w:tc>
        <w:tc>
          <w:tcPr>
            <w:tcW w:w="2000" w:type="dxa"/>
            <w:vAlign w:val="bottom"/>
            <w:gridSpan w:val="3"/>
            <w:vMerge w:val="continue"/>
          </w:tcPr>
          <w:p>
            <w:pPr>
              <w:spacing w:after="0"/>
              <w:rPr>
                <w:sz w:val="10"/>
                <w:szCs w:val="10"/>
                <w:color w:val="auto"/>
              </w:rPr>
            </w:pPr>
          </w:p>
        </w:tc>
        <w:tc>
          <w:tcPr>
            <w:tcW w:w="14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27,</w:t>
            </w:r>
          </w:p>
        </w:tc>
        <w:tc>
          <w:tcPr>
            <w:tcW w:w="6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(Decrease)</w:t>
            </w:r>
          </w:p>
        </w:tc>
        <w:tc>
          <w:tcPr>
            <w:tcW w:w="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Disposables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144,533</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135,159</w:t>
            </w:r>
          </w:p>
        </w:tc>
        <w:tc>
          <w:tcPr>
            <w:tcW w:w="200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418,242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387,803</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Software solutions</w:t>
            </w:r>
          </w:p>
        </w:tc>
        <w:tc>
          <w:tcPr>
            <w:tcW w:w="1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8,256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7,576</w:t>
            </w:r>
          </w:p>
        </w:tc>
        <w:tc>
          <w:tcPr>
            <w:tcW w:w="2000" w:type="dxa"/>
            <w:vAlign w:val="bottom"/>
            <w:gridSpan w:val="3"/>
          </w:tcPr>
          <w:p>
            <w:pPr>
              <w:jc w:val="right"/>
              <w:ind w:right="56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25,810</w:t>
            </w:r>
          </w:p>
        </w:tc>
        <w:tc>
          <w:tcPr>
            <w:tcW w:w="18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21,913</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Equipment &amp; other</w:t>
            </w: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12,712</w:t>
            </w:r>
          </w:p>
        </w:tc>
        <w:tc>
          <w:tcPr>
            <w:tcW w:w="20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32,274</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35,766</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3300" w:type="dxa"/>
            <w:vAlign w:val="bottom"/>
            <w:vMerge w:val="restart"/>
          </w:tcPr>
          <w:p>
            <w:pPr>
              <w:spacing w:after="0"/>
              <w:rPr>
                <w:sz w:val="20"/>
                <w:szCs w:val="20"/>
                <w:color w:val="auto"/>
              </w:rPr>
            </w:pPr>
            <w:r>
              <w:rPr>
                <w:rFonts w:ascii="Arial" w:cs="Arial" w:eastAsia="Arial" w:hAnsi="Arial"/>
                <w:sz w:val="18"/>
                <w:szCs w:val="18"/>
                <w:color w:val="auto"/>
              </w:rPr>
              <w:t>Net revenues</w:t>
            </w: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0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165,169</w:t>
            </w:r>
          </w:p>
        </w:tc>
        <w:tc>
          <w:tcPr>
            <w:tcW w:w="30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155,447</w:t>
            </w:r>
          </w:p>
        </w:tc>
        <w:tc>
          <w:tcPr>
            <w:tcW w:w="20" w:type="dxa"/>
            <w:vAlign w:val="bottom"/>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476,326</w:t>
            </w:r>
          </w:p>
        </w:tc>
        <w:tc>
          <w:tcPr>
            <w:tcW w:w="58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445,482</w:t>
            </w:r>
          </w:p>
        </w:tc>
        <w:tc>
          <w:tcPr>
            <w:tcW w:w="620" w:type="dxa"/>
            <w:vAlign w:val="bottom"/>
            <w:vMerge w:val="continue"/>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vMerge w:val="restart"/>
          </w:tcPr>
          <w:p>
            <w:pPr>
              <w:jc w:val="right"/>
              <w:ind w:right="274"/>
              <w:spacing w:after="0"/>
              <w:rPr>
                <w:sz w:val="20"/>
                <w:szCs w:val="20"/>
                <w:color w:val="auto"/>
              </w:rPr>
            </w:pPr>
            <w:r>
              <w:rPr>
                <w:rFonts w:ascii="Arial" w:cs="Arial" w:eastAsia="Arial" w:hAnsi="Arial"/>
                <w:sz w:val="18"/>
                <w:szCs w:val="18"/>
                <w:color w:val="auto"/>
                <w:w w:val="89"/>
              </w:rPr>
              <w:t>26</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3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Disposables Revenues by Product Type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gridSpan w:val="4"/>
          </w:tcPr>
          <w:p>
            <w:pPr>
              <w:ind w:left="100"/>
              <w:spacing w:after="0"/>
              <w:rPr>
                <w:sz w:val="20"/>
                <w:szCs w:val="20"/>
                <w:color w:val="auto"/>
              </w:rPr>
            </w:pPr>
            <w:r>
              <w:rPr>
                <w:rFonts w:ascii="Arial" w:cs="Arial" w:eastAsia="Arial" w:hAnsi="Arial"/>
                <w:sz w:val="14"/>
                <w:szCs w:val="14"/>
                <w:b w:val="1"/>
                <w:bCs w:val="1"/>
                <w:color w:val="auto"/>
              </w:rPr>
              <w:t>For the three months ended</w:t>
            </w:r>
          </w:p>
        </w:tc>
        <w:tc>
          <w:tcPr>
            <w:tcW w:w="17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 Increase/</w:t>
            </w:r>
          </w:p>
        </w:tc>
        <w:tc>
          <w:tcPr>
            <w:tcW w:w="160" w:type="dxa"/>
            <w:vAlign w:val="bottom"/>
          </w:tcPr>
          <w:p>
            <w:pPr>
              <w:spacing w:after="0"/>
              <w:rPr>
                <w:sz w:val="14"/>
                <w:szCs w:val="14"/>
                <w:color w:val="auto"/>
              </w:rPr>
            </w:pPr>
          </w:p>
        </w:tc>
        <w:tc>
          <w:tcPr>
            <w:tcW w:w="24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w w:val="99"/>
              </w:rPr>
              <w:t>For the nine months ended</w:t>
            </w:r>
          </w:p>
        </w:tc>
        <w:tc>
          <w:tcPr>
            <w:tcW w:w="124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 Increase/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140" w:type="dxa"/>
            <w:vAlign w:val="bottom"/>
            <w:tcBorders>
              <w:top w:val="single" w:sz="8" w:color="auto"/>
            </w:tcBorders>
            <w:gridSpan w:val="2"/>
          </w:tcPr>
          <w:p>
            <w:pPr>
              <w:ind w:left="30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300" w:type="dxa"/>
            <w:vAlign w:val="bottom"/>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11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120" w:type="dxa"/>
            <w:vAlign w:val="bottom"/>
            <w:tcBorders>
              <w:top w:val="single" w:sz="8" w:color="auto"/>
            </w:tcBorders>
            <w:gridSpan w:val="2"/>
          </w:tcPr>
          <w:p>
            <w:pPr>
              <w:ind w:left="28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32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0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960" w:type="dxa"/>
            <w:vAlign w:val="bottom"/>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680" w:type="dxa"/>
            <w:vAlign w:val="bottom"/>
          </w:tcPr>
          <w:p>
            <w:pPr>
              <w:jc w:val="right"/>
              <w:ind w:right="192"/>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7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(Decrease)</w:t>
            </w:r>
          </w:p>
        </w:tc>
        <w:tc>
          <w:tcPr>
            <w:tcW w:w="160" w:type="dxa"/>
            <w:vAlign w:val="bottom"/>
          </w:tcPr>
          <w:p>
            <w:pPr>
              <w:spacing w:after="0"/>
              <w:rPr>
                <w:sz w:val="14"/>
                <w:szCs w:val="14"/>
                <w:color w:val="auto"/>
              </w:rPr>
            </w:pPr>
          </w:p>
        </w:tc>
        <w:tc>
          <w:tcPr>
            <w:tcW w:w="980" w:type="dxa"/>
            <w:vAlign w:val="bottom"/>
          </w:tcPr>
          <w:p>
            <w:pPr>
              <w:jc w:val="right"/>
              <w:ind w:right="493"/>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4"/>
                <w:szCs w:val="14"/>
                <w:color w:val="auto"/>
              </w:rPr>
            </w:pPr>
          </w:p>
        </w:tc>
        <w:tc>
          <w:tcPr>
            <w:tcW w:w="660" w:type="dxa"/>
            <w:vAlign w:val="bottom"/>
          </w:tcPr>
          <w:p>
            <w:pPr>
              <w:jc w:val="right"/>
              <w:ind w:right="172"/>
              <w:spacing w:after="0"/>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4"/>
                <w:szCs w:val="14"/>
                <w:color w:val="auto"/>
              </w:rPr>
            </w:pPr>
          </w:p>
        </w:tc>
        <w:tc>
          <w:tcPr>
            <w:tcW w:w="1240" w:type="dxa"/>
            <w:vAlign w:val="bottom"/>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Plasma disposables</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59,177</w:t>
            </w:r>
          </w:p>
        </w:tc>
        <w:tc>
          <w:tcPr>
            <w:tcW w:w="4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53,594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rPr>
              <w:t>177,469</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150,386</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432"/>
        </w:trPr>
        <w:tc>
          <w:tcPr>
            <w:tcW w:w="3300" w:type="dxa"/>
            <w:vAlign w:val="bottom"/>
            <w:gridSpan w:val="2"/>
          </w:tcPr>
          <w:p>
            <w:pPr>
              <w:spacing w:after="0"/>
              <w:rPr>
                <w:sz w:val="20"/>
                <w:szCs w:val="20"/>
                <w:color w:val="auto"/>
              </w:rPr>
            </w:pPr>
            <w:r>
              <w:rPr>
                <w:rFonts w:ascii="Arial" w:cs="Arial" w:eastAsia="Arial" w:hAnsi="Arial"/>
                <w:sz w:val="18"/>
                <w:szCs w:val="18"/>
                <w:color w:val="auto"/>
              </w:rPr>
              <w:t>Blood bank disposables</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Platelet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39,793</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36,435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111,350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108,388</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Red cell</w:t>
            </w:r>
          </w:p>
        </w:tc>
        <w:tc>
          <w:tcPr>
            <w:tcW w:w="1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12,022</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13,051</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(7.9%)</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35,285</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36,651</w:t>
            </w:r>
          </w:p>
        </w:tc>
        <w:tc>
          <w:tcPr>
            <w:tcW w:w="124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51,815</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49,486</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146,635</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145,039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3300" w:type="dxa"/>
            <w:vAlign w:val="bottom"/>
            <w:gridSpan w:val="2"/>
          </w:tcPr>
          <w:p>
            <w:pPr>
              <w:spacing w:after="0"/>
              <w:rPr>
                <w:sz w:val="20"/>
                <w:szCs w:val="20"/>
                <w:color w:val="auto"/>
              </w:rPr>
            </w:pPr>
            <w:r>
              <w:rPr>
                <w:rFonts w:ascii="Arial" w:cs="Arial" w:eastAsia="Arial" w:hAnsi="Arial"/>
                <w:sz w:val="18"/>
                <w:szCs w:val="18"/>
                <w:color w:val="auto"/>
              </w:rPr>
              <w:t>Hospital disposables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Surgical</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17,864</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17,742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51,920</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50,995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200"/>
              <w:spacing w:after="0"/>
              <w:rPr>
                <w:sz w:val="20"/>
                <w:szCs w:val="20"/>
                <w:color w:val="auto"/>
              </w:rPr>
            </w:pPr>
            <w:r>
              <w:rPr>
                <w:rFonts w:ascii="Arial" w:cs="Arial" w:eastAsia="Arial" w:hAnsi="Arial"/>
                <w:sz w:val="18"/>
                <w:szCs w:val="18"/>
                <w:color w:val="auto"/>
              </w:rPr>
              <w:t>OrthoPAT</w:t>
            </w:r>
          </w:p>
        </w:tc>
        <w:tc>
          <w:tcPr>
            <w:tcW w:w="180" w:type="dxa"/>
            <w:vAlign w:val="bottom"/>
          </w:tcPr>
          <w:p>
            <w:pPr>
              <w:spacing w:after="0"/>
              <w:rPr>
                <w:sz w:val="18"/>
                <w:szCs w:val="18"/>
                <w:color w:val="auto"/>
              </w:rPr>
            </w:pPr>
          </w:p>
        </w:tc>
        <w:tc>
          <w:tcPr>
            <w:tcW w:w="960" w:type="dxa"/>
            <w:vAlign w:val="bottom"/>
          </w:tcPr>
          <w:p>
            <w:pPr>
              <w:jc w:val="right"/>
              <w:ind w:right="213"/>
              <w:spacing w:after="0"/>
              <w:rPr>
                <w:sz w:val="20"/>
                <w:szCs w:val="20"/>
                <w:color w:val="auto"/>
              </w:rPr>
            </w:pPr>
            <w:r>
              <w:rPr>
                <w:rFonts w:ascii="Arial" w:cs="Arial" w:eastAsia="Arial" w:hAnsi="Arial"/>
                <w:sz w:val="18"/>
                <w:szCs w:val="18"/>
                <w:color w:val="auto"/>
              </w:rPr>
              <w:t>9,864</w:t>
            </w:r>
          </w:p>
        </w:tc>
        <w:tc>
          <w:tcPr>
            <w:tcW w:w="46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9,112</w:t>
            </w: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213"/>
              <w:spacing w:after="0"/>
              <w:rPr>
                <w:sz w:val="20"/>
                <w:szCs w:val="20"/>
                <w:color w:val="auto"/>
              </w:rPr>
            </w:pPr>
            <w:r>
              <w:rPr>
                <w:rFonts w:ascii="Arial" w:cs="Arial" w:eastAsia="Arial" w:hAnsi="Arial"/>
                <w:sz w:val="18"/>
                <w:szCs w:val="18"/>
                <w:color w:val="auto"/>
              </w:rPr>
              <w:t>27,126</w:t>
            </w:r>
          </w:p>
        </w:tc>
        <w:tc>
          <w:tcPr>
            <w:tcW w:w="46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26,301</w:t>
            </w:r>
          </w:p>
        </w:tc>
        <w:tc>
          <w:tcPr>
            <w:tcW w:w="124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Diagnostics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5,813</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5,225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15,092</w:t>
            </w:r>
          </w:p>
        </w:tc>
        <w:tc>
          <w:tcPr>
            <w:tcW w:w="4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15,082</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rPr>
              <w:t>33,541</w:t>
            </w:r>
          </w:p>
        </w:tc>
        <w:tc>
          <w:tcPr>
            <w:tcW w:w="4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32,079</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13"/>
              <w:spacing w:after="0"/>
              <w:rPr>
                <w:sz w:val="20"/>
                <w:szCs w:val="20"/>
                <w:color w:val="auto"/>
              </w:rPr>
            </w:pPr>
            <w:r>
              <w:rPr>
                <w:rFonts w:ascii="Arial" w:cs="Arial" w:eastAsia="Arial" w:hAnsi="Arial"/>
                <w:sz w:val="18"/>
                <w:szCs w:val="18"/>
                <w:color w:val="auto"/>
              </w:rPr>
              <w:t>94,138</w:t>
            </w:r>
          </w:p>
        </w:tc>
        <w:tc>
          <w:tcPr>
            <w:tcW w:w="46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92,378</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Total disposables revenue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98"/>
              </w:rPr>
              <w:t>144,533</w:t>
            </w:r>
          </w:p>
        </w:tc>
        <w:tc>
          <w:tcPr>
            <w:tcW w:w="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135,159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418,242</w:t>
            </w:r>
          </w:p>
        </w:tc>
        <w:tc>
          <w:tcPr>
            <w:tcW w:w="4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387,803</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Disposables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Disposables include the Plasma, Blood Bank, and Hospital product lines. Disposables revenue increased 6.9% and 7.8% for the third quarter and the first nine months, respectively, of fiscal year 2010 over the comparable periods of fiscal year 2009. Foreign exchange resulted in a 3.2% and 2.4% increase for the quarter and nine months, respectively. The remaining increase of 3.7% and 5.4% for the third quarter and the first nine months, respectively, of fiscal year 2010 were driven primarily by increases in the Plasma product line, as discussed below.</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Plasma</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Plasma disposables revenue increased 10.4% and 18.0% for the third quarter and the first nine months, respectively, of fiscal year 2010 compared to the same periods in fiscal year 2009. Foreign exchange resulted in a 2.8% and 1.8% increase for the quarter and nine months, respectively. For both the third quarter and first nine months of fiscal year 2010 as compared to the same periods in fiscal year 2009, higher collections in both the U.S. and Europe, share gains, and, to a lesser extent, pricing were the main reasons for the remaining increase of 7.6% and 16.2%, respectively.</w:t>
      </w:r>
    </w:p>
    <w:p>
      <w:pPr>
        <w:spacing w:after="0" w:line="6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supply-demand balance has been achieved between source plasma collected and used in pharmaceutical production, we are seeing a moderation in collections. The pharmaceutical companies continue to balance collections to support the underlying growth in demand for plasma drugs which we believe to be in the 7% range. With contractual price increases, new products, and market share gains, we anticipate that plasma disposable revenue growth will moderate, but continue to outpace collection market growth in the near term.</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Blood Bank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Blood bank consists of platelet and red cell disposables.</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Platelet disposables revenue increased 9.2% for the third quarter and 2.7% for the first nine months of fiscal year 2010 compared to the same periods in fiscal year 2009. Comparing the third quarter and the first nine months of fiscal year 2010 to that of 2009, foreign exchange accounted for an increase of 4.4% and 4.6%, respectively. For the quarter, the remaining increase of 4.8% was the result of growth in North America and our Asia Pacific region. Our Japan business was level with the prior year, reflecting volume growth that was offset by a price reduction introduced this quarter. Without the effect of currency, revenues decreased 1.9% in the first nine months. The decrease was driven by the first quarter challenges in South Korea associated with the significant devaluation of South Korea’s currency, the Won.</w:t>
      </w:r>
    </w:p>
    <w:p>
      <w:pPr>
        <w:spacing w:after="0" w:line="8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Red cell disposables decreased 7.9% and 3.7% for the third quarter and the first nine months, respectively, of fiscal year 2010 compared to the same periods in fiscal year 2009. Comparing the third quarter and the first nine months of fiscal year 2010 to that of 2009, foreign exchange accounted for an increase of</w:t>
      </w:r>
    </w:p>
    <w:p>
      <w:pPr>
        <w:ind w:right="60"/>
        <w:spacing w:after="0" w:line="323" w:lineRule="auto"/>
        <w:rPr>
          <w:sz w:val="20"/>
          <w:szCs w:val="20"/>
          <w:color w:val="auto"/>
        </w:rPr>
      </w:pPr>
      <w:r>
        <w:rPr>
          <w:rFonts w:ascii="Arial" w:cs="Arial" w:eastAsia="Arial" w:hAnsi="Arial"/>
          <w:sz w:val="16"/>
          <w:szCs w:val="16"/>
          <w:color w:val="auto"/>
        </w:rPr>
        <w:t>0.2% and a decrease of 0.4%, respectively. The remaining decrease of 8.1% for the quarter and 3.3% for the nine months was driven by lower demand for red cells as a result of fewer surgeries and a reduced demand for automated collection driven by (i) 5% more donors due to the entry of 16 year olds to the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blood donor population, which combined resulted in a reliance on a higher percentage of whole blood collections, (ii) a perception among certain customers that the manual collection of whole blood is more cost effective than automated collection, and (iii) protocol changes and competitive challenges in our French market.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Hospital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Hospital consists of Surgical, OrthoPAT, and Diagnostics products.</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Revenues from our surgical disposables increased 0.7% and 1.8% for the third quarter and the first nine months, respectively, of fiscal year 2010 compared to the same periods in fiscal year 2009. Surgical disposables revenue consists principally of the Cell Saver and cardioPAT products. Foreign exchange resulted in an increase in surgical disposables revenue of 3.7% for the quarter and 2.7% for the nine months. Without the effect of currency, surgical disposables decreased by 3.0% and 0.9% for the third quarter and the first nine months, respectively. The decrease was the result of a moderate decline in open heart procedures.</w:t>
      </w:r>
    </w:p>
    <w:p>
      <w:pPr>
        <w:spacing w:after="0" w:line="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Revenues from our OrthoPAT disposables increased 8.3% and 3.1% for the third quarter and the first nine months, respectively, of fiscal year 2010 compared to the same periods in fiscal year 2009. Foreign exchange resulted in an increase in OrthoPAT disposables revenue of 2.0% for the quarter and 0.7% for the nine months. Without the effect of currency, OrthoPAT disposables revenue increased by 6.3% and 2.4% for the third quarter and first nine months, respectively. The increase was primarily the result of increased usage of the OrthoPAT.</w:t>
      </w:r>
    </w:p>
    <w:p>
      <w:pPr>
        <w:spacing w:after="0" w:line="7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Revenues from our diagnostics products increased 11.3% and 0.1% for the third quarter and the first nine months, respectively, of fiscal year 2010 compared to the same periods in fiscal year 2009. Diagnostics product revenue consists principally of the TEG products. Comparing the third quarter and the first nine months of fiscal year 2010 to that of 2009, foreign exchange accounted for an increase of 1.3% and 0.6%, respectively. Without the effect of currency, diagnostic product revenues increased by 10.0% for the quarter but decreased by 0.5% for the nine months. Diagnostics product revenue is unique, compared to revenue from other segments, in that it includes sales of both the TEG Analyzer and the consumable supplies. The revenue increase in the quarter is due primarily to growth in consumables as equipment declined in our distributor markets on a year over year basis both for the quarter and on a year to date basis as hospitals delayed capital purchases, primarily in the first and second quarter.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Software Solutions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software solutions revenues include revenue from software sales. Software solutions revenues increased 9.0% and 17.8% for the third quarter and the first nine months of fiscal year 2010 over the comparable period of fiscal year 2009. Foreign exchange resulted in a 1.2% increase for both the quarter and nine months. The remaining increase of 7.8% and 16.6% for the third quarter and the first nine months of fiscal year 2010 was driven primarily by revenues associated with two recent acquisitions.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 &amp; Other</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Our equipment &amp; other revenues include revenue from equipment sales, repairs performed under preventive maintenance contracts or emergency service visits, spare part sales, and various service and training programs. Equipment &amp; other revenues decreased 2.6% and 9.8% for the third quarter and the first nine months, respectively, of fiscal year 2010 over the comparable period of fiscal year 2009. Foreign exchange resulted in a 1.5% increase for the quarter and a 1.7% decrease for the nine months. Without the effect of currency, the decrease of 4.1% and 8.1% for the third quarter and the first nine months of fiscal year 2010 is primarily the result of fewer equipment sales, particularly to distributor customers due to macro economic trends impacting health care funding. Equipment sales also continue to be impacted by restricted hospital capital spending. Despite the decline in equipment sales, our installed base (which includes both devices placed with customers and sold to customers) has increased 5% since the beginning of the fiscal year. Also, offsetting these declines is the impact of the SEBRA acquisition on September 4, 2009.</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78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97"/>
              </w:rPr>
              <w:t>For the three months ended</w:t>
            </w: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For the nine months 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5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December 27,</w:t>
            </w: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27,</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9"/>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 Increase</w:t>
            </w: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0"/>
        </w:trPr>
        <w:tc>
          <w:tcPr>
            <w:tcW w:w="2400" w:type="dxa"/>
            <w:vAlign w:val="bottom"/>
            <w:vMerge w:val="restart"/>
          </w:tcPr>
          <w:p>
            <w:pPr>
              <w:spacing w:after="0"/>
              <w:rPr>
                <w:sz w:val="20"/>
                <w:szCs w:val="20"/>
                <w:color w:val="auto"/>
              </w:rPr>
            </w:pPr>
            <w:r>
              <w:rPr>
                <w:rFonts w:ascii="Arial" w:cs="Arial" w:eastAsia="Arial" w:hAnsi="Arial"/>
                <w:sz w:val="18"/>
                <w:szCs w:val="18"/>
                <w:color w:val="auto"/>
              </w:rPr>
              <w:t>Gross profit</w:t>
            </w:r>
          </w:p>
        </w:tc>
        <w:tc>
          <w:tcPr>
            <w:tcW w:w="88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400" w:type="dxa"/>
            <w:vAlign w:val="bottom"/>
            <w:vMerge w:val="continue"/>
          </w:tcPr>
          <w:p>
            <w:pPr>
              <w:spacing w:after="0"/>
              <w:rPr>
                <w:sz w:val="16"/>
                <w:szCs w:val="16"/>
                <w:color w:val="auto"/>
              </w:rPr>
            </w:pPr>
          </w:p>
        </w:tc>
        <w:tc>
          <w:tcPr>
            <w:tcW w:w="880" w:type="dxa"/>
            <w:vAlign w:val="bottom"/>
            <w:vMerge w:val="continue"/>
          </w:tcPr>
          <w:p>
            <w:pPr>
              <w:spacing w:after="0"/>
              <w:rPr>
                <w:sz w:val="16"/>
                <w:szCs w:val="16"/>
                <w:color w:val="auto"/>
              </w:rPr>
            </w:pPr>
          </w:p>
        </w:tc>
        <w:tc>
          <w:tcPr>
            <w:tcW w:w="20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195" w:lineRule="exact"/>
              <w:rPr>
                <w:sz w:val="20"/>
                <w:szCs w:val="20"/>
                <w:color w:val="auto"/>
              </w:rPr>
            </w:pPr>
            <w:r>
              <w:rPr>
                <w:rFonts w:ascii="Arial" w:cs="Arial" w:eastAsia="Arial" w:hAnsi="Arial"/>
                <w:sz w:val="18"/>
                <w:szCs w:val="18"/>
                <w:color w:val="auto"/>
              </w:rPr>
              <w:t>85,447</w:t>
            </w:r>
          </w:p>
        </w:tc>
        <w:tc>
          <w:tcPr>
            <w:tcW w:w="660" w:type="dxa"/>
            <w:vAlign w:val="bottom"/>
            <w:vMerge w:val="continue"/>
          </w:tcPr>
          <w:p>
            <w:pPr>
              <w:spacing w:after="0"/>
              <w:rPr>
                <w:sz w:val="16"/>
                <w:szCs w:val="16"/>
                <w:color w:val="auto"/>
              </w:rPr>
            </w:pPr>
          </w:p>
        </w:tc>
        <w:tc>
          <w:tcPr>
            <w:tcW w:w="18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195" w:lineRule="exact"/>
              <w:rPr>
                <w:sz w:val="20"/>
                <w:szCs w:val="20"/>
                <w:color w:val="auto"/>
              </w:rPr>
            </w:pPr>
            <w:r>
              <w:rPr>
                <w:rFonts w:ascii="Arial" w:cs="Arial" w:eastAsia="Arial" w:hAnsi="Arial"/>
                <w:sz w:val="18"/>
                <w:szCs w:val="18"/>
                <w:color w:val="auto"/>
              </w:rPr>
              <w:t>78,296</w:t>
            </w:r>
          </w:p>
        </w:tc>
        <w:tc>
          <w:tcPr>
            <w:tcW w:w="640" w:type="dxa"/>
            <w:vAlign w:val="bottom"/>
            <w:vMerge w:val="continue"/>
          </w:tcPr>
          <w:p>
            <w:pPr>
              <w:spacing w:after="0"/>
              <w:rPr>
                <w:sz w:val="16"/>
                <w:szCs w:val="16"/>
                <w:color w:val="auto"/>
              </w:rPr>
            </w:pPr>
          </w:p>
        </w:tc>
        <w:tc>
          <w:tcPr>
            <w:tcW w:w="1340" w:type="dxa"/>
            <w:vAlign w:val="bottom"/>
            <w:gridSpan w:val="2"/>
          </w:tcPr>
          <w:p>
            <w:pPr>
              <w:jc w:val="right"/>
              <w:ind w:right="500"/>
              <w:spacing w:after="0" w:line="195" w:lineRule="exact"/>
              <w:rPr>
                <w:sz w:val="20"/>
                <w:szCs w:val="20"/>
                <w:color w:val="auto"/>
              </w:rPr>
            </w:pPr>
            <w:r>
              <w:rPr>
                <w:rFonts w:ascii="Arial" w:cs="Arial" w:eastAsia="Arial" w:hAnsi="Arial"/>
                <w:sz w:val="18"/>
                <w:szCs w:val="18"/>
                <w:color w:val="auto"/>
              </w:rPr>
              <w:t>9.1%</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96"/>
              </w:rPr>
              <w:t>$  249,357</w:t>
            </w:r>
          </w:p>
        </w:tc>
        <w:tc>
          <w:tcPr>
            <w:tcW w:w="640" w:type="dxa"/>
            <w:vAlign w:val="bottom"/>
            <w:vMerge w:val="continue"/>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w w:val="96"/>
              </w:rPr>
              <w:t>$  226,022</w:t>
            </w:r>
          </w:p>
        </w:tc>
        <w:tc>
          <w:tcPr>
            <w:tcW w:w="640" w:type="dxa"/>
            <w:vAlign w:val="bottom"/>
            <w:vMerge w:val="continue"/>
          </w:tcPr>
          <w:p>
            <w:pPr>
              <w:spacing w:after="0"/>
              <w:rPr>
                <w:sz w:val="16"/>
                <w:szCs w:val="16"/>
                <w:color w:val="auto"/>
              </w:rPr>
            </w:pPr>
          </w:p>
        </w:tc>
        <w:tc>
          <w:tcPr>
            <w:tcW w:w="8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400" w:type="dxa"/>
            <w:vAlign w:val="bottom"/>
          </w:tcPr>
          <w:p>
            <w:pPr>
              <w:ind w:left="220"/>
              <w:spacing w:after="0"/>
              <w:rPr>
                <w:sz w:val="20"/>
                <w:szCs w:val="20"/>
                <w:color w:val="auto"/>
              </w:rPr>
            </w:pPr>
            <w:r>
              <w:rPr>
                <w:rFonts w:ascii="Arial" w:cs="Arial" w:eastAsia="Arial" w:hAnsi="Arial"/>
                <w:sz w:val="18"/>
                <w:szCs w:val="18"/>
                <w:color w:val="auto"/>
              </w:rPr>
              <w:t>% of net revenues</w:t>
            </w: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51.7%</w:t>
            </w:r>
          </w:p>
        </w:tc>
        <w:tc>
          <w:tcPr>
            <w:tcW w:w="180" w:type="dxa"/>
            <w:vAlign w:val="bottom"/>
          </w:tcPr>
          <w:p>
            <w:pPr>
              <w:spacing w:after="0"/>
              <w:rPr>
                <w:sz w:val="20"/>
                <w:szCs w:val="20"/>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50.4%</w:t>
            </w: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52.4%</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50.7%</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Gross profit increased 9.1% and 10.3% for the third quarter and the first nine months of fiscal year 2010 as compared to the same periods of fiscal year 2009. Our gross profit margin improved 130 basis points for the third quarter and 170 basis points for the first nine months of fiscal year 2010. The improvement was attributable to foreign exchange and improved manufacturing efficiencies, particularly for our plasma business. Product mix partly offset these improvements due to increased sales of our lower margin plasma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w w:val="97"/>
              </w:rPr>
              <w:t>For the three months ended</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w w:val="99"/>
              </w:rPr>
              <w:t>For the nine months ended</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2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080" w:type="dxa"/>
            <w:vAlign w:val="bottom"/>
            <w:tcBorders>
              <w:top w:val="single" w:sz="8" w:color="auto"/>
            </w:tcBorders>
            <w:gridSpan w:val="3"/>
          </w:tcPr>
          <w:p>
            <w:pPr>
              <w:ind w:left="24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1080" w:type="dxa"/>
            <w:vAlign w:val="bottom"/>
            <w:tcBorders>
              <w:top w:val="single" w:sz="8" w:color="auto"/>
            </w:tcBorders>
            <w:gridSpan w:val="3"/>
          </w:tcPr>
          <w:p>
            <w:pPr>
              <w:ind w:left="240"/>
              <w:spacing w:after="0" w:line="119" w:lineRule="exact"/>
              <w:rPr>
                <w:sz w:val="20"/>
                <w:szCs w:val="20"/>
                <w:color w:val="auto"/>
              </w:rPr>
            </w:pPr>
            <w:r>
              <w:rPr>
                <w:rFonts w:ascii="Arial" w:cs="Arial" w:eastAsia="Arial" w:hAnsi="Arial"/>
                <w:sz w:val="13"/>
                <w:szCs w:val="13"/>
                <w:b w:val="1"/>
                <w:bCs w:val="1"/>
                <w:color w:val="auto"/>
                <w:w w:val="96"/>
              </w:rPr>
              <w:t>December 27,</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Increase</w:t>
            </w: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Research, development and</w:t>
            </w: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engineering</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6,461</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5,840</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10.6%</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19,714</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16,901</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3.8%</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53,151</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47,965</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150,459</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141,687</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30.9%</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31.6%</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31.8%</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59,612</w:t>
            </w:r>
          </w:p>
        </w:tc>
        <w:tc>
          <w:tcPr>
            <w:tcW w:w="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53,805</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170,173</w:t>
            </w:r>
          </w:p>
        </w:tc>
        <w:tc>
          <w:tcPr>
            <w:tcW w:w="4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158,588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40" w:type="dxa"/>
            <w:vAlign w:val="bottom"/>
          </w:tcPr>
          <w:p>
            <w:pPr>
              <w:ind w:left="200"/>
              <w:spacing w:after="0"/>
              <w:rPr>
                <w:sz w:val="20"/>
                <w:szCs w:val="20"/>
                <w:color w:val="auto"/>
              </w:rPr>
            </w:pPr>
            <w:r>
              <w:rPr>
                <w:rFonts w:ascii="Arial" w:cs="Arial" w:eastAsia="Arial" w:hAnsi="Arial"/>
                <w:sz w:val="18"/>
                <w:szCs w:val="18"/>
                <w:color w:val="auto"/>
              </w:rPr>
              <w:t>% of net revenues</w:t>
            </w:r>
          </w:p>
        </w:tc>
        <w:tc>
          <w:tcPr>
            <w:tcW w:w="18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36.1%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34.6%</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35.6%</w:t>
            </w: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Engineering</w:t>
      </w:r>
    </w:p>
    <w:p>
      <w:pPr>
        <w:spacing w:after="0" w:line="11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Research, development and engineering expenses increased 10.6% and 16.6% for the third quarter and the first nine months of fiscal year 2010 as compared to the same periods of fiscal year 2009. The increase is a result of increased spending in our core blood collection technology combined with investments in whole blood collection products and Arryx blood diagnostics technologies.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During the third quarter and first nine months of fiscal year 2010, selling, general and administrative expenses increased 10.8% and 6.2%, respectively. Foreign exchange resulted in an increase in selling, general and administrative expenses of 4.3% and 0.3%, respectively, during fiscal year 2010. Excluding the impact of foreign exchange, selling, general and administrative expense increased 6.5% and 5.9% for the third quarter and nine months, respectively. The increase was due primarily to (i) expenses brought on from recent acquisitions that had not been reflected in the third quarter of fiscal year 2009, (ii) expenses associated with our ERP Phase II go-live, and (iii) general selling, marketing and handling costs necessary to support the increase in sales and the introduction of blood management solutions. The noted increases were partly offset by a lack of restructuring costs in the first nine months of fiscal year 2010 when compared to the first nine months of fiscal year 2009.</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27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For the three months ended</w:t>
            </w: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For the nine months ended</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46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4"/>
              </w:rPr>
              <w:t>December 26,</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27,</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8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6"/>
              </w:rPr>
              <w:t>December 27,</w:t>
            </w: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34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jc w:val="right"/>
              <w:ind w:right="182"/>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400" w:type="dxa"/>
            <w:vAlign w:val="bottom"/>
          </w:tcPr>
          <w:p>
            <w:pPr>
              <w:spacing w:after="0"/>
              <w:rPr>
                <w:sz w:val="14"/>
                <w:szCs w:val="14"/>
                <w:color w:val="auto"/>
              </w:rPr>
            </w:pPr>
          </w:p>
        </w:tc>
        <w:tc>
          <w:tcPr>
            <w:tcW w:w="1560" w:type="dxa"/>
            <w:vAlign w:val="bottom"/>
            <w:gridSpan w:val="3"/>
          </w:tcPr>
          <w:p>
            <w:pPr>
              <w:jc w:val="right"/>
              <w:ind w:right="620"/>
              <w:spacing w:after="0"/>
              <w:rPr>
                <w:sz w:val="20"/>
                <w:szCs w:val="20"/>
                <w:color w:val="auto"/>
              </w:rPr>
            </w:pPr>
            <w:r>
              <w:rPr>
                <w:rFonts w:ascii="Arial" w:cs="Arial" w:eastAsia="Arial" w:hAnsi="Arial"/>
                <w:sz w:val="14"/>
                <w:szCs w:val="14"/>
                <w:b w:val="1"/>
                <w:bCs w:val="1"/>
                <w:color w:val="auto"/>
              </w:rPr>
              <w:t>% Increase</w:t>
            </w:r>
          </w:p>
        </w:tc>
        <w:tc>
          <w:tcPr>
            <w:tcW w:w="840" w:type="dxa"/>
            <w:vAlign w:val="bottom"/>
          </w:tcPr>
          <w:p>
            <w:pPr>
              <w:jc w:val="right"/>
              <w:ind w:right="202"/>
              <w:spacing w:after="0"/>
              <w:rPr>
                <w:sz w:val="20"/>
                <w:szCs w:val="20"/>
                <w:color w:val="auto"/>
              </w:rPr>
            </w:pPr>
            <w:r>
              <w:rPr>
                <w:rFonts w:ascii="Arial" w:cs="Arial" w:eastAsia="Arial" w:hAnsi="Arial"/>
                <w:sz w:val="14"/>
                <w:szCs w:val="14"/>
                <w:b w:val="1"/>
                <w:bCs w:val="1"/>
                <w:color w:val="auto"/>
              </w:rPr>
              <w:t>2009</w:t>
            </w:r>
          </w:p>
        </w:tc>
        <w:tc>
          <w:tcPr>
            <w:tcW w:w="640" w:type="dxa"/>
            <w:vAlign w:val="bottom"/>
          </w:tcPr>
          <w:p>
            <w:pPr>
              <w:spacing w:after="0"/>
              <w:rPr>
                <w:sz w:val="14"/>
                <w:szCs w:val="14"/>
                <w:color w:val="auto"/>
              </w:rPr>
            </w:pPr>
          </w:p>
        </w:tc>
        <w:tc>
          <w:tcPr>
            <w:tcW w:w="840" w:type="dxa"/>
            <w:vAlign w:val="bottom"/>
          </w:tcPr>
          <w:p>
            <w:pPr>
              <w:jc w:val="right"/>
              <w:ind w:right="200"/>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2"/>
              </w:rPr>
              <w:t>% Increase</w:t>
            </w:r>
          </w:p>
        </w:tc>
        <w:tc>
          <w:tcPr>
            <w:tcW w:w="0" w:type="dxa"/>
            <w:vAlign w:val="bottom"/>
          </w:tcPr>
          <w:p>
            <w:pPr>
              <w:spacing w:after="0"/>
              <w:rPr>
                <w:sz w:val="1"/>
                <w:szCs w:val="1"/>
                <w:color w:val="auto"/>
              </w:rPr>
            </w:pPr>
          </w:p>
        </w:tc>
      </w:tr>
      <w:tr>
        <w:trPr>
          <w:trHeight w:val="20"/>
        </w:trPr>
        <w:tc>
          <w:tcPr>
            <w:tcW w:w="334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82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3340" w:type="dxa"/>
            <w:vAlign w:val="bottom"/>
            <w:vMerge w:val="continue"/>
          </w:tcPr>
          <w:p>
            <w:pPr>
              <w:spacing w:after="0"/>
              <w:rPr>
                <w:sz w:val="16"/>
                <w:szCs w:val="16"/>
                <w:color w:val="auto"/>
              </w:rPr>
            </w:pPr>
          </w:p>
        </w:tc>
        <w:tc>
          <w:tcPr>
            <w:tcW w:w="820" w:type="dxa"/>
            <w:vAlign w:val="bottom"/>
          </w:tcPr>
          <w:p>
            <w:pPr>
              <w:jc w:val="right"/>
              <w:spacing w:after="0" w:line="195" w:lineRule="exact"/>
              <w:rPr>
                <w:sz w:val="20"/>
                <w:szCs w:val="20"/>
                <w:color w:val="auto"/>
              </w:rPr>
            </w:pPr>
            <w:r>
              <w:rPr>
                <w:rFonts w:ascii="Arial" w:cs="Arial" w:eastAsia="Arial" w:hAnsi="Arial"/>
                <w:sz w:val="18"/>
                <w:szCs w:val="18"/>
                <w:color w:val="auto"/>
                <w:w w:val="99"/>
              </w:rPr>
              <w:t>$   25,835</w:t>
            </w:r>
          </w:p>
        </w:tc>
        <w:tc>
          <w:tcPr>
            <w:tcW w:w="640" w:type="dxa"/>
            <w:vAlign w:val="bottom"/>
            <w:vMerge w:val="continue"/>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   24,491</w:t>
            </w:r>
          </w:p>
        </w:tc>
        <w:tc>
          <w:tcPr>
            <w:tcW w:w="40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320" w:type="dxa"/>
            <w:vAlign w:val="bottom"/>
            <w:gridSpan w:val="2"/>
          </w:tcPr>
          <w:p>
            <w:pPr>
              <w:jc w:val="right"/>
              <w:ind w:right="480"/>
              <w:spacing w:after="0" w:line="195" w:lineRule="exact"/>
              <w:rPr>
                <w:sz w:val="20"/>
                <w:szCs w:val="20"/>
                <w:color w:val="auto"/>
              </w:rPr>
            </w:pPr>
            <w:r>
              <w:rPr>
                <w:rFonts w:ascii="Arial" w:cs="Arial" w:eastAsia="Arial" w:hAnsi="Arial"/>
                <w:sz w:val="18"/>
                <w:szCs w:val="18"/>
                <w:color w:val="auto"/>
              </w:rPr>
              <w:t>5.5%</w:t>
            </w: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   79,184</w:t>
            </w:r>
          </w:p>
        </w:tc>
        <w:tc>
          <w:tcPr>
            <w:tcW w:w="640" w:type="dxa"/>
            <w:vAlign w:val="bottom"/>
            <w:vMerge w:val="continue"/>
          </w:tcPr>
          <w:p>
            <w:pPr>
              <w:spacing w:after="0"/>
              <w:rPr>
                <w:sz w:val="16"/>
                <w:szCs w:val="16"/>
                <w:color w:val="auto"/>
              </w:rPr>
            </w:pPr>
          </w:p>
        </w:tc>
        <w:tc>
          <w:tcPr>
            <w:tcW w:w="840" w:type="dxa"/>
            <w:vAlign w:val="bottom"/>
          </w:tcPr>
          <w:p>
            <w:pPr>
              <w:jc w:val="right"/>
              <w:spacing w:after="0" w:line="195" w:lineRule="exact"/>
              <w:rPr>
                <w:sz w:val="20"/>
                <w:szCs w:val="20"/>
                <w:color w:val="auto"/>
              </w:rPr>
            </w:pPr>
            <w:r>
              <w:rPr>
                <w:rFonts w:ascii="Arial" w:cs="Arial" w:eastAsia="Arial" w:hAnsi="Arial"/>
                <w:sz w:val="18"/>
                <w:szCs w:val="18"/>
                <w:color w:val="auto"/>
              </w:rPr>
              <w:t>$   67,434</w:t>
            </w:r>
          </w:p>
        </w:tc>
        <w:tc>
          <w:tcPr>
            <w:tcW w:w="640" w:type="dxa"/>
            <w:vAlign w:val="bottom"/>
            <w:vMerge w:val="continue"/>
          </w:tcPr>
          <w:p>
            <w:pPr>
              <w:spacing w:after="0"/>
              <w:rPr>
                <w:sz w:val="16"/>
                <w:szCs w:val="16"/>
                <w:color w:val="auto"/>
              </w:rPr>
            </w:pPr>
          </w:p>
        </w:tc>
        <w:tc>
          <w:tcPr>
            <w:tcW w:w="840" w:type="dxa"/>
            <w:vAlign w:val="bottom"/>
            <w:gridSpan w:val="2"/>
          </w:tcPr>
          <w:p>
            <w:pPr>
              <w:jc w:val="right"/>
              <w:spacing w:after="0" w:line="195" w:lineRule="exact"/>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3340" w:type="dxa"/>
            <w:vAlign w:val="bottom"/>
          </w:tcPr>
          <w:p>
            <w:pPr>
              <w:ind w:left="220"/>
              <w:spacing w:after="0"/>
              <w:rPr>
                <w:sz w:val="20"/>
                <w:szCs w:val="20"/>
                <w:color w:val="auto"/>
              </w:rPr>
            </w:pPr>
            <w:r>
              <w:rPr>
                <w:rFonts w:ascii="Arial" w:cs="Arial" w:eastAsia="Arial" w:hAnsi="Arial"/>
                <w:sz w:val="18"/>
                <w:szCs w:val="18"/>
                <w:color w:val="auto"/>
              </w:rPr>
              <w:t>% of net revenues</w:t>
            </w:r>
          </w:p>
        </w:tc>
        <w:tc>
          <w:tcPr>
            <w:tcW w:w="1460" w:type="dxa"/>
            <w:vAlign w:val="bottom"/>
            <w:gridSpan w:val="2"/>
          </w:tcPr>
          <w:p>
            <w:pPr>
              <w:jc w:val="right"/>
              <w:ind w:right="480"/>
              <w:spacing w:after="0"/>
              <w:rPr>
                <w:sz w:val="20"/>
                <w:szCs w:val="20"/>
                <w:color w:val="auto"/>
              </w:rPr>
            </w:pPr>
            <w:r>
              <w:rPr>
                <w:rFonts w:ascii="Arial" w:cs="Arial" w:eastAsia="Arial" w:hAnsi="Arial"/>
                <w:sz w:val="18"/>
                <w:szCs w:val="18"/>
                <w:color w:val="auto"/>
              </w:rPr>
              <w:t>15.6%</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15.8%</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8"/>
                <w:szCs w:val="18"/>
                <w:color w:val="auto"/>
              </w:rPr>
              <w:t>16.6%</w:t>
            </w:r>
          </w:p>
        </w:tc>
        <w:tc>
          <w:tcPr>
            <w:tcW w:w="1480" w:type="dxa"/>
            <w:vAlign w:val="bottom"/>
            <w:gridSpan w:val="2"/>
          </w:tcPr>
          <w:p>
            <w:pPr>
              <w:jc w:val="right"/>
              <w:ind w:right="480"/>
              <w:spacing w:after="0"/>
              <w:rPr>
                <w:sz w:val="20"/>
                <w:szCs w:val="20"/>
                <w:color w:val="auto"/>
              </w:rPr>
            </w:pPr>
            <w:r>
              <w:rPr>
                <w:rFonts w:ascii="Arial" w:cs="Arial" w:eastAsia="Arial" w:hAnsi="Arial"/>
                <w:sz w:val="18"/>
                <w:szCs w:val="18"/>
                <w:color w:val="auto"/>
              </w:rPr>
              <w:t>15.1%</w:t>
            </w: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Operating income increased 5.5% and 17.4% for the third quarter and first nine months, respectively, of fiscal year 2010 as compared to the same periods of fiscal year 2009. Foreign exchange resulted in increases of 11.2% and 18.9% in operating income during the quarter and first nine months, respectively. Without the effects of foreign currency, operating income decreased 5.7% for the quarter and 1.5% for the first nine months due to the net of sales and gross profit growth offset by increases in operating expenses.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(expense)/income,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2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w w:val="96"/>
              </w:rPr>
              <w:t>For the three months ended</w:t>
            </w:r>
          </w:p>
        </w:tc>
        <w:tc>
          <w:tcPr>
            <w:tcW w:w="68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40" w:type="dxa"/>
            <w:vAlign w:val="bottom"/>
            <w:gridSpan w:val="5"/>
          </w:tcPr>
          <w:p>
            <w:pPr>
              <w:jc w:val="right"/>
              <w:ind w:right="960"/>
              <w:spacing w:after="0"/>
              <w:rPr>
                <w:sz w:val="20"/>
                <w:szCs w:val="20"/>
                <w:color w:val="auto"/>
              </w:rPr>
            </w:pPr>
            <w:r>
              <w:rPr>
                <w:rFonts w:ascii="Arial" w:cs="Arial" w:eastAsia="Arial" w:hAnsi="Arial"/>
                <w:sz w:val="14"/>
                <w:szCs w:val="14"/>
                <w:b w:val="1"/>
                <w:bCs w:val="1"/>
                <w:color w:val="auto"/>
                <w:w w:val="97"/>
              </w:rPr>
              <w:t>For the nine months ended</w:t>
            </w:r>
          </w:p>
        </w:tc>
        <w:tc>
          <w:tcPr>
            <w:tcW w:w="660" w:type="dxa"/>
            <w:vAlign w:val="bottom"/>
            <w:vMerge w:val="restart"/>
          </w:tcPr>
          <w:p>
            <w:pPr>
              <w:jc w:val="right"/>
              <w:ind w:right="18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4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December 26,</w:t>
            </w: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4"/>
              </w:rPr>
              <w:t>December 27,</w:t>
            </w:r>
          </w:p>
        </w:tc>
        <w:tc>
          <w:tcPr>
            <w:tcW w:w="6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tcBorders>
              <w:top w:val="single" w:sz="8" w:color="auto"/>
            </w:tcBorders>
            <w:gridSpan w:val="3"/>
          </w:tcPr>
          <w:p>
            <w:pPr>
              <w:jc w:val="right"/>
              <w:ind w:right="540"/>
              <w:spacing w:after="0" w:line="119" w:lineRule="exact"/>
              <w:rPr>
                <w:sz w:val="20"/>
                <w:szCs w:val="20"/>
                <w:color w:val="auto"/>
              </w:rPr>
            </w:pPr>
            <w:r>
              <w:rPr>
                <w:rFonts w:ascii="Arial" w:cs="Arial" w:eastAsia="Arial" w:hAnsi="Arial"/>
                <w:sz w:val="13"/>
                <w:szCs w:val="13"/>
                <w:b w:val="1"/>
                <w:bCs w:val="1"/>
                <w:color w:val="auto"/>
                <w:w w:val="96"/>
              </w:rPr>
              <w:t>December 26,</w:t>
            </w:r>
          </w:p>
        </w:tc>
        <w:tc>
          <w:tcPr>
            <w:tcW w:w="8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December 27,</w:t>
            </w:r>
          </w:p>
        </w:tc>
        <w:tc>
          <w:tcPr>
            <w:tcW w:w="6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Decrease</w:t>
            </w: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2009</w:t>
            </w:r>
          </w:p>
        </w:tc>
        <w:tc>
          <w:tcPr>
            <w:tcW w:w="6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2008</w:t>
            </w:r>
          </w:p>
        </w:tc>
        <w:tc>
          <w:tcPr>
            <w:tcW w:w="6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29"/>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56</w:t>
            </w: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469</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8"/>
                <w:szCs w:val="18"/>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8"/>
                <w:szCs w:val="18"/>
                <w:color w:val="auto"/>
              </w:rPr>
              <w:t>1,623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(266)</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(1,451)</w:t>
            </w: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(1,389)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(2,366)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 other expense, net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(54.3%)</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(1,802</w:t>
            </w:r>
          </w:p>
        </w:tc>
        <w:tc>
          <w:tcPr>
            <w:tcW w:w="620" w:type="dxa"/>
            <w:vAlign w:val="bottom"/>
          </w:tcPr>
          <w:p>
            <w:pPr>
              <w:jc w:val="right"/>
              <w:ind w:right="480"/>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640" w:type="dxa"/>
            <w:vAlign w:val="bottom"/>
          </w:tcPr>
          <w:p>
            <w:pPr>
              <w:spacing w:after="0"/>
              <w:rPr>
                <w:sz w:val="19"/>
                <w:szCs w:val="19"/>
                <w:color w:val="auto"/>
              </w:rPr>
            </w:pP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Total other expense, net decreased 54.3% for the third quarter of fiscal year 2010 as compared to the third quarter of fiscal year 2009. Total other income, net increased more than 100% for first nine months of fiscal year 2010 as compared to the same period of fiscal year 2009. The main reasons for the increase is the net of (i) the increase in interest expense due to the accounting relating to the contingent consideration on a recent acquisition, (ii) the decrease in interest income due to significantly reduced investment yield, and (iii) a reduction in foreign exchange losses on foreign currency denominated assets.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232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For the 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For the nine months ended</w:t>
            </w:r>
          </w:p>
        </w:tc>
        <w:tc>
          <w:tcPr>
            <w:tcW w:w="1220" w:type="dxa"/>
            <w:vAlign w:val="bottom"/>
            <w:gridSpan w:val="2"/>
            <w:vMerge w:val="restart"/>
          </w:tcPr>
          <w:p>
            <w:pPr>
              <w:jc w:val="right"/>
              <w:ind w:right="31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19"/>
        </w:trPr>
        <w:tc>
          <w:tcPr>
            <w:tcW w:w="3960" w:type="dxa"/>
            <w:vAlign w:val="bottom"/>
          </w:tcPr>
          <w:p>
            <w:pPr>
              <w:spacing w:after="0"/>
              <w:rPr>
                <w:sz w:val="10"/>
                <w:szCs w:val="10"/>
                <w:color w:val="auto"/>
              </w:rPr>
            </w:pPr>
          </w:p>
        </w:tc>
        <w:tc>
          <w:tcPr>
            <w:tcW w:w="10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26,</w:t>
            </w:r>
          </w:p>
        </w:tc>
        <w:tc>
          <w:tcPr>
            <w:tcW w:w="2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27,</w:t>
            </w: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26,</w:t>
            </w:r>
          </w:p>
        </w:tc>
        <w:tc>
          <w:tcPr>
            <w:tcW w:w="260" w:type="dxa"/>
            <w:vAlign w:val="bottom"/>
          </w:tcPr>
          <w:p>
            <w:pPr>
              <w:spacing w:after="0"/>
              <w:rPr>
                <w:sz w:val="10"/>
                <w:szCs w:val="10"/>
                <w:color w:val="auto"/>
              </w:rPr>
            </w:pPr>
          </w:p>
        </w:tc>
        <w:tc>
          <w:tcPr>
            <w:tcW w:w="10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December 27,</w:t>
            </w:r>
          </w:p>
        </w:tc>
        <w:tc>
          <w:tcPr>
            <w:tcW w:w="12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3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Arial" w:cs="Arial" w:eastAsia="Arial" w:hAnsi="Arial"/>
                <w:sz w:val="14"/>
                <w:szCs w:val="14"/>
                <w:b w:val="1"/>
                <w:bCs w:val="1"/>
                <w:color w:val="auto"/>
              </w:rPr>
              <w:t>% Decrease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9"/>
              </w:rPr>
              <w:t>2009</w:t>
            </w:r>
          </w:p>
        </w:tc>
        <w:tc>
          <w:tcPr>
            <w:tcW w:w="1300" w:type="dxa"/>
            <w:vAlign w:val="bottom"/>
            <w:gridSpan w:val="2"/>
          </w:tcPr>
          <w:p>
            <w:pPr>
              <w:jc w:val="center"/>
              <w:ind w:left="188"/>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224"/>
        </w:trPr>
        <w:tc>
          <w:tcPr>
            <w:tcW w:w="3960" w:type="dxa"/>
            <w:vAlign w:val="bottom"/>
          </w:tcPr>
          <w:p>
            <w:pPr>
              <w:spacing w:after="0"/>
              <w:rPr>
                <w:sz w:val="20"/>
                <w:szCs w:val="20"/>
                <w:color w:val="auto"/>
              </w:rPr>
            </w:pPr>
            <w:r>
              <w:rPr>
                <w:rFonts w:ascii="Arial" w:cs="Arial" w:eastAsia="Arial" w:hAnsi="Arial"/>
                <w:sz w:val="18"/>
                <w:szCs w:val="18"/>
                <w:color w:val="auto"/>
              </w:rPr>
              <w:t>Reported income tax rate</w:t>
            </w:r>
          </w:p>
        </w:tc>
        <w:tc>
          <w:tcPr>
            <w:tcW w:w="1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27.9%</w:t>
            </w:r>
          </w:p>
        </w:tc>
        <w:tc>
          <w:tcPr>
            <w:tcW w:w="26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31.0%</w:t>
            </w:r>
          </w:p>
        </w:tc>
        <w:tc>
          <w:tcPr>
            <w:tcW w:w="260" w:type="dxa"/>
            <w:vAlign w:val="bottom"/>
          </w:tcPr>
          <w:p>
            <w:pPr>
              <w:spacing w:after="0"/>
              <w:rPr>
                <w:sz w:val="19"/>
                <w:szCs w:val="19"/>
                <w:color w:val="auto"/>
              </w:rPr>
            </w:pPr>
          </w:p>
        </w:tc>
        <w:tc>
          <w:tcPr>
            <w:tcW w:w="1060" w:type="dxa"/>
            <w:vAlign w:val="bottom"/>
            <w:tcBorders>
              <w:top w:val="single" w:sz="8" w:color="auto"/>
            </w:tcBorders>
          </w:tcPr>
          <w:p>
            <w:pPr>
              <w:jc w:val="right"/>
              <w:ind w:right="139"/>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29.7%</w:t>
            </w:r>
          </w:p>
        </w:tc>
        <w:tc>
          <w:tcPr>
            <w:tcW w:w="260" w:type="dxa"/>
            <w:vAlign w:val="bottom"/>
          </w:tcPr>
          <w:p>
            <w:pPr>
              <w:spacing w:after="0"/>
              <w:rPr>
                <w:sz w:val="19"/>
                <w:szCs w:val="19"/>
                <w:color w:val="auto"/>
              </w:rPr>
            </w:pPr>
          </w:p>
        </w:tc>
        <w:tc>
          <w:tcPr>
            <w:tcW w:w="1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31.9%</w:t>
            </w:r>
          </w:p>
        </w:tc>
        <w:tc>
          <w:tcPr>
            <w:tcW w:w="260" w:type="dxa"/>
            <w:vAlign w:val="bottom"/>
          </w:tcPr>
          <w:p>
            <w:pPr>
              <w:spacing w:after="0"/>
              <w:rPr>
                <w:sz w:val="19"/>
                <w:szCs w:val="19"/>
                <w:color w:val="auto"/>
              </w:rPr>
            </w:pP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Our reported tax rate includes two principal components: an expected effective annual tax rate and discrete items resulting in additional provisions or benefits that are recorded in the quarter that an event arises. Events or items that give rise to discrete recognition include finalizing audit examinations for open tax years or a statute of limitation’s expiration.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27.9% for the three months ended December 26, 2009. The reported tax rate includes:</w:t>
      </w:r>
    </w:p>
    <w:p>
      <w:pPr>
        <w:spacing w:after="0" w:line="117" w:lineRule="exact"/>
        <w:rPr>
          <w:sz w:val="20"/>
          <w:szCs w:val="20"/>
          <w:color w:val="auto"/>
        </w:rPr>
      </w:pPr>
    </w:p>
    <w:p>
      <w:pPr>
        <w:jc w:val="both"/>
        <w:ind w:left="340" w:right="280" w:hanging="332"/>
        <w:spacing w:after="0" w:line="264" w:lineRule="auto"/>
        <w:tabs>
          <w:tab w:leader="none" w:pos="34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 comprised of the U.S. federal statutory tax rate of 35.0% reduced by tax benefits from foreign taxes (including our Swiss principal) and a domestic manufacturing deduction, offset in part by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net discrete items:</w:t>
      </w:r>
    </w:p>
    <w:p>
      <w:pPr>
        <w:spacing w:after="0" w:line="117" w:lineRule="exact"/>
        <w:rPr>
          <w:sz w:val="20"/>
          <w:szCs w:val="20"/>
          <w:color w:val="auto"/>
        </w:rPr>
      </w:pPr>
    </w:p>
    <w:p>
      <w:pPr>
        <w:ind w:left="5620" w:right="1860" w:hanging="5612"/>
        <w:spacing w:after="0" w:line="496" w:lineRule="auto"/>
        <w:tabs>
          <w:tab w:leader="none" w:pos="328"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A $0.8 million benefit from the expected full utilization of the foreign tax gross-up associated with a FY10 dividend from Japan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A $0.1 million benefit from the expiration of various reserves, the fiscal year 2009 provision to return analysis and foreign and state tax assessments.</w:t>
      </w:r>
    </w:p>
    <w:p>
      <w:pPr>
        <w:spacing w:after="0" w:line="140"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The reported tax rate was 31.0% for the three months ended December 27, 2008. The reported tax rate equaled the expected effective annual tax rate which reflected tax benefits from foreign taxes and a domestic manufacturing deduction, offset in part by the state tax provision, and stock compensation expense not deductible in all jurisdictions.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reported tax rate was 29.7% for the nine months ended December 26, 2009. The reported tax rate includes:</w:t>
      </w:r>
    </w:p>
    <w:p>
      <w:pPr>
        <w:spacing w:after="0" w:line="117" w:lineRule="exact"/>
        <w:rPr>
          <w:sz w:val="20"/>
          <w:szCs w:val="20"/>
          <w:color w:val="auto"/>
        </w:rPr>
      </w:pPr>
    </w:p>
    <w:p>
      <w:pPr>
        <w:ind w:left="340" w:right="100" w:hanging="332"/>
        <w:spacing w:after="0" w:line="264" w:lineRule="auto"/>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expected annual effective tax rate of 31.1%, comprised of the U.S. federal statutory rate of 35.0% reduced by tax benefits from foreign taxes (including our Swiss principal) and a domestic manufacturing deduction, plus the state tax provision, and stock compensation expenses not deductible in all jurisdictions; 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discrete items:</w:t>
      </w:r>
    </w:p>
    <w:p>
      <w:pPr>
        <w:spacing w:after="0" w:line="11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A $0.1 million benefit from the expiration of various reserves, the fiscal year 2009 provision to return analysis and foreign and state tax assessments.</w:t>
      </w:r>
    </w:p>
    <w:p>
      <w:pPr>
        <w:spacing w:after="0" w:line="140" w:lineRule="exact"/>
        <w:rPr>
          <w:rFonts w:ascii="Arial" w:cs="Arial" w:eastAsia="Arial" w:hAnsi="Arial"/>
          <w:sz w:val="16"/>
          <w:szCs w:val="16"/>
          <w:b w:val="1"/>
          <w:bCs w:val="1"/>
          <w:color w:val="auto"/>
        </w:rPr>
      </w:pPr>
    </w:p>
    <w:p>
      <w:pPr>
        <w:ind w:right="60" w:firstLine="8"/>
        <w:spacing w:after="0" w:line="373" w:lineRule="auto"/>
        <w:tabs>
          <w:tab w:leader="none" w:pos="324"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$1.2 million benefit (on a year to date basis) from the expected full utilization of the foreign tax gross-up associated with a FY10 dividend from Japan. The reported tax rate was 31.9% for the nine months ended December 27, 2008. The reported tax rate included:</w:t>
      </w:r>
    </w:p>
    <w:p>
      <w:pPr>
        <w:spacing w:after="0" w:line="4" w:lineRule="exact"/>
        <w:rPr>
          <w:rFonts w:ascii="Arial" w:cs="Arial" w:eastAsia="Arial" w:hAnsi="Arial"/>
          <w:sz w:val="18"/>
          <w:szCs w:val="18"/>
          <w:b w:val="1"/>
          <w:bCs w:val="1"/>
          <w:color w:val="auto"/>
        </w:rPr>
      </w:pPr>
    </w:p>
    <w:p>
      <w:pPr>
        <w:ind w:left="340" w:right="200" w:hanging="332"/>
        <w:spacing w:after="0" w:line="264" w:lineRule="auto"/>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A 35.1% expected effective annual tax rate which reflects tax benefits from foreign taxes and a domestic manufacturing deduction, offset in part by the state tax provision, and stock compensation expenses not deductible in all jurisdictions. The reported tax rate also included a $1.1 million reversal of previously accrued income taxes because of the expiration of the statute of limitations.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certain key performance indicators we believe depict our liquidity and cash flow position:</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4040" w:type="dxa"/>
            <w:vAlign w:val="bottom"/>
            <w:gridSpan w:val="4"/>
          </w:tcPr>
          <w:p>
            <w:pPr>
              <w:ind w:left="2860"/>
              <w:spacing w:after="0"/>
              <w:rPr>
                <w:sz w:val="20"/>
                <w:szCs w:val="20"/>
                <w:color w:val="auto"/>
              </w:rPr>
            </w:pPr>
            <w:r>
              <w:rPr>
                <w:rFonts w:ascii="Arial" w:cs="Arial" w:eastAsia="Arial" w:hAnsi="Arial"/>
                <w:sz w:val="14"/>
                <w:szCs w:val="14"/>
                <w:b w:val="1"/>
                <w:bCs w:val="1"/>
                <w:color w:val="auto"/>
              </w:rPr>
              <w:t>December 26,</w:t>
            </w:r>
          </w:p>
        </w:tc>
        <w:tc>
          <w:tcPr>
            <w:tcW w:w="32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28,</w:t>
            </w:r>
          </w:p>
        </w:tc>
      </w:tr>
      <w:tr>
        <w:trPr>
          <w:trHeight w:val="171"/>
        </w:trPr>
        <w:tc>
          <w:tcPr>
            <w:tcW w:w="6240" w:type="dxa"/>
            <w:vAlign w:val="bottom"/>
          </w:tcPr>
          <w:p>
            <w:pPr>
              <w:spacing w:after="0"/>
              <w:rPr>
                <w:sz w:val="20"/>
                <w:szCs w:val="20"/>
                <w:color w:val="auto"/>
              </w:rPr>
            </w:pPr>
            <w:r>
              <w:rPr>
                <w:rFonts w:ascii="Arial" w:cs="Arial" w:eastAsia="Arial" w:hAnsi="Arial"/>
                <w:sz w:val="14"/>
                <w:szCs w:val="14"/>
                <w:b w:val="1"/>
                <w:bCs w:val="1"/>
                <w:color w:val="auto"/>
              </w:rPr>
              <w:t>(dollars in thousands)</w:t>
            </w:r>
          </w:p>
        </w:tc>
        <w:tc>
          <w:tcPr>
            <w:tcW w:w="28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Cash &amp; cash equivalents</w:t>
            </w:r>
          </w:p>
        </w:tc>
        <w:tc>
          <w:tcPr>
            <w:tcW w:w="3020" w:type="dxa"/>
            <w:vAlign w:val="bottom"/>
            <w:gridSpan w:val="2"/>
            <w:shd w:val="clear" w:color="auto" w:fill="CCEEFF"/>
          </w:tcPr>
          <w:p>
            <w:pPr>
              <w:ind w:left="28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168,993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$ 156,721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Working capital</w:t>
            </w:r>
          </w:p>
        </w:tc>
        <w:tc>
          <w:tcPr>
            <w:tcW w:w="302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286,962</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$ 289,530</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Current ratio</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Net cash position (1)</w:t>
            </w:r>
          </w:p>
        </w:tc>
        <w:tc>
          <w:tcPr>
            <w:tcW w:w="3020" w:type="dxa"/>
            <w:vAlign w:val="bottom"/>
            <w:gridSpan w:val="2"/>
          </w:tcPr>
          <w:p>
            <w:pPr>
              <w:ind w:left="28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149,083</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$ 150,683</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Days sales outstanding (DSO)</w:t>
            </w:r>
          </w:p>
        </w:tc>
        <w:tc>
          <w:tcPr>
            <w:tcW w:w="2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63</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r>
      <w:tr>
        <w:trPr>
          <w:trHeight w:val="230"/>
        </w:trPr>
        <w:tc>
          <w:tcPr>
            <w:tcW w:w="6240" w:type="dxa"/>
            <w:vAlign w:val="bottom"/>
          </w:tcPr>
          <w:p>
            <w:pPr>
              <w:spacing w:after="0"/>
              <w:rPr>
                <w:sz w:val="20"/>
                <w:szCs w:val="20"/>
                <w:color w:val="auto"/>
              </w:rPr>
            </w:pPr>
            <w:r>
              <w:rPr>
                <w:rFonts w:ascii="Arial" w:cs="Arial" w:eastAsia="Arial" w:hAnsi="Arial"/>
                <w:sz w:val="18"/>
                <w:szCs w:val="18"/>
                <w:color w:val="auto"/>
              </w:rPr>
              <w:t>Disposables finished goods inventory turnover</w:t>
            </w:r>
          </w:p>
        </w:tc>
        <w:tc>
          <w:tcPr>
            <w:tcW w:w="2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1140" w:type="dxa"/>
            <w:vAlign w:val="bottom"/>
            <w:gridSpan w:val="3"/>
          </w:tcPr>
          <w:p>
            <w:pPr>
              <w:jc w:val="right"/>
              <w:ind w:right="100"/>
              <w:spacing w:after="0"/>
              <w:rPr>
                <w:sz w:val="20"/>
                <w:szCs w:val="20"/>
                <w:color w:val="auto"/>
              </w:rPr>
            </w:pPr>
            <w:r>
              <w:rPr>
                <w:rFonts w:ascii="Arial" w:cs="Arial" w:eastAsia="Arial" w:hAnsi="Arial"/>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cash position is the sum of cash and cash equivalents less total debt.</w:t>
      </w:r>
    </w:p>
    <w:p>
      <w:pPr>
        <w:spacing w:after="0" w:line="11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Our primary sources of capital include cash and cash equivalents, internally generated cash flows, bank borrowings and option exercises. We believe these sources to be sufficient to fund our requirements, which are primarily capital expenditures and acquisitions, new business and product development, and working capital for at least the next twelve months.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0" w:type="dxa"/>
            <w:vAlign w:val="bottom"/>
            <w:gridSpan w:val="5"/>
          </w:tcPr>
          <w:p>
            <w:pPr>
              <w:jc w:val="right"/>
              <w:ind w:right="59"/>
              <w:spacing w:after="0"/>
              <w:rPr>
                <w:sz w:val="20"/>
                <w:szCs w:val="20"/>
                <w:color w:val="auto"/>
              </w:rPr>
            </w:pPr>
            <w:r>
              <w:rPr>
                <w:rFonts w:ascii="Arial" w:cs="Arial" w:eastAsia="Arial" w:hAnsi="Arial"/>
                <w:sz w:val="14"/>
                <w:szCs w:val="14"/>
                <w:b w:val="1"/>
                <w:bCs w:val="1"/>
                <w:color w:val="auto"/>
              </w:rPr>
              <w:t>For the nine months ended</w:t>
            </w: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8"/>
              </w:rPr>
              <w:t>Increase/</w:t>
            </w:r>
          </w:p>
        </w:tc>
      </w:tr>
      <w:tr>
        <w:trPr>
          <w:trHeight w:val="171"/>
        </w:trPr>
        <w:tc>
          <w:tcPr>
            <w:tcW w:w="64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4"/>
                <w:szCs w:val="14"/>
                <w:color w:val="auto"/>
              </w:rPr>
            </w:pPr>
          </w:p>
        </w:tc>
        <w:tc>
          <w:tcPr>
            <w:tcW w:w="166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3"/>
              </w:rPr>
              <w:t>December 26, 2009</w:t>
            </w:r>
          </w:p>
        </w:tc>
        <w:tc>
          <w:tcPr>
            <w:tcW w:w="340" w:type="dxa"/>
            <w:vAlign w:val="bottom"/>
          </w:tcPr>
          <w:p>
            <w:pPr>
              <w:spacing w:after="0"/>
              <w:rPr>
                <w:sz w:val="14"/>
                <w:szCs w:val="14"/>
                <w:color w:val="auto"/>
              </w:rPr>
            </w:pPr>
          </w:p>
        </w:tc>
        <w:tc>
          <w:tcPr>
            <w:tcW w:w="168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December 27, 2008</w:t>
            </w:r>
          </w:p>
        </w:tc>
        <w:tc>
          <w:tcPr>
            <w:tcW w:w="36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7"/>
              </w:rPr>
              <w:t>(Decrease)</w:t>
            </w: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Operating activities</w:t>
            </w:r>
          </w:p>
        </w:tc>
        <w:tc>
          <w:tcPr>
            <w:tcW w:w="400" w:type="dxa"/>
            <w:vAlign w:val="bottom"/>
            <w:gridSpan w:val="2"/>
          </w:tcPr>
          <w:p>
            <w:pPr>
              <w:jc w:val="right"/>
              <w:ind w:right="227"/>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93,981</w:t>
            </w:r>
          </w:p>
        </w:tc>
        <w:tc>
          <w:tcPr>
            <w:tcW w:w="400" w:type="dxa"/>
            <w:vAlign w:val="bottom"/>
          </w:tcPr>
          <w:p>
            <w:pPr>
              <w:spacing w:after="0"/>
              <w:rPr>
                <w:sz w:val="18"/>
                <w:szCs w:val="18"/>
                <w:color w:val="auto"/>
              </w:rPr>
            </w:pPr>
          </w:p>
        </w:tc>
        <w:tc>
          <w:tcPr>
            <w:tcW w:w="920" w:type="dxa"/>
            <w:vAlign w:val="bottom"/>
            <w:gridSpan w:val="2"/>
          </w:tcPr>
          <w:p>
            <w:pPr>
              <w:jc w:val="right"/>
              <w:ind w:right="399"/>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72,658</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21,323</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(64,031)</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(45,607)</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(18,424)</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Financing activities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(18,803)</w:t>
            </w: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(33,880)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15,077</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 (1)</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(1,399)</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2,524</w:t>
            </w:r>
          </w:p>
        </w:tc>
      </w:tr>
      <w:tr>
        <w:trPr>
          <w:trHeight w:val="223"/>
        </w:trPr>
        <w:tc>
          <w:tcPr>
            <w:tcW w:w="6420" w:type="dxa"/>
            <w:vAlign w:val="bottom"/>
          </w:tcPr>
          <w:p>
            <w:pPr>
              <w:spacing w:after="0"/>
              <w:rPr>
                <w:sz w:val="20"/>
                <w:szCs w:val="20"/>
                <w:color w:val="auto"/>
              </w:rPr>
            </w:pPr>
            <w:r>
              <w:rPr>
                <w:rFonts w:ascii="Arial" w:cs="Arial" w:eastAsia="Arial" w:hAnsi="Arial"/>
                <w:sz w:val="18"/>
                <w:szCs w:val="18"/>
                <w:color w:val="auto"/>
              </w:rPr>
              <w:t>Net increase/(decrease) in cash and cash equivalents</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12,272</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(8,228)</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20,500</w:t>
            </w:r>
          </w:p>
        </w:tc>
        <w:tc>
          <w:tcPr>
            <w:tcW w:w="140" w:type="dxa"/>
            <w:vAlign w:val="bottom"/>
          </w:tcPr>
          <w:p>
            <w:pPr>
              <w:spacing w:after="0"/>
              <w:rPr>
                <w:sz w:val="19"/>
                <w:szCs w:val="19"/>
                <w:color w:val="auto"/>
              </w:rPr>
            </w:pPr>
          </w:p>
        </w:tc>
      </w:tr>
      <w:tr>
        <w:trPr>
          <w:trHeight w:val="20"/>
        </w:trPr>
        <w:tc>
          <w:tcPr>
            <w:tcW w:w="6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80" w:hanging="452"/>
        <w:spacing w:after="0" w:line="308"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balance sheet is affected by spot exchange rates used to translate local currency amounts into U.S. dollars. In accordance with GAAP, we have removed the effect of foreign currency throughout our cash flow statement, except for its effect on our cash and cash equivalents.</w:t>
      </w:r>
    </w:p>
    <w:p>
      <w:pPr>
        <w:spacing w:after="0" w:line="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May 2009, Board of Directors approved a $40.0 million share repurchase. Through December 26, 2009, the Company repurchased 735,497 shares of its common stock for an aggregate purchase price of $40.0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 Comparison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cash provided by operating activities increased by $21.3 million in the first nine months of fiscal year 2010 as compared to the first nine months of fiscal year 2009 due primarily to:</w:t>
      </w:r>
    </w:p>
    <w:p>
      <w:pPr>
        <w:spacing w:after="0" w:line="62"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$9.0 million increase in net income;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$12.1 million reduced investment in accounts receivable due to improved collections over the same period last year;</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$9.2 million reduced investment in inventories;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$6.8 million reduced investment in prepaid income taxes;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$3.9 million reduced investment in other assets and other long-term liabilities</w:t>
      </w:r>
    </w:p>
    <w:p>
      <w:pPr>
        <w:spacing w:after="0" w:line="11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partially offset by</w:t>
      </w:r>
    </w:p>
    <w:p>
      <w:pPr>
        <w:spacing w:after="0" w:line="117"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the $3.9 million change in unrealized gain from hedging activities and</w:t>
      </w:r>
    </w:p>
    <w:p>
      <w:pPr>
        <w:spacing w:after="0" w:line="130" w:lineRule="exact"/>
        <w:rPr>
          <w:rFonts w:ascii="Arial" w:cs="Arial" w:eastAsia="Arial" w:hAnsi="Arial"/>
          <w:sz w:val="18"/>
          <w:szCs w:val="18"/>
          <w:b w:val="1"/>
          <w:bCs w:val="1"/>
          <w:color w:val="auto"/>
        </w:rPr>
      </w:pPr>
    </w:p>
    <w:p>
      <w:pPr>
        <w:jc w:val="both"/>
        <w:ind w:left="660" w:right="280" w:hanging="314"/>
        <w:spacing w:after="0" w:line="286" w:lineRule="auto"/>
        <w:tabs>
          <w:tab w:leader="none" w:pos="66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a $17.3 million increase in payments of accounts payable and accrued expenses that was primarily the result of a $13.7 million payment of (i) the fiscal year 2009 employee performance bonuses worldwide and (ii) the discretionary bonus for extraordinary performance to all employees other than the Chief Executive Officer and certain other executives during the first quarter of fiscal year 2010.</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Net cash used in investing activities increased by $18.4 million during the first nine months of fiscal year 2010 as compared to the first nine months of 2009 due primarily to the $12.8 million acquisition of SEBRA and the $6.6 million paid relating to the acquisition of Neoteric.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1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cash used in financing activities decreased by $15.1 million in the first nine months of fiscal year 2010 as compared to the first nine months of 2009 due primarily to:</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$20.0 million decrease in cash paid out relating to stock repurchases and</w:t>
      </w:r>
    </w:p>
    <w:p>
      <w:pPr>
        <w:spacing w:after="0" w:line="130" w:lineRule="exact"/>
        <w:rPr>
          <w:rFonts w:ascii="Arial" w:cs="Arial" w:eastAsia="Arial" w:hAnsi="Arial"/>
          <w:sz w:val="18"/>
          <w:szCs w:val="18"/>
          <w:b w:val="1"/>
          <w:bCs w:val="1"/>
          <w:color w:val="auto"/>
        </w:rPr>
      </w:pPr>
    </w:p>
    <w:p>
      <w:pPr>
        <w:ind w:left="360" w:right="4520" w:hanging="14"/>
        <w:spacing w:after="0" w:line="373" w:lineRule="auto"/>
        <w:tabs>
          <w:tab w:leader="none" w:pos="679"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$13.6 million increase in net borrowings under short-term revolving credit agreements partially offset by</w:t>
      </w:r>
    </w:p>
    <w:p>
      <w:pPr>
        <w:spacing w:after="0" w:line="4" w:lineRule="exact"/>
        <w:rPr>
          <w:rFonts w:ascii="Arial" w:cs="Arial" w:eastAsia="Arial" w:hAnsi="Arial"/>
          <w:sz w:val="18"/>
          <w:szCs w:val="18"/>
          <w:b w:val="1"/>
          <w:bCs w:val="1"/>
          <w:color w:val="auto"/>
        </w:rPr>
      </w:pPr>
    </w:p>
    <w:p>
      <w:pPr>
        <w:ind w:left="660" w:hanging="314"/>
        <w:spacing w:after="0"/>
        <w:tabs>
          <w:tab w:leader="none" w:pos="660"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$21.1 million decrease in exercise of stock options and related tax benefits.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117"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We do not believe that inflation had a significant impact on our results of operations for the periods presented. Historically, we believe we have been able to mitigate the effects of inflation by improving our manufacturing and purchasing efficiencies, by increasing employee productivity, and by adjusting the selling prices of products. We continue to monitor inflation pressures generally and raw materials indices that may affect our procurement and production costs. Increases in the price of petroleum derivatives could result in corresponding increases in our costs to procure plastic raw materials.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Our revenues generated outside the U.S. in local currencies approximated 55% for the third quarter and 53% for the first nine months of fiscal year 2010, yet our reporting currency is the U.S. dollar. Foreign exchange risk arises because we engage in business in foreign countries in local currency. Exposure is partially mitigated by producing and sourcing product in local currency and expenses incurred by local sales offices. However, whenever the U.S. dollar strengthens relative to the other major currencies, there is an adverse affect on our results of operations and alternatively, whenever the U.S. dollar weakens relative to the other major currencies there is a positive effect on our results of operations.</w:t>
      </w:r>
    </w:p>
    <w:p>
      <w:pPr>
        <w:spacing w:after="0" w:line="6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primary foreign currency exposures in relation to the U.S. dollar are the Euro and the Japanese Yen. In response to the sharply increased volatility in the foreign exchange rates, we entered into forward contracts to hedge the anticipated cash flows from forecasted Great British Pound and Canadian Dollar denominated costs.</w:t>
      </w:r>
    </w:p>
    <w:p>
      <w:pPr>
        <w:spacing w:after="0" w:line="7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our policy to minimize for a period of time, the unforeseen impact on our financial results of fluctuations in foreign exchange rates by using derivative financial instruments known as forward contracts to hedge the anticipated cash flows from forecasted foreign currency denominated sales and costs. Hedging through the use of forward contracts does not eliminate the volatility of foreign exchange rates, but because we generally enter into forward contracts one year in advance of the foreign currency denominated cash flows, rates are fixed for a one-year period, thereby facilitating financial planning and resource allocation. We enter into forward contracts that mature one month prior to the anticipated timing of the forecasted foreign currency denominated sales. These contracts are designated as cash flow hedges and are intended to lock in the expected cash flows of forecasted foreign currency denominated sales and costs at the available spot rate. Actual spot rate gains and losses on these contracts are recorded in sales and costs, at the same time the underlying transactions being hedged are recorded. The final impact of currency fluctuations on the results of operations is dependent on the local currency amounts hedged and the actual local currency results.</w:t>
      </w:r>
    </w:p>
    <w:p>
      <w:pPr>
        <w:spacing w:after="0" w:line="7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Presented below are the spot rates for our Euro and Japanese Yen cash flow hedges that settled in fiscal year 2009, settled the first nine months of fiscal year 2010, or are presently outstanding. These hedges cover our long foreign currency positions that result from our sales in Europe and Japan. The table also shows the relative strengthening or weakening of the spot rates associated with those hedge contracts versus the spot rates in the contracts that settled in the prior comparable period.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860" w:type="dxa"/>
            <w:vAlign w:val="bottom"/>
            <w:gridSpan w:val="2"/>
          </w:tcPr>
          <w:p>
            <w:pPr>
              <w:ind w:left="640"/>
              <w:spacing w:after="0"/>
              <w:rPr>
                <w:sz w:val="20"/>
                <w:szCs w:val="20"/>
                <w:color w:val="auto"/>
              </w:rPr>
            </w:pPr>
            <w:r>
              <w:rPr>
                <w:rFonts w:ascii="Arial" w:cs="Arial" w:eastAsia="Arial" w:hAnsi="Arial"/>
                <w:sz w:val="14"/>
                <w:szCs w:val="14"/>
                <w:color w:val="auto"/>
              </w:rPr>
              <w:t>First</w:t>
            </w:r>
          </w:p>
        </w:tc>
        <w:tc>
          <w:tcPr>
            <w:tcW w:w="1280" w:type="dxa"/>
            <w:vAlign w:val="bottom"/>
          </w:tcPr>
          <w:p>
            <w:pPr>
              <w:jc w:val="right"/>
              <w:ind w:right="316"/>
              <w:spacing w:after="0"/>
              <w:rPr>
                <w:sz w:val="20"/>
                <w:szCs w:val="20"/>
                <w:color w:val="auto"/>
              </w:rPr>
            </w:pPr>
            <w:r>
              <w:rPr>
                <w:rFonts w:ascii="Arial" w:cs="Arial" w:eastAsia="Arial" w:hAnsi="Arial"/>
                <w:sz w:val="14"/>
                <w:szCs w:val="14"/>
                <w:color w:val="auto"/>
              </w:rPr>
              <w:t>Strengthen</w:t>
            </w:r>
          </w:p>
        </w:tc>
        <w:tc>
          <w:tcPr>
            <w:tcW w:w="1060" w:type="dxa"/>
            <w:vAlign w:val="bottom"/>
          </w:tcPr>
          <w:p>
            <w:pPr>
              <w:jc w:val="right"/>
              <w:ind w:right="234"/>
              <w:spacing w:after="0"/>
              <w:rPr>
                <w:sz w:val="20"/>
                <w:szCs w:val="20"/>
                <w:color w:val="auto"/>
              </w:rPr>
            </w:pPr>
            <w:r>
              <w:rPr>
                <w:rFonts w:ascii="Arial" w:cs="Arial" w:eastAsia="Arial" w:hAnsi="Arial"/>
                <w:sz w:val="14"/>
                <w:szCs w:val="14"/>
                <w:color w:val="auto"/>
              </w:rPr>
              <w:t>Second</w:t>
            </w:r>
          </w:p>
        </w:tc>
        <w:tc>
          <w:tcPr>
            <w:tcW w:w="1200" w:type="dxa"/>
            <w:vAlign w:val="bottom"/>
          </w:tcPr>
          <w:p>
            <w:pPr>
              <w:jc w:val="right"/>
              <w:ind w:right="196"/>
              <w:spacing w:after="0"/>
              <w:rPr>
                <w:sz w:val="20"/>
                <w:szCs w:val="20"/>
                <w:color w:val="auto"/>
              </w:rPr>
            </w:pPr>
            <w:r>
              <w:rPr>
                <w:rFonts w:ascii="Arial" w:cs="Arial" w:eastAsia="Arial" w:hAnsi="Arial"/>
                <w:sz w:val="14"/>
                <w:szCs w:val="14"/>
                <w:color w:val="auto"/>
              </w:rPr>
              <w:t>Strengthen</w:t>
            </w:r>
          </w:p>
        </w:tc>
        <w:tc>
          <w:tcPr>
            <w:tcW w:w="1080" w:type="dxa"/>
            <w:vAlign w:val="bottom"/>
          </w:tcPr>
          <w:p>
            <w:pPr>
              <w:jc w:val="right"/>
              <w:ind w:right="294"/>
              <w:spacing w:after="0"/>
              <w:rPr>
                <w:sz w:val="20"/>
                <w:szCs w:val="20"/>
                <w:color w:val="auto"/>
              </w:rPr>
            </w:pPr>
            <w:r>
              <w:rPr>
                <w:rFonts w:ascii="Arial" w:cs="Arial" w:eastAsia="Arial" w:hAnsi="Arial"/>
                <w:sz w:val="14"/>
                <w:szCs w:val="14"/>
                <w:color w:val="auto"/>
              </w:rPr>
              <w:t>Third</w:t>
            </w:r>
          </w:p>
        </w:tc>
        <w:tc>
          <w:tcPr>
            <w:tcW w:w="1180" w:type="dxa"/>
            <w:vAlign w:val="bottom"/>
          </w:tcPr>
          <w:p>
            <w:pPr>
              <w:jc w:val="right"/>
              <w:ind w:right="196"/>
              <w:spacing w:after="0"/>
              <w:rPr>
                <w:sz w:val="20"/>
                <w:szCs w:val="20"/>
                <w:color w:val="auto"/>
              </w:rPr>
            </w:pPr>
            <w:r>
              <w:rPr>
                <w:rFonts w:ascii="Arial" w:cs="Arial" w:eastAsia="Arial" w:hAnsi="Arial"/>
                <w:sz w:val="14"/>
                <w:szCs w:val="14"/>
                <w:color w:val="auto"/>
              </w:rPr>
              <w:t>Strengthen</w:t>
            </w:r>
          </w:p>
        </w:tc>
        <w:tc>
          <w:tcPr>
            <w:tcW w:w="1100" w:type="dxa"/>
            <w:vAlign w:val="bottom"/>
          </w:tcPr>
          <w:p>
            <w:pPr>
              <w:jc w:val="right"/>
              <w:ind w:right="276"/>
              <w:spacing w:after="0"/>
              <w:rPr>
                <w:sz w:val="20"/>
                <w:szCs w:val="20"/>
                <w:color w:val="auto"/>
              </w:rPr>
            </w:pPr>
            <w:r>
              <w:rPr>
                <w:rFonts w:ascii="Arial" w:cs="Arial" w:eastAsia="Arial" w:hAnsi="Arial"/>
                <w:sz w:val="14"/>
                <w:szCs w:val="14"/>
                <w:color w:val="auto"/>
              </w:rPr>
              <w:t>Fourth</w:t>
            </w:r>
          </w:p>
        </w:tc>
        <w:tc>
          <w:tcPr>
            <w:tcW w:w="1040" w:type="dxa"/>
            <w:vAlign w:val="bottom"/>
          </w:tcPr>
          <w:p>
            <w:pPr>
              <w:jc w:val="right"/>
              <w:ind w:right="39"/>
              <w:spacing w:after="0"/>
              <w:rPr>
                <w:sz w:val="20"/>
                <w:szCs w:val="20"/>
                <w:color w:val="auto"/>
              </w:rPr>
            </w:pPr>
            <w:r>
              <w:rPr>
                <w:rFonts w:ascii="Arial" w:cs="Arial" w:eastAsia="Arial" w:hAnsi="Arial"/>
                <w:sz w:val="14"/>
                <w:szCs w:val="14"/>
                <w:color w:val="auto"/>
              </w:rPr>
              <w:t>Strengthen</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4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color w:val="auto"/>
              </w:rPr>
              <w:t>Quarter</w:t>
            </w:r>
          </w:p>
        </w:tc>
        <w:tc>
          <w:tcPr>
            <w:tcW w:w="320" w:type="dxa"/>
            <w:vAlign w:val="bottom"/>
          </w:tcPr>
          <w:p>
            <w:pPr>
              <w:spacing w:after="0"/>
              <w:rPr>
                <w:sz w:val="14"/>
                <w:szCs w:val="14"/>
                <w:color w:val="auto"/>
              </w:rPr>
            </w:pPr>
          </w:p>
        </w:tc>
        <w:tc>
          <w:tcPr>
            <w:tcW w:w="1280" w:type="dxa"/>
            <w:vAlign w:val="bottom"/>
          </w:tcPr>
          <w:p>
            <w:pPr>
              <w:jc w:val="right"/>
              <w:ind w:right="316"/>
              <w:spacing w:after="0"/>
              <w:rPr>
                <w:sz w:val="20"/>
                <w:szCs w:val="20"/>
                <w:color w:val="auto"/>
              </w:rPr>
            </w:pPr>
            <w:r>
              <w:rPr>
                <w:rFonts w:ascii="Arial" w:cs="Arial" w:eastAsia="Arial" w:hAnsi="Arial"/>
                <w:sz w:val="14"/>
                <w:szCs w:val="14"/>
                <w:color w:val="auto"/>
              </w:rPr>
              <w:t>/ (Weaken)</w:t>
            </w:r>
          </w:p>
        </w:tc>
        <w:tc>
          <w:tcPr>
            <w:tcW w:w="10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color w:val="auto"/>
              </w:rPr>
              <w:t>Quarter</w:t>
            </w:r>
          </w:p>
        </w:tc>
        <w:tc>
          <w:tcPr>
            <w:tcW w:w="1200" w:type="dxa"/>
            <w:vAlign w:val="bottom"/>
          </w:tcPr>
          <w:p>
            <w:pPr>
              <w:jc w:val="right"/>
              <w:ind w:right="196"/>
              <w:spacing w:after="0"/>
              <w:rPr>
                <w:sz w:val="20"/>
                <w:szCs w:val="20"/>
                <w:color w:val="auto"/>
              </w:rPr>
            </w:pPr>
            <w:r>
              <w:rPr>
                <w:rFonts w:ascii="Arial" w:cs="Arial" w:eastAsia="Arial" w:hAnsi="Arial"/>
                <w:sz w:val="14"/>
                <w:szCs w:val="14"/>
                <w:color w:val="auto"/>
              </w:rPr>
              <w:t>/ (Weaken)</w:t>
            </w: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color w:val="auto"/>
              </w:rPr>
              <w:t>Quarter</w:t>
            </w:r>
          </w:p>
        </w:tc>
        <w:tc>
          <w:tcPr>
            <w:tcW w:w="1180" w:type="dxa"/>
            <w:vAlign w:val="bottom"/>
          </w:tcPr>
          <w:p>
            <w:pPr>
              <w:jc w:val="right"/>
              <w:ind w:right="196"/>
              <w:spacing w:after="0"/>
              <w:rPr>
                <w:sz w:val="20"/>
                <w:szCs w:val="20"/>
                <w:color w:val="auto"/>
              </w:rPr>
            </w:pPr>
            <w:r>
              <w:rPr>
                <w:rFonts w:ascii="Arial" w:cs="Arial" w:eastAsia="Arial" w:hAnsi="Arial"/>
                <w:sz w:val="14"/>
                <w:szCs w:val="14"/>
                <w:color w:val="auto"/>
              </w:rPr>
              <w:t>/ (Weaken)</w:t>
            </w:r>
          </w:p>
        </w:tc>
        <w:tc>
          <w:tcPr>
            <w:tcW w:w="11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color w:val="auto"/>
              </w:rPr>
              <w:t>Quarter</w:t>
            </w:r>
          </w:p>
        </w:tc>
        <w:tc>
          <w:tcPr>
            <w:tcW w:w="1040" w:type="dxa"/>
            <w:vAlign w:val="bottom"/>
          </w:tcPr>
          <w:p>
            <w:pPr>
              <w:jc w:val="right"/>
              <w:ind w:right="39"/>
              <w:spacing w:after="0"/>
              <w:rPr>
                <w:sz w:val="20"/>
                <w:szCs w:val="20"/>
                <w:color w:val="auto"/>
              </w:rPr>
            </w:pPr>
            <w:r>
              <w:rPr>
                <w:rFonts w:ascii="Arial" w:cs="Arial" w:eastAsia="Arial" w:hAnsi="Arial"/>
                <w:sz w:val="14"/>
                <w:szCs w:val="14"/>
                <w:color w:val="auto"/>
              </w:rPr>
              <w:t>/ (Weaken)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w w:val="99"/>
              </w:rPr>
              <w:t>Euro — Hedge Spot Rate (US$ per Euro)</w:t>
            </w:r>
          </w:p>
        </w:tc>
        <w:tc>
          <w:tcPr>
            <w:tcW w:w="1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FY09</w:t>
            </w: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1.3453</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1.3704</w:t>
            </w:r>
          </w:p>
        </w:tc>
        <w:tc>
          <w:tcPr>
            <w:tcW w:w="120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1.4396</w:t>
            </w:r>
          </w:p>
        </w:tc>
        <w:tc>
          <w:tcPr>
            <w:tcW w:w="11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1.4908</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1.5681</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16.6%</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1.4890</w:t>
            </w:r>
          </w:p>
        </w:tc>
        <w:tc>
          <w:tcPr>
            <w:tcW w:w="12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8.6%</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1.3192</w:t>
            </w:r>
          </w:p>
        </w:tc>
        <w:tc>
          <w:tcPr>
            <w:tcW w:w="1180" w:type="dxa"/>
            <w:vAlign w:val="bottom"/>
            <w:shd w:val="clear" w:color="auto" w:fill="CCEEFF"/>
          </w:tcPr>
          <w:p>
            <w:pPr>
              <w:jc w:val="right"/>
              <w:ind w:right="196"/>
              <w:spacing w:after="0"/>
              <w:rPr>
                <w:sz w:val="20"/>
                <w:szCs w:val="20"/>
                <w:color w:val="auto"/>
              </w:rPr>
            </w:pPr>
            <w:r>
              <w:rPr>
                <w:rFonts w:ascii="Arial" w:cs="Arial" w:eastAsia="Arial" w:hAnsi="Arial"/>
                <w:sz w:val="18"/>
                <w:szCs w:val="18"/>
                <w:color w:val="auto"/>
              </w:rPr>
              <w:t>(8.4%)</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1.2812</w:t>
            </w:r>
          </w:p>
        </w:tc>
        <w:tc>
          <w:tcPr>
            <w:tcW w:w="10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FY11</w:t>
            </w: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1.3582</w:t>
            </w:r>
          </w:p>
        </w:tc>
        <w:tc>
          <w:tcPr>
            <w:tcW w:w="320" w:type="dxa"/>
            <w:vAlign w:val="bottom"/>
          </w:tcPr>
          <w:p>
            <w:pPr>
              <w:spacing w:after="0"/>
              <w:rPr>
                <w:sz w:val="20"/>
                <w:szCs w:val="20"/>
                <w:color w:val="auto"/>
              </w:rPr>
            </w:pPr>
          </w:p>
        </w:tc>
        <w:tc>
          <w:tcPr>
            <w:tcW w:w="1280" w:type="dxa"/>
            <w:vAlign w:val="bottom"/>
          </w:tcPr>
          <w:p>
            <w:pPr>
              <w:jc w:val="right"/>
              <w:ind w:right="276"/>
              <w:spacing w:after="0"/>
              <w:rPr>
                <w:sz w:val="20"/>
                <w:szCs w:val="20"/>
                <w:color w:val="auto"/>
              </w:rPr>
            </w:pPr>
            <w:r>
              <w:rPr>
                <w:rFonts w:ascii="Arial" w:cs="Arial" w:eastAsia="Arial" w:hAnsi="Arial"/>
                <w:sz w:val="18"/>
                <w:szCs w:val="18"/>
                <w:color w:val="auto"/>
              </w:rPr>
              <w:t>(13.4%)</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1.4272</w:t>
            </w:r>
          </w:p>
        </w:tc>
        <w:tc>
          <w:tcPr>
            <w:tcW w:w="1200" w:type="dxa"/>
            <w:vAlign w:val="bottom"/>
          </w:tcPr>
          <w:p>
            <w:pPr>
              <w:jc w:val="right"/>
              <w:ind w:right="196"/>
              <w:spacing w:after="0"/>
              <w:rPr>
                <w:sz w:val="20"/>
                <w:szCs w:val="20"/>
                <w:color w:val="auto"/>
              </w:rPr>
            </w:pPr>
            <w:r>
              <w:rPr>
                <w:rFonts w:ascii="Arial" w:cs="Arial" w:eastAsia="Arial" w:hAnsi="Arial"/>
                <w:sz w:val="18"/>
                <w:szCs w:val="18"/>
                <w:color w:val="auto"/>
              </w:rPr>
              <w:t>(4.2%)</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1.4817</w:t>
            </w: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12.3%</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140" w:type="dxa"/>
            <w:vAlign w:val="bottom"/>
            <w:gridSpan w:val="2"/>
          </w:tcPr>
          <w:p>
            <w:pPr>
              <w:spacing w:after="0"/>
              <w:rPr>
                <w:sz w:val="17"/>
                <w:szCs w:val="17"/>
                <w:color w:val="auto"/>
              </w:rPr>
            </w:pPr>
          </w:p>
        </w:tc>
        <w:tc>
          <w:tcPr>
            <w:tcW w:w="1600" w:type="dxa"/>
            <w:vAlign w:val="bottom"/>
            <w:gridSpan w:val="2"/>
          </w:tcPr>
          <w:p>
            <w:pPr>
              <w:spacing w:after="0"/>
              <w:rPr>
                <w:sz w:val="17"/>
                <w:szCs w:val="17"/>
                <w:color w:val="auto"/>
              </w:rPr>
            </w:pPr>
          </w:p>
        </w:tc>
        <w:tc>
          <w:tcPr>
            <w:tcW w:w="10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Japanese Yen — Hedge Spot Rate (JPY per US$)</w:t>
            </w:r>
          </w:p>
        </w:tc>
        <w:tc>
          <w:tcPr>
            <w:tcW w:w="10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FY09</w:t>
            </w: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120.6432</w:t>
            </w: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116.7411</w:t>
            </w:r>
          </w:p>
        </w:tc>
        <w:tc>
          <w:tcPr>
            <w:tcW w:w="120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112.8810</w:t>
            </w:r>
          </w:p>
        </w:tc>
        <w:tc>
          <w:tcPr>
            <w:tcW w:w="1180" w:type="dxa"/>
            <w:vAlign w:val="bottom"/>
          </w:tcPr>
          <w:p>
            <w:pPr>
              <w:spacing w:after="0"/>
              <w:rPr>
                <w:sz w:val="18"/>
                <w:szCs w:val="18"/>
                <w:color w:val="auto"/>
              </w:rPr>
            </w:pPr>
          </w:p>
        </w:tc>
        <w:tc>
          <w:tcPr>
            <w:tcW w:w="1100" w:type="dxa"/>
            <w:vAlign w:val="bottom"/>
          </w:tcPr>
          <w:p>
            <w:pPr>
              <w:jc w:val="right"/>
              <w:ind w:right="136"/>
              <w:spacing w:after="0"/>
              <w:rPr>
                <w:sz w:val="20"/>
                <w:szCs w:val="20"/>
                <w:color w:val="auto"/>
              </w:rPr>
            </w:pPr>
            <w:r>
              <w:rPr>
                <w:rFonts w:ascii="Arial" w:cs="Arial" w:eastAsia="Arial" w:hAnsi="Arial"/>
                <w:sz w:val="18"/>
                <w:szCs w:val="18"/>
                <w:color w:val="auto"/>
              </w:rPr>
              <w:t>106.2511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8"/>
                <w:szCs w:val="18"/>
                <w:color w:val="auto"/>
              </w:rPr>
              <w:t>FY10</w:t>
            </w:r>
          </w:p>
        </w:tc>
        <w:tc>
          <w:tcPr>
            <w:tcW w:w="154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105.2792</w:t>
            </w:r>
          </w:p>
        </w:tc>
        <w:tc>
          <w:tcPr>
            <w:tcW w:w="32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12.7%</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105.1132</w:t>
            </w:r>
          </w:p>
        </w:tc>
        <w:tc>
          <w:tcPr>
            <w:tcW w:w="120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10.0%</w:t>
            </w:r>
          </w:p>
        </w:tc>
        <w:tc>
          <w:tcPr>
            <w:tcW w:w="108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96.3791</w:t>
            </w:r>
          </w:p>
        </w:tc>
        <w:tc>
          <w:tcPr>
            <w:tcW w:w="1180" w:type="dxa"/>
            <w:vAlign w:val="bottom"/>
            <w:shd w:val="clear" w:color="auto" w:fill="CCEEFF"/>
          </w:tcPr>
          <w:p>
            <w:pPr>
              <w:jc w:val="right"/>
              <w:ind w:right="236"/>
              <w:spacing w:after="0"/>
              <w:rPr>
                <w:sz w:val="20"/>
                <w:szCs w:val="20"/>
                <w:color w:val="auto"/>
              </w:rPr>
            </w:pPr>
            <w:r>
              <w:rPr>
                <w:rFonts w:ascii="Arial" w:cs="Arial" w:eastAsia="Arial" w:hAnsi="Arial"/>
                <w:sz w:val="18"/>
                <w:szCs w:val="18"/>
                <w:color w:val="auto"/>
              </w:rPr>
              <w:t>14.6%</w:t>
            </w:r>
          </w:p>
        </w:tc>
        <w:tc>
          <w:tcPr>
            <w:tcW w:w="11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93.4950</w:t>
            </w:r>
          </w:p>
        </w:tc>
        <w:tc>
          <w:tcPr>
            <w:tcW w:w="1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0" w:type="dxa"/>
            <w:vAlign w:val="bottom"/>
          </w:tcPr>
          <w:p>
            <w:pPr>
              <w:spacing w:after="0"/>
              <w:rPr>
                <w:sz w:val="20"/>
                <w:szCs w:val="20"/>
                <w:color w:val="auto"/>
              </w:rPr>
            </w:pPr>
            <w:r>
              <w:rPr>
                <w:rFonts w:ascii="Arial" w:cs="Arial" w:eastAsia="Arial" w:hAnsi="Arial"/>
                <w:sz w:val="18"/>
                <w:szCs w:val="18"/>
                <w:color w:val="auto"/>
              </w:rPr>
              <w:t>FY11</w:t>
            </w:r>
          </w:p>
        </w:tc>
        <w:tc>
          <w:tcPr>
            <w:tcW w:w="1540" w:type="dxa"/>
            <w:vAlign w:val="bottom"/>
          </w:tcPr>
          <w:p>
            <w:pPr>
              <w:jc w:val="right"/>
              <w:ind w:right="354"/>
              <w:spacing w:after="0"/>
              <w:rPr>
                <w:sz w:val="20"/>
                <w:szCs w:val="20"/>
                <w:color w:val="auto"/>
              </w:rPr>
            </w:pPr>
            <w:r>
              <w:rPr>
                <w:rFonts w:ascii="Arial" w:cs="Arial" w:eastAsia="Arial" w:hAnsi="Arial"/>
                <w:sz w:val="18"/>
                <w:szCs w:val="18"/>
                <w:color w:val="auto"/>
              </w:rPr>
              <w:t>98.1677</w:t>
            </w:r>
          </w:p>
        </w:tc>
        <w:tc>
          <w:tcPr>
            <w:tcW w:w="320" w:type="dxa"/>
            <w:vAlign w:val="bottom"/>
          </w:tcPr>
          <w:p>
            <w:pPr>
              <w:spacing w:after="0"/>
              <w:rPr>
                <w:sz w:val="20"/>
                <w:szCs w:val="20"/>
                <w:color w:val="auto"/>
              </w:rPr>
            </w:pPr>
          </w:p>
        </w:tc>
        <w:tc>
          <w:tcPr>
            <w:tcW w:w="1280" w:type="dxa"/>
            <w:vAlign w:val="bottom"/>
          </w:tcPr>
          <w:p>
            <w:pPr>
              <w:jc w:val="right"/>
              <w:ind w:right="336"/>
              <w:spacing w:after="0"/>
              <w:rPr>
                <w:sz w:val="20"/>
                <w:szCs w:val="20"/>
                <w:color w:val="auto"/>
              </w:rPr>
            </w:pPr>
            <w:r>
              <w:rPr>
                <w:rFonts w:ascii="Arial" w:cs="Arial" w:eastAsia="Arial" w:hAnsi="Arial"/>
                <w:sz w:val="18"/>
                <w:szCs w:val="18"/>
                <w:color w:val="auto"/>
              </w:rPr>
              <w:t>6.8%</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94.9066</w:t>
            </w:r>
          </w:p>
        </w:tc>
        <w:tc>
          <w:tcPr>
            <w:tcW w:w="1200" w:type="dxa"/>
            <w:vAlign w:val="bottom"/>
          </w:tcPr>
          <w:p>
            <w:pPr>
              <w:jc w:val="right"/>
              <w:ind w:right="256"/>
              <w:spacing w:after="0"/>
              <w:rPr>
                <w:sz w:val="20"/>
                <w:szCs w:val="20"/>
                <w:color w:val="auto"/>
              </w:rPr>
            </w:pPr>
            <w:r>
              <w:rPr>
                <w:rFonts w:ascii="Arial" w:cs="Arial" w:eastAsia="Arial" w:hAnsi="Arial"/>
                <w:sz w:val="18"/>
                <w:szCs w:val="18"/>
                <w:color w:val="auto"/>
              </w:rPr>
              <w:t>9.7%</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89.13</w:t>
            </w:r>
          </w:p>
        </w:tc>
        <w:tc>
          <w:tcPr>
            <w:tcW w:w="1180" w:type="dxa"/>
            <w:vAlign w:val="bottom"/>
          </w:tcPr>
          <w:p>
            <w:pPr>
              <w:jc w:val="right"/>
              <w:ind w:right="236"/>
              <w:spacing w:after="0"/>
              <w:rPr>
                <w:sz w:val="20"/>
                <w:szCs w:val="20"/>
                <w:color w:val="auto"/>
              </w:rPr>
            </w:pPr>
            <w:r>
              <w:rPr>
                <w:rFonts w:ascii="Arial" w:cs="Arial" w:eastAsia="Arial" w:hAnsi="Arial"/>
                <w:sz w:val="18"/>
                <w:szCs w:val="18"/>
                <w:color w:val="auto"/>
              </w:rPr>
              <w:t>7.5%</w:t>
            </w: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29" w:lineRule="exact"/>
        <w:rPr>
          <w:sz w:val="20"/>
          <w:szCs w:val="20"/>
          <w:color w:val="auto"/>
        </w:rPr>
      </w:pPr>
    </w:p>
    <w:p>
      <w:pPr>
        <w:ind w:left="460" w:right="40" w:hanging="452"/>
        <w:spacing w:after="0" w:line="277"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generally place our cash flow hedge contracts on a rolling twelve month basis. Accordingly, the only hedge contracts placed for fiscal year 2011 are for the first, second, and third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In October 2009, the FASB issued Accounting Standards Update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an amendment to FASB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Update No. 2009-14, </w:t>
      </w:r>
      <w:r>
        <w:rPr>
          <w:rFonts w:ascii="Arial" w:cs="Arial" w:eastAsia="Arial" w:hAnsi="Arial"/>
          <w:sz w:val="16"/>
          <w:szCs w:val="16"/>
          <w:i w:val="1"/>
          <w:iCs w:val="1"/>
          <w:color w:val="auto"/>
        </w:rPr>
        <w:t>Certain Revenue Arrangements That Include Software Elements</w:t>
      </w:r>
      <w:r>
        <w:rPr>
          <w:rFonts w:ascii="Arial" w:cs="Arial" w:eastAsia="Arial" w:hAnsi="Arial"/>
          <w:sz w:val="16"/>
          <w:szCs w:val="16"/>
          <w:color w:val="auto"/>
        </w:rPr>
        <w:t xml:space="preserve">, an amendment to FASB ASC subtopic 985-605, </w:t>
      </w:r>
      <w:r>
        <w:rPr>
          <w:rFonts w:ascii="Arial" w:cs="Arial" w:eastAsia="Arial" w:hAnsi="Arial"/>
          <w:sz w:val="16"/>
          <w:szCs w:val="16"/>
          <w:i w:val="1"/>
          <w:iCs w:val="1"/>
          <w:color w:val="auto"/>
        </w:rPr>
        <w:t>Software — Revenue Recognition</w:t>
      </w:r>
      <w:r>
        <w:rPr>
          <w:rFonts w:ascii="Arial" w:cs="Arial" w:eastAsia="Arial" w:hAnsi="Arial"/>
          <w:sz w:val="16"/>
          <w:szCs w:val="16"/>
          <w:color w:val="auto"/>
        </w:rPr>
        <w:t xml:space="preserve"> (the “Updates”). The Updates provide guidance on arrangements that include software elements, including tangible products that have software components that are essential to the functionality of the tangible product and will no longer be within the scope of the software revenue recognition guidance, and software-enabled products that will now be subject to other relevant revenue recognition guidance. The Updates provide authoritative guidance on revenue arrangements with multiple deliverables that are outside the scope of the software revenue recognition guidance. Under the new guidance, when vendor specific objective evidence or third party evidence of fair value for deliverables in an arrangement cannot be determined, a best estimate of the selling price is required to separate deliverables and allocate arrangement consideration using the relative selling price method. The Updates also include new disclosure requirements on how the application of the relative selling price method affects the timing and amount of revenue recognition. The Updates must be adopted in the same period using the same transition method and are effective prospectively, with retrospective adoption permitted, for revenue arrangements entered into or materially modified in fiscal years beginning on or after June 15, 2010. Early adoption is also permitted; however, early adoption during an interim period requires retrospective application from the beginning of the fiscal year. The Company is currently assessing the timing and method of adoption, as well as the possible impact of this guidance on its financial position and results of operations.</w:t>
      </w:r>
    </w:p>
    <w:p>
      <w:pPr>
        <w:spacing w:after="0" w:line="67"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 xml:space="preserve">In June 2009, the FASB issued requirements under FASB Statement No. 168, </w:t>
      </w:r>
      <w:r>
        <w:rPr>
          <w:rFonts w:ascii="Arial" w:cs="Arial" w:eastAsia="Arial" w:hAnsi="Arial"/>
          <w:sz w:val="18"/>
          <w:szCs w:val="18"/>
          <w:i w:val="1"/>
          <w:iCs w:val="1"/>
          <w:color w:val="auto"/>
        </w:rPr>
        <w:t>The FASB Accounting Standards Codification and the Hierarchy of Generally</w:t>
      </w:r>
      <w:r>
        <w:rPr>
          <w:rFonts w:ascii="Arial" w:cs="Arial" w:eastAsia="Arial" w:hAnsi="Arial"/>
          <w:sz w:val="18"/>
          <w:szCs w:val="18"/>
          <w:color w:val="auto"/>
        </w:rPr>
        <w:t xml:space="preserve"> </w:t>
      </w:r>
      <w:r>
        <w:rPr>
          <w:rFonts w:ascii="Arial" w:cs="Arial" w:eastAsia="Arial" w:hAnsi="Arial"/>
          <w:sz w:val="18"/>
          <w:szCs w:val="18"/>
          <w:i w:val="1"/>
          <w:iCs w:val="1"/>
          <w:color w:val="auto"/>
        </w:rPr>
        <w:t>Accepted Accounting Principles — a replacement of FASB Statement No. 162</w:t>
      </w:r>
      <w:r>
        <w:rPr>
          <w:rFonts w:ascii="Arial" w:cs="Arial" w:eastAsia="Arial" w:hAnsi="Arial"/>
          <w:sz w:val="18"/>
          <w:szCs w:val="18"/>
          <w:color w:val="auto"/>
        </w:rPr>
        <w:t>. The FASB Accounting Standards Codification (ASC) will become the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authoritative U.S. generally accepted accounting principles (GAAP) recognized by the FASB to be applied by nongovernmental entities. Rules and interpretive releases of the SEC under authority of federal securities laws are also sources of authoritative GAAP for SEC registrants. FASB Statement No. 168 is effective for financial statements issued for interim and annual periods ending after September 15, 2009. This statement became effective during our second quarter of fiscal year 2010 and its impact is reflected in our financial position and results of operation for the nine months ended December 26, 2009.</w:t>
      </w:r>
    </w:p>
    <w:p>
      <w:pPr>
        <w:spacing w:after="0" w:line="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(formerly known as FASB Statement No. 141(R), </w:t>
      </w:r>
      <w:r>
        <w:rPr>
          <w:rFonts w:ascii="Arial" w:cs="Arial" w:eastAsia="Arial" w:hAnsi="Arial"/>
          <w:sz w:val="17"/>
          <w:szCs w:val="17"/>
          <w:i w:val="1"/>
          <w:iCs w:val="1"/>
          <w:color w:val="auto"/>
        </w:rPr>
        <w:t>Business Combinations</w:t>
      </w:r>
      <w:r>
        <w:rPr>
          <w:rFonts w:ascii="Arial" w:cs="Arial" w:eastAsia="Arial" w:hAnsi="Arial"/>
          <w:sz w:val="17"/>
          <w:szCs w:val="17"/>
          <w:color w:val="auto"/>
        </w:rPr>
        <w:t>), the FASB requires that all business combinations use the acquisition method (formerly the purchase method) and that an acquiring entity be identified in all business combinations. ASC Topic 805 also requires the acquiring entity in a business combination to recognize all (and only) the assets acquired and liabilities assumed in the transaction; establishes the acquisition-date fair value as the measurement objective for all assets acquired and liabilities assumed; and requires the acquirer to disclose to investors and other users all of the information they need to evaluate and understand the nature and financial effect of the business combination. This statement became effective for our fiscal year 2010 and its impact is reflected in our financial position and results of operations for the nine months ended December 26, 2009. The Company’s acquisition of L’Attitude Medical Systems, Inc. (“Neoteric”) and asset acquisition of the blood collection and processing business unit (“SEBRA”) of Engineering and Research Associates, Inc. during the first nine months of fiscal year 2010 were both accounted for in accordance to the requirements of ASC Topic 805 — see Note 9.</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 xml:space="preserve">In June 2009, the FASB issued SFAS No. 167, </w:t>
      </w:r>
      <w:r>
        <w:rPr>
          <w:rFonts w:ascii="Arial" w:cs="Arial" w:eastAsia="Arial" w:hAnsi="Arial"/>
          <w:sz w:val="17"/>
          <w:szCs w:val="17"/>
          <w:i w:val="1"/>
          <w:iCs w:val="1"/>
          <w:color w:val="auto"/>
        </w:rPr>
        <w:t>Amendments to FASB Interpretation No. 46(R)</w:t>
      </w:r>
      <w:r>
        <w:rPr>
          <w:rFonts w:ascii="Arial" w:cs="Arial" w:eastAsia="Arial" w:hAnsi="Arial"/>
          <w:sz w:val="17"/>
          <w:szCs w:val="17"/>
          <w:color w:val="auto"/>
        </w:rPr>
        <w:t xml:space="preserve"> (“SFAS 167”). SFAS 167 modifies how a company determines when an entity that is insufficiently capitalized or is not controlled through voting (or similar rights) should be consolidated. SFAS No. 167 has not yet been incorporated into the Codification. SFAS 167 clarifies that the determination of whether a company is required to consolidate an entity is based on, among other things, an entity’s purpose and design and a company’s ability to direct the activities of the entity that most significantly impact the entity’s economic performance. SFAS 167 requires an ongoing reassessment of whether a company is the primary beneficiary of a variable interest entity. SFAS 167 also requires additional disclosures about a company’s involvement in variable interest entities and any significant changes in risk exposure due to that involvement. SFAS 167 is effective for fiscal years beginning after November 15, 2009. The Company has not completed its assessment of the impact SFAS 167, if any, will have on its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contained in this report, as well as oral statements we make which are prefaced with the words “may,” “will,” “expect,” “anticipate,” “continue,” “estimate,” “project,” “intend,” “designed,” and similar expressions, are intended to identify forward looking statements regarding events, conditions, and financial trends that may affect our future plans of operations, business strategy, results of operations, and financial position. These statements are based on our current expectations and estimates as to prospective events and circumstances about which we can give no firm assurance. Further, any forward-looking statement speaks only as of the date on which such statement is made, and we undertake no obligation to update any forward-looking statement to reflect events or circumstances after the date on which such statement is made. As it is not possible to predict every new factor that may emerge, forward-looking statements should not be relied upon as a prediction of our actual future financial condition or results. These forward-looking statements, like any forward-looking statements, involve risks and uncertainties that could cause actual results to differ materially from those projected or anticipated. Such risks and uncertainties include technological advances in the medical field, and our standards for transfusion medicine and our ability to successfully implement products that incorporate such advances and standards, product demand and market acceptance of our products, regulatory uncertainties, the effect of economic and political conditions, the impact of competitive products and pricing, price volatility in petroleum products (plastics are the principal component of our disposables, which are the main source of our revenues), the impact of industry consolidation, foreign currency exchange rates, changes in customers’ ordering patterns, the effect of industry consolidation as seen in the Plasma market, the effect of communicable diseases and the effect of uncertainties in markets outside the U.S. (including Europe and Asia) in which we operate. The foregoing list should not be construed as exhaustive.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w:t>
      </w:r>
      <w:r>
        <w:rPr>
          <w:rFonts w:ascii="Arial" w:cs="Arial" w:eastAsia="Arial" w:hAnsi="Arial"/>
          <w:sz w:val="12"/>
          <w:szCs w:val="12"/>
          <w:b w:val="1"/>
          <w:bCs w:val="1"/>
          <w:color w:val="auto"/>
        </w:rPr>
        <w:t>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exposures relative to market risk are due to foreign exchange risk and interest rate risk.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w:t>
      </w:r>
      <w:r>
        <w:rPr>
          <w:rFonts w:ascii="Arial" w:cs="Arial" w:eastAsia="Arial" w:hAnsi="Arial"/>
          <w:sz w:val="12"/>
          <w:szCs w:val="12"/>
          <w:b w:val="1"/>
          <w:bCs w:val="1"/>
          <w:i w:val="1"/>
          <w:iCs w:val="1"/>
          <w:color w:val="auto"/>
        </w:rPr>
        <w:t>OREIGN EXCHANGE RISK</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See the section entitled Foreign Exchange for a discussion of how foreign currency affects our business. It is our policy to minimize for a period of time, the unforeseen impact on our financial results of fluctuations in foreign exchange rates by using derivative financial instruments known as forward contracts to hedge anticipated cash flows from forecasted foreign currency denominated sales. We do not use the financial instruments for speculative or trading activities. At December 26, 2009, we had the following significant foreign exchange contracts to hedge the anticipated cash flows from forecasted foreign currency denominated sales outstanding: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vMerge w:val="restart"/>
          </w:tcPr>
          <w:p>
            <w:pPr>
              <w:spacing w:after="0"/>
              <w:rPr>
                <w:sz w:val="20"/>
                <w:szCs w:val="20"/>
                <w:color w:val="auto"/>
              </w:rPr>
            </w:pPr>
            <w:r>
              <w:rPr>
                <w:rFonts w:ascii="Arial" w:cs="Arial" w:eastAsia="Arial" w:hAnsi="Arial"/>
                <w:sz w:val="14"/>
                <w:szCs w:val="14"/>
                <w:b w:val="1"/>
                <w:bCs w:val="1"/>
                <w:color w:val="auto"/>
              </w:rPr>
              <w:t>Hedged Currency</w:t>
            </w:r>
          </w:p>
        </w:tc>
        <w:tc>
          <w:tcPr>
            <w:tcW w:w="2140" w:type="dxa"/>
            <w:vAlign w:val="bottom"/>
          </w:tcPr>
          <w:p>
            <w:pPr>
              <w:jc w:val="center"/>
              <w:ind w:left="188"/>
              <w:spacing w:after="0"/>
              <w:rPr>
                <w:sz w:val="20"/>
                <w:szCs w:val="20"/>
                <w:color w:val="auto"/>
              </w:rPr>
            </w:pPr>
            <w:r>
              <w:rPr>
                <w:rFonts w:ascii="Arial" w:cs="Arial" w:eastAsia="Arial" w:hAnsi="Arial"/>
                <w:sz w:val="14"/>
                <w:szCs w:val="14"/>
                <w:b w:val="1"/>
                <w:bCs w:val="1"/>
                <w:color w:val="auto"/>
              </w:rPr>
              <w:t>(BUY) / SELL</w:t>
            </w:r>
          </w:p>
        </w:tc>
        <w:tc>
          <w:tcPr>
            <w:tcW w:w="1940" w:type="dxa"/>
            <w:vAlign w:val="bottom"/>
          </w:tcPr>
          <w:p>
            <w:pPr>
              <w:ind w:left="460"/>
              <w:spacing w:after="0"/>
              <w:rPr>
                <w:sz w:val="20"/>
                <w:szCs w:val="20"/>
                <w:color w:val="auto"/>
              </w:rPr>
            </w:pPr>
            <w:r>
              <w:rPr>
                <w:rFonts w:ascii="Arial" w:cs="Arial" w:eastAsia="Arial" w:hAnsi="Arial"/>
                <w:sz w:val="14"/>
                <w:szCs w:val="14"/>
                <w:b w:val="1"/>
                <w:bCs w:val="1"/>
                <w:color w:val="auto"/>
              </w:rPr>
              <w:t>Weighted Spot</w:t>
            </w:r>
          </w:p>
        </w:tc>
        <w:tc>
          <w:tcPr>
            <w:tcW w:w="2180" w:type="dxa"/>
            <w:vAlign w:val="bottom"/>
          </w:tcPr>
          <w:p>
            <w:pPr>
              <w:jc w:val="center"/>
              <w:ind w:left="68"/>
              <w:spacing w:after="0"/>
              <w:rPr>
                <w:sz w:val="20"/>
                <w:szCs w:val="20"/>
                <w:color w:val="auto"/>
              </w:rPr>
            </w:pPr>
            <w:r>
              <w:rPr>
                <w:rFonts w:ascii="Arial" w:cs="Arial" w:eastAsia="Arial" w:hAnsi="Arial"/>
                <w:sz w:val="14"/>
                <w:szCs w:val="14"/>
                <w:b w:val="1"/>
                <w:bCs w:val="1"/>
                <w:color w:val="auto"/>
                <w:w w:val="94"/>
              </w:rPr>
              <w:t>Weighted Forward</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9"/>
              </w:rPr>
              <w:t>Maturity</w:t>
            </w:r>
          </w:p>
        </w:tc>
        <w:tc>
          <w:tcPr>
            <w:tcW w:w="0" w:type="dxa"/>
            <w:vAlign w:val="bottom"/>
          </w:tcPr>
          <w:p>
            <w:pPr>
              <w:spacing w:after="0"/>
              <w:rPr>
                <w:sz w:val="1"/>
                <w:szCs w:val="1"/>
                <w:color w:val="auto"/>
              </w:rPr>
            </w:pPr>
          </w:p>
        </w:tc>
      </w:tr>
      <w:tr>
        <w:trPr>
          <w:trHeight w:val="171"/>
        </w:trPr>
        <w:tc>
          <w:tcPr>
            <w:tcW w:w="1820" w:type="dxa"/>
            <w:vAlign w:val="bottom"/>
            <w:vMerge w:val="continue"/>
          </w:tcPr>
          <w:p>
            <w:pPr>
              <w:spacing w:after="0"/>
              <w:rPr>
                <w:sz w:val="14"/>
                <w:szCs w:val="14"/>
                <w:color w:val="auto"/>
              </w:rPr>
            </w:pPr>
          </w:p>
        </w:tc>
        <w:tc>
          <w:tcPr>
            <w:tcW w:w="2140" w:type="dxa"/>
            <w:vAlign w:val="bottom"/>
          </w:tcPr>
          <w:p>
            <w:pPr>
              <w:jc w:val="center"/>
              <w:ind w:left="188"/>
              <w:spacing w:after="0"/>
              <w:rPr>
                <w:sz w:val="20"/>
                <w:szCs w:val="20"/>
                <w:color w:val="auto"/>
              </w:rPr>
            </w:pPr>
            <w:r>
              <w:rPr>
                <w:rFonts w:ascii="Arial" w:cs="Arial" w:eastAsia="Arial" w:hAnsi="Arial"/>
                <w:sz w:val="14"/>
                <w:szCs w:val="14"/>
                <w:b w:val="1"/>
                <w:bCs w:val="1"/>
                <w:color w:val="auto"/>
                <w:w w:val="94"/>
              </w:rPr>
              <w:t>Local Currency</w:t>
            </w:r>
          </w:p>
        </w:tc>
        <w:tc>
          <w:tcPr>
            <w:tcW w:w="1940" w:type="dxa"/>
            <w:vAlign w:val="bottom"/>
          </w:tcPr>
          <w:p>
            <w:pPr>
              <w:ind w:left="480"/>
              <w:spacing w:after="0"/>
              <w:rPr>
                <w:sz w:val="20"/>
                <w:szCs w:val="20"/>
                <w:color w:val="auto"/>
              </w:rPr>
            </w:pPr>
            <w:r>
              <w:rPr>
                <w:rFonts w:ascii="Arial" w:cs="Arial" w:eastAsia="Arial" w:hAnsi="Arial"/>
                <w:sz w:val="14"/>
                <w:szCs w:val="14"/>
                <w:b w:val="1"/>
                <w:bCs w:val="1"/>
                <w:color w:val="auto"/>
              </w:rPr>
              <w:t>Contract Rate</w:t>
            </w:r>
          </w:p>
        </w:tc>
        <w:tc>
          <w:tcPr>
            <w:tcW w:w="2180" w:type="dxa"/>
            <w:vAlign w:val="bottom"/>
          </w:tcPr>
          <w:p>
            <w:pPr>
              <w:jc w:val="center"/>
              <w:ind w:left="68"/>
              <w:spacing w:after="0"/>
              <w:rPr>
                <w:sz w:val="20"/>
                <w:szCs w:val="20"/>
                <w:color w:val="auto"/>
              </w:rPr>
            </w:pPr>
            <w:r>
              <w:rPr>
                <w:rFonts w:ascii="Arial" w:cs="Arial" w:eastAsia="Arial" w:hAnsi="Arial"/>
                <w:sz w:val="14"/>
                <w:szCs w:val="14"/>
                <w:b w:val="1"/>
                <w:bCs w:val="1"/>
                <w:color w:val="auto"/>
                <w:w w:val="95"/>
              </w:rPr>
              <w:t>Contract Rate</w:t>
            </w:r>
          </w:p>
        </w:tc>
        <w:tc>
          <w:tcPr>
            <w:tcW w:w="174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Gain / (Loss)</w:t>
            </w:r>
          </w:p>
        </w:tc>
        <w:tc>
          <w:tcPr>
            <w:tcW w:w="1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sectPr>
      </w:pP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1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120" w:type="dxa"/>
            <w:vAlign w:val="bottom"/>
          </w:tcPr>
          <w:p>
            <w:pPr>
              <w:spacing w:after="0" w:line="176" w:lineRule="exact"/>
              <w:rPr>
                <w:sz w:val="20"/>
                <w:szCs w:val="20"/>
                <w:color w:val="auto"/>
              </w:rPr>
            </w:pPr>
            <w:r>
              <w:rPr>
                <w:rFonts w:ascii="Arial" w:cs="Arial" w:eastAsia="Arial" w:hAnsi="Arial"/>
                <w:sz w:val="18"/>
                <w:szCs w:val="18"/>
                <w:color w:val="auto"/>
              </w:rPr>
              <w:t>Euro</w:t>
            </w:r>
          </w:p>
        </w:tc>
        <w:tc>
          <w:tcPr>
            <w:tcW w:w="340" w:type="dxa"/>
            <w:vAlign w:val="bottom"/>
          </w:tcPr>
          <w:p>
            <w:pPr>
              <w:spacing w:after="0"/>
              <w:rPr>
                <w:sz w:val="15"/>
                <w:szCs w:val="15"/>
                <w:color w:val="auto"/>
              </w:rPr>
            </w:pPr>
          </w:p>
        </w:tc>
        <w:tc>
          <w:tcPr>
            <w:tcW w:w="1560" w:type="dxa"/>
            <w:vAlign w:val="bottom"/>
            <w:gridSpan w:val="2"/>
          </w:tcPr>
          <w:p>
            <w:pPr>
              <w:jc w:val="right"/>
              <w:ind w:right="440"/>
              <w:spacing w:after="0" w:line="176" w:lineRule="exact"/>
              <w:rPr>
                <w:sz w:val="20"/>
                <w:szCs w:val="20"/>
                <w:color w:val="auto"/>
              </w:rPr>
            </w:pPr>
            <w:r>
              <w:rPr>
                <w:rFonts w:ascii="Arial" w:cs="Arial" w:eastAsia="Arial" w:hAnsi="Arial"/>
                <w:sz w:val="18"/>
                <w:szCs w:val="18"/>
                <w:color w:val="auto"/>
              </w:rPr>
              <w:t>9,327,944</w:t>
            </w:r>
          </w:p>
        </w:tc>
        <w:tc>
          <w:tcPr>
            <w:tcW w:w="880" w:type="dxa"/>
            <w:vAlign w:val="bottom"/>
          </w:tcPr>
          <w:p>
            <w:pPr>
              <w:jc w:val="right"/>
              <w:ind w:right="170"/>
              <w:spacing w:after="0" w:line="176" w:lineRule="exact"/>
              <w:rPr>
                <w:sz w:val="20"/>
                <w:szCs w:val="20"/>
                <w:color w:val="auto"/>
              </w:rPr>
            </w:pPr>
            <w:r>
              <w:rPr>
                <w:rFonts w:ascii="Arial" w:cs="Arial" w:eastAsia="Arial" w:hAnsi="Arial"/>
                <w:sz w:val="18"/>
                <w:szCs w:val="18"/>
                <w:color w:val="auto"/>
              </w:rPr>
              <w:t>1.329</w:t>
            </w: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Euro</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9,582,063</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1.358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Euro</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8,816,747</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1.427</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Euro</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10,242,532</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1.482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Japanese Yen</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965,143,731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94.76</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Japanese Yen</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1,369,475,624</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98.17</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Japanese Yen</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1,392,004,698</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94.91</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Japanese Yen</w:t>
            </w:r>
          </w:p>
        </w:tc>
        <w:tc>
          <w:tcPr>
            <w:tcW w:w="1900" w:type="dxa"/>
            <w:vAlign w:val="bottom"/>
            <w:gridSpan w:val="3"/>
          </w:tcPr>
          <w:p>
            <w:pPr>
              <w:jc w:val="right"/>
              <w:ind w:right="440"/>
              <w:spacing w:after="0"/>
              <w:rPr>
                <w:sz w:val="20"/>
                <w:szCs w:val="20"/>
                <w:color w:val="auto"/>
              </w:rPr>
            </w:pPr>
            <w:r>
              <w:rPr>
                <w:rFonts w:ascii="Arial" w:cs="Arial" w:eastAsia="Arial" w:hAnsi="Arial"/>
                <w:sz w:val="18"/>
                <w:szCs w:val="18"/>
                <w:color w:val="auto"/>
              </w:rPr>
              <w:t>1,527,960,999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89.13</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GBP</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(672,161)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1.415</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GBP</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(2,276,051)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1.471</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GBP</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(2,727,724)</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1.653</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GBP</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(2,645,949)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1.632</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GBP</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(804,319)</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1.623</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CAD</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(3,761,190)</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1.088</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CAD</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(2,985,642)</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1.096</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rPr>
              <w:t>CAD</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(3,475,271)</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1.086</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CAD</w:t>
            </w:r>
          </w:p>
        </w:tc>
        <w:tc>
          <w:tcPr>
            <w:tcW w:w="1900" w:type="dxa"/>
            <w:vAlign w:val="bottom"/>
            <w:gridSpan w:val="3"/>
          </w:tcPr>
          <w:p>
            <w:pPr>
              <w:jc w:val="right"/>
              <w:ind w:right="380"/>
              <w:spacing w:after="0"/>
              <w:rPr>
                <w:sz w:val="20"/>
                <w:szCs w:val="20"/>
                <w:color w:val="auto"/>
              </w:rPr>
            </w:pPr>
            <w:r>
              <w:rPr>
                <w:rFonts w:ascii="Arial" w:cs="Arial" w:eastAsia="Arial" w:hAnsi="Arial"/>
                <w:sz w:val="18"/>
                <w:szCs w:val="18"/>
                <w:color w:val="auto"/>
              </w:rPr>
              <w:t>(1,903,018)</w:t>
            </w:r>
          </w:p>
        </w:tc>
        <w:tc>
          <w:tcPr>
            <w:tcW w:w="880" w:type="dxa"/>
            <w:vAlign w:val="bottom"/>
          </w:tcPr>
          <w:p>
            <w:pPr>
              <w:jc w:val="right"/>
              <w:ind w:right="170"/>
              <w:spacing w:after="0"/>
              <w:rPr>
                <w:sz w:val="20"/>
                <w:szCs w:val="20"/>
                <w:color w:val="auto"/>
              </w:rPr>
            </w:pPr>
            <w:r>
              <w:rPr>
                <w:rFonts w:ascii="Arial" w:cs="Arial" w:eastAsia="Arial" w:hAnsi="Arial"/>
                <w:sz w:val="18"/>
                <w:szCs w:val="18"/>
                <w:color w:val="auto"/>
              </w:rPr>
              <w:t>1.061</w:t>
            </w:r>
          </w:p>
        </w:tc>
        <w:tc>
          <w:tcPr>
            <w:tcW w:w="840" w:type="dxa"/>
            <w:vAlign w:val="bottom"/>
            <w:gridSpan w:val="2"/>
          </w:tcPr>
          <w:p>
            <w:pPr>
              <w:ind w:left="260"/>
              <w:spacing w:after="0"/>
              <w:rPr>
                <w:sz w:val="20"/>
                <w:szCs w:val="20"/>
                <w:color w:val="auto"/>
              </w:rPr>
            </w:pPr>
            <w:r>
              <w:rPr>
                <w:rFonts w:ascii="Arial" w:cs="Arial" w:eastAsia="Arial" w:hAnsi="Arial"/>
                <w:sz w:val="18"/>
                <w:szCs w:val="18"/>
                <w:color w:val="auto"/>
                <w:w w:val="84"/>
              </w:rPr>
              <w:t>per US$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-2057400</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-1783080</wp:posOffset>
            </wp:positionV>
            <wp:extent cx="72466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-1508760</wp:posOffset>
            </wp:positionV>
            <wp:extent cx="72466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-1234440</wp:posOffset>
            </wp:positionV>
            <wp:extent cx="72466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-960120</wp:posOffset>
            </wp:positionV>
            <wp:extent cx="72466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9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40" w:type="dxa"/>
            <w:vAlign w:val="bottom"/>
          </w:tcPr>
          <w:p>
            <w:pPr>
              <w:jc w:val="right"/>
              <w:ind w:right="210"/>
              <w:spacing w:after="0" w:line="176" w:lineRule="exact"/>
              <w:rPr>
                <w:sz w:val="20"/>
                <w:szCs w:val="20"/>
                <w:color w:val="auto"/>
              </w:rPr>
            </w:pPr>
            <w:r>
              <w:rPr>
                <w:rFonts w:ascii="Arial" w:cs="Arial" w:eastAsia="Arial" w:hAnsi="Arial"/>
                <w:sz w:val="18"/>
                <w:szCs w:val="18"/>
                <w:color w:val="auto"/>
              </w:rPr>
              <w:t>1.330</w:t>
            </w: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340" w:type="dxa"/>
            <w:vAlign w:val="bottom"/>
            <w:gridSpan w:val="3"/>
          </w:tcPr>
          <w:p>
            <w:pPr>
              <w:jc w:val="right"/>
              <w:ind w:right="400"/>
              <w:spacing w:after="0" w:line="176" w:lineRule="exact"/>
              <w:rPr>
                <w:sz w:val="20"/>
                <w:szCs w:val="20"/>
                <w:color w:val="auto"/>
              </w:rPr>
            </w:pPr>
            <w:r>
              <w:rPr>
                <w:rFonts w:ascii="Arial" w:cs="Arial" w:eastAsia="Arial" w:hAnsi="Arial"/>
                <w:sz w:val="18"/>
                <w:szCs w:val="18"/>
                <w:color w:val="auto"/>
              </w:rPr>
              <w:t>(881,774)</w:t>
            </w:r>
          </w:p>
        </w:tc>
        <w:tc>
          <w:tcPr>
            <w:tcW w:w="158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w w:val="92"/>
              </w:rPr>
              <w:t>Jan 2010 - Feb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1.357</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(641,657)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Mar 2010 - May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1.428</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26,949</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Jun 2010 - Aug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1.478</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525,224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Sep 2010 - Nov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93.77</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(229,962)</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Jan 2010 - Feb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97.50</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(874,984)</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1"/>
              </w:rPr>
              <w:t>Mar 2010 - May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94.35</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(434,773)</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Jun 2010 - Aug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88.77</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461,612</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Sep 2010 - Nov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1.417</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120,294</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Jan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1.472</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277,963</w:t>
            </w: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Feb 2010 - Apr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1.652</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(147,931)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May 2010 - Jul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1.630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(88,128)</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Aug 2010 - Oct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1.619</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(18,913)</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Nov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1.086</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89,101</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Jan 2010 - Mar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1.095</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91,837</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Apr 2010 - Jun 2010</w:t>
            </w:r>
          </w:p>
        </w:tc>
      </w:tr>
      <w:tr>
        <w:trPr>
          <w:trHeight w:val="216"/>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1.086</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right"/>
              <w:ind w:right="460"/>
              <w:spacing w:after="0"/>
              <w:rPr>
                <w:sz w:val="20"/>
                <w:szCs w:val="20"/>
                <w:color w:val="auto"/>
              </w:rPr>
            </w:pPr>
            <w:r>
              <w:rPr>
                <w:rFonts w:ascii="Arial" w:cs="Arial" w:eastAsia="Arial" w:hAnsi="Arial"/>
                <w:sz w:val="18"/>
                <w:szCs w:val="18"/>
                <w:color w:val="auto"/>
              </w:rPr>
              <w:t>78,925</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Jul 2010 - Sep 2010</w:t>
            </w:r>
          </w:p>
        </w:tc>
      </w:tr>
      <w:tr>
        <w:trPr>
          <w:trHeight w:val="230"/>
        </w:trPr>
        <w:tc>
          <w:tcPr>
            <w:tcW w:w="940" w:type="dxa"/>
            <w:vAlign w:val="bottom"/>
          </w:tcPr>
          <w:p>
            <w:pPr>
              <w:jc w:val="right"/>
              <w:ind w:right="210"/>
              <w:spacing w:after="0"/>
              <w:rPr>
                <w:sz w:val="20"/>
                <w:szCs w:val="20"/>
                <w:color w:val="auto"/>
              </w:rPr>
            </w:pPr>
            <w:r>
              <w:rPr>
                <w:rFonts w:ascii="Arial" w:cs="Arial" w:eastAsia="Arial" w:hAnsi="Arial"/>
                <w:sz w:val="18"/>
                <w:szCs w:val="18"/>
                <w:color w:val="auto"/>
              </w:rPr>
              <w:t>1.062</w:t>
            </w: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per US$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4,175</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Oct 2010 - Nov 2010</w:t>
            </w:r>
          </w:p>
        </w:tc>
      </w:tr>
      <w:tr>
        <w:trPr>
          <w:trHeight w:val="223"/>
        </w:trPr>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1,642,042</w:t>
            </w:r>
          </w:p>
        </w:tc>
        <w:tc>
          <w:tcPr>
            <w:tcW w:w="460" w:type="dxa"/>
            <w:vAlign w:val="bottom"/>
            <w:gridSpan w:val="2"/>
          </w:tcPr>
          <w:p>
            <w:pPr>
              <w:jc w:val="right"/>
              <w:ind w:right="400"/>
              <w:spacing w:after="0"/>
              <w:rPr>
                <w:sz w:val="20"/>
                <w:szCs w:val="20"/>
                <w:color w:val="auto"/>
              </w:rPr>
            </w:pPr>
            <w:r>
              <w:rPr>
                <w:rFonts w:ascii="Arial" w:cs="Arial" w:eastAsia="Arial" w:hAnsi="Arial"/>
                <w:sz w:val="16"/>
                <w:szCs w:val="16"/>
                <w:color w:val="auto"/>
                <w:w w:val="74"/>
              </w:rPr>
              <w:t>)</w:t>
            </w:r>
          </w:p>
        </w:tc>
        <w:tc>
          <w:tcPr>
            <w:tcW w:w="1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2">
            <w:col w:w="5740" w:space="420"/>
            <w:col w:w="5280"/>
          </w:cols>
          <w:pgMar w:left="240" w:top="419" w:right="219" w:bottom="1440" w:gutter="0" w:footer="0" w:header="0"/>
          <w:type w:val="continuous"/>
        </w:sectPr>
      </w:pPr>
    </w:p>
    <w:p>
      <w:pPr>
        <w:ind w:right="120"/>
        <w:spacing w:after="0" w:line="259" w:lineRule="auto"/>
        <w:rPr>
          <w:sz w:val="20"/>
          <w:szCs w:val="20"/>
          <w:color w:val="auto"/>
        </w:rPr>
      </w:pPr>
      <w:r>
        <w:rPr>
          <w:rFonts w:ascii="Arial" w:cs="Arial" w:eastAsia="Arial" w:hAnsi="Arial"/>
          <w:sz w:val="18"/>
          <w:szCs w:val="18"/>
          <w:color w:val="auto"/>
        </w:rPr>
        <w:t>We estimate the change in the fair value of all forward contracts assuming both a 10% strengthening and weakening of the U.S. dollar relative to all other major currencies. In the event of a 10% strengthening of the U.S. dollar, the change in fair value of all forward contracts would result in a $10.2 million increase in the fair value of the forward contracts; whereas a 10% weakening of the US dollar would result in a $11.7 million decrease in the fair value of the forward contracts.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w:t>
      </w:r>
      <w:r>
        <w:rPr>
          <w:rFonts w:ascii="Arial" w:cs="Arial" w:eastAsia="Arial" w:hAnsi="Arial"/>
          <w:sz w:val="12"/>
          <w:szCs w:val="12"/>
          <w:b w:val="1"/>
          <w:bCs w:val="1"/>
          <w:i w:val="1"/>
          <w:iCs w:val="1"/>
          <w:color w:val="auto"/>
        </w:rPr>
        <w:t>NTEREST</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ATE</w:t>
      </w:r>
      <w:r>
        <w:rPr>
          <w:rFonts w:ascii="Arial" w:cs="Arial" w:eastAsia="Arial" w:hAnsi="Arial"/>
          <w:sz w:val="18"/>
          <w:szCs w:val="18"/>
          <w:b w:val="1"/>
          <w:bCs w:val="1"/>
          <w:i w:val="1"/>
          <w:iCs w:val="1"/>
          <w:color w:val="auto"/>
        </w:rPr>
        <w:t xml:space="preserve"> R</w:t>
      </w:r>
      <w:r>
        <w:rPr>
          <w:rFonts w:ascii="Arial" w:cs="Arial" w:eastAsia="Arial" w:hAnsi="Arial"/>
          <w:sz w:val="12"/>
          <w:szCs w:val="12"/>
          <w:b w:val="1"/>
          <w:bCs w:val="1"/>
          <w:i w:val="1"/>
          <w:iCs w:val="1"/>
          <w:color w:val="auto"/>
        </w:rPr>
        <w:t>ISK</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 of our long-term debt is at fixed rates. Accordingly, a change in interest rates has an insignificant effect on our interest expense amounts. The fair value of our long-term debt, however, does change in response to interest rate movements due to its fixed rate nature. These changes reflect the premium (when market interest rates decline below the contract fixed interest rates) or discount (when market interest rates rise above the fixed interest rate) that an investor in these long term obligations would pay in the market interest rate environment.</w:t>
      </w:r>
    </w:p>
    <w:p>
      <w:pPr>
        <w:spacing w:after="0" w:line="7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At December 26, 2009, the fair value of our long-term debt was approximately $0.6 million higher than the value of the debt reflected on our financial statements. This higher fair market is entirely related to the $4.8 million remaining principal balance of the original $10.0 million, 8.41% real estate mortgage due January, 2016.</w:t>
      </w:r>
    </w:p>
    <w:p>
      <w:pPr>
        <w:spacing w:after="0" w:line="7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Using scenario analysis, if the interest rate on all long-term maturities changed by 10% from the rate levels that existed at December 26, 2009, the fair value of our long-term debt would change by approximately $0.0 million.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419" w:right="21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w:t>
      </w:r>
      <w:r>
        <w:rPr>
          <w:rFonts w:ascii="Arial" w:cs="Arial" w:eastAsia="Arial" w:hAnsi="Arial"/>
          <w:sz w:val="12"/>
          <w:szCs w:val="12"/>
          <w:b w:val="1"/>
          <w:bCs w:val="1"/>
          <w:color w:val="auto"/>
        </w:rPr>
        <w:t>ONTROLS AND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ROCEDURES</w:t>
      </w:r>
    </w:p>
    <w:p>
      <w:pPr>
        <w:spacing w:after="0" w:line="12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We conducted an evaluation, as of December 26, 2009, under the supervision and with the participation of our management, including our Chief Executive Officer and Chief Financial Officer (the Company’s principal executive officer and principal financial officer, respectively) regarding the effectiveness of the design and operation of our disclosure controls and procedures as defined in Rule 13a-15 of the Securities Exchange Act of 1934 (the “Exchange Act”). Based upon that evaluation, the Chief Executive Officer and Chief Financial Officer concluded that our disclosure controls and procedures are effective.</w:t>
      </w:r>
    </w:p>
    <w:p>
      <w:pPr>
        <w:spacing w:after="0" w:line="4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were no changes in the Company’s internal control over financial reporting which occurred during the three months ended December 26, 2009 that has materially affected, or is reasonably likely to materially affect, the Company’s internal control over financial reporting.</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 </w:t>
      </w:r>
      <w:r>
        <w:rPr>
          <w:rFonts w:ascii="Arial" w:cs="Arial" w:eastAsia="Arial" w:hAnsi="Arial"/>
          <w:sz w:val="18"/>
          <w:szCs w:val="18"/>
          <w:u w:val="single" w:color="auto"/>
          <w:color w:val="auto"/>
        </w:rPr>
        <w:t>Legal Proceedings</w:t>
      </w:r>
    </w:p>
    <w:p>
      <w:pPr>
        <w:spacing w:after="0" w:line="11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December 2005, we filed a lawsuit against Baxter Healthcare SA and Fenwal Inc. in Massachusetts federal district court, seeking an injunction and damages on account of Baxter’s infringement of a Haemonetics patent, through the sale of Baxter’s ALYX brand automated red cell collection system, a competitor of our automated red cell collection systems. In March 2007, Baxter sold the Transfusion Technologies Division (which markets the ALYX product) to private investors, TPG, and Maverick Capital, Ltd. The new company which resulted from the sale was renamed Fenwal. In January 2009, a jury found that the Fenwal ALYX system infringed Haemonetics’ patent and awarded us $15.7 million in damages for past infringement. On June 2, 2009, the court ruled that, in addition to paying the damages awarded by the jury, Fenwal must stop selling the ALYX consumable by December 1, 2010 and must pay Haemonetics a 10% royalty on ALYX consumable net sales from January 30, 2009 until December 1, 2010 when the injunction takes effect. In addition, the court awarded pre-judgment interest at 5% on the unpaid damages awarded. On August 19, 2009, an amended judgment was issued under which Haemonetics was awarded $11.3 million for lost profits suffered as a result of the infringement, $4.4 million in royalty damages suffered as a result of the infringement, and prejudgment interest of $2.3 million for a total award of $18.0 million. Fenwal and Baxter have appealed these rulings to the United States Court of Appeals for the Federal Circuit. The damages have not been paid and the royalties are being escrowed pending a decision on the appeal. On December 16, 2009, the U.S. Patent Office granted a request by Fenwal for the ex-parte re-examination of the Haemonetics patent, and that re-examination process is proceeding.</w:t>
      </w:r>
    </w:p>
    <w:p>
      <w:pPr>
        <w:spacing w:after="0" w:line="8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On December 7, 2009, Fenwal had announced that it began shipping a red cell collection kit with a modified separation chamber, and that it is discontinuing sales of its original ALYX consumable kit. We believe this new collection kit also infringes our patent. On December 14, 2009, we filed a new infringement suit in Massachusetts federal district court seeking an injunction and damages from Fenwal’s sale of this new consumable.</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1A. </w:t>
      </w:r>
      <w:r>
        <w:rPr>
          <w:rFonts w:ascii="Arial" w:cs="Arial" w:eastAsia="Arial" w:hAnsi="Arial"/>
          <w:sz w:val="18"/>
          <w:szCs w:val="18"/>
          <w:u w:val="single" w:color="auto"/>
          <w:color w:val="auto"/>
        </w:rPr>
        <w:t>Risk Factors</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addition to the other information set forth in this report, careful consideration should be given to the factors discussed in Part 1, “Item 1A. Risk Factors” in the Company’s Annual Report on Form 10-K for the year ended March 28, 2009,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Item 2. </w:t>
      </w:r>
      <w:r>
        <w:rPr>
          <w:rFonts w:ascii="Arial" w:cs="Arial" w:eastAsia="Arial" w:hAnsi="Arial"/>
          <w:sz w:val="18"/>
          <w:szCs w:val="18"/>
          <w:u w:val="single" w:color="auto"/>
          <w:color w:val="auto"/>
        </w:rPr>
        <w:t>Unregistered Sales of Equity Securities and Use of Proceeds</w:t>
      </w:r>
    </w:p>
    <w:p>
      <w:pPr>
        <w:spacing w:after="0" w:line="11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Through December 26, 2009, the Company repurchased 735,497 shares of its common stock for an aggregate purchase price of $40.0 million. We reflect stock repurchases in our financial statements on a “trade date” basis and as Authorized Unissued (Haemonetics is a Massachusetts company and under Massachusetts law repurchased shares are treated as authorized but unissued). On April 2, 2009, the Board of Directors set a $40.0 million share repurchase expenditure limit which was publicly announced.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All of the purchases during the quarter were made under the publicly announced program. All purchases were made in the open market.</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gridSpan w:val="3"/>
            <w:vMerge w:val="restart"/>
          </w:tcPr>
          <w:p>
            <w:pPr>
              <w:jc w:val="center"/>
              <w:ind w:right="280"/>
              <w:spacing w:after="0"/>
              <w:rPr>
                <w:sz w:val="20"/>
                <w:szCs w:val="20"/>
                <w:color w:val="auto"/>
              </w:rPr>
            </w:pPr>
            <w:r>
              <w:rPr>
                <w:rFonts w:ascii="Arial" w:cs="Arial" w:eastAsia="Arial" w:hAnsi="Arial"/>
                <w:sz w:val="14"/>
                <w:szCs w:val="14"/>
                <w:b w:val="1"/>
                <w:bCs w:val="1"/>
                <w:color w:val="auto"/>
                <w:w w:val="89"/>
              </w:rPr>
              <w:t>Average Price</w:t>
            </w:r>
          </w:p>
        </w:tc>
        <w:tc>
          <w:tcPr>
            <w:tcW w:w="300" w:type="dxa"/>
            <w:vAlign w:val="bottom"/>
          </w:tcPr>
          <w:p>
            <w:pPr>
              <w:spacing w:after="0"/>
              <w:rPr>
                <w:sz w:val="14"/>
                <w:szCs w:val="14"/>
                <w:color w:val="auto"/>
              </w:rPr>
            </w:pPr>
          </w:p>
        </w:tc>
        <w:tc>
          <w:tcPr>
            <w:tcW w:w="15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4"/>
              </w:rPr>
              <w:t>Total Dollar Value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3"/>
            <w:vMerge w:val="restart"/>
          </w:tcPr>
          <w:p>
            <w:pPr>
              <w:jc w:val="center"/>
              <w:ind w:left="114"/>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8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9"/>
              </w:rPr>
              <w:t>of Shares Purchased</w:t>
            </w:r>
          </w:p>
        </w:tc>
        <w:tc>
          <w:tcPr>
            <w:tcW w:w="300" w:type="dxa"/>
            <w:vAlign w:val="bottom"/>
          </w:tcPr>
          <w:p>
            <w:pPr>
              <w:spacing w:after="0"/>
              <w:rPr>
                <w:sz w:val="12"/>
                <w:szCs w:val="12"/>
                <w:color w:val="auto"/>
              </w:rPr>
            </w:pPr>
          </w:p>
        </w:tc>
        <w:tc>
          <w:tcPr>
            <w:tcW w:w="14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Value of 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1480" w:type="dxa"/>
            <w:vAlign w:val="bottom"/>
            <w:gridSpan w:val="4"/>
          </w:tcPr>
          <w:p>
            <w:pPr>
              <w:ind w:left="280"/>
              <w:spacing w:after="0" w:line="149" w:lineRule="exact"/>
              <w:rPr>
                <w:sz w:val="20"/>
                <w:szCs w:val="20"/>
                <w:color w:val="auto"/>
              </w:rPr>
            </w:pPr>
            <w:r>
              <w:rPr>
                <w:rFonts w:ascii="Arial" w:cs="Arial" w:eastAsia="Arial" w:hAnsi="Arial"/>
                <w:sz w:val="14"/>
                <w:szCs w:val="14"/>
                <w:b w:val="1"/>
                <w:bCs w:val="1"/>
                <w:color w:val="auto"/>
              </w:rPr>
              <w:t>Paid per Share</w:t>
            </w:r>
          </w:p>
        </w:tc>
        <w:tc>
          <w:tcPr>
            <w:tcW w:w="300" w:type="dxa"/>
            <w:vAlign w:val="bottom"/>
          </w:tcPr>
          <w:p>
            <w:pPr>
              <w:spacing w:after="0"/>
              <w:rPr>
                <w:sz w:val="12"/>
                <w:szCs w:val="12"/>
                <w:color w:val="auto"/>
              </w:rPr>
            </w:pPr>
          </w:p>
        </w:tc>
        <w:tc>
          <w:tcPr>
            <w:tcW w:w="15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May Yet be</w:t>
            </w:r>
          </w:p>
        </w:tc>
        <w:tc>
          <w:tcPr>
            <w:tcW w:w="0" w:type="dxa"/>
            <w:vAlign w:val="bottom"/>
          </w:tcPr>
          <w:p>
            <w:pPr>
              <w:spacing w:after="0"/>
              <w:rPr>
                <w:sz w:val="1"/>
                <w:szCs w:val="1"/>
                <w:color w:val="auto"/>
              </w:rPr>
            </w:pPr>
          </w:p>
        </w:tc>
      </w:tr>
      <w:tr>
        <w:trPr>
          <w:trHeight w:val="149"/>
        </w:trPr>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including</w:t>
            </w:r>
          </w:p>
        </w:tc>
        <w:tc>
          <w:tcPr>
            <w:tcW w:w="300" w:type="dxa"/>
            <w:vAlign w:val="bottom"/>
          </w:tcPr>
          <w:p>
            <w:pPr>
              <w:spacing w:after="0"/>
              <w:rPr>
                <w:sz w:val="12"/>
                <w:szCs w:val="12"/>
                <w:color w:val="auto"/>
              </w:rPr>
            </w:pPr>
          </w:p>
        </w:tc>
        <w:tc>
          <w:tcPr>
            <w:tcW w:w="152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700" w:type="dxa"/>
            <w:vAlign w:val="bottom"/>
            <w:gridSpan w:val="4"/>
          </w:tcPr>
          <w:p>
            <w:pPr>
              <w:ind w:left="300"/>
              <w:spacing w:after="0" w:line="149" w:lineRule="exact"/>
              <w:rPr>
                <w:sz w:val="20"/>
                <w:szCs w:val="20"/>
                <w:color w:val="auto"/>
              </w:rPr>
            </w:pPr>
            <w:r>
              <w:rPr>
                <w:rFonts w:ascii="Arial" w:cs="Arial" w:eastAsia="Arial" w:hAnsi="Arial"/>
                <w:sz w:val="14"/>
                <w:szCs w:val="14"/>
                <w:b w:val="1"/>
                <w:bCs w:val="1"/>
                <w:color w:val="auto"/>
                <w:w w:val="97"/>
              </w:rPr>
              <w:t>Purchased Under the</w:t>
            </w:r>
          </w:p>
        </w:tc>
        <w:tc>
          <w:tcPr>
            <w:tcW w:w="0" w:type="dxa"/>
            <w:vAlign w:val="bottom"/>
          </w:tcPr>
          <w:p>
            <w:pPr>
              <w:spacing w:after="0"/>
              <w:rPr>
                <w:sz w:val="1"/>
                <w:szCs w:val="1"/>
                <w:color w:val="auto"/>
              </w:rPr>
            </w:pPr>
          </w:p>
        </w:tc>
      </w:tr>
      <w:tr>
        <w:trPr>
          <w:trHeight w:val="171"/>
        </w:trPr>
        <w:tc>
          <w:tcPr>
            <w:tcW w:w="62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Repurchased</w:t>
            </w:r>
          </w:p>
        </w:tc>
        <w:tc>
          <w:tcPr>
            <w:tcW w:w="280" w:type="dxa"/>
            <w:vAlign w:val="bottom"/>
          </w:tcPr>
          <w:p>
            <w:pPr>
              <w:spacing w:after="0"/>
              <w:rPr>
                <w:sz w:val="14"/>
                <w:szCs w:val="14"/>
                <w:color w:val="auto"/>
              </w:rPr>
            </w:pPr>
          </w:p>
        </w:tc>
        <w:tc>
          <w:tcPr>
            <w:tcW w:w="12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7"/>
              </w:rPr>
              <w:t>Commissions</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or Programs</w:t>
            </w:r>
          </w:p>
        </w:tc>
        <w:tc>
          <w:tcPr>
            <w:tcW w:w="300" w:type="dxa"/>
            <w:vAlign w:val="bottom"/>
          </w:tcPr>
          <w:p>
            <w:pPr>
              <w:spacing w:after="0"/>
              <w:rPr>
                <w:sz w:val="14"/>
                <w:szCs w:val="14"/>
                <w:color w:val="auto"/>
              </w:rPr>
            </w:pPr>
          </w:p>
        </w:tc>
        <w:tc>
          <w:tcPr>
            <w:tcW w:w="14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Plans or Programs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Aug. 23, 2009 to Sep. 26, 2009</w:t>
            </w:r>
          </w:p>
        </w:tc>
        <w:tc>
          <w:tcPr>
            <w:tcW w:w="4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139,722</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54.83</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7,579,989</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32,420,011</w:t>
            </w:r>
          </w:p>
        </w:tc>
        <w:tc>
          <w:tcPr>
            <w:tcW w:w="0" w:type="dxa"/>
            <w:vAlign w:val="bottom"/>
          </w:tcPr>
          <w:p>
            <w:pPr>
              <w:spacing w:after="0"/>
              <w:rPr>
                <w:sz w:val="1"/>
                <w:szCs w:val="1"/>
                <w:color w:val="auto"/>
              </w:rPr>
            </w:pPr>
          </w:p>
        </w:tc>
      </w:tr>
      <w:tr>
        <w:trPr>
          <w:trHeight w:val="432"/>
        </w:trPr>
        <w:tc>
          <w:tcPr>
            <w:tcW w:w="4800" w:type="dxa"/>
            <w:vAlign w:val="bottom"/>
            <w:gridSpan w:val="6"/>
          </w:tcPr>
          <w:p>
            <w:pPr>
              <w:spacing w:after="0"/>
              <w:rPr>
                <w:sz w:val="20"/>
                <w:szCs w:val="20"/>
                <w:color w:val="auto"/>
              </w:rPr>
            </w:pPr>
            <w:r>
              <w:rPr>
                <w:rFonts w:ascii="Arial" w:cs="Arial" w:eastAsia="Arial" w:hAnsi="Arial"/>
                <w:sz w:val="18"/>
                <w:szCs w:val="18"/>
                <w:color w:val="auto"/>
              </w:rPr>
              <w:t>Sep. 27, 2009 to Oct. 26, 2009</w:t>
            </w:r>
          </w:p>
        </w:tc>
        <w:tc>
          <w:tcPr>
            <w:tcW w:w="1620" w:type="dxa"/>
            <w:vAlign w:val="bottom"/>
            <w:gridSpan w:val="3"/>
          </w:tcPr>
          <w:p>
            <w:pPr>
              <w:jc w:val="right"/>
              <w:ind w:right="300"/>
              <w:spacing w:after="0"/>
              <w:rPr>
                <w:sz w:val="20"/>
                <w:szCs w:val="20"/>
                <w:color w:val="auto"/>
              </w:rPr>
            </w:pPr>
            <w:r>
              <w:rPr>
                <w:rFonts w:ascii="Arial" w:cs="Arial" w:eastAsia="Arial" w:hAnsi="Arial"/>
                <w:sz w:val="18"/>
                <w:szCs w:val="18"/>
                <w:color w:val="auto"/>
              </w:rPr>
              <w:t>233,349</w:t>
            </w:r>
          </w:p>
        </w:tc>
        <w:tc>
          <w:tcPr>
            <w:tcW w:w="4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55.18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12,821,375</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19,598,636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00" w:type="dxa"/>
            <w:vAlign w:val="bottom"/>
            <w:gridSpan w:val="2"/>
          </w:tcPr>
          <w:p>
            <w:pPr>
              <w:spacing w:after="0"/>
              <w:rPr>
                <w:sz w:val="18"/>
                <w:szCs w:val="18"/>
                <w:color w:val="auto"/>
              </w:rPr>
            </w:pPr>
          </w:p>
        </w:tc>
        <w:tc>
          <w:tcPr>
            <w:tcW w:w="16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Oct. 27, 2009 to Nov. 26, 2009</w:t>
            </w: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362,426</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19,598,602</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432"/>
        </w:trPr>
        <w:tc>
          <w:tcPr>
            <w:tcW w:w="4800" w:type="dxa"/>
            <w:vAlign w:val="bottom"/>
            <w:gridSpan w:val="6"/>
          </w:tcPr>
          <w:p>
            <w:pPr>
              <w:spacing w:after="0"/>
              <w:rPr>
                <w:sz w:val="20"/>
                <w:szCs w:val="20"/>
                <w:color w:val="auto"/>
              </w:rPr>
            </w:pPr>
            <w:r>
              <w:rPr>
                <w:rFonts w:ascii="Arial" w:cs="Arial" w:eastAsia="Arial" w:hAnsi="Arial"/>
                <w:sz w:val="18"/>
                <w:szCs w:val="18"/>
                <w:color w:val="auto"/>
              </w:rPr>
              <w:t>Nov. 27, 2009 to Dec. 26, 2009</w:t>
            </w:r>
          </w:p>
        </w:tc>
        <w:tc>
          <w:tcPr>
            <w:tcW w:w="480" w:type="dxa"/>
            <w:vAlign w:val="bottom"/>
          </w:tcPr>
          <w:p>
            <w:pPr>
              <w:spacing w:after="0"/>
              <w:rPr>
                <w:sz w:val="24"/>
                <w:szCs w:val="24"/>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735,497</w:t>
            </w:r>
          </w:p>
        </w:tc>
        <w:tc>
          <w:tcPr>
            <w:tcW w:w="4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54.38</w:t>
            </w:r>
          </w:p>
        </w:tc>
        <w:tc>
          <w:tcPr>
            <w:tcW w:w="4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39,999,966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0" w:type="dxa"/>
            <w:vAlign w:val="bottom"/>
            <w:gridSpan w:val="6"/>
            <w:vMerge w:val="restart"/>
          </w:tcPr>
          <w:p>
            <w:pPr>
              <w:spacing w:after="0"/>
              <w:rPr>
                <w:sz w:val="20"/>
                <w:szCs w:val="20"/>
                <w:color w:val="auto"/>
              </w:rPr>
            </w:pPr>
            <w:r>
              <w:rPr>
                <w:rFonts w:ascii="Arial" w:cs="Arial" w:eastAsia="Arial" w:hAnsi="Arial"/>
                <w:sz w:val="18"/>
                <w:szCs w:val="18"/>
                <w:color w:val="auto"/>
              </w:rPr>
              <w:t>Item 3. Defaults upon Senior Securities</w:t>
            </w: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800" w:type="dxa"/>
            <w:vAlign w:val="bottom"/>
            <w:gridSpan w:val="6"/>
            <w:vMerge w:val="continue"/>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Not applicable.</w:t>
            </w:r>
          </w:p>
        </w:tc>
        <w:tc>
          <w:tcPr>
            <w:tcW w:w="1900" w:type="dxa"/>
            <w:vAlign w:val="bottom"/>
            <w:gridSpan w:val="2"/>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800" w:type="dxa"/>
            <w:vAlign w:val="bottom"/>
            <w:gridSpan w:val="6"/>
          </w:tcPr>
          <w:p>
            <w:pPr>
              <w:spacing w:after="0"/>
              <w:rPr>
                <w:sz w:val="20"/>
                <w:szCs w:val="20"/>
                <w:color w:val="auto"/>
              </w:rPr>
            </w:pPr>
            <w:r>
              <w:rPr>
                <w:rFonts w:ascii="Arial" w:cs="Arial" w:eastAsia="Arial" w:hAnsi="Arial"/>
                <w:sz w:val="18"/>
                <w:szCs w:val="18"/>
                <w:color w:val="auto"/>
              </w:rPr>
              <w:t>Item 4. Submission of Matters to a Vote of Security Holders</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7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None</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4180" w:type="dxa"/>
            <w:vAlign w:val="bottom"/>
            <w:gridSpan w:val="4"/>
          </w:tcPr>
          <w:p>
            <w:pPr>
              <w:spacing w:after="0"/>
              <w:rPr>
                <w:sz w:val="20"/>
                <w:szCs w:val="20"/>
                <w:color w:val="auto"/>
              </w:rPr>
            </w:pPr>
            <w:r>
              <w:rPr>
                <w:rFonts w:ascii="Arial" w:cs="Arial" w:eastAsia="Arial" w:hAnsi="Arial"/>
                <w:sz w:val="18"/>
                <w:szCs w:val="18"/>
                <w:color w:val="auto"/>
              </w:rPr>
              <w:t>Other Information</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180" w:type="dxa"/>
            <w:vAlign w:val="bottom"/>
            <w:gridSpan w:val="4"/>
          </w:tcPr>
          <w:p>
            <w:pPr>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Exhibits</w:t>
            </w:r>
          </w:p>
        </w:tc>
        <w:tc>
          <w:tcPr>
            <w:tcW w:w="3580" w:type="dxa"/>
            <w:vAlign w:val="bottom"/>
            <w:gridSpan w:val="3"/>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tabs>
          <w:tab w:leader="none" w:pos="6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pursuant to Section 302 of Sarbanes-Oxley Act of 2002, of Brian Concannon, President and Chief Executive Officer of the Company</w:t>
      </w:r>
    </w:p>
    <w:p>
      <w:pPr>
        <w:spacing w:after="0" w:line="225" w:lineRule="exact"/>
        <w:rPr>
          <w:sz w:val="20"/>
          <w:szCs w:val="20"/>
          <w:color w:val="auto"/>
        </w:rPr>
      </w:pPr>
    </w:p>
    <w:p>
      <w:pPr>
        <w:ind w:left="620" w:right="620" w:hanging="607"/>
        <w:spacing w:after="0" w:line="277" w:lineRule="auto"/>
        <w:tabs>
          <w:tab w:leader="none" w:pos="6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Certification pursuant to Section 302 of Sarbanes-Oxley of 2002, of Christopher Lindop, Chief Financial Officer and Vice President Business Development of the Company</w:t>
      </w:r>
    </w:p>
    <w:p>
      <w:pPr>
        <w:spacing w:after="0" w:line="170" w:lineRule="exact"/>
        <w:rPr>
          <w:sz w:val="20"/>
          <w:szCs w:val="20"/>
          <w:color w:val="auto"/>
        </w:rPr>
      </w:pPr>
    </w:p>
    <w:p>
      <w:pPr>
        <w:ind w:left="620" w:right="520" w:hanging="607"/>
        <w:spacing w:after="0" w:line="277" w:lineRule="auto"/>
        <w:tabs>
          <w:tab w:leader="none" w:pos="6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Brian Concannon, President and Chief Executive Officer of the Company</w:t>
      </w:r>
    </w:p>
    <w:p>
      <w:pPr>
        <w:spacing w:after="0" w:line="170" w:lineRule="exact"/>
        <w:rPr>
          <w:sz w:val="20"/>
          <w:szCs w:val="20"/>
          <w:color w:val="auto"/>
        </w:rPr>
      </w:pPr>
    </w:p>
    <w:p>
      <w:pPr>
        <w:ind w:left="620" w:right="80" w:hanging="607"/>
        <w:spacing w:after="0" w:line="277" w:lineRule="auto"/>
        <w:tabs>
          <w:tab w:leader="none" w:pos="6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Pursuant to 18 United States Code Section 1350, as adopted Pursuant to Section 906 of the Sarbanes-Oxley Act of 2002, of Christopher Lindop, Chief Financial Officer and Vice President Business Development of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40" w:type="dxa"/>
            <w:vAlign w:val="bottom"/>
          </w:tcPr>
          <w:p>
            <w:pPr>
              <w:spacing w:after="0"/>
              <w:rPr>
                <w:sz w:val="20"/>
                <w:szCs w:val="20"/>
                <w:color w:val="auto"/>
              </w:rPr>
            </w:pPr>
          </w:p>
        </w:tc>
        <w:tc>
          <w:tcPr>
            <w:tcW w:w="6520" w:type="dxa"/>
            <w:vAlign w:val="bottom"/>
            <w:gridSpan w:val="2"/>
          </w:tcPr>
          <w:p>
            <w:pPr>
              <w:ind w:left="1680"/>
              <w:spacing w:after="0"/>
              <w:rPr>
                <w:sz w:val="20"/>
                <w:szCs w:val="20"/>
                <w:color w:val="auto"/>
              </w:rPr>
            </w:pPr>
            <w:r>
              <w:rPr>
                <w:rFonts w:ascii="Arial" w:cs="Arial" w:eastAsia="Arial" w:hAnsi="Arial"/>
                <w:sz w:val="18"/>
                <w:szCs w:val="18"/>
                <w:color w:val="auto"/>
              </w:rPr>
              <w:t>HAEMONETICS CORPORATION</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February 3, 2010</w:t>
            </w:r>
          </w:p>
        </w:tc>
        <w:tc>
          <w:tcPr>
            <w:tcW w:w="6520" w:type="dxa"/>
            <w:vAlign w:val="bottom"/>
            <w:gridSpan w:val="2"/>
          </w:tcPr>
          <w:p>
            <w:pPr>
              <w:ind w:left="1680"/>
              <w:spacing w:after="0"/>
              <w:rPr>
                <w:sz w:val="20"/>
                <w:szCs w:val="20"/>
                <w:color w:val="auto"/>
              </w:rPr>
            </w:pPr>
            <w:r>
              <w:rPr>
                <w:rFonts w:ascii="Arial" w:cs="Arial" w:eastAsia="Arial" w:hAnsi="Arial"/>
                <w:sz w:val="18"/>
                <w:szCs w:val="18"/>
                <w:color w:val="auto"/>
              </w:rPr>
              <w:t>By: /s/ Brian Concannon</w:t>
            </w: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9"/>
              </w:rPr>
              <w:t>Brian Concannon, President and Chief Executive Officer</w:t>
            </w: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2"/>
        </w:trPr>
        <w:tc>
          <w:tcPr>
            <w:tcW w:w="3340" w:type="dxa"/>
            <w:vAlign w:val="bottom"/>
          </w:tcPr>
          <w:p>
            <w:pPr>
              <w:spacing w:after="0"/>
              <w:rPr>
                <w:sz w:val="20"/>
                <w:szCs w:val="20"/>
                <w:color w:val="auto"/>
              </w:rPr>
            </w:pPr>
            <w:r>
              <w:rPr>
                <w:rFonts w:ascii="Arial" w:cs="Arial" w:eastAsia="Arial" w:hAnsi="Arial"/>
                <w:sz w:val="18"/>
                <w:szCs w:val="18"/>
                <w:color w:val="auto"/>
              </w:rPr>
              <w:t>Date: February 3, 2010</w:t>
            </w:r>
          </w:p>
        </w:tc>
        <w:tc>
          <w:tcPr>
            <w:tcW w:w="6520" w:type="dxa"/>
            <w:vAlign w:val="bottom"/>
            <w:gridSpan w:val="2"/>
          </w:tcPr>
          <w:p>
            <w:pPr>
              <w:ind w:left="1680"/>
              <w:spacing w:after="0"/>
              <w:rPr>
                <w:sz w:val="20"/>
                <w:szCs w:val="20"/>
                <w:color w:val="auto"/>
              </w:rPr>
            </w:pPr>
            <w:r>
              <w:rPr>
                <w:rFonts w:ascii="Arial" w:cs="Arial" w:eastAsia="Arial" w:hAnsi="Arial"/>
                <w:sz w:val="18"/>
                <w:szCs w:val="18"/>
                <w:color w:val="auto"/>
              </w:rPr>
              <w:t>By: /s/ Christopher Lindop</w:t>
            </w:r>
          </w:p>
        </w:tc>
      </w:tr>
      <w:tr>
        <w:trPr>
          <w:trHeight w:val="195"/>
        </w:trPr>
        <w:tc>
          <w:tcPr>
            <w:tcW w:w="33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5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Christopher Lindop, Chief Financial Officer and Vice</w:t>
            </w:r>
          </w:p>
        </w:tc>
      </w:tr>
      <w:tr>
        <w:trPr>
          <w:trHeight w:val="230"/>
        </w:trPr>
        <w:tc>
          <w:tcPr>
            <w:tcW w:w="3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00" w:type="dxa"/>
            <w:vAlign w:val="bottom"/>
          </w:tcPr>
          <w:p>
            <w:pPr>
              <w:spacing w:after="0"/>
              <w:rPr>
                <w:sz w:val="20"/>
                <w:szCs w:val="20"/>
                <w:color w:val="auto"/>
              </w:rPr>
            </w:pPr>
            <w:r>
              <w:rPr>
                <w:rFonts w:ascii="Arial" w:cs="Arial" w:eastAsia="Arial" w:hAnsi="Arial"/>
                <w:sz w:val="18"/>
                <w:szCs w:val="18"/>
                <w:color w:val="auto"/>
                <w:w w:val="92"/>
              </w:rPr>
              <w:t>President Business Development (Principal Financial Officer)</w:t>
            </w:r>
          </w:p>
        </w:tc>
      </w:tr>
      <w:tr>
        <w:trPr>
          <w:trHeight w:val="621"/>
        </w:trPr>
        <w:tc>
          <w:tcPr>
            <w:tcW w:w="3340" w:type="dxa"/>
            <w:vAlign w:val="bottom"/>
          </w:tcPr>
          <w:p>
            <w:pPr>
              <w:spacing w:after="0"/>
              <w:rPr>
                <w:sz w:val="24"/>
                <w:szCs w:val="24"/>
                <w:color w:val="auto"/>
              </w:rPr>
            </w:pPr>
          </w:p>
        </w:tc>
        <w:tc>
          <w:tcPr>
            <w:tcW w:w="6520" w:type="dxa"/>
            <w:vAlign w:val="bottom"/>
            <w:gridSpan w:val="2"/>
          </w:tcPr>
          <w:p>
            <w:pPr>
              <w:jc w:val="right"/>
              <w:ind w:right="397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80"/>
          </w:cols>
          <w:pgMar w:left="240" w:top="419" w:right="3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Brian Concannon, certify that:</w:t>
      </w:r>
    </w:p>
    <w:p>
      <w:pPr>
        <w:spacing w:after="0" w:line="117"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16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Concannon, President and Chief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Officer (Principal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CERTIFICATION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Christopher Lindop,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Haemonetics Corporation;</w:t>
      </w:r>
    </w:p>
    <w:p>
      <w:pPr>
        <w:spacing w:after="0" w:line="130"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9" w:lineRule="exact"/>
        <w:rPr>
          <w:rFonts w:ascii="Arial" w:cs="Arial" w:eastAsia="Arial" w:hAnsi="Arial"/>
          <w:sz w:val="16"/>
          <w:szCs w:val="16"/>
          <w:color w:val="auto"/>
        </w:rPr>
      </w:pPr>
    </w:p>
    <w:p>
      <w:pPr>
        <w:ind w:left="340" w:right="16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0" w:hanging="314"/>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60" w:hanging="314"/>
        <w:spacing w:after="0" w:line="308" w:lineRule="auto"/>
        <w:tabs>
          <w:tab w:leader="none" w:pos="660"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1" w:lineRule="exact"/>
        <w:rPr>
          <w:rFonts w:ascii="Arial" w:cs="Arial" w:eastAsia="Arial" w:hAnsi="Arial"/>
          <w:sz w:val="17"/>
          <w:szCs w:val="17"/>
          <w:color w:val="auto"/>
        </w:rPr>
      </w:pPr>
    </w:p>
    <w:p>
      <w:pPr>
        <w:ind w:left="660" w:right="100" w:hanging="314"/>
        <w:spacing w:after="0" w:line="264"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340" w:right="500" w:hanging="332"/>
        <w:spacing w:after="0" w:line="308" w:lineRule="auto"/>
        <w:tabs>
          <w:tab w:leader="none" w:pos="3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660" w:right="440" w:hanging="314"/>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660" w:right="40" w:hanging="314"/>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Lindop, Chief Financial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Vice President Business Development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53"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December 26, 2009 as filed with the Securities and Exchange Commission on the date hereof (the “Report”), I, Brian Concannon,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Brian Concannon</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Brian Concannon,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President and Chief Executive Officer</w:t>
      </w:r>
    </w:p>
    <w:p>
      <w:pPr>
        <w:spacing w:after="0" w:line="3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p>
      <w:pPr>
        <w:sectPr>
          <w:pgSz w:w="11900" w:h="16838" w:orient="portrait"/>
          <w:cols w:equalWidth="0" w:num="1">
            <w:col w:w="11420"/>
          </w:cols>
          <w:pgMar w:left="240" w:top="553"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0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connection with the Quarterly Report of Haemonetics Corporation (the “Company”) on Form 10-Q for the period ending December 26, 2009 as filed with the Securities and Exchange Commission on the date hereof (the “Report”), I, Christopher Lindop, Chief Financial Officer and Vice President Business Development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3, 2010</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Christopher Lindop</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Christopher Lindop,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Chief Financial Officer and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Business Development</w:t>
      </w:r>
    </w:p>
    <w:p>
      <w:pPr>
        <w:spacing w:after="0" w:line="319"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Haemonetics and will be retained by Haemonetics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606"/>
    </w:lvl>
  </w:abstractNum>
  <w:abstractNum w:abstractNumId="1">
    <w:nsid w:val="140E0F76"/>
    <w:multiLevelType w:val="hybridMultilevel"/>
    <w:lvl w:ilvl="0">
      <w:lvlJc w:val="left"/>
      <w:lvlText w:val="(%1)"/>
      <w:numFmt w:val="lowerLetter"/>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emdash "/>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2019-12-10T04:04:16Z</dcterms:created>
  <dcterms:modified xsi:type="dcterms:W3CDTF">2019-12-10T04:04:16Z</dcterms:modified>
</cp:coreProperties>
</file>