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245745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97" w:lineRule="exact"/>
        <w:rPr>
          <w:sz w:val="20"/>
          <w:szCs w:val="20"/>
          <w:color w:val="auto"/>
        </w:rPr>
      </w:pPr>
    </w:p>
    <w:p>
      <w:pPr>
        <w:ind w:left="2940"/>
        <w:spacing w:after="0"/>
        <w:tabs>
          <w:tab w:leader="none" w:pos="5920" w:val="left"/>
        </w:tabs>
        <w:rPr>
          <w:sz w:val="20"/>
          <w:szCs w:val="20"/>
          <w:color w:val="auto"/>
        </w:rPr>
      </w:pPr>
      <w:r>
        <w:rPr>
          <w:rFonts w:ascii="Arial" w:cs="Arial" w:eastAsia="Arial" w:hAnsi="Arial"/>
          <w:sz w:val="18"/>
          <w:szCs w:val="18"/>
          <w:color w:val="auto"/>
        </w:rPr>
        <w:t xml:space="preserve">For the quarter ended: </w:t>
      </w:r>
      <w:r>
        <w:rPr>
          <w:rFonts w:ascii="Arial" w:cs="Arial" w:eastAsia="Arial" w:hAnsi="Arial"/>
          <w:sz w:val="18"/>
          <w:szCs w:val="18"/>
          <w:b w:val="1"/>
          <w:bCs w:val="1"/>
          <w:u w:val="single" w:color="auto"/>
          <w:color w:val="auto"/>
        </w:rPr>
        <w:t>July 3, 2010</w:t>
      </w:r>
      <w:r>
        <w:rPr>
          <w:sz w:val="20"/>
          <w:szCs w:val="20"/>
          <w:color w:val="auto"/>
        </w:rPr>
        <w:tab/>
      </w: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1-14041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HAEMONETICS CORPORATION</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0"/>
          <w:szCs w:val="20"/>
          <w:color w:val="auto"/>
        </w:rPr>
      </w:pPr>
    </w:p>
    <w:tbl>
      <w:tblPr>
        <w:tblLayout w:type="fixed"/>
        <w:tblInd w:w="1540" w:type="dxa"/>
        <w:tblCellMar>
          <w:top w:w="0" w:type="dxa"/>
          <w:left w:w="0" w:type="dxa"/>
          <w:bottom w:w="0" w:type="dxa"/>
          <w:right w:w="0" w:type="dxa"/>
        </w:tblCellMar>
      </w:tblPr>
      <w:tr>
        <w:trPr>
          <w:trHeight w:val="219"/>
        </w:trPr>
        <w:tc>
          <w:tcPr>
            <w:tcW w:w="5680" w:type="dxa"/>
            <w:vAlign w:val="bottom"/>
          </w:tcPr>
          <w:p>
            <w:pPr>
              <w:jc w:val="center"/>
              <w:ind w:right="3251"/>
              <w:spacing w:after="0"/>
              <w:rPr>
                <w:sz w:val="20"/>
                <w:szCs w:val="20"/>
                <w:color w:val="auto"/>
              </w:rPr>
            </w:pPr>
            <w:r>
              <w:rPr>
                <w:rFonts w:ascii="Arial" w:cs="Arial" w:eastAsia="Arial" w:hAnsi="Arial"/>
                <w:sz w:val="18"/>
                <w:szCs w:val="18"/>
                <w:b w:val="1"/>
                <w:bCs w:val="1"/>
                <w:color w:val="auto"/>
                <w:w w:val="85"/>
              </w:rPr>
              <w:t>Massachusetts</w:t>
            </w:r>
          </w:p>
        </w:tc>
        <w:tc>
          <w:tcPr>
            <w:tcW w:w="2780" w:type="dxa"/>
            <w:vAlign w:val="bottom"/>
          </w:tcPr>
          <w:p>
            <w:pPr>
              <w:jc w:val="right"/>
              <w:ind w:right="771"/>
              <w:spacing w:after="0"/>
              <w:rPr>
                <w:sz w:val="20"/>
                <w:szCs w:val="20"/>
                <w:color w:val="auto"/>
              </w:rPr>
            </w:pPr>
            <w:r>
              <w:rPr>
                <w:rFonts w:ascii="Arial" w:cs="Arial" w:eastAsia="Arial" w:hAnsi="Arial"/>
                <w:sz w:val="18"/>
                <w:szCs w:val="18"/>
                <w:b w:val="1"/>
                <w:bCs w:val="1"/>
                <w:color w:val="auto"/>
              </w:rPr>
              <w:t>04-2882273</w:t>
            </w:r>
          </w:p>
        </w:tc>
      </w:tr>
      <w:tr>
        <w:trPr>
          <w:trHeight w:val="215"/>
        </w:trPr>
        <w:tc>
          <w:tcPr>
            <w:tcW w:w="5680" w:type="dxa"/>
            <w:vAlign w:val="bottom"/>
          </w:tcPr>
          <w:p>
            <w:pPr>
              <w:jc w:val="center"/>
              <w:ind w:right="3231"/>
              <w:spacing w:after="0"/>
              <w:rPr>
                <w:sz w:val="20"/>
                <w:szCs w:val="20"/>
                <w:color w:val="auto"/>
              </w:rPr>
            </w:pPr>
            <w:r>
              <w:rPr>
                <w:rFonts w:ascii="Arial" w:cs="Arial" w:eastAsia="Arial" w:hAnsi="Arial"/>
                <w:sz w:val="18"/>
                <w:szCs w:val="18"/>
                <w:color w:val="auto"/>
                <w:w w:val="91"/>
              </w:rPr>
              <w:t>(State or other jurisdiction</w:t>
            </w:r>
          </w:p>
        </w:tc>
        <w:tc>
          <w:tcPr>
            <w:tcW w:w="2780" w:type="dxa"/>
            <w:vAlign w:val="bottom"/>
          </w:tcPr>
          <w:p>
            <w:pPr>
              <w:jc w:val="center"/>
              <w:ind w:left="91"/>
              <w:spacing w:after="0"/>
              <w:rPr>
                <w:sz w:val="20"/>
                <w:szCs w:val="20"/>
                <w:color w:val="auto"/>
              </w:rPr>
            </w:pPr>
            <w:r>
              <w:rPr>
                <w:rFonts w:ascii="Arial" w:cs="Arial" w:eastAsia="Arial" w:hAnsi="Arial"/>
                <w:sz w:val="18"/>
                <w:szCs w:val="18"/>
                <w:color w:val="auto"/>
                <w:w w:val="93"/>
              </w:rPr>
              <w:t>(I.R.S. Employer Identification No.)</w:t>
            </w:r>
          </w:p>
        </w:tc>
      </w:tr>
      <w:tr>
        <w:trPr>
          <w:trHeight w:val="227"/>
        </w:trPr>
        <w:tc>
          <w:tcPr>
            <w:tcW w:w="5680" w:type="dxa"/>
            <w:vAlign w:val="bottom"/>
          </w:tcPr>
          <w:p>
            <w:pPr>
              <w:jc w:val="center"/>
              <w:ind w:right="3251"/>
              <w:spacing w:after="0"/>
              <w:rPr>
                <w:sz w:val="20"/>
                <w:szCs w:val="20"/>
                <w:color w:val="auto"/>
              </w:rPr>
            </w:pPr>
            <w:r>
              <w:rPr>
                <w:rFonts w:ascii="Arial" w:cs="Arial" w:eastAsia="Arial" w:hAnsi="Arial"/>
                <w:sz w:val="18"/>
                <w:szCs w:val="18"/>
                <w:color w:val="auto"/>
                <w:w w:val="92"/>
              </w:rPr>
              <w:t>of incorporation or organization)</w:t>
            </w:r>
          </w:p>
        </w:tc>
        <w:tc>
          <w:tcPr>
            <w:tcW w:w="2780" w:type="dxa"/>
            <w:vAlign w:val="bottom"/>
          </w:tcPr>
          <w:p>
            <w:pPr>
              <w:spacing w:after="0"/>
              <w:rPr>
                <w:sz w:val="19"/>
                <w:szCs w:val="19"/>
                <w:color w:val="auto"/>
              </w:rPr>
            </w:pPr>
          </w:p>
        </w:tc>
      </w:tr>
      <w:tr>
        <w:trPr>
          <w:trHeight w:val="416"/>
        </w:trPr>
        <w:tc>
          <w:tcPr>
            <w:tcW w:w="5680" w:type="dxa"/>
            <w:vAlign w:val="bottom"/>
          </w:tcPr>
          <w:p>
            <w:pPr>
              <w:jc w:val="center"/>
              <w:ind w:left="2571"/>
              <w:spacing w:after="0"/>
              <w:rPr>
                <w:sz w:val="20"/>
                <w:szCs w:val="20"/>
                <w:color w:val="auto"/>
              </w:rPr>
            </w:pPr>
            <w:r>
              <w:rPr>
                <w:rFonts w:ascii="Arial" w:cs="Arial" w:eastAsia="Arial" w:hAnsi="Arial"/>
                <w:sz w:val="18"/>
                <w:szCs w:val="18"/>
                <w:b w:val="1"/>
                <w:bCs w:val="1"/>
                <w:color w:val="auto"/>
                <w:w w:val="91"/>
              </w:rPr>
              <w:t>400 Wood Road, Braintree, MA 02184</w:t>
            </w:r>
          </w:p>
        </w:tc>
        <w:tc>
          <w:tcPr>
            <w:tcW w:w="2780" w:type="dxa"/>
            <w:vAlign w:val="bottom"/>
          </w:tcPr>
          <w:p>
            <w:pPr>
              <w:spacing w:after="0"/>
              <w:rPr>
                <w:sz w:val="24"/>
                <w:szCs w:val="24"/>
                <w:color w:val="auto"/>
              </w:rPr>
            </w:pPr>
          </w:p>
        </w:tc>
      </w:tr>
      <w:tr>
        <w:trPr>
          <w:trHeight w:val="227"/>
        </w:trPr>
        <w:tc>
          <w:tcPr>
            <w:tcW w:w="5680" w:type="dxa"/>
            <w:vAlign w:val="bottom"/>
          </w:tcPr>
          <w:p>
            <w:pPr>
              <w:jc w:val="center"/>
              <w:ind w:left="2591"/>
              <w:spacing w:after="0"/>
              <w:rPr>
                <w:sz w:val="20"/>
                <w:szCs w:val="20"/>
                <w:color w:val="auto"/>
              </w:rPr>
            </w:pPr>
            <w:r>
              <w:rPr>
                <w:rFonts w:ascii="Arial" w:cs="Arial" w:eastAsia="Arial" w:hAnsi="Arial"/>
                <w:sz w:val="18"/>
                <w:szCs w:val="18"/>
                <w:color w:val="auto"/>
                <w:w w:val="92"/>
              </w:rPr>
              <w:t>(Address of principal executive offices)</w:t>
            </w:r>
          </w:p>
        </w:tc>
        <w:tc>
          <w:tcPr>
            <w:tcW w:w="2780" w:type="dxa"/>
            <w:vAlign w:val="bottom"/>
          </w:tcPr>
          <w:p>
            <w:pPr>
              <w:spacing w:after="0"/>
              <w:rPr>
                <w:sz w:val="19"/>
                <w:szCs w:val="19"/>
                <w:color w:val="auto"/>
              </w:rPr>
            </w:pPr>
          </w:p>
        </w:tc>
      </w:tr>
      <w:tr>
        <w:trPr>
          <w:trHeight w:val="429"/>
        </w:trPr>
        <w:tc>
          <w:tcPr>
            <w:tcW w:w="5680" w:type="dxa"/>
            <w:vAlign w:val="bottom"/>
          </w:tcPr>
          <w:p>
            <w:pPr>
              <w:ind w:left="1520"/>
              <w:spacing w:after="0"/>
              <w:rPr>
                <w:sz w:val="20"/>
                <w:szCs w:val="20"/>
                <w:color w:val="auto"/>
              </w:rPr>
            </w:pPr>
            <w:r>
              <w:rPr>
                <w:rFonts w:ascii="Arial" w:cs="Arial" w:eastAsia="Arial" w:hAnsi="Arial"/>
                <w:sz w:val="18"/>
                <w:szCs w:val="18"/>
                <w:color w:val="auto"/>
                <w:w w:val="99"/>
              </w:rPr>
              <w:t>Registrant’s telephone number, including area code:</w:t>
            </w:r>
          </w:p>
        </w:tc>
        <w:tc>
          <w:tcPr>
            <w:tcW w:w="2780" w:type="dxa"/>
            <w:vAlign w:val="bottom"/>
          </w:tcPr>
          <w:p>
            <w:pPr>
              <w:jc w:val="right"/>
              <w:ind w:right="1531"/>
              <w:spacing w:after="0"/>
              <w:rPr>
                <w:sz w:val="20"/>
                <w:szCs w:val="20"/>
                <w:color w:val="auto"/>
              </w:rPr>
            </w:pPr>
            <w:r>
              <w:rPr>
                <w:rFonts w:ascii="Arial" w:cs="Arial" w:eastAsia="Arial" w:hAnsi="Arial"/>
                <w:sz w:val="18"/>
                <w:szCs w:val="18"/>
                <w:b w:val="1"/>
                <w:bCs w:val="1"/>
                <w:color w:val="auto"/>
                <w:w w:val="92"/>
              </w:rPr>
              <w:t>(781) 848-7100</w:t>
            </w:r>
          </w:p>
        </w:tc>
      </w:tr>
    </w:tbl>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153"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53"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52"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o</w:t>
      </w:r>
    </w:p>
    <w:p>
      <w:pPr>
        <w:spacing w:after="0" w:line="234" w:lineRule="exact"/>
        <w:rPr>
          <w:sz w:val="20"/>
          <w:szCs w:val="20"/>
          <w:color w:val="auto"/>
        </w:rPr>
      </w:pPr>
    </w:p>
    <w:p>
      <w:pPr>
        <w:sectPr>
          <w:pgSz w:w="11900" w:h="16838" w:orient="portrait"/>
          <w:cols w:equalWidth="0" w:num="4">
            <w:col w:w="4380" w:space="120"/>
            <w:col w:w="2000" w:space="720"/>
            <w:col w:w="1200" w:space="140"/>
            <w:col w:w="2860"/>
          </w:cols>
          <w:pgMar w:left="240" w:top="122" w:right="239" w:bottom="1440" w:gutter="0" w:footer="0" w:header="0"/>
          <w:type w:val="continuous"/>
        </w:sectPr>
      </w:pPr>
    </w:p>
    <w:p>
      <w:pPr>
        <w:spacing w:after="0" w:line="45"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o</w:t>
      </w:r>
    </w:p>
    <w:p>
      <w:pPr>
        <w:spacing w:after="0" w:line="234" w:lineRule="exact"/>
        <w:rPr>
          <w:sz w:val="20"/>
          <w:szCs w:val="20"/>
          <w:color w:val="auto"/>
        </w:rPr>
      </w:pPr>
    </w:p>
    <w:p>
      <w:pPr>
        <w:sectPr>
          <w:pgSz w:w="11900" w:h="16838" w:orient="portrait"/>
          <w:cols w:equalWidth="0" w:num="4">
            <w:col w:w="4280" w:space="140"/>
            <w:col w:w="2080" w:space="720"/>
            <w:col w:w="1960" w:space="140"/>
            <w:col w:w="2100"/>
          </w:cols>
          <w:pgMar w:left="240" w:top="122"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01"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number of shares of $.01 par value common stock outstanding as of July 3, 2010:</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24,669,566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724725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565150</wp:posOffset>
            </wp:positionV>
            <wp:extent cx="725170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32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0320" w:type="dxa"/>
            <w:vAlign w:val="bottom"/>
            <w:gridSpan w:val="22"/>
            <w:vMerge w:val="continue"/>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320" w:type="dxa"/>
            <w:vAlign w:val="bottom"/>
            <w:tcBorders>
              <w:bottom w:val="single" w:sz="8" w:color="0000EE"/>
            </w:tcBorders>
            <w:gridSpan w:val="9"/>
          </w:tcPr>
          <w:p>
            <w:pPr>
              <w:spacing w:after="0"/>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ITEM 1. Financial Statements</w:t>
              </w:r>
            </w:hyperlink>
          </w:p>
        </w:tc>
        <w:tc>
          <w:tcPr>
            <w:tcW w:w="8000" w:type="dxa"/>
            <w:vAlign w:val="bottom"/>
            <w:gridSpan w:val="13"/>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00" w:type="dxa"/>
            <w:vAlign w:val="bottom"/>
            <w:tcBorders>
              <w:bottom w:val="single" w:sz="8" w:color="0000EE"/>
            </w:tcBorders>
            <w:gridSpan w:val="18"/>
          </w:tcPr>
          <w:p>
            <w:pPr>
              <w:spacing w:after="0" w:line="195"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Income – Three Months Ended July 3, 2010 and June 27, 2009</w:t>
              </w:r>
            </w:hyperlink>
          </w:p>
        </w:tc>
        <w:tc>
          <w:tcPr>
            <w:tcW w:w="2680" w:type="dxa"/>
            <w:vAlign w:val="bottom"/>
            <w:gridSpan w:val="2"/>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409"/>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Balance Sheets – July 3, 2010 and April 3, 2010</w:t>
              </w:r>
            </w:hyperlink>
          </w:p>
        </w:tc>
        <w:tc>
          <w:tcPr>
            <w:tcW w:w="4740" w:type="dxa"/>
            <w:vAlign w:val="bottom"/>
            <w:gridSpan w:val="5"/>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09"/>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 of Stockholders’ Equity – Three Months Ended July 3, 2010</w:t>
              </w:r>
            </w:hyperlink>
          </w:p>
        </w:tc>
        <w:tc>
          <w:tcPr>
            <w:tcW w:w="3120" w:type="dxa"/>
            <w:vAlign w:val="bottom"/>
            <w:gridSpan w:val="4"/>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09"/>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 – Three Months Ended July 3, 2010 and June 27, 2009</w:t>
              </w:r>
            </w:hyperlink>
          </w:p>
        </w:tc>
        <w:tc>
          <w:tcPr>
            <w:tcW w:w="23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09"/>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6060" w:type="dxa"/>
            <w:vAlign w:val="bottom"/>
            <w:gridSpan w:val="9"/>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409"/>
        </w:trPr>
        <w:tc>
          <w:tcPr>
            <w:tcW w:w="7500" w:type="dxa"/>
            <w:vAlign w:val="bottom"/>
            <w:tcBorders>
              <w:bottom w:val="single" w:sz="8" w:color="0000EE"/>
            </w:tcBorders>
            <w:gridSpan w:val="19"/>
          </w:tcPr>
          <w:p>
            <w:pPr>
              <w:spacing w:after="0"/>
              <w:rPr>
                <w:rFonts w:ascii="Arial" w:cs="Arial" w:eastAsia="Arial" w:hAnsi="Arial"/>
                <w:sz w:val="18"/>
                <w:szCs w:val="18"/>
                <w:b w:val="1"/>
                <w:bCs w:val="1"/>
                <w:color w:val="0000EE"/>
                <w:w w:val="89"/>
              </w:rPr>
            </w:pPr>
            <w:hyperlink w:anchor="page21">
              <w:r>
                <w:rPr>
                  <w:rFonts w:ascii="Arial" w:cs="Arial" w:eastAsia="Arial" w:hAnsi="Arial"/>
                  <w:sz w:val="18"/>
                  <w:szCs w:val="18"/>
                  <w:b w:val="1"/>
                  <w:bCs w:val="1"/>
                  <w:color w:val="0000EE"/>
                  <w:w w:val="89"/>
                </w:rPr>
                <w:t>ITEM 2. Management’s Discussion and Analysis of Financial Condition and Results of Operations</w:t>
              </w:r>
            </w:hyperlink>
          </w:p>
        </w:tc>
        <w:tc>
          <w:tcPr>
            <w:tcW w:w="2820" w:type="dxa"/>
            <w:vAlign w:val="bottom"/>
            <w:gridSpan w:val="3"/>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09"/>
        </w:trPr>
        <w:tc>
          <w:tcPr>
            <w:tcW w:w="10320" w:type="dxa"/>
            <w:vAlign w:val="bottom"/>
            <w:gridSpan w:val="2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3. Quantitative and Qualitative Disclosures about Market Risk</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409"/>
        </w:trPr>
        <w:tc>
          <w:tcPr>
            <w:tcW w:w="530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4. Controls and Procedures</w:t>
              </w:r>
            </w:hyperlink>
          </w:p>
        </w:tc>
        <w:tc>
          <w:tcPr>
            <w:tcW w:w="5020" w:type="dxa"/>
            <w:vAlign w:val="bottom"/>
            <w:gridSpan w:val="6"/>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76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7560" w:type="dxa"/>
            <w:vAlign w:val="bottom"/>
            <w:gridSpan w:val="11"/>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09"/>
        </w:trPr>
        <w:tc>
          <w:tcPr>
            <w:tcW w:w="2100" w:type="dxa"/>
            <w:vAlign w:val="bottom"/>
            <w:tcBorders>
              <w:bottom w:val="single" w:sz="8" w:color="0000EE"/>
            </w:tcBorders>
            <w:gridSpan w:val="7"/>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1. Legal Proceedings</w:t>
              </w:r>
            </w:hyperlink>
          </w:p>
        </w:tc>
        <w:tc>
          <w:tcPr>
            <w:tcW w:w="8220" w:type="dxa"/>
            <w:vAlign w:val="bottom"/>
            <w:gridSpan w:val="15"/>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09"/>
        </w:trPr>
        <w:tc>
          <w:tcPr>
            <w:tcW w:w="10320" w:type="dxa"/>
            <w:vAlign w:val="bottom"/>
            <w:gridSpan w:val="2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1A. Risk Factors</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0320" w:type="dxa"/>
            <w:vAlign w:val="bottom"/>
            <w:gridSpan w:val="2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2. Unregistered Sales of Equity Securities and Use of Proceeds</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09"/>
        </w:trPr>
        <w:tc>
          <w:tcPr>
            <w:tcW w:w="524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3. Defaults upon Senior Securities</w:t>
              </w:r>
            </w:hyperlink>
          </w:p>
        </w:tc>
        <w:tc>
          <w:tcPr>
            <w:tcW w:w="5080" w:type="dxa"/>
            <w:vAlign w:val="bottom"/>
            <w:gridSpan w:val="7"/>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600" w:type="dxa"/>
            <w:vAlign w:val="bottom"/>
            <w:tcBorders>
              <w:bottom w:val="single" w:sz="8" w:color="0000EE"/>
            </w:tcBorders>
            <w:gridSpan w:val="14"/>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4. Submission of Matter to a Vote of Security Holders</w:t>
              </w:r>
            </w:hyperlink>
          </w:p>
        </w:tc>
        <w:tc>
          <w:tcPr>
            <w:tcW w:w="5720" w:type="dxa"/>
            <w:vAlign w:val="bottom"/>
            <w:gridSpan w:val="8"/>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409"/>
        </w:trPr>
        <w:tc>
          <w:tcPr>
            <w:tcW w:w="10320" w:type="dxa"/>
            <w:vAlign w:val="bottom"/>
            <w:gridSpan w:val="2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5. Other Information</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409"/>
        </w:trPr>
        <w:tc>
          <w:tcPr>
            <w:tcW w:w="214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6. Exhibits</w:t>
              </w:r>
            </w:hyperlink>
          </w:p>
        </w:tc>
        <w:tc>
          <w:tcPr>
            <w:tcW w:w="8180" w:type="dxa"/>
            <w:vAlign w:val="bottom"/>
            <w:gridSpan w:val="14"/>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409"/>
        </w:trPr>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240" w:type="dxa"/>
            <w:vAlign w:val="bottom"/>
            <w:tcBorders>
              <w:top w:val="single" w:sz="8" w:color="0000EE"/>
            </w:tcBorders>
          </w:tcPr>
          <w:p>
            <w:pPr>
              <w:spacing w:after="0"/>
              <w:rPr>
                <w:sz w:val="24"/>
                <w:szCs w:val="24"/>
                <w:color w:val="auto"/>
              </w:rPr>
            </w:pPr>
          </w:p>
        </w:tc>
        <w:tc>
          <w:tcPr>
            <w:tcW w:w="8980" w:type="dxa"/>
            <w:vAlign w:val="bottom"/>
            <w:gridSpan w:val="17"/>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260" w:type="dxa"/>
            <w:vAlign w:val="bottom"/>
            <w:gridSpan w:val="21"/>
          </w:tcPr>
          <w:p>
            <w:pPr>
              <w:spacing w:after="0"/>
              <w:rPr>
                <w:sz w:val="20"/>
                <w:szCs w:val="20"/>
                <w:color w:val="auto"/>
              </w:rPr>
            </w:pPr>
            <w:r>
              <w:rPr>
                <w:rFonts w:ascii="Arial" w:cs="Arial" w:eastAsia="Arial" w:hAnsi="Arial"/>
                <w:sz w:val="17"/>
                <w:szCs w:val="17"/>
                <w:color w:val="0000EE"/>
              </w:rPr>
              <w:t>EX-31.1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680" w:type="dxa"/>
            <w:vAlign w:val="bottom"/>
            <w:gridSpan w:val="1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10260" w:type="dxa"/>
            <w:vAlign w:val="bottom"/>
            <w:gridSpan w:val="21"/>
          </w:tcPr>
          <w:p>
            <w:pPr>
              <w:spacing w:after="0"/>
              <w:rPr>
                <w:sz w:val="20"/>
                <w:szCs w:val="20"/>
                <w:color w:val="auto"/>
              </w:rPr>
            </w:pPr>
            <w:r>
              <w:rPr>
                <w:rFonts w:ascii="Arial" w:cs="Arial" w:eastAsia="Arial" w:hAnsi="Arial"/>
                <w:sz w:val="17"/>
                <w:szCs w:val="17"/>
                <w:color w:val="0000EE"/>
              </w:rPr>
              <w:t>EX-31.2</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680" w:type="dxa"/>
            <w:vAlign w:val="bottom"/>
            <w:gridSpan w:val="1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10260" w:type="dxa"/>
            <w:vAlign w:val="bottom"/>
            <w:gridSpan w:val="21"/>
          </w:tcPr>
          <w:p>
            <w:pPr>
              <w:spacing w:after="0"/>
              <w:rPr>
                <w:sz w:val="20"/>
                <w:szCs w:val="20"/>
                <w:color w:val="auto"/>
              </w:rPr>
            </w:pPr>
            <w:r>
              <w:rPr>
                <w:rFonts w:ascii="Arial" w:cs="Arial" w:eastAsia="Arial" w:hAnsi="Arial"/>
                <w:sz w:val="17"/>
                <w:szCs w:val="17"/>
                <w:color w:val="0000EE"/>
              </w:rPr>
              <w:t>EX-32.1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EX-32.2</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 INSTANCE DOCUMENT</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 SCHEMA DOCUMENT</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 CALCULATION LINKBASE DOCUMENT</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 LABELS LINKBASE DOCUMENT</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 PRESENTATION LINKBASE DOCUMENT</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 DEFINITION LINKBASE DOCUMENT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92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84"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July 3,</w:t>
            </w: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3"/>
              </w:rPr>
              <w:t>June 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2010</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163,039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154,087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76,576</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71,144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86,463</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82,943</w:t>
            </w:r>
          </w:p>
        </w:tc>
        <w:tc>
          <w:tcPr>
            <w:tcW w:w="0" w:type="dxa"/>
            <w:vAlign w:val="bottom"/>
          </w:tcPr>
          <w:p>
            <w:pPr>
              <w:spacing w:after="0"/>
              <w:rPr>
                <w:sz w:val="1"/>
                <w:szCs w:val="1"/>
                <w:color w:val="auto"/>
              </w:rPr>
            </w:pPr>
          </w:p>
        </w:tc>
      </w:tr>
      <w:tr>
        <w:trPr>
          <w:trHeight w:val="434"/>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7,920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54,354</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49,839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62,274</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56,616</w:t>
            </w:r>
          </w:p>
        </w:tc>
        <w:tc>
          <w:tcPr>
            <w:tcW w:w="0" w:type="dxa"/>
            <w:vAlign w:val="bottom"/>
          </w:tcPr>
          <w:p>
            <w:pPr>
              <w:spacing w:after="0"/>
              <w:rPr>
                <w:sz w:val="1"/>
                <w:szCs w:val="1"/>
                <w:color w:val="auto"/>
              </w:rPr>
            </w:pPr>
          </w:p>
        </w:tc>
      </w:tr>
      <w:tr>
        <w:trPr>
          <w:trHeight w:val="43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24,189</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237</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28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24,375</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6,457</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435"/>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17,918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18,073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common share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0.71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0.70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25,140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25,658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25,703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26,201</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280"/>
          </w:cols>
          <w:pgMar w:left="240" w:top="417" w:right="1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HAEMONETICS CORPORATION AND SUBSIDIARIES</w:t>
      </w:r>
    </w:p>
    <w:p>
      <w:pPr>
        <w:jc w:val="center"/>
        <w:spacing w:after="0" w:line="223" w:lineRule="auto"/>
        <w:rPr>
          <w:sz w:val="20"/>
          <w:szCs w:val="20"/>
          <w:color w:val="auto"/>
        </w:rPr>
      </w:pPr>
      <w:r>
        <w:rPr>
          <w:rFonts w:ascii="Arial" w:cs="Arial" w:eastAsia="Arial" w:hAnsi="Arial"/>
          <w:sz w:val="14"/>
          <w:szCs w:val="14"/>
          <w:b w:val="1"/>
          <w:bCs w:val="1"/>
          <w:color w:val="auto"/>
        </w:rPr>
        <w:t>CONSOLIDATED BALANCE SHEETS</w:t>
      </w: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July 3, 2010</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April 3, 2010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389"/>
              <w:spacing w:after="0" w:line="141"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spacing w:after="0" w:line="147" w:lineRule="exact"/>
              <w:rPr>
                <w:sz w:val="20"/>
                <w:szCs w:val="20"/>
                <w:color w:val="auto"/>
              </w:rPr>
            </w:pPr>
            <w:r>
              <w:rPr>
                <w:rFonts w:ascii="Arial" w:cs="Arial" w:eastAsia="Arial" w:hAnsi="Arial"/>
                <w:sz w:val="14"/>
                <w:szCs w:val="14"/>
                <w:b w:val="1"/>
                <w:bCs w:val="1"/>
                <w:color w:val="auto"/>
              </w:rPr>
              <w:t>Current assets:</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320"/>
              <w:spacing w:after="0" w:line="147" w:lineRule="exact"/>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83,467</w:t>
            </w:r>
          </w:p>
        </w:tc>
        <w:tc>
          <w:tcPr>
            <w:tcW w:w="6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141,562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ind w:left="320"/>
              <w:spacing w:after="0" w:line="129" w:lineRule="exact"/>
              <w:rPr>
                <w:sz w:val="20"/>
                <w:szCs w:val="20"/>
                <w:color w:val="auto"/>
              </w:rPr>
            </w:pPr>
            <w:r>
              <w:rPr>
                <w:rFonts w:ascii="Arial" w:cs="Arial" w:eastAsia="Arial" w:hAnsi="Arial"/>
                <w:sz w:val="14"/>
                <w:szCs w:val="14"/>
                <w:color w:val="auto"/>
              </w:rPr>
              <w:t>Accounts receivable, less allowance of $1,377 at</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900" w:type="dxa"/>
            <w:vAlign w:val="bottom"/>
          </w:tcPr>
          <w:p>
            <w:pPr>
              <w:ind w:left="660"/>
              <w:spacing w:after="0"/>
              <w:rPr>
                <w:sz w:val="20"/>
                <w:szCs w:val="20"/>
                <w:color w:val="auto"/>
              </w:rPr>
            </w:pPr>
            <w:r>
              <w:rPr>
                <w:rFonts w:ascii="Arial" w:cs="Arial" w:eastAsia="Arial" w:hAnsi="Arial"/>
                <w:sz w:val="14"/>
                <w:szCs w:val="14"/>
                <w:color w:val="auto"/>
              </w:rPr>
              <w:t>July 3, 2010 and $2,554 at April 3, 2010</w:t>
            </w:r>
          </w:p>
        </w:tc>
        <w:tc>
          <w:tcPr>
            <w:tcW w:w="280" w:type="dxa"/>
            <w:vAlign w:val="bottom"/>
          </w:tcPr>
          <w:p>
            <w:pPr>
              <w:spacing w:after="0"/>
              <w:rPr>
                <w:sz w:val="14"/>
                <w:szCs w:val="14"/>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114,834</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118,684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320"/>
              <w:spacing w:after="0" w:line="147" w:lineRule="exact"/>
              <w:rPr>
                <w:sz w:val="20"/>
                <w:szCs w:val="20"/>
                <w:color w:val="auto"/>
              </w:rPr>
            </w:pPr>
            <w:r>
              <w:rPr>
                <w:rFonts w:ascii="Arial" w:cs="Arial" w:eastAsia="Arial" w:hAnsi="Arial"/>
                <w:sz w:val="14"/>
                <w:szCs w:val="14"/>
                <w:color w:val="auto"/>
              </w:rPr>
              <w:t>Inventories, net</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84,571</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79,953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ind w:left="320"/>
              <w:spacing w:after="0" w:line="147" w:lineRule="exact"/>
              <w:rPr>
                <w:sz w:val="20"/>
                <w:szCs w:val="20"/>
                <w:color w:val="auto"/>
              </w:rPr>
            </w:pPr>
            <w:r>
              <w:rPr>
                <w:rFonts w:ascii="Arial" w:cs="Arial" w:eastAsia="Arial" w:hAnsi="Arial"/>
                <w:sz w:val="14"/>
                <w:szCs w:val="14"/>
                <w:color w:val="auto"/>
              </w:rPr>
              <w:t>Deferred tax asset, net</w:t>
            </w:r>
          </w:p>
        </w:tc>
        <w:tc>
          <w:tcPr>
            <w:tcW w:w="280" w:type="dxa"/>
            <w:vAlign w:val="bottom"/>
          </w:tcPr>
          <w:p>
            <w:pPr>
              <w:spacing w:after="0"/>
              <w:rPr>
                <w:sz w:val="12"/>
                <w:szCs w:val="12"/>
                <w:color w:val="auto"/>
              </w:rPr>
            </w:pPr>
          </w:p>
        </w:tc>
        <w:tc>
          <w:tcPr>
            <w:tcW w:w="1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10,720</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10,985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320"/>
              <w:spacing w:after="0" w:line="147" w:lineRule="exact"/>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29,924</w:t>
            </w:r>
          </w:p>
        </w:tc>
        <w:tc>
          <w:tcPr>
            <w:tcW w:w="3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34,959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00" w:type="dxa"/>
            <w:vAlign w:val="bottom"/>
          </w:tcPr>
          <w:p>
            <w:pPr>
              <w:ind w:left="660"/>
              <w:spacing w:after="0" w:line="155" w:lineRule="exact"/>
              <w:rPr>
                <w:sz w:val="20"/>
                <w:szCs w:val="20"/>
                <w:color w:val="auto"/>
              </w:rPr>
            </w:pPr>
            <w:r>
              <w:rPr>
                <w:rFonts w:ascii="Arial" w:cs="Arial" w:eastAsia="Arial" w:hAnsi="Arial"/>
                <w:sz w:val="14"/>
                <w:szCs w:val="14"/>
                <w:b w:val="1"/>
                <w:bCs w:val="1"/>
                <w:color w:val="auto"/>
              </w:rPr>
              <w:t>Total current assets</w:t>
            </w:r>
          </w:p>
        </w:tc>
        <w:tc>
          <w:tcPr>
            <w:tcW w:w="280" w:type="dxa"/>
            <w:vAlign w:val="bottom"/>
          </w:tcPr>
          <w:p>
            <w:pPr>
              <w:spacing w:after="0"/>
              <w:rPr>
                <w:sz w:val="13"/>
                <w:szCs w:val="13"/>
                <w:color w:val="auto"/>
              </w:rPr>
            </w:pPr>
          </w:p>
        </w:tc>
        <w:tc>
          <w:tcPr>
            <w:tcW w:w="1280" w:type="dxa"/>
            <w:vAlign w:val="bottom"/>
          </w:tcPr>
          <w:p>
            <w:pPr>
              <w:jc w:val="right"/>
              <w:ind w:right="29"/>
              <w:spacing w:after="0" w:line="155" w:lineRule="exact"/>
              <w:rPr>
                <w:sz w:val="20"/>
                <w:szCs w:val="20"/>
                <w:color w:val="auto"/>
              </w:rPr>
            </w:pPr>
            <w:r>
              <w:rPr>
                <w:rFonts w:ascii="Arial" w:cs="Arial" w:eastAsia="Arial" w:hAnsi="Arial"/>
                <w:sz w:val="14"/>
                <w:szCs w:val="14"/>
                <w:color w:val="auto"/>
              </w:rPr>
              <w:t>323,516</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9"/>
              <w:spacing w:after="0" w:line="155" w:lineRule="exact"/>
              <w:rPr>
                <w:sz w:val="20"/>
                <w:szCs w:val="20"/>
                <w:color w:val="auto"/>
              </w:rPr>
            </w:pPr>
            <w:r>
              <w:rPr>
                <w:rFonts w:ascii="Arial" w:cs="Arial" w:eastAsia="Arial" w:hAnsi="Arial"/>
                <w:sz w:val="14"/>
                <w:szCs w:val="14"/>
                <w:color w:val="auto"/>
              </w:rPr>
              <w:t>386,143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Property, plant and equipment:</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ind w:left="320"/>
              <w:spacing w:after="0" w:line="147" w:lineRule="exact"/>
              <w:rPr>
                <w:sz w:val="20"/>
                <w:szCs w:val="20"/>
                <w:color w:val="auto"/>
              </w:rPr>
            </w:pPr>
            <w:r>
              <w:rPr>
                <w:rFonts w:ascii="Arial" w:cs="Arial" w:eastAsia="Arial" w:hAnsi="Arial"/>
                <w:sz w:val="14"/>
                <w:szCs w:val="14"/>
                <w:color w:val="auto"/>
              </w:rPr>
              <w:t>Land, building and building improvements</w:t>
            </w:r>
          </w:p>
        </w:tc>
        <w:tc>
          <w:tcPr>
            <w:tcW w:w="280" w:type="dxa"/>
            <w:vAlign w:val="bottom"/>
          </w:tcPr>
          <w:p>
            <w:pPr>
              <w:spacing w:after="0"/>
              <w:rPr>
                <w:sz w:val="12"/>
                <w:szCs w:val="12"/>
                <w:color w:val="auto"/>
              </w:rPr>
            </w:pPr>
          </w:p>
        </w:tc>
        <w:tc>
          <w:tcPr>
            <w:tcW w:w="1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49,292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49,292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320"/>
              <w:spacing w:after="0" w:line="147" w:lineRule="exact"/>
              <w:rPr>
                <w:sz w:val="20"/>
                <w:szCs w:val="20"/>
                <w:color w:val="auto"/>
              </w:rPr>
            </w:pPr>
            <w:r>
              <w:rPr>
                <w:rFonts w:ascii="Arial" w:cs="Arial" w:eastAsia="Arial" w:hAnsi="Arial"/>
                <w:sz w:val="14"/>
                <w:szCs w:val="14"/>
                <w:color w:val="auto"/>
              </w:rPr>
              <w:t>Plant equipment and machinery</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121,337</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113,534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ind w:left="320"/>
              <w:spacing w:after="0" w:line="147" w:lineRule="exact"/>
              <w:rPr>
                <w:sz w:val="20"/>
                <w:szCs w:val="20"/>
                <w:color w:val="auto"/>
              </w:rPr>
            </w:pPr>
            <w:r>
              <w:rPr>
                <w:rFonts w:ascii="Arial" w:cs="Arial" w:eastAsia="Arial" w:hAnsi="Arial"/>
                <w:sz w:val="14"/>
                <w:szCs w:val="14"/>
                <w:color w:val="auto"/>
              </w:rPr>
              <w:t>Office equipment and information technology</w:t>
            </w:r>
          </w:p>
        </w:tc>
        <w:tc>
          <w:tcPr>
            <w:tcW w:w="280" w:type="dxa"/>
            <w:vAlign w:val="bottom"/>
          </w:tcPr>
          <w:p>
            <w:pPr>
              <w:spacing w:after="0"/>
              <w:rPr>
                <w:sz w:val="12"/>
                <w:szCs w:val="12"/>
                <w:color w:val="auto"/>
              </w:rPr>
            </w:pPr>
          </w:p>
        </w:tc>
        <w:tc>
          <w:tcPr>
            <w:tcW w:w="1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76,173</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74,008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320"/>
              <w:spacing w:after="0" w:line="147" w:lineRule="exact"/>
              <w:rPr>
                <w:sz w:val="20"/>
                <w:szCs w:val="20"/>
                <w:color w:val="auto"/>
              </w:rPr>
            </w:pPr>
            <w:r>
              <w:rPr>
                <w:rFonts w:ascii="Arial" w:cs="Arial" w:eastAsia="Arial" w:hAnsi="Arial"/>
                <w:sz w:val="14"/>
                <w:szCs w:val="14"/>
                <w:color w:val="auto"/>
              </w:rPr>
              <w:t>Haemonetics equipment</w:t>
            </w: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204,590</w:t>
            </w:r>
          </w:p>
        </w:tc>
        <w:tc>
          <w:tcPr>
            <w:tcW w:w="3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206,267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00" w:type="dxa"/>
            <w:vAlign w:val="bottom"/>
          </w:tcPr>
          <w:p>
            <w:pPr>
              <w:ind w:left="660"/>
              <w:spacing w:after="0" w:line="155" w:lineRule="exact"/>
              <w:rPr>
                <w:sz w:val="20"/>
                <w:szCs w:val="20"/>
                <w:color w:val="auto"/>
              </w:rPr>
            </w:pPr>
            <w:r>
              <w:rPr>
                <w:rFonts w:ascii="Arial" w:cs="Arial" w:eastAsia="Arial" w:hAnsi="Arial"/>
                <w:sz w:val="14"/>
                <w:szCs w:val="14"/>
                <w:color w:val="auto"/>
              </w:rPr>
              <w:t>Total property, plant and equipment</w:t>
            </w:r>
          </w:p>
        </w:tc>
        <w:tc>
          <w:tcPr>
            <w:tcW w:w="280" w:type="dxa"/>
            <w:vAlign w:val="bottom"/>
          </w:tcPr>
          <w:p>
            <w:pPr>
              <w:spacing w:after="0"/>
              <w:rPr>
                <w:sz w:val="13"/>
                <w:szCs w:val="13"/>
                <w:color w:val="auto"/>
              </w:rPr>
            </w:pPr>
          </w:p>
        </w:tc>
        <w:tc>
          <w:tcPr>
            <w:tcW w:w="1280" w:type="dxa"/>
            <w:vAlign w:val="bottom"/>
          </w:tcPr>
          <w:p>
            <w:pPr>
              <w:jc w:val="right"/>
              <w:ind w:right="29"/>
              <w:spacing w:after="0" w:line="155" w:lineRule="exact"/>
              <w:rPr>
                <w:sz w:val="20"/>
                <w:szCs w:val="20"/>
                <w:color w:val="auto"/>
              </w:rPr>
            </w:pPr>
            <w:r>
              <w:rPr>
                <w:rFonts w:ascii="Arial" w:cs="Arial" w:eastAsia="Arial" w:hAnsi="Arial"/>
                <w:sz w:val="14"/>
                <w:szCs w:val="14"/>
                <w:color w:val="auto"/>
              </w:rPr>
              <w:t>451,392</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9"/>
              <w:spacing w:after="0" w:line="155" w:lineRule="exact"/>
              <w:rPr>
                <w:sz w:val="20"/>
                <w:szCs w:val="20"/>
                <w:color w:val="auto"/>
              </w:rPr>
            </w:pPr>
            <w:r>
              <w:rPr>
                <w:rFonts w:ascii="Arial" w:cs="Arial" w:eastAsia="Arial" w:hAnsi="Arial"/>
                <w:sz w:val="14"/>
                <w:szCs w:val="14"/>
                <w:color w:val="auto"/>
              </w:rPr>
              <w:t>443,101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660"/>
              <w:spacing w:after="0" w:line="147" w:lineRule="exact"/>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(294,027)</w:t>
            </w:r>
          </w:p>
        </w:tc>
        <w:tc>
          <w:tcPr>
            <w:tcW w:w="3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(289,803)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00" w:type="dxa"/>
            <w:vAlign w:val="bottom"/>
          </w:tcPr>
          <w:p>
            <w:pPr>
              <w:ind w:left="660"/>
              <w:spacing w:after="0" w:line="155" w:lineRule="exact"/>
              <w:rPr>
                <w:sz w:val="20"/>
                <w:szCs w:val="20"/>
                <w:color w:val="auto"/>
              </w:rPr>
            </w:pPr>
            <w:r>
              <w:rPr>
                <w:rFonts w:ascii="Arial" w:cs="Arial" w:eastAsia="Arial" w:hAnsi="Arial"/>
                <w:sz w:val="14"/>
                <w:szCs w:val="14"/>
                <w:b w:val="1"/>
                <w:bCs w:val="1"/>
                <w:color w:val="auto"/>
              </w:rPr>
              <w:t>Net property, plant and equipment</w:t>
            </w:r>
          </w:p>
        </w:tc>
        <w:tc>
          <w:tcPr>
            <w:tcW w:w="280" w:type="dxa"/>
            <w:vAlign w:val="bottom"/>
          </w:tcPr>
          <w:p>
            <w:pPr>
              <w:spacing w:after="0"/>
              <w:rPr>
                <w:sz w:val="13"/>
                <w:szCs w:val="13"/>
                <w:color w:val="auto"/>
              </w:rPr>
            </w:pPr>
          </w:p>
        </w:tc>
        <w:tc>
          <w:tcPr>
            <w:tcW w:w="1280" w:type="dxa"/>
            <w:vAlign w:val="bottom"/>
          </w:tcPr>
          <w:p>
            <w:pPr>
              <w:jc w:val="right"/>
              <w:ind w:right="29"/>
              <w:spacing w:after="0" w:line="155" w:lineRule="exact"/>
              <w:rPr>
                <w:sz w:val="20"/>
                <w:szCs w:val="20"/>
                <w:color w:val="auto"/>
              </w:rPr>
            </w:pPr>
            <w:r>
              <w:rPr>
                <w:rFonts w:ascii="Arial" w:cs="Arial" w:eastAsia="Arial" w:hAnsi="Arial"/>
                <w:sz w:val="14"/>
                <w:szCs w:val="14"/>
                <w:color w:val="auto"/>
              </w:rPr>
              <w:t>157,365</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9"/>
              <w:spacing w:after="0" w:line="155" w:lineRule="exact"/>
              <w:rPr>
                <w:sz w:val="20"/>
                <w:szCs w:val="20"/>
                <w:color w:val="auto"/>
              </w:rPr>
            </w:pPr>
            <w:r>
              <w:rPr>
                <w:rFonts w:ascii="Arial" w:cs="Arial" w:eastAsia="Arial" w:hAnsi="Arial"/>
                <w:sz w:val="14"/>
                <w:szCs w:val="14"/>
                <w:color w:val="auto"/>
              </w:rPr>
              <w:t>153,298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Other assets:</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ind w:left="320"/>
              <w:spacing w:after="0" w:line="129" w:lineRule="exact"/>
              <w:rPr>
                <w:sz w:val="20"/>
                <w:szCs w:val="20"/>
                <w:color w:val="auto"/>
              </w:rPr>
            </w:pPr>
            <w:r>
              <w:rPr>
                <w:rFonts w:ascii="Arial" w:cs="Arial" w:eastAsia="Arial" w:hAnsi="Arial"/>
                <w:sz w:val="14"/>
                <w:szCs w:val="14"/>
                <w:color w:val="auto"/>
              </w:rPr>
              <w:t>Intangible assets, less amortization of $35,845 at</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900" w:type="dxa"/>
            <w:vAlign w:val="bottom"/>
          </w:tcPr>
          <w:p>
            <w:pPr>
              <w:ind w:left="660"/>
              <w:spacing w:after="0"/>
              <w:rPr>
                <w:sz w:val="20"/>
                <w:szCs w:val="20"/>
                <w:color w:val="auto"/>
              </w:rPr>
            </w:pPr>
            <w:r>
              <w:rPr>
                <w:rFonts w:ascii="Arial" w:cs="Arial" w:eastAsia="Arial" w:hAnsi="Arial"/>
                <w:sz w:val="14"/>
                <w:szCs w:val="14"/>
                <w:color w:val="auto"/>
              </w:rPr>
              <w:t>July 3, 2010 and $32,693 at April 3, 2010</w:t>
            </w:r>
          </w:p>
        </w:tc>
        <w:tc>
          <w:tcPr>
            <w:tcW w:w="280" w:type="dxa"/>
            <w:vAlign w:val="bottom"/>
          </w:tcPr>
          <w:p>
            <w:pPr>
              <w:spacing w:after="0"/>
              <w:rPr>
                <w:sz w:val="14"/>
                <w:szCs w:val="14"/>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84,214</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86,102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320"/>
              <w:spacing w:after="0" w:line="147" w:lineRule="exact"/>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117,739</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120,543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ind w:left="320"/>
              <w:spacing w:after="0" w:line="147" w:lineRule="exact"/>
              <w:rPr>
                <w:sz w:val="20"/>
                <w:szCs w:val="20"/>
                <w:color w:val="auto"/>
              </w:rPr>
            </w:pPr>
            <w:r>
              <w:rPr>
                <w:rFonts w:ascii="Arial" w:cs="Arial" w:eastAsia="Arial" w:hAnsi="Arial"/>
                <w:sz w:val="14"/>
                <w:szCs w:val="14"/>
                <w:color w:val="auto"/>
              </w:rPr>
              <w:t>Deferred tax asset, long term</w:t>
            </w:r>
          </w:p>
        </w:tc>
        <w:tc>
          <w:tcPr>
            <w:tcW w:w="280" w:type="dxa"/>
            <w:vAlign w:val="bottom"/>
          </w:tcPr>
          <w:p>
            <w:pPr>
              <w:spacing w:after="0"/>
              <w:rPr>
                <w:sz w:val="12"/>
                <w:szCs w:val="12"/>
                <w:color w:val="auto"/>
              </w:rPr>
            </w:pPr>
          </w:p>
        </w:tc>
        <w:tc>
          <w:tcPr>
            <w:tcW w:w="1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5,433</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4,910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320"/>
              <w:spacing w:after="0" w:line="147" w:lineRule="exact"/>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9,328</w:t>
            </w:r>
          </w:p>
        </w:tc>
        <w:tc>
          <w:tcPr>
            <w:tcW w:w="3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9,664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ind w:left="660"/>
              <w:spacing w:after="0" w:line="155" w:lineRule="exact"/>
              <w:rPr>
                <w:sz w:val="20"/>
                <w:szCs w:val="20"/>
                <w:color w:val="auto"/>
              </w:rPr>
            </w:pPr>
            <w:r>
              <w:rPr>
                <w:rFonts w:ascii="Arial" w:cs="Arial" w:eastAsia="Arial" w:hAnsi="Arial"/>
                <w:sz w:val="14"/>
                <w:szCs w:val="14"/>
                <w:b w:val="1"/>
                <w:bCs w:val="1"/>
                <w:color w:val="auto"/>
              </w:rPr>
              <w:t>Total other assets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216,714</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221,219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660"/>
              <w:spacing w:after="0" w:line="147" w:lineRule="exact"/>
              <w:rPr>
                <w:sz w:val="20"/>
                <w:szCs w:val="20"/>
                <w:color w:val="auto"/>
              </w:rPr>
            </w:pPr>
            <w:r>
              <w:rPr>
                <w:rFonts w:ascii="Arial" w:cs="Arial" w:eastAsia="Arial" w:hAnsi="Arial"/>
                <w:sz w:val="14"/>
                <w:szCs w:val="14"/>
                <w:b w:val="1"/>
                <w:bCs w:val="1"/>
                <w:color w:val="auto"/>
              </w:rPr>
              <w:t>Total assets</w:t>
            </w:r>
          </w:p>
        </w:tc>
        <w:tc>
          <w:tcPr>
            <w:tcW w:w="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697,595</w:t>
            </w:r>
          </w:p>
        </w:tc>
        <w:tc>
          <w:tcPr>
            <w:tcW w:w="6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760,660</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Current liabilities:</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spacing w:after="0" w:line="147" w:lineRule="exact"/>
              <w:rPr>
                <w:sz w:val="20"/>
                <w:szCs w:val="20"/>
                <w:color w:val="auto"/>
              </w:rPr>
            </w:pPr>
            <w:r>
              <w:rPr>
                <w:rFonts w:ascii="Arial" w:cs="Arial" w:eastAsia="Arial" w:hAnsi="Arial"/>
                <w:sz w:val="14"/>
                <w:szCs w:val="14"/>
                <w:color w:val="auto"/>
              </w:rPr>
              <w:t>Notes payable and current maturities of long-term debt</w:t>
            </w:r>
          </w:p>
        </w:tc>
        <w:tc>
          <w:tcPr>
            <w:tcW w:w="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6,418</w:t>
            </w:r>
          </w:p>
        </w:tc>
        <w:tc>
          <w:tcPr>
            <w:tcW w:w="6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16,062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23,418</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25,590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spacing w:after="0" w:line="147" w:lineRule="exact"/>
              <w:rPr>
                <w:sz w:val="20"/>
                <w:szCs w:val="20"/>
                <w:color w:val="auto"/>
              </w:rPr>
            </w:pPr>
            <w:r>
              <w:rPr>
                <w:rFonts w:ascii="Arial" w:cs="Arial" w:eastAsia="Arial" w:hAnsi="Arial"/>
                <w:sz w:val="14"/>
                <w:szCs w:val="14"/>
                <w:color w:val="auto"/>
              </w:rPr>
              <w:t>Accrued payroll and related costs</w:t>
            </w:r>
          </w:p>
        </w:tc>
        <w:tc>
          <w:tcPr>
            <w:tcW w:w="280" w:type="dxa"/>
            <w:vAlign w:val="bottom"/>
          </w:tcPr>
          <w:p>
            <w:pPr>
              <w:spacing w:after="0"/>
              <w:rPr>
                <w:sz w:val="12"/>
                <w:szCs w:val="12"/>
                <w:color w:val="auto"/>
              </w:rPr>
            </w:pPr>
          </w:p>
        </w:tc>
        <w:tc>
          <w:tcPr>
            <w:tcW w:w="1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25,240</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39,046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Accrued income taxes</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2,337</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5,092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spacing w:after="0" w:line="147" w:lineRule="exact"/>
              <w:rPr>
                <w:sz w:val="20"/>
                <w:szCs w:val="20"/>
                <w:color w:val="auto"/>
              </w:rPr>
            </w:pPr>
            <w:r>
              <w:rPr>
                <w:rFonts w:ascii="Arial" w:cs="Arial" w:eastAsia="Arial" w:hAnsi="Arial"/>
                <w:sz w:val="14"/>
                <w:szCs w:val="14"/>
                <w:color w:val="auto"/>
              </w:rPr>
              <w:t>Deferred tax liability</w:t>
            </w:r>
          </w:p>
        </w:tc>
        <w:tc>
          <w:tcPr>
            <w:tcW w:w="280" w:type="dxa"/>
            <w:vAlign w:val="bottom"/>
          </w:tcPr>
          <w:p>
            <w:pPr>
              <w:spacing w:after="0"/>
              <w:rPr>
                <w:sz w:val="12"/>
                <w:szCs w:val="12"/>
                <w:color w:val="auto"/>
              </w:rPr>
            </w:pPr>
          </w:p>
        </w:tc>
        <w:tc>
          <w:tcPr>
            <w:tcW w:w="1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173</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44,427</w:t>
            </w:r>
          </w:p>
        </w:tc>
        <w:tc>
          <w:tcPr>
            <w:tcW w:w="3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50,639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tcPr>
          <w:p>
            <w:pPr>
              <w:ind w:left="660"/>
              <w:spacing w:after="0"/>
              <w:rPr>
                <w:sz w:val="20"/>
                <w:szCs w:val="20"/>
                <w:color w:val="auto"/>
              </w:rPr>
            </w:pPr>
            <w:r>
              <w:rPr>
                <w:rFonts w:ascii="Arial" w:cs="Arial" w:eastAsia="Arial" w:hAnsi="Arial"/>
                <w:sz w:val="14"/>
                <w:szCs w:val="14"/>
                <w:b w:val="1"/>
                <w:bCs w:val="1"/>
                <w:color w:val="auto"/>
              </w:rPr>
              <w:t>Total current liabilities</w:t>
            </w:r>
          </w:p>
        </w:tc>
        <w:tc>
          <w:tcPr>
            <w:tcW w:w="280" w:type="dxa"/>
            <w:vAlign w:val="bottom"/>
          </w:tcPr>
          <w:p>
            <w:pPr>
              <w:spacing w:after="0"/>
              <w:rPr>
                <w:sz w:val="15"/>
                <w:szCs w:val="15"/>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102,013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136,497</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7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Long-term debt, net of current maturities</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4,384</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4,589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spacing w:after="0" w:line="147" w:lineRule="exact"/>
              <w:rPr>
                <w:sz w:val="20"/>
                <w:szCs w:val="20"/>
                <w:color w:val="auto"/>
              </w:rPr>
            </w:pPr>
            <w:r>
              <w:rPr>
                <w:rFonts w:ascii="Arial" w:cs="Arial" w:eastAsia="Arial" w:hAnsi="Arial"/>
                <w:sz w:val="14"/>
                <w:szCs w:val="14"/>
                <w:color w:val="auto"/>
              </w:rPr>
              <w:t>Long-term deferred tax liability</w:t>
            </w:r>
          </w:p>
        </w:tc>
        <w:tc>
          <w:tcPr>
            <w:tcW w:w="280" w:type="dxa"/>
            <w:vAlign w:val="bottom"/>
          </w:tcPr>
          <w:p>
            <w:pPr>
              <w:spacing w:after="0"/>
              <w:rPr>
                <w:sz w:val="12"/>
                <w:szCs w:val="12"/>
                <w:color w:val="auto"/>
              </w:rPr>
            </w:pPr>
          </w:p>
        </w:tc>
        <w:tc>
          <w:tcPr>
            <w:tcW w:w="1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13,512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13,535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long-term liabilities</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12,730</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12,915</w:t>
            </w:r>
          </w:p>
        </w:tc>
        <w:tc>
          <w:tcPr>
            <w:tcW w:w="0" w:type="dxa"/>
            <w:vAlign w:val="bottom"/>
          </w:tcPr>
          <w:p>
            <w:pPr>
              <w:spacing w:after="0"/>
              <w:rPr>
                <w:sz w:val="1"/>
                <w:szCs w:val="1"/>
                <w:color w:val="auto"/>
              </w:rPr>
            </w:pPr>
          </w:p>
        </w:tc>
      </w:tr>
      <w:tr>
        <w:trPr>
          <w:trHeight w:val="310"/>
        </w:trPr>
        <w:tc>
          <w:tcPr>
            <w:tcW w:w="7920" w:type="dxa"/>
            <w:vAlign w:val="bottom"/>
            <w:gridSpan w:val="2"/>
          </w:tcPr>
          <w:p>
            <w:pPr>
              <w:spacing w:after="0"/>
              <w:rPr>
                <w:sz w:val="20"/>
                <w:szCs w:val="20"/>
                <w:color w:val="auto"/>
              </w:rPr>
            </w:pPr>
            <w:r>
              <w:rPr>
                <w:rFonts w:ascii="Arial" w:cs="Arial" w:eastAsia="Arial" w:hAnsi="Arial"/>
                <w:sz w:val="14"/>
                <w:szCs w:val="14"/>
                <w:color w:val="auto"/>
              </w:rPr>
              <w:t>Commitments and contingencies (Note 12)</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7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Stockholders’ equity:</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spacing w:after="0" w:line="129" w:lineRule="exact"/>
              <w:rPr>
                <w:sz w:val="20"/>
                <w:szCs w:val="20"/>
                <w:color w:val="auto"/>
              </w:rPr>
            </w:pPr>
            <w:r>
              <w:rPr>
                <w:rFonts w:ascii="Arial" w:cs="Arial" w:eastAsia="Arial" w:hAnsi="Arial"/>
                <w:sz w:val="14"/>
                <w:szCs w:val="14"/>
                <w:color w:val="auto"/>
              </w:rPr>
              <w:t>Common stock, $0.01 par value; Authorized - 150,000,000 shares; Issued and</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ind w:left="320"/>
              <w:spacing w:after="0" w:line="147" w:lineRule="exact"/>
              <w:rPr>
                <w:sz w:val="20"/>
                <w:szCs w:val="20"/>
                <w:color w:val="auto"/>
              </w:rPr>
            </w:pPr>
            <w:r>
              <w:rPr>
                <w:rFonts w:ascii="Arial" w:cs="Arial" w:eastAsia="Arial" w:hAnsi="Arial"/>
                <w:sz w:val="14"/>
                <w:szCs w:val="14"/>
                <w:color w:val="auto"/>
              </w:rPr>
              <w:t>outstanding– 24,669,566 shares at July 3, 2010 and 25,440,856</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900" w:type="dxa"/>
            <w:vAlign w:val="bottom"/>
          </w:tcPr>
          <w:p>
            <w:pPr>
              <w:ind w:left="320"/>
              <w:spacing w:after="0"/>
              <w:rPr>
                <w:sz w:val="20"/>
                <w:szCs w:val="20"/>
                <w:color w:val="auto"/>
              </w:rPr>
            </w:pPr>
            <w:r>
              <w:rPr>
                <w:rFonts w:ascii="Arial" w:cs="Arial" w:eastAsia="Arial" w:hAnsi="Arial"/>
                <w:sz w:val="14"/>
                <w:szCs w:val="14"/>
                <w:color w:val="auto"/>
              </w:rPr>
              <w:t>shares at April 3, 2010</w:t>
            </w:r>
          </w:p>
        </w:tc>
        <w:tc>
          <w:tcPr>
            <w:tcW w:w="280" w:type="dxa"/>
            <w:vAlign w:val="bottom"/>
          </w:tcPr>
          <w:p>
            <w:pPr>
              <w:spacing w:after="0"/>
              <w:rPr>
                <w:sz w:val="14"/>
                <w:szCs w:val="14"/>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247</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251,113</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252,323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tcPr>
          <w:p>
            <w:pPr>
              <w:spacing w:after="0" w:line="147" w:lineRule="exact"/>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2"/>
                <w:szCs w:val="12"/>
                <w:color w:val="auto"/>
              </w:rPr>
            </w:pPr>
          </w:p>
        </w:tc>
        <w:tc>
          <w:tcPr>
            <w:tcW w:w="12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311,568</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334,641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Accumulated other comprehensive income</w:t>
            </w: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2,028</w:t>
            </w:r>
          </w:p>
        </w:tc>
        <w:tc>
          <w:tcPr>
            <w:tcW w:w="3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5,905</w:t>
            </w:r>
          </w:p>
        </w:tc>
        <w:tc>
          <w:tcPr>
            <w:tcW w:w="0" w:type="dxa"/>
            <w:vAlign w:val="bottom"/>
          </w:tcPr>
          <w:p>
            <w:pPr>
              <w:spacing w:after="0"/>
              <w:rPr>
                <w:sz w:val="1"/>
                <w:szCs w:val="1"/>
                <w:color w:val="auto"/>
              </w:rPr>
            </w:pPr>
          </w:p>
        </w:tc>
      </w:tr>
      <w:tr>
        <w:trPr>
          <w:trHeight w:val="161"/>
        </w:trPr>
        <w:tc>
          <w:tcPr>
            <w:tcW w:w="7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stockholders’ equity</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564,956</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593,124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00" w:type="dxa"/>
            <w:vAlign w:val="bottom"/>
            <w:shd w:val="clear" w:color="auto" w:fill="CCEEFF"/>
          </w:tcPr>
          <w:p>
            <w:pPr>
              <w:ind w:left="660"/>
              <w:spacing w:after="0" w:line="147" w:lineRule="exact"/>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697,595</w:t>
            </w:r>
          </w:p>
        </w:tc>
        <w:tc>
          <w:tcPr>
            <w:tcW w:w="6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760,660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HAEMONETICS CORPORATION AND SUBSIDIARIES CONSOLIDATED STATEMENT OF STOCKHOLDERS’ EQUITY AND OTHER COMPREHENSIVE INCOME (Unaudited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2"/>
          </w:tcPr>
          <w:p>
            <w:pPr>
              <w:jc w:val="center"/>
              <w:ind w:right="89"/>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94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20" w:type="dxa"/>
            <w:vAlign w:val="bottom"/>
            <w:gridSpan w:val="2"/>
            <w:vMerge w:val="restart"/>
          </w:tcPr>
          <w:p>
            <w:pPr>
              <w:jc w:val="right"/>
              <w:ind w:right="169"/>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center"/>
              <w:ind w:right="429"/>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720" w:type="dxa"/>
            <w:vAlign w:val="bottom"/>
            <w:tcBorders>
              <w:bottom w:val="single" w:sz="8" w:color="auto"/>
            </w:tcBorders>
            <w:gridSpan w:val="2"/>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449"/>
              <w:spacing w:after="0" w:line="123"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3"/>
                <w:szCs w:val="13"/>
                <w:color w:val="auto"/>
              </w:rPr>
            </w:pPr>
          </w:p>
        </w:tc>
        <w:tc>
          <w:tcPr>
            <w:tcW w:w="1040" w:type="dxa"/>
            <w:vAlign w:val="bottom"/>
          </w:tcPr>
          <w:p>
            <w:pPr>
              <w:jc w:val="right"/>
              <w:ind w:right="389"/>
              <w:spacing w:after="0" w:line="123" w:lineRule="exact"/>
              <w:rPr>
                <w:sz w:val="20"/>
                <w:szCs w:val="20"/>
                <w:color w:val="auto"/>
              </w:rPr>
            </w:pPr>
            <w:r>
              <w:rPr>
                <w:rFonts w:ascii="Arial" w:cs="Arial" w:eastAsia="Arial" w:hAnsi="Arial"/>
                <w:sz w:val="14"/>
                <w:szCs w:val="14"/>
                <w:b w:val="1"/>
                <w:bCs w:val="1"/>
                <w:color w:val="auto"/>
                <w:w w:val="94"/>
              </w:rPr>
              <w:t>Retained</w:t>
            </w:r>
          </w:p>
        </w:tc>
        <w:tc>
          <w:tcPr>
            <w:tcW w:w="1420" w:type="dxa"/>
            <w:vAlign w:val="bottom"/>
            <w:gridSpan w:val="2"/>
          </w:tcPr>
          <w:p>
            <w:pPr>
              <w:jc w:val="center"/>
              <w:ind w:right="89"/>
              <w:spacing w:after="0" w:line="123" w:lineRule="exact"/>
              <w:rPr>
                <w:sz w:val="20"/>
                <w:szCs w:val="20"/>
                <w:color w:val="auto"/>
              </w:rPr>
            </w:pPr>
            <w:r>
              <w:rPr>
                <w:rFonts w:ascii="Arial" w:cs="Arial" w:eastAsia="Arial" w:hAnsi="Arial"/>
                <w:sz w:val="14"/>
                <w:szCs w:val="14"/>
                <w:b w:val="1"/>
                <w:bCs w:val="1"/>
                <w:color w:val="auto"/>
                <w:w w:val="89"/>
              </w:rPr>
              <w:t>Comprehensive</w:t>
            </w:r>
          </w:p>
        </w:tc>
        <w:tc>
          <w:tcPr>
            <w:tcW w:w="1260" w:type="dxa"/>
            <w:vAlign w:val="bottom"/>
            <w:gridSpan w:val="2"/>
          </w:tcPr>
          <w:p>
            <w:pPr>
              <w:ind w:left="180"/>
              <w:spacing w:after="0" w:line="123" w:lineRule="exact"/>
              <w:rPr>
                <w:sz w:val="20"/>
                <w:szCs w:val="20"/>
                <w:color w:val="auto"/>
              </w:rPr>
            </w:pPr>
            <w:r>
              <w:rPr>
                <w:rFonts w:ascii="Arial" w:cs="Arial" w:eastAsia="Arial" w:hAnsi="Arial"/>
                <w:sz w:val="14"/>
                <w:szCs w:val="14"/>
                <w:b w:val="1"/>
                <w:bCs w:val="1"/>
                <w:color w:val="auto"/>
              </w:rPr>
              <w:t>Stockholders’</w:t>
            </w:r>
          </w:p>
        </w:tc>
        <w:tc>
          <w:tcPr>
            <w:tcW w:w="180" w:type="dxa"/>
            <w:vAlign w:val="bottom"/>
          </w:tcPr>
          <w:p>
            <w:pPr>
              <w:spacing w:after="0"/>
              <w:rPr>
                <w:sz w:val="13"/>
                <w:szCs w:val="13"/>
                <w:color w:val="auto"/>
              </w:rPr>
            </w:pPr>
          </w:p>
        </w:tc>
        <w:tc>
          <w:tcPr>
            <w:tcW w:w="1240" w:type="dxa"/>
            <w:vAlign w:val="bottom"/>
            <w:gridSpan w:val="2"/>
          </w:tcPr>
          <w:p>
            <w:pPr>
              <w:jc w:val="right"/>
              <w:ind w:right="129"/>
              <w:spacing w:after="0" w:line="123" w:lineRule="exact"/>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20" w:type="dxa"/>
            <w:vAlign w:val="bottom"/>
            <w:tcBorders>
              <w:bottom w:val="single" w:sz="8" w:color="auto"/>
            </w:tcBorders>
          </w:tcPr>
          <w:p>
            <w:pPr>
              <w:jc w:val="right"/>
              <w:ind w:right="349"/>
              <w:spacing w:after="0" w:line="147"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auto"/>
            </w:tcBorders>
          </w:tcPr>
          <w:p>
            <w:pPr>
              <w:jc w:val="right"/>
              <w:ind w:right="9"/>
              <w:spacing w:after="0" w:line="147" w:lineRule="exact"/>
              <w:rPr>
                <w:sz w:val="20"/>
                <w:szCs w:val="20"/>
                <w:color w:val="auto"/>
              </w:rPr>
            </w:pPr>
            <w:r>
              <w:rPr>
                <w:rFonts w:ascii="Arial" w:cs="Arial" w:eastAsia="Arial" w:hAnsi="Arial"/>
                <w:sz w:val="14"/>
                <w:szCs w:val="14"/>
                <w:b w:val="1"/>
                <w:bCs w:val="1"/>
                <w:color w:val="auto"/>
              </w:rPr>
              <w:t>$’s</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9"/>
              <w:spacing w:after="0" w:line="147" w:lineRule="exact"/>
              <w:rPr>
                <w:sz w:val="20"/>
                <w:szCs w:val="20"/>
                <w:color w:val="auto"/>
              </w:rPr>
            </w:pPr>
            <w:r>
              <w:rPr>
                <w:rFonts w:ascii="Arial" w:cs="Arial" w:eastAsia="Arial" w:hAnsi="Arial"/>
                <w:sz w:val="14"/>
                <w:szCs w:val="14"/>
                <w:b w:val="1"/>
                <w:bCs w:val="1"/>
                <w:color w:val="auto"/>
              </w:rPr>
              <w:t>Capital</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9"/>
              <w:spacing w:after="0" w:line="147" w:lineRule="exact"/>
              <w:rPr>
                <w:sz w:val="20"/>
                <w:szCs w:val="20"/>
                <w:color w:val="auto"/>
              </w:rPr>
            </w:pPr>
            <w:r>
              <w:rPr>
                <w:rFonts w:ascii="Arial" w:cs="Arial" w:eastAsia="Arial" w:hAnsi="Arial"/>
                <w:sz w:val="14"/>
                <w:szCs w:val="14"/>
                <w:b w:val="1"/>
                <w:bCs w:val="1"/>
                <w:color w:val="auto"/>
                <w:w w:val="96"/>
              </w:rPr>
              <w:t>Earnings</w:t>
            </w:r>
          </w:p>
        </w:tc>
        <w:tc>
          <w:tcPr>
            <w:tcW w:w="1420" w:type="dxa"/>
            <w:vAlign w:val="bottom"/>
            <w:tcBorders>
              <w:bottom w:val="single" w:sz="8" w:color="auto"/>
            </w:tcBorders>
            <w:gridSpan w:val="2"/>
          </w:tcPr>
          <w:p>
            <w:pPr>
              <w:jc w:val="center"/>
              <w:ind w:right="89"/>
              <w:spacing w:after="0" w:line="147" w:lineRule="exact"/>
              <w:rPr>
                <w:sz w:val="20"/>
                <w:szCs w:val="20"/>
                <w:color w:val="auto"/>
              </w:rPr>
            </w:pPr>
            <w:r>
              <w:rPr>
                <w:rFonts w:ascii="Arial" w:cs="Arial" w:eastAsia="Arial" w:hAnsi="Arial"/>
                <w:sz w:val="14"/>
                <w:szCs w:val="14"/>
                <w:b w:val="1"/>
                <w:bCs w:val="1"/>
                <w:color w:val="auto"/>
                <w:w w:val="91"/>
              </w:rPr>
              <w:t>Income / (Loss)</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9"/>
              <w:spacing w:after="0" w:line="147" w:lineRule="exact"/>
              <w:rPr>
                <w:sz w:val="20"/>
                <w:szCs w:val="20"/>
                <w:color w:val="auto"/>
              </w:rPr>
            </w:pPr>
            <w:r>
              <w:rPr>
                <w:rFonts w:ascii="Arial" w:cs="Arial" w:eastAsia="Arial" w:hAnsi="Arial"/>
                <w:sz w:val="14"/>
                <w:szCs w:val="14"/>
                <w:b w:val="1"/>
                <w:bCs w:val="1"/>
                <w:color w:val="auto"/>
              </w:rPr>
              <w:t>Equity</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9"/>
              <w:spacing w:after="0" w:line="147"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Balance, April 3, 2010</w:t>
            </w:r>
          </w:p>
        </w:tc>
        <w:tc>
          <w:tcPr>
            <w:tcW w:w="1020" w:type="dxa"/>
            <w:vAlign w:val="bottom"/>
            <w:tcBorders>
              <w:bottom w:val="single" w:sz="8" w:color="auto"/>
            </w:tcBorders>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25,441</w:t>
            </w:r>
          </w:p>
        </w:tc>
        <w:tc>
          <w:tcPr>
            <w:tcW w:w="700" w:type="dxa"/>
            <w:vAlign w:val="bottom"/>
            <w:tcBorders>
              <w:bottom w:val="single" w:sz="8" w:color="auto"/>
            </w:tcBorders>
            <w:shd w:val="clear" w:color="auto" w:fill="CCEEFF"/>
          </w:tcPr>
          <w:p>
            <w:pPr>
              <w:jc w:val="right"/>
              <w:ind w:right="389"/>
              <w:spacing w:after="0" w:line="147"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255</w:t>
            </w:r>
          </w:p>
        </w:tc>
        <w:tc>
          <w:tcPr>
            <w:tcW w:w="2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69"/>
              <w:spacing w:after="0" w:line="147" w:lineRule="exact"/>
              <w:rPr>
                <w:sz w:val="20"/>
                <w:szCs w:val="20"/>
                <w:color w:val="auto"/>
              </w:rPr>
            </w:pPr>
            <w:r>
              <w:rPr>
                <w:rFonts w:ascii="Arial" w:cs="Arial" w:eastAsia="Arial" w:hAnsi="Arial"/>
                <w:sz w:val="14"/>
                <w:szCs w:val="14"/>
                <w:color w:val="auto"/>
              </w:rPr>
              <w:t>252,323</w:t>
            </w:r>
          </w:p>
        </w:tc>
        <w:tc>
          <w:tcPr>
            <w:tcW w:w="26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334,641</w:t>
            </w:r>
          </w:p>
        </w:tc>
        <w:tc>
          <w:tcPr>
            <w:tcW w:w="36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5,905</w:t>
            </w:r>
          </w:p>
        </w:tc>
        <w:tc>
          <w:tcPr>
            <w:tcW w:w="320" w:type="dxa"/>
            <w:vAlign w:val="bottom"/>
            <w:tcBorders>
              <w:bottom w:val="single" w:sz="8" w:color="auto"/>
            </w:tcBorders>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593,124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2440" w:type="dxa"/>
            <w:vAlign w:val="bottom"/>
          </w:tcPr>
          <w:p>
            <w:pPr>
              <w:ind w:left="260"/>
              <w:spacing w:after="0"/>
              <w:rPr>
                <w:sz w:val="20"/>
                <w:szCs w:val="20"/>
                <w:color w:val="auto"/>
              </w:rPr>
            </w:pPr>
            <w:r>
              <w:rPr>
                <w:rFonts w:ascii="Arial" w:cs="Arial" w:eastAsia="Arial" w:hAnsi="Arial"/>
                <w:sz w:val="14"/>
                <w:szCs w:val="14"/>
                <w:color w:val="auto"/>
              </w:rPr>
              <w:t>Employee stock purchase plan</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36</w:t>
            </w:r>
          </w:p>
        </w:tc>
        <w:tc>
          <w:tcPr>
            <w:tcW w:w="7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169"/>
              <w:spacing w:after="0"/>
              <w:rPr>
                <w:sz w:val="20"/>
                <w:szCs w:val="20"/>
                <w:color w:val="auto"/>
              </w:rPr>
            </w:pPr>
            <w:r>
              <w:rPr>
                <w:rFonts w:ascii="Arial" w:cs="Arial" w:eastAsia="Arial" w:hAnsi="Arial"/>
                <w:sz w:val="14"/>
                <w:szCs w:val="14"/>
                <w:color w:val="auto"/>
              </w:rPr>
              <w:t>1,645</w:t>
            </w:r>
          </w:p>
        </w:tc>
        <w:tc>
          <w:tcPr>
            <w:tcW w:w="260" w:type="dxa"/>
            <w:vAlign w:val="bottom"/>
          </w:tcPr>
          <w:p>
            <w:pPr>
              <w:spacing w:after="0"/>
              <w:rPr>
                <w:sz w:val="24"/>
                <w:szCs w:val="24"/>
                <w:color w:val="auto"/>
              </w:rPr>
            </w:pP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1,645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ind w:left="260"/>
              <w:spacing w:after="0" w:line="129" w:lineRule="exact"/>
              <w:rPr>
                <w:sz w:val="20"/>
                <w:szCs w:val="20"/>
                <w:color w:val="auto"/>
              </w:rPr>
            </w:pPr>
            <w:r>
              <w:rPr>
                <w:rFonts w:ascii="Arial" w:cs="Arial" w:eastAsia="Arial" w:hAnsi="Arial"/>
                <w:sz w:val="14"/>
                <w:szCs w:val="14"/>
                <w:color w:val="auto"/>
              </w:rPr>
              <w:t>Exercise of stock options and</w:t>
            </w:r>
          </w:p>
        </w:tc>
        <w:tc>
          <w:tcPr>
            <w:tcW w:w="10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related tax benefit</w:t>
            </w:r>
          </w:p>
        </w:tc>
        <w:tc>
          <w:tcPr>
            <w:tcW w:w="10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100</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3,948</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3,949</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ind w:left="260"/>
              <w:spacing w:after="0" w:line="147" w:lineRule="exact"/>
              <w:rPr>
                <w:sz w:val="20"/>
                <w:szCs w:val="20"/>
                <w:color w:val="auto"/>
              </w:rPr>
            </w:pPr>
            <w:r>
              <w:rPr>
                <w:rFonts w:ascii="Arial" w:cs="Arial" w:eastAsia="Arial" w:hAnsi="Arial"/>
                <w:sz w:val="14"/>
                <w:szCs w:val="14"/>
                <w:color w:val="auto"/>
              </w:rPr>
              <w:t>Shares repurchased</w:t>
            </w:r>
          </w:p>
        </w:tc>
        <w:tc>
          <w:tcPr>
            <w:tcW w:w="1020" w:type="dxa"/>
            <w:vAlign w:val="bottom"/>
          </w:tcPr>
          <w:p>
            <w:pPr>
              <w:jc w:val="right"/>
              <w:ind w:right="109"/>
              <w:spacing w:after="0" w:line="147" w:lineRule="exact"/>
              <w:rPr>
                <w:sz w:val="20"/>
                <w:szCs w:val="20"/>
                <w:color w:val="auto"/>
              </w:rPr>
            </w:pPr>
            <w:r>
              <w:rPr>
                <w:rFonts w:ascii="Arial" w:cs="Arial" w:eastAsia="Arial" w:hAnsi="Arial"/>
                <w:sz w:val="14"/>
                <w:szCs w:val="14"/>
                <w:color w:val="auto"/>
              </w:rPr>
              <w:t>(907)</w:t>
            </w:r>
          </w:p>
        </w:tc>
        <w:tc>
          <w:tcPr>
            <w:tcW w:w="700" w:type="dxa"/>
            <w:vAlign w:val="bottom"/>
          </w:tcPr>
          <w:p>
            <w:pPr>
              <w:spacing w:after="0"/>
              <w:rPr>
                <w:sz w:val="12"/>
                <w:szCs w:val="12"/>
                <w:color w:val="auto"/>
              </w:rPr>
            </w:pPr>
          </w:p>
        </w:tc>
        <w:tc>
          <w:tcPr>
            <w:tcW w:w="5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2"/>
                <w:szCs w:val="12"/>
                <w:color w:val="auto"/>
              </w:rPr>
            </w:pPr>
          </w:p>
        </w:tc>
        <w:tc>
          <w:tcPr>
            <w:tcW w:w="1080" w:type="dxa"/>
            <w:vAlign w:val="bottom"/>
          </w:tcPr>
          <w:p>
            <w:pPr>
              <w:jc w:val="right"/>
              <w:ind w:right="109"/>
              <w:spacing w:after="0" w:line="147" w:lineRule="exact"/>
              <w:rPr>
                <w:sz w:val="20"/>
                <w:szCs w:val="20"/>
                <w:color w:val="auto"/>
              </w:rPr>
            </w:pPr>
            <w:r>
              <w:rPr>
                <w:rFonts w:ascii="Arial" w:cs="Arial" w:eastAsia="Arial" w:hAnsi="Arial"/>
                <w:sz w:val="14"/>
                <w:szCs w:val="14"/>
                <w:color w:val="auto"/>
              </w:rPr>
              <w:t>(9,000)</w:t>
            </w:r>
          </w:p>
        </w:tc>
        <w:tc>
          <w:tcPr>
            <w:tcW w:w="260" w:type="dxa"/>
            <w:vAlign w:val="bottom"/>
          </w:tcPr>
          <w:p>
            <w:pPr>
              <w:spacing w:after="0"/>
              <w:rPr>
                <w:sz w:val="12"/>
                <w:szCs w:val="12"/>
                <w:color w:val="auto"/>
              </w:rPr>
            </w:pPr>
          </w:p>
        </w:tc>
        <w:tc>
          <w:tcPr>
            <w:tcW w:w="1040" w:type="dxa"/>
            <w:vAlign w:val="bottom"/>
          </w:tcPr>
          <w:p>
            <w:pPr>
              <w:jc w:val="right"/>
              <w:ind w:right="109"/>
              <w:spacing w:after="0" w:line="147" w:lineRule="exact"/>
              <w:rPr>
                <w:sz w:val="20"/>
                <w:szCs w:val="20"/>
                <w:color w:val="auto"/>
              </w:rPr>
            </w:pPr>
            <w:r>
              <w:rPr>
                <w:rFonts w:ascii="Arial" w:cs="Arial" w:eastAsia="Arial" w:hAnsi="Arial"/>
                <w:sz w:val="14"/>
                <w:szCs w:val="14"/>
                <w:color w:val="auto"/>
              </w:rPr>
              <w:t>(40,991)</w:t>
            </w:r>
          </w:p>
        </w:tc>
        <w:tc>
          <w:tcPr>
            <w:tcW w:w="360" w:type="dxa"/>
            <w:vAlign w:val="bottom"/>
          </w:tcPr>
          <w:p>
            <w:pPr>
              <w:spacing w:after="0"/>
              <w:rPr>
                <w:sz w:val="12"/>
                <w:szCs w:val="12"/>
                <w:color w:val="auto"/>
              </w:rPr>
            </w:pPr>
          </w:p>
        </w:tc>
        <w:tc>
          <w:tcPr>
            <w:tcW w:w="1060" w:type="dxa"/>
            <w:vAlign w:val="bottom"/>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color w:val="auto"/>
              </w:rPr>
              <w:t>(50,000)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Stock compensation expense</w:t>
            </w:r>
          </w:p>
        </w:tc>
        <w:tc>
          <w:tcPr>
            <w:tcW w:w="1020" w:type="dxa"/>
            <w:vAlign w:val="bottom"/>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69"/>
              <w:spacing w:after="0" w:line="147" w:lineRule="exact"/>
              <w:rPr>
                <w:sz w:val="20"/>
                <w:szCs w:val="20"/>
                <w:color w:val="auto"/>
              </w:rPr>
            </w:pPr>
            <w:r>
              <w:rPr>
                <w:rFonts w:ascii="Arial" w:cs="Arial" w:eastAsia="Arial" w:hAnsi="Arial"/>
                <w:sz w:val="14"/>
                <w:szCs w:val="14"/>
                <w:color w:val="auto"/>
              </w:rPr>
              <w:t>2,197</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2,197</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ind w:left="260"/>
              <w:spacing w:after="0" w:line="147" w:lineRule="exact"/>
              <w:rPr>
                <w:sz w:val="20"/>
                <w:szCs w:val="20"/>
                <w:color w:val="auto"/>
              </w:rPr>
            </w:pPr>
            <w:r>
              <w:rPr>
                <w:rFonts w:ascii="Arial" w:cs="Arial" w:eastAsia="Arial" w:hAnsi="Arial"/>
                <w:sz w:val="14"/>
                <w:szCs w:val="14"/>
                <w:color w:val="auto"/>
              </w:rPr>
              <w:t>Net income</w:t>
            </w:r>
          </w:p>
        </w:tc>
        <w:tc>
          <w:tcPr>
            <w:tcW w:w="1020" w:type="dxa"/>
            <w:vAlign w:val="bottom"/>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169"/>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40" w:type="dxa"/>
            <w:vAlign w:val="bottom"/>
          </w:tcPr>
          <w:p>
            <w:pPr>
              <w:jc w:val="right"/>
              <w:ind w:right="149"/>
              <w:spacing w:after="0" w:line="147" w:lineRule="exact"/>
              <w:rPr>
                <w:sz w:val="20"/>
                <w:szCs w:val="20"/>
                <w:color w:val="auto"/>
              </w:rPr>
            </w:pPr>
            <w:r>
              <w:rPr>
                <w:rFonts w:ascii="Arial" w:cs="Arial" w:eastAsia="Arial" w:hAnsi="Arial"/>
                <w:sz w:val="14"/>
                <w:szCs w:val="14"/>
                <w:color w:val="auto"/>
              </w:rPr>
              <w:t>17,918</w:t>
            </w:r>
          </w:p>
        </w:tc>
        <w:tc>
          <w:tcPr>
            <w:tcW w:w="360" w:type="dxa"/>
            <w:vAlign w:val="bottom"/>
          </w:tcPr>
          <w:p>
            <w:pPr>
              <w:spacing w:after="0"/>
              <w:rPr>
                <w:sz w:val="12"/>
                <w:szCs w:val="12"/>
                <w:color w:val="auto"/>
              </w:rPr>
            </w:pPr>
          </w:p>
        </w:tc>
        <w:tc>
          <w:tcPr>
            <w:tcW w:w="1060" w:type="dxa"/>
            <w:vAlign w:val="bottom"/>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17,918</w:t>
            </w:r>
          </w:p>
        </w:tc>
        <w:tc>
          <w:tcPr>
            <w:tcW w:w="440" w:type="dxa"/>
            <w:vAlign w:val="bottom"/>
            <w:gridSpan w:val="2"/>
          </w:tcPr>
          <w:p>
            <w:pPr>
              <w:jc w:val="right"/>
              <w:ind w:right="9"/>
              <w:spacing w:after="0" w:line="14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17,918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ind w:left="260"/>
              <w:spacing w:after="0" w:line="129" w:lineRule="exact"/>
              <w:rPr>
                <w:sz w:val="20"/>
                <w:szCs w:val="20"/>
                <w:color w:val="auto"/>
              </w:rPr>
            </w:pPr>
            <w:r>
              <w:rPr>
                <w:rFonts w:ascii="Arial" w:cs="Arial" w:eastAsia="Arial" w:hAnsi="Arial"/>
                <w:sz w:val="14"/>
                <w:szCs w:val="14"/>
                <w:color w:val="auto"/>
              </w:rPr>
              <w:t>Net change in minimum pension</w:t>
            </w:r>
          </w:p>
        </w:tc>
        <w:tc>
          <w:tcPr>
            <w:tcW w:w="10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liability</w:t>
            </w:r>
          </w:p>
        </w:tc>
        <w:tc>
          <w:tcPr>
            <w:tcW w:w="10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(49)</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ind w:left="260"/>
              <w:spacing w:after="0" w:line="129"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tcPr>
          <w:p>
            <w:pPr>
              <w:ind w:left="460"/>
              <w:spacing w:after="0"/>
              <w:rPr>
                <w:sz w:val="20"/>
                <w:szCs w:val="20"/>
                <w:color w:val="auto"/>
              </w:rPr>
            </w:pPr>
            <w:r>
              <w:rPr>
                <w:rFonts w:ascii="Arial" w:cs="Arial" w:eastAsia="Arial" w:hAnsi="Arial"/>
                <w:sz w:val="14"/>
                <w:szCs w:val="14"/>
                <w:color w:val="auto"/>
              </w:rPr>
              <w:t>adjustment</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(4,247)</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(4,247)</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shd w:val="clear" w:color="auto" w:fill="CCEEFF"/>
          </w:tcPr>
          <w:p>
            <w:pPr>
              <w:ind w:left="260"/>
              <w:spacing w:after="0" w:line="129" w:lineRule="exact"/>
              <w:rPr>
                <w:sz w:val="20"/>
                <w:szCs w:val="20"/>
                <w:color w:val="auto"/>
              </w:rPr>
            </w:pPr>
            <w:r>
              <w:rPr>
                <w:rFonts w:ascii="Arial" w:cs="Arial" w:eastAsia="Arial" w:hAnsi="Arial"/>
                <w:sz w:val="14"/>
                <w:szCs w:val="14"/>
                <w:color w:val="auto"/>
              </w:rPr>
              <w:t>Unrealized gain on hedges, net of</w:t>
            </w:r>
          </w:p>
        </w:tc>
        <w:tc>
          <w:tcPr>
            <w:tcW w:w="10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tax</w:t>
            </w:r>
          </w:p>
        </w:tc>
        <w:tc>
          <w:tcPr>
            <w:tcW w:w="10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450</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450</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ind w:left="260"/>
              <w:spacing w:after="0" w:line="129" w:lineRule="exact"/>
              <w:rPr>
                <w:sz w:val="20"/>
                <w:szCs w:val="20"/>
                <w:color w:val="auto"/>
              </w:rPr>
            </w:pPr>
            <w:r>
              <w:rPr>
                <w:rFonts w:ascii="Arial" w:cs="Arial" w:eastAsia="Arial" w:hAnsi="Arial"/>
                <w:sz w:val="14"/>
                <w:szCs w:val="14"/>
                <w:color w:val="auto"/>
              </w:rPr>
              <w:t>Reclassification of hedge gain to</w:t>
            </w: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Pr>
          <w:p>
            <w:pPr>
              <w:ind w:left="460"/>
              <w:spacing w:after="0"/>
              <w:rPr>
                <w:sz w:val="20"/>
                <w:szCs w:val="20"/>
                <w:color w:val="auto"/>
              </w:rPr>
            </w:pPr>
            <w:r>
              <w:rPr>
                <w:rFonts w:ascii="Arial" w:cs="Arial" w:eastAsia="Arial" w:hAnsi="Arial"/>
                <w:sz w:val="14"/>
                <w:szCs w:val="14"/>
                <w:color w:val="auto"/>
              </w:rPr>
              <w:t>earnings, net of tax</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(31)</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Comprehensive income</w:t>
            </w:r>
          </w:p>
        </w:tc>
        <w:tc>
          <w:tcPr>
            <w:tcW w:w="1020" w:type="dxa"/>
            <w:vAlign w:val="bottom"/>
            <w:tcBorders>
              <w:bottom w:val="single" w:sz="8" w:color="auto"/>
            </w:tcBorders>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69"/>
              <w:spacing w:after="0" w:line="147"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14,041</w:t>
            </w: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July 3, 2010</w:t>
            </w:r>
          </w:p>
        </w:tc>
        <w:tc>
          <w:tcPr>
            <w:tcW w:w="1020" w:type="dxa"/>
            <w:vAlign w:val="bottom"/>
            <w:vMerge w:val="restart"/>
          </w:tcPr>
          <w:p>
            <w:pPr>
              <w:jc w:val="right"/>
              <w:ind w:right="149"/>
              <w:spacing w:after="0"/>
              <w:rPr>
                <w:sz w:val="20"/>
                <w:szCs w:val="20"/>
                <w:color w:val="auto"/>
              </w:rPr>
            </w:pPr>
            <w:r>
              <w:rPr>
                <w:rFonts w:ascii="Arial" w:cs="Arial" w:eastAsia="Arial" w:hAnsi="Arial"/>
                <w:sz w:val="14"/>
                <w:szCs w:val="14"/>
                <w:color w:val="auto"/>
              </w:rPr>
              <w:t>24,670</w:t>
            </w:r>
          </w:p>
        </w:tc>
        <w:tc>
          <w:tcPr>
            <w:tcW w:w="700" w:type="dxa"/>
            <w:vAlign w:val="bottom"/>
            <w:vMerge w:val="restart"/>
          </w:tcPr>
          <w:p>
            <w:pPr>
              <w:jc w:val="right"/>
              <w:ind w:right="389"/>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22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69"/>
              <w:spacing w:after="0"/>
              <w:rPr>
                <w:sz w:val="20"/>
                <w:szCs w:val="20"/>
                <w:color w:val="auto"/>
              </w:rPr>
            </w:pPr>
            <w:r>
              <w:rPr>
                <w:rFonts w:ascii="Arial" w:cs="Arial" w:eastAsia="Arial" w:hAnsi="Arial"/>
                <w:sz w:val="14"/>
                <w:szCs w:val="14"/>
                <w:color w:val="auto"/>
              </w:rPr>
              <w:t>251,113</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49"/>
              <w:spacing w:after="0"/>
              <w:rPr>
                <w:sz w:val="20"/>
                <w:szCs w:val="20"/>
                <w:color w:val="auto"/>
              </w:rPr>
            </w:pPr>
            <w:r>
              <w:rPr>
                <w:rFonts w:ascii="Arial" w:cs="Arial" w:eastAsia="Arial" w:hAnsi="Arial"/>
                <w:sz w:val="14"/>
                <w:szCs w:val="14"/>
                <w:color w:val="auto"/>
              </w:rPr>
              <w:t>311,568</w:t>
            </w:r>
          </w:p>
        </w:tc>
        <w:tc>
          <w:tcPr>
            <w:tcW w:w="3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49"/>
              <w:spacing w:after="0"/>
              <w:rPr>
                <w:sz w:val="20"/>
                <w:szCs w:val="20"/>
                <w:color w:val="auto"/>
              </w:rPr>
            </w:pPr>
            <w:r>
              <w:rPr>
                <w:rFonts w:ascii="Arial" w:cs="Arial" w:eastAsia="Arial" w:hAnsi="Arial"/>
                <w:sz w:val="14"/>
                <w:szCs w:val="14"/>
                <w:color w:val="auto"/>
              </w:rPr>
              <w:t>2,028</w:t>
            </w:r>
          </w:p>
        </w:tc>
        <w:tc>
          <w:tcPr>
            <w:tcW w:w="32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564,956</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460" w:type="dxa"/>
            <w:vAlign w:val="bottom"/>
            <w:gridSpan w:val="2"/>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HAEMONETICS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July 3,</w:t>
            </w: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June 27,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2010</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2009</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17,918</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18,073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b w:val="1"/>
                <w:bCs w:val="1"/>
                <w:color w:val="auto"/>
              </w:rPr>
              <w:t>Non cash items: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12,410</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10,058</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17"/>
                <w:szCs w:val="17"/>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2,197</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(Gain)/Loss on sales of property, plant and equipment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Unrealized loss/(gain) from hedging activities</w:t>
            </w:r>
          </w:p>
        </w:tc>
        <w:tc>
          <w:tcPr>
            <w:tcW w:w="340" w:type="dxa"/>
            <w:vAlign w:val="bottom"/>
          </w:tcPr>
          <w:p>
            <w:pPr>
              <w:spacing w:after="0"/>
              <w:rPr>
                <w:sz w:val="17"/>
                <w:szCs w:val="17"/>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877</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of interest expense on contingent consideration</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165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b w:val="1"/>
                <w:bCs w:val="1"/>
                <w:color w:val="auto"/>
              </w:rPr>
              <w:t>Change in operating assets and liabilities: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Decrease in accounts receivable, net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655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(Increase)/decrease in inventories</w:t>
            </w:r>
          </w:p>
        </w:tc>
        <w:tc>
          <w:tcPr>
            <w:tcW w:w="34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(4,167)</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Decrease in prepaid income taxes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6,617</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6,737</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Decrease in other assets and other long-term liabilities</w:t>
            </w:r>
          </w:p>
        </w:tc>
        <w:tc>
          <w:tcPr>
            <w:tcW w:w="34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(4,591)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(3,633)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benefit of exercise of stock options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538</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Decrease in accounts payable and accrued expenses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(19,078)</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(9,108)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13,526</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Capital expenditures on property, plant and equipment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(15,224)</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(21,204)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Proceeds from sale of property, plant and equipment</w:t>
            </w:r>
          </w:p>
        </w:tc>
        <w:tc>
          <w:tcPr>
            <w:tcW w:w="340" w:type="dxa"/>
            <w:vAlign w:val="bottom"/>
          </w:tcPr>
          <w:p>
            <w:pPr>
              <w:spacing w:after="0"/>
              <w:rPr>
                <w:sz w:val="17"/>
                <w:szCs w:val="17"/>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111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of Neoteric</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Acquisition of Medicell</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(15,113)</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(27,923)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on long-term real estate mortgage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Net (decrease)/increase in short-term loans</w:t>
            </w:r>
          </w:p>
        </w:tc>
        <w:tc>
          <w:tcPr>
            <w:tcW w:w="34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(9,936)</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16,505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Employee stock purchase plan</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1,645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340" w:type="dxa"/>
            <w:vAlign w:val="bottom"/>
          </w:tcPr>
          <w:p>
            <w:pPr>
              <w:spacing w:after="0"/>
              <w:rPr>
                <w:sz w:val="17"/>
                <w:szCs w:val="17"/>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3,010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Excess tax benefit on exercise of stock options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549</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6"/>
                <w:szCs w:val="16"/>
                <w:color w:val="auto"/>
              </w:rPr>
              <w:t>Share repurchase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(50,000)</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in)/provided by financing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(54,937)</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(1,571)</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(Decrease)/Increase in Cash and Cash Equivalents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(58,095)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17,101</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141,562</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156,721</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83,467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173,822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Transfers from inventory to fixed assets for placements of Haemonetics equipment</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1,091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paid</w:t>
            </w:r>
          </w:p>
        </w:tc>
        <w:tc>
          <w:tcPr>
            <w:tcW w:w="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128</w:t>
            </w:r>
          </w:p>
        </w:tc>
        <w:tc>
          <w:tcPr>
            <w:tcW w:w="3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tcPr>
          <w:p>
            <w:pPr>
              <w:ind w:left="320"/>
              <w:spacing w:after="0"/>
              <w:rPr>
                <w:sz w:val="20"/>
                <w:szCs w:val="20"/>
                <w:color w:val="auto"/>
              </w:rPr>
            </w:pPr>
            <w:r>
              <w:rPr>
                <w:rFonts w:ascii="Arial" w:cs="Arial" w:eastAsia="Arial" w:hAnsi="Arial"/>
                <w:sz w:val="16"/>
                <w:szCs w:val="16"/>
                <w:color w:val="auto"/>
              </w:rPr>
              <w:t>Income taxes paid</w:t>
            </w: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240" w:type="dxa"/>
            <w:vAlign w:val="bottom"/>
            <w:vMerge w:val="continue"/>
          </w:tcPr>
          <w:p>
            <w:pPr>
              <w:spacing w:after="0"/>
              <w:rPr>
                <w:sz w:val="16"/>
                <w:szCs w:val="16"/>
                <w:color w:val="auto"/>
              </w:rPr>
            </w:pPr>
          </w:p>
        </w:tc>
        <w:tc>
          <w:tcPr>
            <w:tcW w:w="3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1,650</w:t>
            </w:r>
          </w:p>
        </w:tc>
        <w:tc>
          <w:tcPr>
            <w:tcW w:w="34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2,980</w:t>
            </w:r>
          </w:p>
        </w:tc>
        <w:tc>
          <w:tcPr>
            <w:tcW w:w="2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HAEMONETICS CORPORATION AND SUBSIDIARIES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for the three months ended July 3, 2010. Operating results for the three month period ended July 3, 2010 are not necessarily indicative of the results that may be expected for the full fiscal year ending April 2, 2011, or any other interim period. These unaudited consolidated financial statements should be read in conjunction with our audited consolidated financial statements and footnotes included in our annual report on Form 10-K for the fiscal year ended April 3, 2010.</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There were no material recognized subsequent events recorded in the July 3, 2010 consolidated financial statements.</w:t>
      </w:r>
    </w:p>
    <w:p>
      <w:pPr>
        <w:spacing w:after="0" w:line="159"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Our fiscal year ends on the Saturday closest to the last day of March. Fiscal year 2011 includes 52 weeks with all four quarters each having 13 weeks. Fiscal year 2010 included 53 weeks with each of the first three quarters having 13 weeks and the fourth quarter having 14 weeks.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Our revenue recognition policy is to recognize revenues from product sales, software and services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ASC Topic 985-605, </w:t>
      </w:r>
      <w:r>
        <w:rPr>
          <w:rFonts w:ascii="Arial" w:cs="Arial" w:eastAsia="Arial" w:hAnsi="Arial"/>
          <w:sz w:val="16"/>
          <w:szCs w:val="16"/>
          <w:i w:val="1"/>
          <w:iCs w:val="1"/>
          <w:color w:val="auto"/>
        </w:rPr>
        <w:t>Software</w:t>
      </w:r>
      <w:r>
        <w:rPr>
          <w:rFonts w:ascii="Arial" w:cs="Arial" w:eastAsia="Arial" w:hAnsi="Arial"/>
          <w:sz w:val="16"/>
          <w:szCs w:val="16"/>
          <w:color w:val="auto"/>
        </w:rPr>
        <w:t>. These standards require that revenues are recognized 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vendor specific objective evidenced under ASC Topic 985-605 or other objective evidence as defined in ASC Topic 605.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417"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 Revenues</w:t>
      </w:r>
    </w:p>
    <w:p>
      <w:pPr>
        <w:spacing w:after="0" w:line="22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software solutions include software products and support for our plasma, blood bank, and hospital customers. For our blood bank customers, these products span blood center operations and automate and track operations from the recruitment of the blood donor to the disposition of the blood product. For plasma customers, we also provide information technology platforms for managing distribution of plasma from collection centers to plasma fractionation facilities. We offer products to our hospital customers that manage blood product inventory and support patient cross matching and transfusion management. We also offer an analytical tool that monitors and measures a hospital’s blood management practices. Software solution product offerings are sold both as a subscription, where license revenues are generally billed periodically, monthly, or quarterly, and recognized ratably over the term of the subscription, and as a perpetual license, which are billed up front. We recognize revenue from the sale of perpetual licenses when delivered, provided all other revenue recognition criteria are met and we have vendor specific objective evidence of fair value for undelivered elements sold with the license. Additionally, for certain software solutions products, we provide customized implementation services to our customer. For these arrangements, we recognize revenue on a percentage-of-completion basis.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October 2009, the FASB issued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an amendment to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Update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an amendment to FASB ASC subtopic 985-605, </w:t>
      </w:r>
      <w:r>
        <w:rPr>
          <w:rFonts w:ascii="Arial" w:cs="Arial" w:eastAsia="Arial" w:hAnsi="Arial"/>
          <w:sz w:val="16"/>
          <w:szCs w:val="16"/>
          <w:i w:val="1"/>
          <w:iCs w:val="1"/>
          <w:color w:val="auto"/>
        </w:rPr>
        <w:t>Software – Revenue Recognition</w:t>
      </w:r>
      <w:r>
        <w:rPr>
          <w:rFonts w:ascii="Arial" w:cs="Arial" w:eastAsia="Arial" w:hAnsi="Arial"/>
          <w:sz w:val="16"/>
          <w:szCs w:val="16"/>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is currently assessing the timing and method of adoption, as well as the possible impact of this guidance on its financial position and results of operations.</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December 2009, the FASB issued Accounting Standards Update No. 2009-17, </w:t>
      </w:r>
      <w:r>
        <w:rPr>
          <w:rFonts w:ascii="Arial" w:cs="Arial" w:eastAsia="Arial" w:hAnsi="Arial"/>
          <w:sz w:val="16"/>
          <w:szCs w:val="16"/>
          <w:i w:val="1"/>
          <w:iCs w:val="1"/>
          <w:color w:val="auto"/>
        </w:rPr>
        <w:t>Improvements to Financial Reporting by Enterprises Involved with Variable</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Entities</w:t>
      </w:r>
      <w:r>
        <w:rPr>
          <w:rFonts w:ascii="Arial" w:cs="Arial" w:eastAsia="Arial" w:hAnsi="Arial"/>
          <w:sz w:val="16"/>
          <w:szCs w:val="16"/>
          <w:color w:val="auto"/>
        </w:rPr>
        <w:t>, an amendment to FASB ASC Topic 810,</w:t>
      </w:r>
      <w:r>
        <w:rPr>
          <w:rFonts w:ascii="Arial" w:cs="Arial" w:eastAsia="Arial" w:hAnsi="Arial"/>
          <w:sz w:val="16"/>
          <w:szCs w:val="16"/>
          <w:i w:val="1"/>
          <w:iCs w:val="1"/>
          <w:color w:val="auto"/>
        </w:rPr>
        <w:t xml:space="preserve"> Consolidations</w:t>
      </w:r>
      <w:r>
        <w:rPr>
          <w:rFonts w:ascii="Arial" w:cs="Arial" w:eastAsia="Arial" w:hAnsi="Arial"/>
          <w:sz w:val="16"/>
          <w:szCs w:val="16"/>
          <w:color w:val="auto"/>
        </w:rPr>
        <w:t>. ASU No. 2009-17 requires an enterprise to perform an analysis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The update became effective for our fiscal year 2011 and its impact is reflected in the notes to our consolidated financial statements for the first three months ended July 3, 2010.</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40"/>
          </w:cols>
          <w:pgMar w:left="240" w:top="417"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26" w:lineRule="exact"/>
        <w:rPr>
          <w:sz w:val="20"/>
          <w:szCs w:val="20"/>
          <w:color w:val="auto"/>
        </w:rPr>
      </w:pPr>
    </w:p>
    <w:p>
      <w:pPr>
        <w:ind w:right="400"/>
        <w:spacing w:after="0" w:line="336"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8"/>
                <w:szCs w:val="18"/>
                <w:color w:val="auto"/>
              </w:rPr>
              <w:t>For the Three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8"/>
              </w:rPr>
              <w:t>July 3, 2010</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8"/>
                <w:szCs w:val="18"/>
                <w:color w:val="auto"/>
                <w:w w:val="99"/>
              </w:rPr>
              <w:t>June 27, 2009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jc w:val="right"/>
              <w:ind w:right="311"/>
              <w:spacing w:after="0"/>
              <w:rPr>
                <w:sz w:val="20"/>
                <w:szCs w:val="20"/>
                <w:color w:val="auto"/>
              </w:rPr>
            </w:pPr>
            <w:r>
              <w:rPr>
                <w:rFonts w:ascii="Arial" w:cs="Arial" w:eastAsia="Arial" w:hAnsi="Arial"/>
                <w:sz w:val="14"/>
                <w:szCs w:val="14"/>
                <w:color w:val="auto"/>
                <w:w w:val="92"/>
              </w:rPr>
              <w:t>(in thousands, except per share amounts)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17,918</w:t>
            </w:r>
          </w:p>
        </w:tc>
        <w:tc>
          <w:tcPr>
            <w:tcW w:w="84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18,073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25,140</w:t>
            </w:r>
          </w:p>
        </w:tc>
        <w:tc>
          <w:tcPr>
            <w:tcW w:w="3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25,658</w:t>
            </w:r>
          </w:p>
        </w:tc>
        <w:tc>
          <w:tcPr>
            <w:tcW w:w="0" w:type="dxa"/>
            <w:vAlign w:val="bottom"/>
          </w:tcPr>
          <w:p>
            <w:pPr>
              <w:spacing w:after="0"/>
              <w:rPr>
                <w:sz w:val="1"/>
                <w:szCs w:val="1"/>
                <w:color w:val="auto"/>
              </w:rPr>
            </w:pPr>
          </w:p>
        </w:tc>
      </w:tr>
      <w:tr>
        <w:trPr>
          <w:trHeight w:val="221"/>
        </w:trPr>
        <w:tc>
          <w:tcPr>
            <w:tcW w:w="608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0.71</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17,918</w:t>
            </w:r>
          </w:p>
        </w:tc>
        <w:tc>
          <w:tcPr>
            <w:tcW w:w="84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18,073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25,140</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25,658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effect of common stock equivalents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563</w:t>
            </w:r>
          </w:p>
        </w:tc>
        <w:tc>
          <w:tcPr>
            <w:tcW w:w="3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25,703</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26,201</w:t>
            </w:r>
          </w:p>
        </w:tc>
        <w:tc>
          <w:tcPr>
            <w:tcW w:w="0" w:type="dxa"/>
            <w:vAlign w:val="bottom"/>
          </w:tcPr>
          <w:p>
            <w:pPr>
              <w:spacing w:after="0"/>
              <w:rPr>
                <w:sz w:val="1"/>
                <w:szCs w:val="1"/>
                <w:color w:val="auto"/>
              </w:rPr>
            </w:pPr>
          </w:p>
        </w:tc>
      </w:tr>
      <w:tr>
        <w:trPr>
          <w:trHeight w:val="428"/>
        </w:trPr>
        <w:tc>
          <w:tcPr>
            <w:tcW w:w="608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0.70</w:t>
            </w:r>
          </w:p>
        </w:tc>
        <w:tc>
          <w:tcPr>
            <w:tcW w:w="84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Weighted average shares outstanding, assuming dilution, excludes the impact of 1.0 million and 1.3 million stock options for the first quarter of fiscal year 2011 and 2010, respectively, because these securities were anti-dilutive during the noted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Stock-based compensation expense of $2.2 million and $2.8 million was recognized for the three months ended July 3, 2010 and June 27, 2009, respectively. The related income tax benefit recognized was $0.5 million and $0.8 million for the three months ended July 3, 2010 and June 27, 2009, respectively. We recognize stock-based compensation on a straight line basis.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a more detailed description of our stock-based compensation plans, see Note 11—Capital Stock to the Company’s consolidated financial statements included in our Annual Report on Form 10-K for the year ended April 3, 2010. Our stock-based compensation plans currently consist of stock options, restricted stock awards, restricted stock units and an employee stock purchase plan. Options become exercisable in the manner specified by the Compensation Committee of our Board of Directors. All options, restricted stock awards, and restricted stock units granted to employees in the three months ended July 3, 2010 vest over a four year period of time and the options expire not more than 7 years from the date of grant.</w:t>
      </w:r>
    </w:p>
    <w:p>
      <w:pPr>
        <w:spacing w:after="0" w:line="161" w:lineRule="exact"/>
        <w:rPr>
          <w:sz w:val="20"/>
          <w:szCs w:val="20"/>
          <w:color w:val="auto"/>
        </w:rPr>
      </w:pPr>
    </w:p>
    <w:p>
      <w:pPr>
        <w:jc w:val="both"/>
        <w:ind w:right="520"/>
        <w:spacing w:after="0" w:line="336" w:lineRule="auto"/>
        <w:rPr>
          <w:sz w:val="20"/>
          <w:szCs w:val="20"/>
          <w:color w:val="auto"/>
        </w:rPr>
      </w:pPr>
      <w:r>
        <w:rPr>
          <w:rFonts w:ascii="Arial" w:cs="Arial" w:eastAsia="Arial" w:hAnsi="Arial"/>
          <w:sz w:val="16"/>
          <w:szCs w:val="16"/>
          <w:color w:val="auto"/>
        </w:rPr>
        <w:t>Cash flows relating to the benefits of tax deductions in excess of compensation cost recognized are reported as a financing cash flow, rather than as an operating cash flow. This excess tax benefit was $0.5 million and $0.2 million for the three months ended July 3, 2010 and June 27, 2009, respectively.</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20"/>
          </w:cols>
          <w:pgMar w:left="240" w:top="417"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80"/>
        <w:spacing w:after="0" w:line="272" w:lineRule="auto"/>
        <w:rPr>
          <w:sz w:val="20"/>
          <w:szCs w:val="20"/>
          <w:color w:val="auto"/>
        </w:rPr>
      </w:pPr>
      <w:r>
        <w:rPr>
          <w:rFonts w:ascii="Arial" w:cs="Arial" w:eastAsia="Arial" w:hAnsi="Arial"/>
          <w:sz w:val="18"/>
          <w:szCs w:val="18"/>
          <w:color w:val="auto"/>
        </w:rPr>
        <w:t>The weighted average fair value for our options granted in the first three months of fiscal year 2011 and 2010 was $17.48 and $15.94, respectively. The assumptions utilized for option grants during the periods presented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3620" w:type="dxa"/>
            <w:vAlign w:val="bottom"/>
            <w:tcBorders>
              <w:bottom w:val="single" w:sz="8" w:color="auto"/>
            </w:tcBorders>
            <w:gridSpan w:val="3"/>
          </w:tcPr>
          <w:p>
            <w:pPr>
              <w:jc w:val="right"/>
              <w:ind w:right="971"/>
              <w:spacing w:after="0"/>
              <w:rPr>
                <w:sz w:val="20"/>
                <w:szCs w:val="20"/>
                <w:color w:val="auto"/>
              </w:rPr>
            </w:pPr>
            <w:r>
              <w:rPr>
                <w:rFonts w:ascii="Arial" w:cs="Arial" w:eastAsia="Arial" w:hAnsi="Arial"/>
                <w:sz w:val="18"/>
                <w:szCs w:val="18"/>
                <w:color w:val="auto"/>
              </w:rPr>
              <w:t>Three Months Ended</w:t>
            </w:r>
          </w:p>
        </w:tc>
      </w:tr>
      <w:tr>
        <w:trPr>
          <w:trHeight w:val="209"/>
        </w:trPr>
        <w:tc>
          <w:tcPr>
            <w:tcW w:w="7000" w:type="dxa"/>
            <w:vAlign w:val="bottom"/>
          </w:tcPr>
          <w:p>
            <w:pPr>
              <w:spacing w:after="0"/>
              <w:rPr>
                <w:sz w:val="18"/>
                <w:szCs w:val="18"/>
                <w:color w:val="auto"/>
              </w:rPr>
            </w:pPr>
          </w:p>
        </w:tc>
        <w:tc>
          <w:tcPr>
            <w:tcW w:w="15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July 3, 2010</w:t>
            </w:r>
          </w:p>
        </w:tc>
        <w:tc>
          <w:tcPr>
            <w:tcW w:w="600" w:type="dxa"/>
            <w:vAlign w:val="bottom"/>
          </w:tcPr>
          <w:p>
            <w:pPr>
              <w:spacing w:after="0"/>
              <w:rPr>
                <w:sz w:val="18"/>
                <w:szCs w:val="18"/>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June 27, 2009</w:t>
            </w:r>
          </w:p>
        </w:tc>
      </w:tr>
      <w:tr>
        <w:trPr>
          <w:trHeight w:val="208"/>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Black-Scholes assumptions (weighted average):</w:t>
            </w:r>
          </w:p>
        </w:tc>
        <w:tc>
          <w:tcPr>
            <w:tcW w:w="1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5"/>
        </w:trPr>
        <w:tc>
          <w:tcPr>
            <w:tcW w:w="7000" w:type="dxa"/>
            <w:vAlign w:val="bottom"/>
          </w:tcPr>
          <w:p>
            <w:pPr>
              <w:ind w:left="340"/>
              <w:spacing w:after="0"/>
              <w:rPr>
                <w:sz w:val="20"/>
                <w:szCs w:val="20"/>
                <w:color w:val="auto"/>
              </w:rPr>
            </w:pPr>
            <w:r>
              <w:rPr>
                <w:rFonts w:ascii="Arial" w:cs="Arial" w:eastAsia="Arial" w:hAnsi="Arial"/>
                <w:sz w:val="18"/>
                <w:szCs w:val="18"/>
                <w:color w:val="auto"/>
              </w:rPr>
              <w:t>Volatility</w:t>
            </w:r>
          </w:p>
        </w:tc>
        <w:tc>
          <w:tcPr>
            <w:tcW w:w="1500" w:type="dxa"/>
            <w:vAlign w:val="bottom"/>
          </w:tcPr>
          <w:p>
            <w:pPr>
              <w:jc w:val="right"/>
              <w:spacing w:after="0"/>
              <w:rPr>
                <w:sz w:val="20"/>
                <w:szCs w:val="20"/>
                <w:color w:val="auto"/>
              </w:rPr>
            </w:pPr>
            <w:r>
              <w:rPr>
                <w:rFonts w:ascii="Arial" w:cs="Arial" w:eastAsia="Arial" w:hAnsi="Arial"/>
                <w:sz w:val="18"/>
                <w:szCs w:val="18"/>
                <w:color w:val="auto"/>
              </w:rPr>
              <w:t>28.34%</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31.85%</w:t>
            </w:r>
          </w:p>
        </w:tc>
      </w:tr>
      <w:tr>
        <w:trPr>
          <w:trHeight w:val="215"/>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life (years)</w:t>
            </w:r>
          </w:p>
        </w:tc>
        <w:tc>
          <w:tcPr>
            <w:tcW w:w="15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21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4.9</w:t>
            </w:r>
          </w:p>
        </w:tc>
      </w:tr>
      <w:tr>
        <w:trPr>
          <w:trHeight w:val="215"/>
        </w:trPr>
        <w:tc>
          <w:tcPr>
            <w:tcW w:w="7000" w:type="dxa"/>
            <w:vAlign w:val="bottom"/>
          </w:tcPr>
          <w:p>
            <w:pPr>
              <w:ind w:left="340"/>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right"/>
              <w:spacing w:after="0"/>
              <w:rPr>
                <w:sz w:val="20"/>
                <w:szCs w:val="20"/>
                <w:color w:val="auto"/>
              </w:rPr>
            </w:pPr>
            <w:r>
              <w:rPr>
                <w:rFonts w:ascii="Arial" w:cs="Arial" w:eastAsia="Arial" w:hAnsi="Arial"/>
                <w:sz w:val="18"/>
                <w:szCs w:val="18"/>
                <w:color w:val="auto"/>
              </w:rPr>
              <w:t>2.64%</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1.79%</w:t>
            </w:r>
          </w:p>
        </w:tc>
      </w:tr>
      <w:tr>
        <w:trPr>
          <w:trHeight w:val="215"/>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yield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As of July 3, 2010 and June 27, 2009, there was $0.1 million and $0.2 million, respectively, of total unrecognized compensation cost related to non vested restricted stock awards. That cost is expected to be recognized over a weighted average period of 0.8 years and 1.3 years, respectively. The total fair value of restricted stock awards vested was $0.1 million for both the three months ended July 3, 2010 and June 27, 2009.</w:t>
      </w:r>
    </w:p>
    <w:p>
      <w:pPr>
        <w:spacing w:after="0" w:line="167" w:lineRule="exact"/>
        <w:rPr>
          <w:sz w:val="20"/>
          <w:szCs w:val="20"/>
          <w:color w:val="auto"/>
        </w:rPr>
      </w:pPr>
    </w:p>
    <w:p>
      <w:pPr>
        <w:jc w:val="both"/>
        <w:ind w:right="360"/>
        <w:spacing w:after="0" w:line="260" w:lineRule="auto"/>
        <w:rPr>
          <w:sz w:val="20"/>
          <w:szCs w:val="20"/>
          <w:color w:val="auto"/>
        </w:rPr>
      </w:pPr>
      <w:r>
        <w:rPr>
          <w:rFonts w:ascii="Arial" w:cs="Arial" w:eastAsia="Arial" w:hAnsi="Arial"/>
          <w:sz w:val="18"/>
          <w:szCs w:val="18"/>
          <w:color w:val="auto"/>
        </w:rPr>
        <w:t>As of July 3, 2010 and June 27, 2009, there was $3.5 million and $3.6 million, respectively, of total unrecognized compensation cost related to non vested restricted stock units. That cost is expected to be recognized over a weighted average period of 2.3 years and 2.9 years, respectively. The total fair value of shares fully vested was $0.0 million for the three months ended July 3, 2010 and June 27, 2009.</w:t>
      </w:r>
    </w:p>
    <w:p>
      <w:pPr>
        <w:spacing w:after="0" w:line="186" w:lineRule="exact"/>
        <w:rPr>
          <w:sz w:val="20"/>
          <w:szCs w:val="20"/>
          <w:color w:val="auto"/>
        </w:rPr>
      </w:pPr>
    </w:p>
    <w:p>
      <w:pPr>
        <w:ind w:right="400"/>
        <w:spacing w:after="0" w:line="302" w:lineRule="auto"/>
        <w:rPr>
          <w:sz w:val="20"/>
          <w:szCs w:val="20"/>
          <w:color w:val="auto"/>
        </w:rPr>
      </w:pPr>
      <w:r>
        <w:rPr>
          <w:rFonts w:ascii="Arial" w:cs="Arial" w:eastAsia="Arial" w:hAnsi="Arial"/>
          <w:sz w:val="17"/>
          <w:szCs w:val="17"/>
          <w:color w:val="auto"/>
        </w:rPr>
        <w:t>As of July 3, 2010 and June 27, 2009, there was $0.2 million and $0.2 million, respectively, of total unrecognized compensation expense, net of estimated forfeitures, related to the Employee Stock Purchase Plan (“ESPP”) shares. That cost is recognized over the remaining purchase period.</w:t>
      </w:r>
    </w:p>
    <w:p>
      <w:pPr>
        <w:spacing w:after="0" w:line="152"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color w:val="auto"/>
        </w:rPr>
        <w:t>During the three months ended July 3, 2010 and June 27, 2009, there were 35,992 and 33,183 shares purchased under the ESPP, respectively. They were purchased at $45.70 and $43.89 per share under the ESPP,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SHIPPING AND HANDLING COSTS</w:t>
      </w:r>
    </w:p>
    <w:p>
      <w:pPr>
        <w:spacing w:after="0" w:line="226"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Shipping and handling costs are included in cost of goods sold with the exception of $2.2 million and $2.9 million for the three months ended July 3, 2010 and June 27, 2009, respectively,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520" w:type="dxa"/>
            <w:vAlign w:val="bottom"/>
            <w:tcBorders>
              <w:bottom w:val="single" w:sz="8" w:color="auto"/>
            </w:tcBorders>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2"/>
              </w:rPr>
              <w:t>July 3, 2010</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8"/>
                <w:szCs w:val="18"/>
                <w:color w:val="auto"/>
              </w:rPr>
              <w:t>June 27, 2009</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3"/>
          </w:tcPr>
          <w:p>
            <w:pPr>
              <w:jc w:val="right"/>
              <w:ind w:right="491"/>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6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1,835</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8"/>
                <w:szCs w:val="18"/>
                <w:color w:val="auto"/>
              </w:rPr>
              <w:t>Warranty provision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1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tcPr>
          <w:p>
            <w:pPr>
              <w:spacing w:after="0"/>
              <w:rPr>
                <w:sz w:val="20"/>
                <w:szCs w:val="20"/>
                <w:color w:val="auto"/>
              </w:rPr>
            </w:pPr>
            <w:r>
              <w:rPr>
                <w:rFonts w:ascii="Arial" w:cs="Arial" w:eastAsia="Arial" w:hAnsi="Arial"/>
                <w:sz w:val="18"/>
                <w:szCs w:val="18"/>
                <w:color w:val="auto"/>
              </w:rPr>
              <w:t>Warranty accrual as of the end of the period</w:t>
            </w:r>
          </w:p>
        </w:tc>
        <w:tc>
          <w:tcPr>
            <w:tcW w:w="126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1,875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60" w:type="dxa"/>
            <w:vAlign w:val="bottom"/>
            <w:vMerge w:val="restart"/>
          </w:tcPr>
          <w:p>
            <w:pPr>
              <w:jc w:val="right"/>
              <w:ind w:right="51"/>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6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22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6"/>
                <w:szCs w:val="16"/>
                <w:b w:val="1"/>
                <w:bCs w:val="1"/>
                <w:color w:val="auto"/>
              </w:rPr>
              <w:t>For the three months ended</w:t>
            </w:r>
          </w:p>
        </w:tc>
      </w:tr>
      <w:tr>
        <w:trPr>
          <w:trHeight w:val="201"/>
        </w:trPr>
        <w:tc>
          <w:tcPr>
            <w:tcW w:w="7160" w:type="dxa"/>
            <w:vAlign w:val="bottom"/>
            <w:gridSpan w:val="3"/>
          </w:tcPr>
          <w:p>
            <w:pPr>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7"/>
                <w:szCs w:val="17"/>
                <w:color w:val="auto"/>
              </w:rPr>
            </w:pP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July 3, 2010</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280"/>
              <w:spacing w:after="0"/>
              <w:rPr>
                <w:sz w:val="20"/>
                <w:szCs w:val="20"/>
                <w:color w:val="auto"/>
              </w:rPr>
            </w:pPr>
            <w:r>
              <w:rPr>
                <w:rFonts w:ascii="Arial" w:cs="Arial" w:eastAsia="Arial" w:hAnsi="Arial"/>
                <w:sz w:val="16"/>
                <w:szCs w:val="16"/>
                <w:b w:val="1"/>
                <w:bCs w:val="1"/>
                <w:color w:val="auto"/>
                <w:w w:val="96"/>
              </w:rPr>
              <w:t>June 27, 2009</w:t>
            </w:r>
          </w:p>
        </w:tc>
      </w:tr>
      <w:tr>
        <w:trPr>
          <w:trHeight w:val="195"/>
        </w:trPr>
        <w:tc>
          <w:tcPr>
            <w:tcW w:w="20" w:type="dxa"/>
            <w:vAlign w:val="bottom"/>
          </w:tcPr>
          <w:p>
            <w:pPr>
              <w:spacing w:after="0"/>
              <w:rPr>
                <w:sz w:val="16"/>
                <w:szCs w:val="16"/>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17,918</w:t>
            </w:r>
          </w:p>
        </w:tc>
        <w:tc>
          <w:tcPr>
            <w:tcW w:w="360" w:type="dxa"/>
            <w:vAlign w:val="bottom"/>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18,073</w:t>
            </w:r>
          </w:p>
        </w:tc>
      </w:tr>
      <w:tr>
        <w:trPr>
          <w:trHeight w:val="404"/>
        </w:trPr>
        <w:tc>
          <w:tcPr>
            <w:tcW w:w="7160" w:type="dxa"/>
            <w:vAlign w:val="bottom"/>
            <w:gridSpan w:val="3"/>
          </w:tcPr>
          <w:p>
            <w:pPr>
              <w:spacing w:after="0"/>
              <w:rPr>
                <w:sz w:val="20"/>
                <w:szCs w:val="20"/>
                <w:color w:val="auto"/>
              </w:rPr>
            </w:pPr>
            <w:r>
              <w:rPr>
                <w:rFonts w:ascii="Arial" w:cs="Arial" w:eastAsia="Arial" w:hAnsi="Arial"/>
                <w:sz w:val="16"/>
                <w:szCs w:val="16"/>
                <w:color w:val="auto"/>
              </w:rPr>
              <w:t>Other comprehensive income:</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 in minimum pension liability</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01"/>
        </w:trPr>
        <w:tc>
          <w:tcPr>
            <w:tcW w:w="2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Foreign currency translation</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(4,247)</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2,631</w:t>
            </w:r>
          </w:p>
        </w:tc>
      </w:tr>
      <w:tr>
        <w:trPr>
          <w:trHeight w:val="201"/>
        </w:trPr>
        <w:tc>
          <w:tcPr>
            <w:tcW w:w="20" w:type="dxa"/>
            <w:vAlign w:val="bottom"/>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gain/(loss) on cash flow hedges, net of tax</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450</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r>
      <w:tr>
        <w:trPr>
          <w:trHeight w:val="208"/>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Reclassifications into earnings of cash flow hedge (gains)/losses, net of tax</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r>
      <w:tr>
        <w:trPr>
          <w:trHeight w:val="201"/>
        </w:trPr>
        <w:tc>
          <w:tcPr>
            <w:tcW w:w="20" w:type="dxa"/>
            <w:vAlign w:val="bottom"/>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14,041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18,576</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22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2"/>
              </w:rPr>
              <w:t>July 3, 2010</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2"/>
              </w:rPr>
              <w:t>April 3, 2010</w:t>
            </w:r>
          </w:p>
        </w:tc>
      </w:tr>
      <w:tr>
        <w:trPr>
          <w:trHeight w:val="209"/>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18"/>
                <w:szCs w:val="18"/>
                <w:color w:val="auto"/>
              </w:rPr>
            </w:pPr>
          </w:p>
        </w:tc>
      </w:tr>
      <w:tr>
        <w:trPr>
          <w:trHeight w:val="215"/>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25,850</w:t>
            </w: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3,825</w:t>
            </w:r>
          </w:p>
        </w:tc>
      </w:tr>
      <w:tr>
        <w:trPr>
          <w:trHeight w:val="215"/>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52,934</w:t>
            </w:r>
          </w:p>
        </w:tc>
        <w:tc>
          <w:tcPr>
            <w:tcW w:w="5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50,278</w:t>
            </w:r>
          </w:p>
        </w:tc>
      </w:tr>
      <w:tr>
        <w:trPr>
          <w:trHeight w:val="221"/>
        </w:trPr>
        <w:tc>
          <w:tcPr>
            <w:tcW w:w="55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84,571</w:t>
            </w:r>
          </w:p>
        </w:tc>
        <w:tc>
          <w:tcPr>
            <w:tcW w:w="5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79,953</w:t>
            </w: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right="5620" w:firstLine="7"/>
        <w:spacing w:after="0" w:line="499" w:lineRule="auto"/>
        <w:tabs>
          <w:tab w:leader="none" w:pos="26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OTHER INTANGIBLE ASSETS, AND ACQUISITIONS Goodwill</w:t>
      </w:r>
    </w:p>
    <w:p>
      <w:pPr>
        <w:spacing w:after="0" w:line="2" w:lineRule="exact"/>
        <w:rPr>
          <w:sz w:val="20"/>
          <w:szCs w:val="20"/>
          <w:color w:val="auto"/>
        </w:rPr>
      </w:pPr>
    </w:p>
    <w:p>
      <w:pPr>
        <w:ind w:right="3660"/>
        <w:spacing w:after="0" w:line="272" w:lineRule="auto"/>
        <w:rPr>
          <w:sz w:val="20"/>
          <w:szCs w:val="20"/>
          <w:color w:val="auto"/>
        </w:rPr>
      </w:pPr>
      <w:r>
        <w:rPr>
          <w:rFonts w:ascii="Arial" w:cs="Arial" w:eastAsia="Arial" w:hAnsi="Arial"/>
          <w:sz w:val="18"/>
          <w:szCs w:val="18"/>
          <w:color w:val="auto"/>
        </w:rPr>
        <w:t>The change in the carrying amount of our goodwill during the three months ended July 3, 2010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April 3, 2010</w:t>
            </w:r>
          </w:p>
        </w:tc>
        <w:tc>
          <w:tcPr>
            <w:tcW w:w="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120,543</w:t>
            </w:r>
          </w:p>
        </w:tc>
      </w:tr>
      <w:tr>
        <w:trPr>
          <w:trHeight w:val="215"/>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Global Med Technologies (Global Med) (a)</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(2,858)</w:t>
            </w: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SEBRA (b)</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21"/>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Effect of change in rates used for translation</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July 3, 2010</w:t>
            </w:r>
          </w:p>
        </w:tc>
        <w:tc>
          <w:tcPr>
            <w:tcW w:w="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117,739</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440" w:hanging="433"/>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description of the acquisition of Global Med Technologies, which occurred on March 31, 2010, is included later in this footnote.</w:t>
      </w:r>
    </w:p>
    <w:p>
      <w:pPr>
        <w:spacing w:after="0" w:line="20" w:lineRule="exact"/>
        <w:rPr>
          <w:rFonts w:ascii="Arial" w:cs="Arial" w:eastAsia="Arial" w:hAnsi="Arial"/>
          <w:sz w:val="18"/>
          <w:szCs w:val="18"/>
          <w:color w:val="auto"/>
        </w:rPr>
      </w:pPr>
    </w:p>
    <w:p>
      <w:pPr>
        <w:ind w:left="440" w:hanging="433"/>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description of the acquisition of SEBRA®, which occurred on September 4, 2009, is included later in this footnote.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Med Acquisition</w:t>
      </w:r>
    </w:p>
    <w:p>
      <w:pPr>
        <w:spacing w:after="0" w:line="222"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On March 31, 2010 the Company completed its cash tender offer for the shares of Global Med Technologies, Inc. (“Global Med”). The total acquisition cost for the shares and outstanding warrants of Global Med was approximately $60.3 million.</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Goodwill was preliminarily determined by comparing the purchase price with the preliminarily determined fair value of the assets and liabilities acquired. Once the purchase price allocation is finalized, the preliminary carrying value of the related goodwill may be adjusted accordingly. At July 3, 2010, goodwill recorded after our preliminary purchase price allocation was $47.3 million and is not tax deductible. Global Med has an in-place workforce with extensive knowledge and experience in the development and support of blood management software. The acquisition was a unique strategic fit for the Company given our global presence and customer relationships in blood management.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Preliminary Purchase Price Allocation</w:t>
            </w: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48"/>
        </w:trPr>
        <w:tc>
          <w:tcPr>
            <w:tcW w:w="6560" w:type="dxa"/>
            <w:vAlign w:val="bottom"/>
            <w:gridSpan w:val="3"/>
          </w:tcPr>
          <w:p>
            <w:pPr>
              <w:spacing w:after="0"/>
              <w:rPr>
                <w:sz w:val="20"/>
                <w:szCs w:val="20"/>
                <w:color w:val="auto"/>
              </w:rPr>
            </w:pPr>
            <w:r>
              <w:rPr>
                <w:rFonts w:ascii="Arial" w:cs="Arial" w:eastAsia="Arial" w:hAnsi="Arial"/>
                <w:sz w:val="18"/>
                <w:szCs w:val="18"/>
                <w:color w:val="auto"/>
              </w:rPr>
              <w:t>The following chart summarizes the preliminary purchase price allocation:</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87"/>
              </w:rPr>
              <w:t>(in thousands)</w:t>
            </w: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47,251</w:t>
            </w:r>
          </w:p>
        </w:tc>
      </w:tr>
      <w:tr>
        <w:trPr>
          <w:trHeight w:val="215"/>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Intangible assets subject to amortization</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25,962</w:t>
            </w:r>
          </w:p>
        </w:tc>
      </w:tr>
      <w:tr>
        <w:trPr>
          <w:trHeight w:val="215"/>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r>
      <w:tr>
        <w:trPr>
          <w:trHeight w:val="215"/>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11,966</w:t>
            </w:r>
          </w:p>
        </w:tc>
      </w:tr>
      <w:tr>
        <w:trPr>
          <w:trHeight w:val="215"/>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w:t>
            </w:r>
          </w:p>
        </w:tc>
      </w:tr>
      <w:tr>
        <w:trPr>
          <w:trHeight w:val="215"/>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(7,833)</w:t>
            </w:r>
          </w:p>
        </w:tc>
      </w:tr>
      <w:tr>
        <w:trPr>
          <w:trHeight w:val="215"/>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r>
      <w:tr>
        <w:trPr>
          <w:trHeight w:val="221"/>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w:t>
            </w:r>
          </w:p>
        </w:tc>
      </w:tr>
      <w:tr>
        <w:trPr>
          <w:trHeight w:val="215"/>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60,281</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is still in the process of evaluating the information necessary to determine the allocation of fair value of the assets and liabilities acquired. The preliminary purchase price allocation will be finalized once the Company has completed this evaluation, which will occur not later than one year from the acquisition date. When finalized, the purchase price will be more specifically allocated to identified intangible assets acquired, the value of tangible assets and liabilities acquired may be adjusted, and the value of the tax attributes acquired may be diminished. Additionally, estimated intangible asset amortization expense recorded to date may also be adjusted. The impact of these adjustments may result in a change in the preliminary value attributed to goodwill. The results of Global Med’s operations are included in our consolidated financial statements for the first three months of fiscal year 2011.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SEBRA Acquisition</w:t>
      </w:r>
    </w:p>
    <w:p>
      <w:pPr>
        <w:spacing w:after="0" w:line="22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September 4, 2009, Haemonetics acquired the assets of the blood collection and processing business unit (“SEBRA”) of Engineering and Research Associates, Inc., a leading provider of blood and medical manufacturing technologies. SEBRA products, which include tubing sealers, blood shakers, sterile connection systems, mobile lounges and ancillary products used in blood collection and processing, complement Haemonetics’ portfolio and add depth to Haemonetics’ blood bank and plasma product lines. The purchase price of $12.8 million was allocated to core technology of $2.0 million, customer relationships of $4.6 million, trade name intangible of $0.4 million, trade accounts receivables of $1.0 million, inventory of $1.1 million, and goodwill of $3.7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Neoteric Acquisition</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16, 2009, Haemonetics acquired the outstanding shares of Neoteric. Neoteric is a medical information management company that markets a full end-to-end suite of products to track, allocate, release, and dispense hospital blood units while controlling inventory and recording the disposition of blood. The acquisition strategically broadened Haemonetics’ blood management solutions. The purchase price was $6.6 million plus contingent consideration. The purchase price including contingent consideration was allocated to other intangible assets of $5.0 million, deferred tax liabilities of $1.6 million, and goodwill of $8.7 million.</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40"/>
          </w:cols>
          <w:pgMar w:left="240" w:top="417"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contingent consideration is based upon estimated annual revenue growth for the three years following the acquisition, at established profitability thresholds, and is not limited. Using projected revenues for fiscal years 2010, 2011, and 2012, an analysis was performed that probability weighted three performance outcomes for the noted years. The Company is required to reassess the fair value of contingent consideration on a periodic basis. During fiscal year 2010, the Company reassessed the fair value of the contingent consideration as performance outcomes for 2010 were not met, which resulted in a reduction in the estimated liability. The ending liability balance is $4.1 million at July 3, 2010.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Amortized Intangibles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240" w:type="dxa"/>
            <w:vAlign w:val="bottom"/>
            <w:gridSpan w:val="3"/>
          </w:tcPr>
          <w:p>
            <w:pPr>
              <w:spacing w:after="0"/>
              <w:rPr>
                <w:sz w:val="20"/>
                <w:szCs w:val="20"/>
                <w:color w:val="auto"/>
              </w:rPr>
            </w:pPr>
            <w:r>
              <w:rPr>
                <w:rFonts w:ascii="Arial" w:cs="Arial" w:eastAsia="Arial" w:hAnsi="Arial"/>
                <w:sz w:val="18"/>
                <w:szCs w:val="18"/>
                <w:color w:val="auto"/>
              </w:rPr>
              <w:t>As of July 3, 2010</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20"/>
        </w:trPr>
        <w:tc>
          <w:tcPr>
            <w:tcW w:w="1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0"/>
              </w:rPr>
              <w:t>Gross Carrying</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11"/>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1"/>
              <w:spacing w:after="0"/>
              <w:rPr>
                <w:sz w:val="20"/>
                <w:szCs w:val="20"/>
                <w:color w:val="auto"/>
              </w:rPr>
            </w:pPr>
            <w:r>
              <w:rPr>
                <w:rFonts w:ascii="Arial" w:cs="Arial" w:eastAsia="Arial" w:hAnsi="Arial"/>
                <w:sz w:val="18"/>
                <w:szCs w:val="18"/>
                <w:color w:val="auto"/>
                <w:w w:val="93"/>
              </w:rPr>
              <w:t>Amount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11"/>
              <w:spacing w:after="0"/>
              <w:rPr>
                <w:sz w:val="20"/>
                <w:szCs w:val="20"/>
                <w:color w:val="auto"/>
              </w:rPr>
            </w:pPr>
            <w:r>
              <w:rPr>
                <w:rFonts w:ascii="Arial" w:cs="Arial" w:eastAsia="Arial" w:hAnsi="Arial"/>
                <w:sz w:val="18"/>
                <w:szCs w:val="18"/>
                <w:color w:val="auto"/>
                <w:w w:val="95"/>
              </w:rPr>
              <w:t>Amortization</w:t>
            </w:r>
          </w:p>
        </w:tc>
        <w:tc>
          <w:tcPr>
            <w:tcW w:w="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0" w:type="dxa"/>
            <w:vAlign w:val="bottom"/>
          </w:tcPr>
          <w:p>
            <w:pPr>
              <w:spacing w:after="0"/>
              <w:rPr>
                <w:sz w:val="1"/>
                <w:szCs w:val="1"/>
                <w:color w:val="auto"/>
              </w:rPr>
            </w:pPr>
          </w:p>
        </w:tc>
      </w:tr>
      <w:tr>
        <w:trPr>
          <w:trHeight w:val="209"/>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12,091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6,049</w:t>
            </w:r>
          </w:p>
        </w:tc>
        <w:tc>
          <w:tcPr>
            <w:tcW w:w="150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5"/>
        </w:trPr>
        <w:tc>
          <w:tcPr>
            <w:tcW w:w="6240" w:type="dxa"/>
            <w:vAlign w:val="bottom"/>
            <w:gridSpan w:val="3"/>
          </w:tcPr>
          <w:p>
            <w:pPr>
              <w:spacing w:after="0"/>
              <w:rPr>
                <w:sz w:val="20"/>
                <w:szCs w:val="20"/>
                <w:color w:val="auto"/>
              </w:rPr>
            </w:pPr>
            <w:r>
              <w:rPr>
                <w:rFonts w:ascii="Arial" w:cs="Arial" w:eastAsia="Arial" w:hAnsi="Arial"/>
                <w:sz w:val="18"/>
                <w:szCs w:val="18"/>
                <w:color w:val="auto"/>
              </w:rPr>
              <w:t>Capitalized software</w:t>
            </w:r>
          </w:p>
        </w:tc>
        <w:tc>
          <w:tcPr>
            <w:tcW w:w="1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8,881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537</w:t>
            </w:r>
          </w:p>
        </w:tc>
        <w:tc>
          <w:tcPr>
            <w:tcW w:w="1500" w:type="dxa"/>
            <w:vAlign w:val="bottom"/>
            <w:gridSpan w:val="2"/>
          </w:tcPr>
          <w:p>
            <w:pPr>
              <w:jc w:val="center"/>
              <w:ind w:left="231"/>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5"/>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53,927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15,961</w:t>
            </w:r>
          </w:p>
        </w:tc>
        <w:tc>
          <w:tcPr>
            <w:tcW w:w="150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5"/>
        </w:trPr>
        <w:tc>
          <w:tcPr>
            <w:tcW w:w="6240" w:type="dxa"/>
            <w:vAlign w:val="bottom"/>
            <w:gridSpan w:val="3"/>
          </w:tcPr>
          <w:p>
            <w:pPr>
              <w:spacing w:after="0"/>
              <w:rPr>
                <w:sz w:val="20"/>
                <w:szCs w:val="20"/>
                <w:color w:val="auto"/>
              </w:rPr>
            </w:pPr>
            <w:r>
              <w:rPr>
                <w:rFonts w:ascii="Arial" w:cs="Arial" w:eastAsia="Arial" w:hAnsi="Arial"/>
                <w:sz w:val="18"/>
                <w:szCs w:val="18"/>
                <w:color w:val="auto"/>
              </w:rPr>
              <w:t>Customer contracts and related relationships</w:t>
            </w:r>
          </w:p>
        </w:tc>
        <w:tc>
          <w:tcPr>
            <w:tcW w:w="1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43,664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12,548</w:t>
            </w:r>
          </w:p>
        </w:tc>
        <w:tc>
          <w:tcPr>
            <w:tcW w:w="1500" w:type="dxa"/>
            <w:vAlign w:val="bottom"/>
            <w:gridSpan w:val="2"/>
          </w:tcPr>
          <w:p>
            <w:pPr>
              <w:jc w:val="center"/>
              <w:ind w:left="231"/>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5"/>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1,496</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750</w:t>
            </w:r>
          </w:p>
        </w:tc>
        <w:tc>
          <w:tcPr>
            <w:tcW w:w="150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1"/>
        </w:trPr>
        <w:tc>
          <w:tcPr>
            <w:tcW w:w="6240" w:type="dxa"/>
            <w:vAlign w:val="bottom"/>
            <w:gridSpan w:val="3"/>
          </w:tcPr>
          <w:p>
            <w:pPr>
              <w:spacing w:after="0"/>
              <w:rPr>
                <w:sz w:val="20"/>
                <w:szCs w:val="20"/>
                <w:color w:val="auto"/>
              </w:rPr>
            </w:pPr>
            <w:r>
              <w:rPr>
                <w:rFonts w:ascii="Arial" w:cs="Arial" w:eastAsia="Arial" w:hAnsi="Arial"/>
                <w:sz w:val="18"/>
                <w:szCs w:val="18"/>
                <w:color w:val="auto"/>
              </w:rPr>
              <w:t>Total intangibles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120,059</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35,845</w:t>
            </w:r>
          </w:p>
        </w:tc>
        <w:tc>
          <w:tcPr>
            <w:tcW w:w="1500" w:type="dxa"/>
            <w:vAlign w:val="bottom"/>
            <w:gridSpan w:val="2"/>
          </w:tcPr>
          <w:p>
            <w:pPr>
              <w:jc w:val="center"/>
              <w:ind w:left="23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8"/>
                <w:szCs w:val="18"/>
                <w:color w:val="auto"/>
              </w:rPr>
              <w:t>As of April 3, 2010</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line="20" w:lineRule="exact"/>
              <w:rPr>
                <w:sz w:val="1"/>
                <w:szCs w:val="1"/>
                <w:color w:val="auto"/>
              </w:rPr>
            </w:pPr>
          </w:p>
        </w:tc>
      </w:tr>
      <w:tr>
        <w:trPr>
          <w:trHeight w:val="383"/>
        </w:trPr>
        <w:tc>
          <w:tcPr>
            <w:tcW w:w="62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4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0"/>
              </w:rPr>
              <w:t>Gross Carrying</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11"/>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1"/>
              <w:spacing w:after="0"/>
              <w:rPr>
                <w:sz w:val="20"/>
                <w:szCs w:val="20"/>
                <w:color w:val="auto"/>
              </w:rPr>
            </w:pPr>
            <w:r>
              <w:rPr>
                <w:rFonts w:ascii="Arial" w:cs="Arial" w:eastAsia="Arial" w:hAnsi="Arial"/>
                <w:sz w:val="18"/>
                <w:szCs w:val="18"/>
                <w:color w:val="auto"/>
                <w:w w:val="93"/>
              </w:rPr>
              <w:t>Amount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11"/>
              <w:spacing w:after="0"/>
              <w:rPr>
                <w:sz w:val="20"/>
                <w:szCs w:val="20"/>
                <w:color w:val="auto"/>
              </w:rPr>
            </w:pPr>
            <w:r>
              <w:rPr>
                <w:rFonts w:ascii="Arial" w:cs="Arial" w:eastAsia="Arial" w:hAnsi="Arial"/>
                <w:sz w:val="18"/>
                <w:szCs w:val="18"/>
                <w:color w:val="auto"/>
                <w:w w:val="95"/>
              </w:rPr>
              <w:t>Amortization</w:t>
            </w:r>
          </w:p>
        </w:tc>
        <w:tc>
          <w:tcPr>
            <w:tcW w:w="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0" w:type="dxa"/>
            <w:vAlign w:val="bottom"/>
          </w:tcPr>
          <w:p>
            <w:pPr>
              <w:spacing w:after="0"/>
              <w:rPr>
                <w:sz w:val="1"/>
                <w:szCs w:val="1"/>
                <w:color w:val="auto"/>
              </w:rPr>
            </w:pPr>
          </w:p>
        </w:tc>
      </w:tr>
      <w:tr>
        <w:trPr>
          <w:trHeight w:val="209"/>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5,801</w:t>
            </w:r>
          </w:p>
        </w:tc>
        <w:tc>
          <w:tcPr>
            <w:tcW w:w="150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5"/>
        </w:trPr>
        <w:tc>
          <w:tcPr>
            <w:tcW w:w="6240" w:type="dxa"/>
            <w:vAlign w:val="bottom"/>
            <w:gridSpan w:val="3"/>
          </w:tcPr>
          <w:p>
            <w:pPr>
              <w:spacing w:after="0"/>
              <w:rPr>
                <w:sz w:val="20"/>
                <w:szCs w:val="20"/>
                <w:color w:val="auto"/>
              </w:rPr>
            </w:pPr>
            <w:r>
              <w:rPr>
                <w:rFonts w:ascii="Arial" w:cs="Arial" w:eastAsia="Arial" w:hAnsi="Arial"/>
                <w:sz w:val="18"/>
                <w:szCs w:val="18"/>
                <w:color w:val="auto"/>
              </w:rPr>
              <w:t>Capitalized software</w:t>
            </w:r>
          </w:p>
        </w:tc>
        <w:tc>
          <w:tcPr>
            <w:tcW w:w="1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7,642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498</w:t>
            </w:r>
          </w:p>
        </w:tc>
        <w:tc>
          <w:tcPr>
            <w:tcW w:w="1500" w:type="dxa"/>
            <w:vAlign w:val="bottom"/>
            <w:gridSpan w:val="2"/>
          </w:tcPr>
          <w:p>
            <w:pPr>
              <w:jc w:val="center"/>
              <w:ind w:left="231"/>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5"/>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51,826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14,187</w:t>
            </w:r>
          </w:p>
        </w:tc>
        <w:tc>
          <w:tcPr>
            <w:tcW w:w="150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5"/>
        </w:trPr>
        <w:tc>
          <w:tcPr>
            <w:tcW w:w="6240" w:type="dxa"/>
            <w:vAlign w:val="bottom"/>
            <w:gridSpan w:val="3"/>
          </w:tcPr>
          <w:p>
            <w:pPr>
              <w:spacing w:after="0"/>
              <w:rPr>
                <w:sz w:val="20"/>
                <w:szCs w:val="20"/>
                <w:color w:val="auto"/>
              </w:rPr>
            </w:pPr>
            <w:r>
              <w:rPr>
                <w:rFonts w:ascii="Arial" w:cs="Arial" w:eastAsia="Arial" w:hAnsi="Arial"/>
                <w:sz w:val="18"/>
                <w:szCs w:val="18"/>
                <w:color w:val="auto"/>
              </w:rPr>
              <w:t>Customer contracts and related relationships</w:t>
            </w:r>
          </w:p>
        </w:tc>
        <w:tc>
          <w:tcPr>
            <w:tcW w:w="1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45,897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11,549</w:t>
            </w:r>
          </w:p>
        </w:tc>
        <w:tc>
          <w:tcPr>
            <w:tcW w:w="1500" w:type="dxa"/>
            <w:vAlign w:val="bottom"/>
            <w:gridSpan w:val="2"/>
          </w:tcPr>
          <w:p>
            <w:pPr>
              <w:jc w:val="center"/>
              <w:ind w:left="231"/>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5"/>
        </w:trPr>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1,502</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658</w:t>
            </w:r>
          </w:p>
        </w:tc>
        <w:tc>
          <w:tcPr>
            <w:tcW w:w="150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1"/>
        </w:trPr>
        <w:tc>
          <w:tcPr>
            <w:tcW w:w="6240" w:type="dxa"/>
            <w:vAlign w:val="bottom"/>
            <w:gridSpan w:val="3"/>
          </w:tcPr>
          <w:p>
            <w:pPr>
              <w:spacing w:after="0"/>
              <w:rPr>
                <w:sz w:val="20"/>
                <w:szCs w:val="20"/>
                <w:color w:val="auto"/>
              </w:rPr>
            </w:pPr>
            <w:r>
              <w:rPr>
                <w:rFonts w:ascii="Arial" w:cs="Arial" w:eastAsia="Arial" w:hAnsi="Arial"/>
                <w:sz w:val="18"/>
                <w:szCs w:val="18"/>
                <w:color w:val="auto"/>
              </w:rPr>
              <w:t>Total intangibles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118,795</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32,693</w:t>
            </w:r>
          </w:p>
        </w:tc>
        <w:tc>
          <w:tcPr>
            <w:tcW w:w="1500" w:type="dxa"/>
            <w:vAlign w:val="bottom"/>
            <w:gridSpan w:val="2"/>
          </w:tcPr>
          <w:p>
            <w:pPr>
              <w:jc w:val="center"/>
              <w:ind w:left="23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Amortization expense for amortized intangible assets was $3.2 million and $1.6 million for the three months ended July 3, 2010 and June 27, 2009, respectively. Annual amortization expense is expected to approximate $11.7 million for fiscal year 2011, $11.2 million for fiscal year 2012, $11.1 million for fiscal year 2013, $10.8 million for fiscal year 2014, and $9.6 million for fiscal year 2015.</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addition to the acquisition of SEBRA, Neoteric, and Global Med discussed above, changes to the net carrying value of our intangible assets from April 3, 2010 to July 3, 2010, reflect the capitalization of software costs associated with our devices and software products (see Note 16), amortization expense and the effect of exchange rate changes in the translation of our intangible assets held by our international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 AND FAIR VALUE MEASUREMENTS</w:t>
      </w:r>
    </w:p>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manufacture, market and sell our products globally. Approximately 51% of our sales are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15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lesser extent the British Pound Sterling and the Canadian Dollar. This does not eliminate the volatility of foreign exchange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60"/>
          </w:cols>
          <w:pgMar w:left="240" w:top="417"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00"/>
        <w:spacing w:after="0" w:line="272" w:lineRule="auto"/>
        <w:rPr>
          <w:sz w:val="20"/>
          <w:szCs w:val="20"/>
          <w:color w:val="auto"/>
        </w:rPr>
      </w:pPr>
      <w:r>
        <w:rPr>
          <w:rFonts w:ascii="Arial" w:cs="Arial" w:eastAsia="Arial" w:hAnsi="Arial"/>
          <w:sz w:val="18"/>
          <w:szCs w:val="18"/>
          <w:color w:val="auto"/>
        </w:rPr>
        <w:t>rates, but because we generally enter into forward contracts one year out, rates are fixed for a one-year period, thereby facilitating financial planning and resource allocation.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9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All of our designated foreign currency hedge contracts as of July 3, 2010 and April 3, 2010 were cash flow hedges under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We record the effective portion of any change in the fair value of designated foreign currency hedge contracts in Other Comprehensive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$139.5 million as of July 3, 2010 and $135.4 million as of April 3, 2010.</w:t>
      </w:r>
    </w:p>
    <w:p>
      <w:pPr>
        <w:spacing w:after="0" w:line="19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the first quarter of fiscal year 2011, we recognized net gains of $0.0 million in earnings on our cash flow hedges. All currency cash flow hedges outstanding as of July 3, 2010 mature within twelve months. For the quarter ended July 3, 2010, $0.9 million of gains, net of tax, were recorded in Other Comprehensive Income to recognize the effective portion of the fair value of any designated foreign currency hedge contracts that are, or previously were, designated as foreign currency cash flow hedges, as compared to net losses of $1.0 million as of June 27, 2009. At July 3, 2010, $0.5 million of losses, net of tax, may be reclassified to earnings within the next twelve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8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ASC Topic 815. These forward contracts are marked-to-market with changes in fair value recorded to earnings; and are entered into for periods consistent with currency transaction exposures, generally one month. We had non-designated foreign currency hedge contracts under ASC Topic 815 outstanding in the contract amount of $27.4 million as of July 3, 2010 and $29.6 million as of April 3,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222"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three months ended July 3, 2010.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69"/>
              <w:spacing w:after="0"/>
              <w:rPr>
                <w:sz w:val="20"/>
                <w:szCs w:val="20"/>
                <w:color w:val="auto"/>
              </w:rPr>
            </w:pPr>
            <w:r>
              <w:rPr>
                <w:rFonts w:ascii="Arial" w:cs="Arial" w:eastAsia="Arial" w:hAnsi="Arial"/>
                <w:sz w:val="14"/>
                <w:szCs w:val="14"/>
                <w:color w:val="auto"/>
                <w:w w:val="96"/>
              </w:rPr>
              <w:t>Amount of Loss</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8"/>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89"/>
              <w:spacing w:after="0" w:line="147" w:lineRule="exact"/>
              <w:rPr>
                <w:sz w:val="20"/>
                <w:szCs w:val="20"/>
                <w:color w:val="auto"/>
              </w:rPr>
            </w:pPr>
            <w:r>
              <w:rPr>
                <w:rFonts w:ascii="Arial" w:cs="Arial" w:eastAsia="Arial" w:hAnsi="Arial"/>
                <w:sz w:val="14"/>
                <w:szCs w:val="14"/>
                <w:color w:val="auto"/>
                <w:w w:val="96"/>
              </w:rPr>
              <w:t>Amount of Loss</w:t>
            </w:r>
          </w:p>
        </w:tc>
        <w:tc>
          <w:tcPr>
            <w:tcW w:w="260" w:type="dxa"/>
            <w:vAlign w:val="bottom"/>
          </w:tcPr>
          <w:p>
            <w:pPr>
              <w:spacing w:after="0"/>
              <w:rPr>
                <w:sz w:val="12"/>
                <w:szCs w:val="12"/>
                <w:color w:val="auto"/>
              </w:rPr>
            </w:pPr>
          </w:p>
        </w:tc>
        <w:tc>
          <w:tcPr>
            <w:tcW w:w="1240" w:type="dxa"/>
            <w:vAlign w:val="bottom"/>
          </w:tcPr>
          <w:p>
            <w:pPr>
              <w:jc w:val="center"/>
              <w:ind w:right="69"/>
              <w:spacing w:after="0" w:line="147" w:lineRule="exact"/>
              <w:rPr>
                <w:sz w:val="20"/>
                <w:szCs w:val="20"/>
                <w:color w:val="auto"/>
              </w:rPr>
            </w:pPr>
            <w:r>
              <w:rPr>
                <w:rFonts w:ascii="Arial" w:cs="Arial" w:eastAsia="Arial" w:hAnsi="Arial"/>
                <w:sz w:val="14"/>
                <w:szCs w:val="14"/>
                <w:color w:val="auto"/>
                <w:w w:val="92"/>
              </w:rPr>
              <w:t>Reclassified</w:t>
            </w: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29"/>
              <w:spacing w:after="0" w:line="147" w:lineRule="exact"/>
              <w:rPr>
                <w:sz w:val="20"/>
                <w:szCs w:val="20"/>
                <w:color w:val="auto"/>
              </w:rPr>
            </w:pPr>
            <w:r>
              <w:rPr>
                <w:rFonts w:ascii="Arial" w:cs="Arial" w:eastAsia="Arial" w:hAnsi="Arial"/>
                <w:sz w:val="14"/>
                <w:szCs w:val="14"/>
                <w:color w:val="auto"/>
                <w:w w:val="95"/>
              </w:rPr>
              <w:t>Amount</w:t>
            </w:r>
          </w:p>
        </w:tc>
        <w:tc>
          <w:tcPr>
            <w:tcW w:w="1480" w:type="dxa"/>
            <w:vAlign w:val="bottom"/>
          </w:tcPr>
          <w:p>
            <w:pPr>
              <w:spacing w:after="0"/>
              <w:rPr>
                <w:sz w:val="12"/>
                <w:szCs w:val="12"/>
                <w:color w:val="auto"/>
              </w:rPr>
            </w:pPr>
          </w:p>
        </w:tc>
      </w:tr>
      <w:tr>
        <w:trPr>
          <w:trHeight w:val="148"/>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09"/>
              <w:spacing w:after="0" w:line="147" w:lineRule="exact"/>
              <w:rPr>
                <w:sz w:val="20"/>
                <w:szCs w:val="20"/>
                <w:color w:val="auto"/>
              </w:rPr>
            </w:pPr>
            <w:r>
              <w:rPr>
                <w:rFonts w:ascii="Arial" w:cs="Arial" w:eastAsia="Arial" w:hAnsi="Arial"/>
                <w:sz w:val="14"/>
                <w:szCs w:val="14"/>
                <w:color w:val="auto"/>
                <w:w w:val="91"/>
              </w:rPr>
              <w:t>Recognized</w:t>
            </w:r>
          </w:p>
        </w:tc>
        <w:tc>
          <w:tcPr>
            <w:tcW w:w="260" w:type="dxa"/>
            <w:vAlign w:val="bottom"/>
          </w:tcPr>
          <w:p>
            <w:pPr>
              <w:spacing w:after="0"/>
              <w:rPr>
                <w:sz w:val="12"/>
                <w:szCs w:val="12"/>
                <w:color w:val="auto"/>
              </w:rPr>
            </w:pPr>
          </w:p>
        </w:tc>
        <w:tc>
          <w:tcPr>
            <w:tcW w:w="1240" w:type="dxa"/>
            <w:vAlign w:val="bottom"/>
          </w:tcPr>
          <w:p>
            <w:pPr>
              <w:jc w:val="center"/>
              <w:ind w:right="69"/>
              <w:spacing w:after="0" w:line="147" w:lineRule="exact"/>
              <w:rPr>
                <w:sz w:val="20"/>
                <w:szCs w:val="20"/>
                <w:color w:val="auto"/>
              </w:rPr>
            </w:pPr>
            <w:r>
              <w:rPr>
                <w:rFonts w:ascii="Arial" w:cs="Arial" w:eastAsia="Arial" w:hAnsi="Arial"/>
                <w:sz w:val="14"/>
                <w:szCs w:val="14"/>
                <w:color w:val="auto"/>
                <w:w w:val="98"/>
              </w:rPr>
              <w:t>from OCI into</w:t>
            </w:r>
          </w:p>
        </w:tc>
        <w:tc>
          <w:tcPr>
            <w:tcW w:w="1720" w:type="dxa"/>
            <w:vAlign w:val="bottom"/>
          </w:tcPr>
          <w:p>
            <w:pPr>
              <w:jc w:val="center"/>
              <w:spacing w:after="0" w:line="147" w:lineRule="exact"/>
              <w:rPr>
                <w:sz w:val="20"/>
                <w:szCs w:val="20"/>
                <w:color w:val="auto"/>
              </w:rPr>
            </w:pPr>
            <w:r>
              <w:rPr>
                <w:rFonts w:ascii="Arial" w:cs="Arial" w:eastAsia="Arial" w:hAnsi="Arial"/>
                <w:sz w:val="14"/>
                <w:szCs w:val="14"/>
                <w:color w:val="auto"/>
                <w:w w:val="94"/>
              </w:rPr>
              <w:t>Location in</w:t>
            </w:r>
          </w:p>
        </w:tc>
        <w:tc>
          <w:tcPr>
            <w:tcW w:w="200" w:type="dxa"/>
            <w:vAlign w:val="bottom"/>
          </w:tcPr>
          <w:p>
            <w:pPr>
              <w:spacing w:after="0"/>
              <w:rPr>
                <w:sz w:val="12"/>
                <w:szCs w:val="12"/>
                <w:color w:val="auto"/>
              </w:rPr>
            </w:pPr>
          </w:p>
        </w:tc>
        <w:tc>
          <w:tcPr>
            <w:tcW w:w="1180" w:type="dxa"/>
            <w:vAlign w:val="bottom"/>
          </w:tcPr>
          <w:p>
            <w:pPr>
              <w:jc w:val="center"/>
              <w:ind w:right="129"/>
              <w:spacing w:after="0" w:line="147" w:lineRule="exact"/>
              <w:rPr>
                <w:sz w:val="20"/>
                <w:szCs w:val="20"/>
                <w:color w:val="auto"/>
              </w:rPr>
            </w:pPr>
            <w:r>
              <w:rPr>
                <w:rFonts w:ascii="Arial" w:cs="Arial" w:eastAsia="Arial" w:hAnsi="Arial"/>
                <w:sz w:val="14"/>
                <w:szCs w:val="14"/>
                <w:color w:val="auto"/>
                <w:w w:val="96"/>
              </w:rPr>
              <w:t>Excluded from</w:t>
            </w:r>
          </w:p>
        </w:tc>
        <w:tc>
          <w:tcPr>
            <w:tcW w:w="1480" w:type="dxa"/>
            <w:vAlign w:val="bottom"/>
          </w:tcPr>
          <w:p>
            <w:pPr>
              <w:jc w:val="center"/>
              <w:ind w:left="149"/>
              <w:spacing w:after="0" w:line="147" w:lineRule="exact"/>
              <w:rPr>
                <w:sz w:val="20"/>
                <w:szCs w:val="20"/>
                <w:color w:val="auto"/>
              </w:rPr>
            </w:pPr>
            <w:r>
              <w:rPr>
                <w:rFonts w:ascii="Arial" w:cs="Arial" w:eastAsia="Arial" w:hAnsi="Arial"/>
                <w:sz w:val="14"/>
                <w:szCs w:val="14"/>
                <w:color w:val="auto"/>
                <w:w w:val="97"/>
              </w:rPr>
              <w:t>Location in</w:t>
            </w:r>
          </w:p>
        </w:tc>
      </w:tr>
      <w:tr>
        <w:trPr>
          <w:trHeight w:val="148"/>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89"/>
              <w:spacing w:after="0" w:line="147" w:lineRule="exact"/>
              <w:rPr>
                <w:sz w:val="20"/>
                <w:szCs w:val="20"/>
                <w:color w:val="auto"/>
              </w:rPr>
            </w:pPr>
            <w:r>
              <w:rPr>
                <w:rFonts w:ascii="Arial" w:cs="Arial" w:eastAsia="Arial" w:hAnsi="Arial"/>
                <w:sz w:val="14"/>
                <w:szCs w:val="14"/>
                <w:color w:val="auto"/>
                <w:w w:val="95"/>
              </w:rPr>
              <w:t>in OCI</w:t>
            </w:r>
          </w:p>
        </w:tc>
        <w:tc>
          <w:tcPr>
            <w:tcW w:w="260" w:type="dxa"/>
            <w:vAlign w:val="bottom"/>
          </w:tcPr>
          <w:p>
            <w:pPr>
              <w:spacing w:after="0"/>
              <w:rPr>
                <w:sz w:val="12"/>
                <w:szCs w:val="12"/>
                <w:color w:val="auto"/>
              </w:rPr>
            </w:pPr>
          </w:p>
        </w:tc>
        <w:tc>
          <w:tcPr>
            <w:tcW w:w="1240" w:type="dxa"/>
            <w:vAlign w:val="bottom"/>
          </w:tcPr>
          <w:p>
            <w:pPr>
              <w:jc w:val="center"/>
              <w:ind w:right="69"/>
              <w:spacing w:after="0" w:line="147" w:lineRule="exact"/>
              <w:rPr>
                <w:sz w:val="20"/>
                <w:szCs w:val="20"/>
                <w:color w:val="auto"/>
              </w:rPr>
            </w:pPr>
            <w:r>
              <w:rPr>
                <w:rFonts w:ascii="Arial" w:cs="Arial" w:eastAsia="Arial" w:hAnsi="Arial"/>
                <w:sz w:val="14"/>
                <w:szCs w:val="14"/>
                <w:color w:val="auto"/>
                <w:w w:val="90"/>
              </w:rPr>
              <w:t>Earnings</w:t>
            </w:r>
          </w:p>
        </w:tc>
        <w:tc>
          <w:tcPr>
            <w:tcW w:w="1720" w:type="dxa"/>
            <w:vAlign w:val="bottom"/>
          </w:tcPr>
          <w:p>
            <w:pPr>
              <w:jc w:val="center"/>
              <w:spacing w:after="0" w:line="147" w:lineRule="exact"/>
              <w:rPr>
                <w:sz w:val="20"/>
                <w:szCs w:val="20"/>
                <w:color w:val="auto"/>
              </w:rPr>
            </w:pPr>
            <w:r>
              <w:rPr>
                <w:rFonts w:ascii="Arial" w:cs="Arial" w:eastAsia="Arial" w:hAnsi="Arial"/>
                <w:sz w:val="14"/>
                <w:szCs w:val="14"/>
                <w:color w:val="auto"/>
                <w:w w:val="90"/>
              </w:rPr>
              <w:t>Statement of</w:t>
            </w:r>
          </w:p>
        </w:tc>
        <w:tc>
          <w:tcPr>
            <w:tcW w:w="200" w:type="dxa"/>
            <w:vAlign w:val="bottom"/>
          </w:tcPr>
          <w:p>
            <w:pPr>
              <w:spacing w:after="0"/>
              <w:rPr>
                <w:sz w:val="12"/>
                <w:szCs w:val="12"/>
                <w:color w:val="auto"/>
              </w:rPr>
            </w:pPr>
          </w:p>
        </w:tc>
        <w:tc>
          <w:tcPr>
            <w:tcW w:w="1180" w:type="dxa"/>
            <w:vAlign w:val="bottom"/>
          </w:tcPr>
          <w:p>
            <w:pPr>
              <w:jc w:val="center"/>
              <w:ind w:right="129"/>
              <w:spacing w:after="0" w:line="147" w:lineRule="exact"/>
              <w:rPr>
                <w:sz w:val="20"/>
                <w:szCs w:val="20"/>
                <w:color w:val="auto"/>
              </w:rPr>
            </w:pPr>
            <w:r>
              <w:rPr>
                <w:rFonts w:ascii="Arial" w:cs="Arial" w:eastAsia="Arial" w:hAnsi="Arial"/>
                <w:sz w:val="14"/>
                <w:szCs w:val="14"/>
                <w:color w:val="auto"/>
                <w:w w:val="93"/>
              </w:rPr>
              <w:t>Effectiveness</w:t>
            </w:r>
          </w:p>
        </w:tc>
        <w:tc>
          <w:tcPr>
            <w:tcW w:w="1480" w:type="dxa"/>
            <w:vAlign w:val="bottom"/>
          </w:tcPr>
          <w:p>
            <w:pPr>
              <w:jc w:val="center"/>
              <w:ind w:left="169"/>
              <w:spacing w:after="0" w:line="147" w:lineRule="exact"/>
              <w:rPr>
                <w:sz w:val="20"/>
                <w:szCs w:val="20"/>
                <w:color w:val="auto"/>
              </w:rPr>
            </w:pPr>
            <w:r>
              <w:rPr>
                <w:rFonts w:ascii="Arial" w:cs="Arial" w:eastAsia="Arial" w:hAnsi="Arial"/>
                <w:sz w:val="14"/>
                <w:szCs w:val="14"/>
                <w:color w:val="auto"/>
                <w:w w:val="90"/>
              </w:rPr>
              <w:t>Statement of</w:t>
            </w:r>
          </w:p>
        </w:tc>
      </w:tr>
      <w:tr>
        <w:trPr>
          <w:trHeight w:val="166"/>
        </w:trPr>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Derivative Instruments</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color w:val="auto"/>
                <w:w w:val="95"/>
              </w:rPr>
              <w:t>(Effective Portion)</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w w:val="95"/>
              </w:rPr>
              <w:t>(Effective Portion)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Operations</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95"/>
              </w:rPr>
              <w:t>Testing (*)</w:t>
            </w:r>
          </w:p>
        </w:tc>
        <w:tc>
          <w:tcPr>
            <w:tcW w:w="148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3"/>
              </w:rPr>
              <w:t>Operations</w:t>
            </w:r>
          </w:p>
        </w:tc>
      </w:tr>
      <w:tr>
        <w:trPr>
          <w:trHeight w:val="178"/>
        </w:trPr>
        <w:tc>
          <w:tcPr>
            <w:tcW w:w="3820" w:type="dxa"/>
            <w:vAlign w:val="bottom"/>
          </w:tcPr>
          <w:p>
            <w:pPr>
              <w:ind w:left="10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51"/>
        </w:trPr>
        <w:tc>
          <w:tcPr>
            <w:tcW w:w="3820" w:type="dxa"/>
            <w:vAlign w:val="bottom"/>
            <w:shd w:val="clear" w:color="auto" w:fill="CCEEFF"/>
          </w:tcPr>
          <w:p>
            <w:pPr>
              <w:ind w:left="100"/>
              <w:spacing w:after="0" w:line="151" w:lineRule="exact"/>
              <w:rPr>
                <w:sz w:val="20"/>
                <w:szCs w:val="20"/>
                <w:color w:val="auto"/>
              </w:rPr>
            </w:pPr>
            <w:r>
              <w:rPr>
                <w:rFonts w:ascii="Arial" w:cs="Arial" w:eastAsia="Arial" w:hAnsi="Arial"/>
                <w:sz w:val="14"/>
                <w:szCs w:val="14"/>
                <w:color w:val="auto"/>
              </w:rPr>
              <w:t>Designated foreign currency hedge contracts</w:t>
            </w:r>
          </w:p>
        </w:tc>
        <w:tc>
          <w:tcPr>
            <w:tcW w:w="1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9"/>
              <w:spacing w:after="0" w:line="151" w:lineRule="exact"/>
              <w:rPr>
                <w:sz w:val="20"/>
                <w:szCs w:val="20"/>
                <w:color w:val="auto"/>
              </w:rPr>
            </w:pPr>
            <w:r>
              <w:rPr>
                <w:rFonts w:ascii="Arial" w:cs="Arial" w:eastAsia="Arial" w:hAnsi="Arial"/>
                <w:sz w:val="14"/>
                <w:szCs w:val="14"/>
                <w:color w:val="auto"/>
              </w:rPr>
              <w:t>(450)</w:t>
            </w:r>
          </w:p>
        </w:tc>
        <w:tc>
          <w:tcPr>
            <w:tcW w:w="2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9"/>
              <w:spacing w:after="0" w:line="151" w:lineRule="exact"/>
              <w:rPr>
                <w:sz w:val="20"/>
                <w:szCs w:val="20"/>
                <w:color w:val="auto"/>
              </w:rPr>
            </w:pPr>
            <w:r>
              <w:rPr>
                <w:rFonts w:ascii="Arial" w:cs="Arial" w:eastAsia="Arial" w:hAnsi="Arial"/>
                <w:sz w:val="14"/>
                <w:szCs w:val="14"/>
                <w:color w:val="auto"/>
              </w:rPr>
              <w:t>31</w:t>
            </w:r>
          </w:p>
        </w:tc>
        <w:tc>
          <w:tcPr>
            <w:tcW w:w="17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1"/>
              </w:rPr>
              <w:t>Net revenues</w:t>
            </w:r>
          </w:p>
        </w:tc>
        <w:tc>
          <w:tcPr>
            <w:tcW w:w="2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9"/>
              <w:spacing w:after="0" w:line="151" w:lineRule="exact"/>
              <w:rPr>
                <w:sz w:val="20"/>
                <w:szCs w:val="20"/>
                <w:color w:val="auto"/>
              </w:rPr>
            </w:pPr>
            <w:r>
              <w:rPr>
                <w:rFonts w:ascii="Arial" w:cs="Arial" w:eastAsia="Arial" w:hAnsi="Arial"/>
                <w:sz w:val="14"/>
                <w:szCs w:val="14"/>
                <w:color w:val="auto"/>
              </w:rPr>
              <w:t>27</w:t>
            </w:r>
          </w:p>
        </w:tc>
        <w:tc>
          <w:tcPr>
            <w:tcW w:w="1480" w:type="dxa"/>
            <w:vAlign w:val="bottom"/>
            <w:shd w:val="clear" w:color="auto" w:fill="CCEEFF"/>
          </w:tcPr>
          <w:p>
            <w:pPr>
              <w:jc w:val="center"/>
              <w:ind w:left="149"/>
              <w:spacing w:after="0" w:line="151" w:lineRule="exact"/>
              <w:rPr>
                <w:sz w:val="20"/>
                <w:szCs w:val="20"/>
                <w:color w:val="auto"/>
              </w:rPr>
            </w:pPr>
            <w:r>
              <w:rPr>
                <w:rFonts w:ascii="Arial" w:cs="Arial" w:eastAsia="Arial" w:hAnsi="Arial"/>
                <w:sz w:val="14"/>
                <w:szCs w:val="14"/>
                <w:color w:val="auto"/>
                <w:w w:val="92"/>
              </w:rPr>
              <w:t>Other income</w:t>
            </w:r>
          </w:p>
        </w:tc>
      </w:tr>
      <w:tr>
        <w:trPr>
          <w:trHeight w:val="154"/>
        </w:trPr>
        <w:tc>
          <w:tcPr>
            <w:tcW w:w="3820" w:type="dxa"/>
            <w:vAlign w:val="bottom"/>
          </w:tcPr>
          <w:p>
            <w:pPr>
              <w:ind w:left="100"/>
              <w:spacing w:after="0" w:line="147" w:lineRule="exact"/>
              <w:rPr>
                <w:sz w:val="20"/>
                <w:szCs w:val="20"/>
                <w:color w:val="auto"/>
              </w:rPr>
            </w:pPr>
            <w:r>
              <w:rPr>
                <w:rFonts w:ascii="Arial" w:cs="Arial" w:eastAsia="Arial" w:hAnsi="Arial"/>
                <w:sz w:val="14"/>
                <w:szCs w:val="14"/>
                <w:color w:val="auto"/>
              </w:rPr>
              <w:t>Non-designated foreign currency hedge contracts</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49"/>
              <w:spacing w:after="0" w:line="147"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7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(124)</w:t>
            </w:r>
          </w:p>
        </w:tc>
        <w:tc>
          <w:tcPr>
            <w:tcW w:w="1480" w:type="dxa"/>
            <w:vAlign w:val="bottom"/>
          </w:tcPr>
          <w:p>
            <w:pPr>
              <w:jc w:val="center"/>
              <w:ind w:left="149"/>
              <w:spacing w:after="0" w:line="147" w:lineRule="exact"/>
              <w:rPr>
                <w:sz w:val="20"/>
                <w:szCs w:val="20"/>
                <w:color w:val="auto"/>
              </w:rPr>
            </w:pPr>
            <w:r>
              <w:rPr>
                <w:rFonts w:ascii="Arial" w:cs="Arial" w:eastAsia="Arial" w:hAnsi="Arial"/>
                <w:sz w:val="14"/>
                <w:szCs w:val="14"/>
                <w:color w:val="auto"/>
                <w:w w:val="89"/>
              </w:rPr>
              <w:t>Other expense</w:t>
            </w:r>
          </w:p>
        </w:tc>
      </w:tr>
      <w:tr>
        <w:trPr>
          <w:trHeight w:val="148"/>
        </w:trPr>
        <w:tc>
          <w:tcPr>
            <w:tcW w:w="3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9"/>
              <w:spacing w:after="0" w:line="147" w:lineRule="exact"/>
              <w:rPr>
                <w:sz w:val="20"/>
                <w:szCs w:val="20"/>
                <w:color w:val="auto"/>
              </w:rPr>
            </w:pPr>
            <w:r>
              <w:rPr>
                <w:rFonts w:ascii="Arial" w:cs="Arial" w:eastAsia="Arial" w:hAnsi="Arial"/>
                <w:sz w:val="14"/>
                <w:szCs w:val="14"/>
                <w:color w:val="auto"/>
              </w:rPr>
              <w:t>(450)</w:t>
            </w:r>
          </w:p>
        </w:tc>
        <w:tc>
          <w:tcPr>
            <w:tcW w:w="26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31</w:t>
            </w:r>
          </w:p>
        </w:tc>
        <w:tc>
          <w:tcPr>
            <w:tcW w:w="1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(97)</w:t>
            </w:r>
          </w:p>
        </w:tc>
        <w:tc>
          <w:tcPr>
            <w:tcW w:w="1480" w:type="dxa"/>
            <w:vAlign w:val="bottom"/>
            <w:shd w:val="clear" w:color="auto" w:fill="CCEEFF"/>
          </w:tcPr>
          <w:p>
            <w:pPr>
              <w:spacing w:after="0"/>
              <w:rPr>
                <w:sz w:val="12"/>
                <w:szCs w:val="12"/>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 We exclude the difference between the spot rate and hedge forward rate from our effectiveness testing.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July 3, 2010 or April 3, 2010.</w:t>
      </w:r>
    </w:p>
    <w:p>
      <w:pPr>
        <w:spacing w:after="0" w:line="22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active markets; quoted prices for identical or similar assets or liabilities in markets that are not active; other observable inputs for the asset or liability; and inputs derived principally from, or corroborated by, observable market data by correlation or other means. As of July 3, 2010,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July 3, 2010 by type of contract and whether it is a qualifying hedge under ASC Topic 815.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Location in</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w w:val="89"/>
              </w:rPr>
              <w:t>Balance as of</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w w:val="89"/>
              </w:rPr>
              <w:t>Balance as of</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Balance Sheet</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6"/>
              </w:rPr>
              <w:t>July 3, 2010</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4"/>
              </w:rPr>
              <w:t>April 3, 2010</w:t>
            </w: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Derivative Assets:</w:t>
            </w:r>
          </w:p>
        </w:tc>
        <w:tc>
          <w:tcPr>
            <w:tcW w:w="1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tcPr>
          <w:p>
            <w:pPr>
              <w:ind w:left="100"/>
              <w:spacing w:after="0"/>
              <w:rPr>
                <w:sz w:val="20"/>
                <w:szCs w:val="20"/>
                <w:color w:val="auto"/>
              </w:rPr>
            </w:pPr>
            <w:r>
              <w:rPr>
                <w:rFonts w:ascii="Arial" w:cs="Arial" w:eastAsia="Arial" w:hAnsi="Arial"/>
                <w:sz w:val="18"/>
                <w:szCs w:val="18"/>
                <w:color w:val="auto"/>
              </w:rPr>
              <w:t>Designated foreign currency hedge contracts</w:t>
            </w:r>
          </w:p>
        </w:tc>
        <w:tc>
          <w:tcPr>
            <w:tcW w:w="1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Other current assets</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5,433</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5,433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4,407</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Derivative Liabilities:</w:t>
            </w: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Designated foreign currency hedge contracts</w:t>
            </w:r>
          </w:p>
        </w:tc>
        <w:tc>
          <w:tcPr>
            <w:tcW w:w="1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Other accrued liabilities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21"/>
        </w:trPr>
        <w:tc>
          <w:tcPr>
            <w:tcW w:w="4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2,109</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1,747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9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three months ended July 3, 2010,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a recurring basis, we measure certain financial assets and financial liabilities at fair value, including our money market funds, foreign currency derivative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12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159" w:lineRule="exact"/>
        <w:rPr>
          <w:sz w:val="20"/>
          <w:szCs w:val="20"/>
          <w:color w:val="auto"/>
        </w:rPr>
      </w:pPr>
    </w:p>
    <w:p>
      <w:pPr>
        <w:ind w:left="680" w:hanging="337"/>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0" w:lineRule="exact"/>
        <w:rPr>
          <w:rFonts w:ascii="Arial" w:cs="Arial" w:eastAsia="Arial" w:hAnsi="Arial"/>
          <w:sz w:val="18"/>
          <w:szCs w:val="18"/>
          <w:b w:val="1"/>
          <w:bCs w:val="1"/>
          <w:color w:val="auto"/>
        </w:rPr>
      </w:pPr>
    </w:p>
    <w:p>
      <w:pPr>
        <w:ind w:left="680" w:right="80" w:hanging="337"/>
        <w:spacing w:after="0" w:line="248" w:lineRule="auto"/>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 w:lineRule="exact"/>
        <w:rPr>
          <w:rFonts w:ascii="Arial" w:cs="Arial" w:eastAsia="Arial" w:hAnsi="Arial"/>
          <w:sz w:val="18"/>
          <w:szCs w:val="18"/>
          <w:b w:val="1"/>
          <w:bCs w:val="1"/>
          <w:color w:val="auto"/>
        </w:rPr>
      </w:pPr>
    </w:p>
    <w:p>
      <w:pPr>
        <w:ind w:left="680" w:right="100" w:hanging="337"/>
        <w:spacing w:after="0" w:line="257" w:lineRule="auto"/>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48"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Our money market funds carried at fair value are generally classified within Level 1 of the fair value hierarchy because they are valued using quoted market prices.</w:t>
      </w:r>
    </w:p>
    <w:p>
      <w:pPr>
        <w:spacing w:after="0" w:line="13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We recognize all derivative financial instruments in our consolidated financial statements at fair value in accordance with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determine the fair value of these instruments using the framework prescribed by ASC Topic 820 by considering the estimated amount we would</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340"/>
        <w:spacing w:after="0" w:line="260" w:lineRule="auto"/>
        <w:rPr>
          <w:sz w:val="20"/>
          <w:szCs w:val="20"/>
          <w:color w:val="auto"/>
        </w:rPr>
      </w:pPr>
      <w:r>
        <w:rPr>
          <w:rFonts w:ascii="Arial" w:cs="Arial" w:eastAsia="Arial" w:hAnsi="Arial"/>
          <w:sz w:val="18"/>
          <w:szCs w:val="18"/>
          <w:color w:val="auto"/>
        </w:rPr>
        <w:t>hierarchy because these observable inputs are available for substantially the full term of our derivative instruments. For the quarter ended July 3, 2010, we have classified our other liabilities – contingent consideration relating to our acquisition of Neoteric within Level 3 of the fair value hierarchy because the value is determined using significant unobservable inputs.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July 3, 2010:</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8"/>
                <w:szCs w:val="18"/>
                <w:color w:val="auto"/>
                <w:w w:val="96"/>
              </w:rPr>
              <w:t>Significant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Quoted Market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Other</w:t>
            </w:r>
          </w:p>
        </w:tc>
        <w:tc>
          <w:tcPr>
            <w:tcW w:w="38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Significant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Prices for</w:t>
            </w:r>
          </w:p>
        </w:tc>
        <w:tc>
          <w:tcPr>
            <w:tcW w:w="420" w:type="dxa"/>
            <w:vAlign w:val="bottom"/>
          </w:tcPr>
          <w:p>
            <w:pPr>
              <w:spacing w:after="0"/>
              <w:rPr>
                <w:sz w:val="18"/>
                <w:szCs w:val="18"/>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Observable</w:t>
            </w:r>
          </w:p>
        </w:tc>
        <w:tc>
          <w:tcPr>
            <w:tcW w:w="38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Unobservable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Identical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Inputs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Inputs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60" w:type="dxa"/>
            <w:vAlign w:val="bottom"/>
            <w:gridSpan w:val="4"/>
          </w:tcPr>
          <w:p>
            <w:pPr>
              <w:spacing w:after="0" w:line="189" w:lineRule="exact"/>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520"/>
              <w:spacing w:after="0" w:line="189" w:lineRule="exact"/>
              <w:rPr>
                <w:sz w:val="20"/>
                <w:szCs w:val="20"/>
                <w:color w:val="auto"/>
              </w:rPr>
            </w:pPr>
            <w:r>
              <w:rPr>
                <w:rFonts w:ascii="Arial" w:cs="Arial" w:eastAsia="Arial" w:hAnsi="Arial"/>
                <w:sz w:val="18"/>
                <w:szCs w:val="18"/>
                <w:color w:val="auto"/>
                <w:w w:val="94"/>
              </w:rPr>
              <w:t>(Level 1)</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500"/>
              <w:spacing w:after="0" w:line="189" w:lineRule="exact"/>
              <w:rPr>
                <w:sz w:val="20"/>
                <w:szCs w:val="20"/>
                <w:color w:val="auto"/>
              </w:rPr>
            </w:pPr>
            <w:r>
              <w:rPr>
                <w:rFonts w:ascii="Arial" w:cs="Arial" w:eastAsia="Arial" w:hAnsi="Arial"/>
                <w:sz w:val="18"/>
                <w:szCs w:val="18"/>
                <w:color w:val="auto"/>
                <w:w w:val="94"/>
              </w:rPr>
              <w:t>(Level 2)</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520"/>
              <w:spacing w:after="0" w:line="189" w:lineRule="exact"/>
              <w:rPr>
                <w:sz w:val="20"/>
                <w:szCs w:val="20"/>
                <w:color w:val="auto"/>
              </w:rPr>
            </w:pPr>
            <w:r>
              <w:rPr>
                <w:rFonts w:ascii="Arial" w:cs="Arial" w:eastAsia="Arial" w:hAnsi="Arial"/>
                <w:sz w:val="18"/>
                <w:szCs w:val="18"/>
                <w:color w:val="auto"/>
                <w:w w:val="94"/>
              </w:rPr>
              <w:t>(Level 3)</w:t>
            </w:r>
          </w:p>
        </w:tc>
        <w:tc>
          <w:tcPr>
            <w:tcW w:w="520" w:type="dxa"/>
            <w:vAlign w:val="bottom"/>
          </w:tcPr>
          <w:p>
            <w:pPr>
              <w:spacing w:after="0"/>
              <w:rPr>
                <w:sz w:val="16"/>
                <w:szCs w:val="16"/>
                <w:color w:val="auto"/>
              </w:rPr>
            </w:pPr>
          </w:p>
        </w:tc>
        <w:tc>
          <w:tcPr>
            <w:tcW w:w="1060" w:type="dxa"/>
            <w:vAlign w:val="bottom"/>
            <w:gridSpan w:val="3"/>
          </w:tcPr>
          <w:p>
            <w:pPr>
              <w:jc w:val="right"/>
              <w:ind w:right="520"/>
              <w:spacing w:after="0" w:line="189"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77"/>
              </w:rPr>
              <w:t>Assets</w:t>
            </w:r>
          </w:p>
        </w:tc>
        <w:tc>
          <w:tcPr>
            <w:tcW w:w="406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55,328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55,328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5,433</w:t>
            </w: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55,328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5,433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60,761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60" w:type="dxa"/>
            <w:vAlign w:val="bottom"/>
            <w:tcBorders>
              <w:bottom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9"/>
              </w:rPr>
              <w:t>Liabilities</w:t>
            </w:r>
          </w:p>
        </w:tc>
        <w:tc>
          <w:tcPr>
            <w:tcW w:w="37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Forward currency exchange contracts</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2,109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contingent consideration</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4,087</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2,109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4,087</w:t>
            </w: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 description of the methods used to determine the fair value of the Level 3 liabilities (other liabilities – contingent consideration) is included within Note 9 – Goodwill, Other Intangible Assets, and Acquisitions. The table below provides a reconciliation of the beginning and ending Level 3 liabilities for the three months ended July 3,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Measurements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3"/>
              </w:rPr>
              <w:t>Using Significant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Inputs</w:t>
            </w: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6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Accretion of interest expense on contingent consideration</w:t>
            </w:r>
          </w:p>
        </w:tc>
        <w:tc>
          <w:tcPr>
            <w:tcW w:w="1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1"/>
        </w:trPr>
        <w:tc>
          <w:tcPr>
            <w:tcW w:w="65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long-term debt obligations was $4.9 million and $5.1 million at July 3, 2010 and April 3, 2010,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or is resolved. Events or items that give rise to discrete recognition include finalizing audit examinations for open tax years, a statute of limitation’s expiration, or a change in the statutory tax rate. The calculated tax rate is without any benefit from the research and development credit that could later become valid for our fiscal year 2011.</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417"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26.5% for the three month period ended July 3, 2010. The reported tax rate includes:</w:t>
      </w:r>
    </w:p>
    <w:p>
      <w:pPr>
        <w:spacing w:after="0" w:line="222" w:lineRule="exact"/>
        <w:rPr>
          <w:sz w:val="20"/>
          <w:szCs w:val="20"/>
          <w:color w:val="auto"/>
        </w:rPr>
      </w:pPr>
    </w:p>
    <w:p>
      <w:pPr>
        <w:ind w:left="340" w:right="220" w:hanging="333"/>
        <w:spacing w:after="0" w:line="33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29.8% expected effective annual tax rate which reflects tax benefits from foreign taxes (including our Swiss principal) and a domestic manufacturing deduction, offset in part by the state income tax provision and stock compensation expenses not deductible in all jurisdictions; and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discrete item:</w:t>
      </w:r>
    </w:p>
    <w:p>
      <w:pPr>
        <w:spacing w:after="0" w:line="222" w:lineRule="exact"/>
        <w:rPr>
          <w:sz w:val="20"/>
          <w:szCs w:val="20"/>
          <w:color w:val="auto"/>
        </w:rPr>
      </w:pPr>
    </w:p>
    <w:p>
      <w:pPr>
        <w:ind w:left="340" w:hanging="333"/>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$0.8 million benefit from the finalization of our tax status as a principal in Switzerland.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30.3% for the three month period ended June 27, 2009. The reported tax rate includes:</w:t>
      </w:r>
    </w:p>
    <w:p>
      <w:pPr>
        <w:spacing w:after="0" w:line="222" w:lineRule="exact"/>
        <w:rPr>
          <w:sz w:val="20"/>
          <w:szCs w:val="20"/>
          <w:color w:val="auto"/>
        </w:rPr>
      </w:pPr>
    </w:p>
    <w:p>
      <w:pPr>
        <w:ind w:left="340" w:right="220" w:hanging="333"/>
        <w:spacing w:after="0" w:line="302"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31.1% expected effective annual tax rate which reflects tax benefits from foreign taxes (including our Swiss principal) and a domestic manufacturing deduction, offset in part by the state tax provision, and stock compensation expenses not deductible in all jurisdictions; and</w:t>
      </w:r>
    </w:p>
    <w:p>
      <w:pPr>
        <w:spacing w:after="0" w:line="151" w:lineRule="exact"/>
        <w:rPr>
          <w:rFonts w:ascii="Arial" w:cs="Arial" w:eastAsia="Arial" w:hAnsi="Arial"/>
          <w:sz w:val="17"/>
          <w:szCs w:val="17"/>
          <w:color w:val="auto"/>
        </w:rPr>
      </w:pPr>
    </w:p>
    <w:p>
      <w:pPr>
        <w:ind w:left="340" w:hanging="333"/>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$0.2 million benefit from the remittance of Japanese earnings.</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 business globally and, as a result, file consolidated federal,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6" w:lineRule="exact"/>
        <w:rPr>
          <w:sz w:val="20"/>
          <w:szCs w:val="20"/>
          <w:color w:val="auto"/>
        </w:rPr>
      </w:pPr>
    </w:p>
    <w:p>
      <w:pPr>
        <w:jc w:val="both"/>
        <w:ind w:right="160"/>
        <w:spacing w:after="0" w:line="302" w:lineRule="auto"/>
        <w:rPr>
          <w:sz w:val="20"/>
          <w:szCs w:val="20"/>
          <w:color w:val="auto"/>
        </w:rPr>
      </w:pPr>
      <w:r>
        <w:rPr>
          <w:rFonts w:ascii="Arial" w:cs="Arial" w:eastAsia="Arial" w:hAnsi="Arial"/>
          <w:sz w:val="17"/>
          <w:szCs w:val="17"/>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PENSION PLANS</w:t>
      </w:r>
    </w:p>
    <w:p>
      <w:pPr>
        <w:spacing w:after="0" w:line="226"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color w:val="auto"/>
        </w:rPr>
        <w:t>Certain of the Company’s foreign subsidiaries have defined benefit pension plans covering substantially all full time employees at those subsidiaries. Net periodic benefit costs for the plans in the aggregate include the following components: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3880" w:type="dxa"/>
            <w:vAlign w:val="bottom"/>
            <w:tcBorders>
              <w:bottom w:val="single" w:sz="8" w:color="auto"/>
            </w:tcBorders>
            <w:gridSpan w:val="5"/>
          </w:tcPr>
          <w:p>
            <w:pPr>
              <w:jc w:val="right"/>
              <w:ind w:right="871"/>
              <w:spacing w:after="0"/>
              <w:rPr>
                <w:sz w:val="20"/>
                <w:szCs w:val="20"/>
                <w:color w:val="auto"/>
              </w:rPr>
            </w:pPr>
            <w:r>
              <w:rPr>
                <w:rFonts w:ascii="Arial" w:cs="Arial" w:eastAsia="Arial" w:hAnsi="Arial"/>
                <w:sz w:val="18"/>
                <w:szCs w:val="18"/>
                <w:color w:val="auto"/>
              </w:rPr>
              <w:t>For the three months ended</w:t>
            </w: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 2010</w:t>
            </w: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7"/>
              </w:rPr>
              <w:t>June 27, 2009</w:t>
            </w:r>
          </w:p>
        </w:tc>
      </w:tr>
      <w:tr>
        <w:trPr>
          <w:trHeight w:val="208"/>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(in thousands)</w:t>
            </w:r>
          </w:p>
        </w:tc>
        <w:tc>
          <w:tcPr>
            <w:tcW w:w="14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320" w:type="dxa"/>
            <w:vAlign w:val="bottom"/>
            <w:shd w:val="clear" w:color="auto" w:fill="CCEEFF"/>
          </w:tcPr>
          <w:p>
            <w:pPr>
              <w:jc w:val="right"/>
              <w:ind w:right="10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6"/>
              </w:rPr>
              <w:t>152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124</w:t>
            </w:r>
          </w:p>
        </w:tc>
      </w:tr>
      <w:tr>
        <w:trPr>
          <w:trHeight w:val="215"/>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1320" w:type="dxa"/>
            <w:vAlign w:val="bottom"/>
          </w:tcPr>
          <w:p>
            <w:pPr>
              <w:spacing w:after="0"/>
              <w:rPr>
                <w:sz w:val="18"/>
                <w:szCs w:val="18"/>
                <w:color w:val="auto"/>
              </w:rPr>
            </w:pPr>
          </w:p>
        </w:tc>
        <w:tc>
          <w:tcPr>
            <w:tcW w:w="420" w:type="dxa"/>
            <w:vAlign w:val="bottom"/>
          </w:tcPr>
          <w:p>
            <w:pPr>
              <w:jc w:val="right"/>
              <w:ind w:right="51"/>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61</w:t>
            </w: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00"/>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Amortization of unrecognized prior service cost, unrecognized</w:t>
            </w: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gain and unrecognized initial obligation</w:t>
            </w:r>
          </w:p>
        </w:tc>
        <w:tc>
          <w:tcPr>
            <w:tcW w:w="1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320" w:type="dxa"/>
            <w:vAlign w:val="bottom"/>
            <w:shd w:val="clear" w:color="auto" w:fill="CCEEFF"/>
          </w:tcPr>
          <w:p>
            <w:pPr>
              <w:jc w:val="right"/>
              <w:ind w:right="10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6"/>
              </w:rPr>
              <w:t>233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160</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222" w:lineRule="exact"/>
        <w:rPr>
          <w:sz w:val="20"/>
          <w:szCs w:val="20"/>
          <w:color w:val="auto"/>
        </w:rPr>
      </w:pPr>
    </w:p>
    <w:p>
      <w:pPr>
        <w:jc w:val="both"/>
        <w:ind w:right="160"/>
        <w:spacing w:after="0" w:line="260"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bank, hospital, and software solutions.</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Disposables include the plasma, blood bank, and hospital product families. Plasma consists of the disposables used to perform apheresis for the separation of whole blood components and subsequent collection of plasma to be used as a raw material for biologically derived pharmaceuticals (also known as source plasma). Blood bank consists of disposables which separate whole blood for the subsequent collection of platelets, plasma, red cells, or a combination of these components for transfusion to patients. Hospital consists of surgical disposables (principally the Cell Saver® autologous blood recovery system targeted to procedures that involve rapid, high volume blood loss such as cardiovascular surgeries and cardioPAT® cardiovascular perioperative autotransfusion system designed to remain with the patient following surgery to recover blood and the patient’s red cells to prepare them for reinfusion), the OrthoPAT® orthopedic perioperative autotransfusion system designed to operate both during and after surgery to recover and wash the patient’s red cells to prepare them for reinfusion, and diagnostics products (principally the TEG® Thrombelastograph® hemostasis analyzer used to help assess a surgical patient’s hemostasis (blood clotting ability) during and after surgery).</w:t>
      </w:r>
    </w:p>
    <w:p>
      <w:pPr>
        <w:spacing w:after="0" w:line="141"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color w:val="auto"/>
        </w:rPr>
        <w:t>Software solutions include information technology platforms that assist blood banks, plasma centers, and hospitals to more effectively manage regulatory compliance and operational efficiency.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2"/>
              </w:rPr>
              <w:t>July 3, 2010</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color w:val="auto"/>
              </w:rPr>
              <w:t>June 27, 2009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3"/>
          </w:tcPr>
          <w:p>
            <w:pPr>
              <w:jc w:val="right"/>
              <w:ind w:right="231"/>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Plasma disposables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55,918</w:t>
            </w:r>
          </w:p>
        </w:tc>
        <w:tc>
          <w:tcPr>
            <w:tcW w:w="980" w:type="dxa"/>
            <w:vAlign w:val="bottom"/>
            <w:gridSpan w:val="2"/>
          </w:tcPr>
          <w:p>
            <w:pPr>
              <w:jc w:val="right"/>
              <w:ind w:right="411"/>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58,868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Blood bank disposables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Platelet</w:t>
            </w:r>
          </w:p>
        </w:tc>
        <w:tc>
          <w:tcPr>
            <w:tcW w:w="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36,317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34,306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Red cell</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11,314</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47,631</w:t>
            </w:r>
          </w:p>
        </w:tc>
        <w:tc>
          <w:tcPr>
            <w:tcW w:w="3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46,085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Hospital disposables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Surgical</w:t>
            </w:r>
          </w:p>
        </w:tc>
        <w:tc>
          <w:tcPr>
            <w:tcW w:w="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16,351</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17,425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OrthoPAT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8,957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Diagnostics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4,708</w:t>
            </w:r>
          </w:p>
        </w:tc>
        <w:tc>
          <w:tcPr>
            <w:tcW w:w="3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30,016</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29,820</w:t>
            </w:r>
          </w:p>
        </w:tc>
        <w:tc>
          <w:tcPr>
            <w:tcW w:w="0" w:type="dxa"/>
            <w:vAlign w:val="bottom"/>
          </w:tcPr>
          <w:p>
            <w:pPr>
              <w:spacing w:after="0"/>
              <w:rPr>
                <w:sz w:val="1"/>
                <w:szCs w:val="1"/>
                <w:color w:val="auto"/>
              </w:rPr>
            </w:pPr>
          </w:p>
        </w:tc>
      </w:tr>
      <w:tr>
        <w:trPr>
          <w:trHeight w:val="434"/>
        </w:trPr>
        <w:tc>
          <w:tcPr>
            <w:tcW w:w="708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24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133,565</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134,773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16,453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Equipment &amp; 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13,021</w:t>
            </w:r>
          </w:p>
        </w:tc>
        <w:tc>
          <w:tcPr>
            <w:tcW w:w="3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163,039</w:t>
            </w:r>
          </w:p>
        </w:tc>
        <w:tc>
          <w:tcPr>
            <w:tcW w:w="980" w:type="dxa"/>
            <w:vAlign w:val="bottom"/>
            <w:gridSpan w:val="2"/>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154,087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REORGANIZATION</w:t>
      </w:r>
    </w:p>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On April 1, 2010, our Board of Directors approved transformation and restructuring plans, which include the integration of Global Med Technologies, Inc. In fiscal year 2011, we expect to incur additional cash restructuring costs of $6.4 million for employee matters and facility closures. We also expect to incur $1.5 million of integration costs.</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40"/>
          </w:cols>
          <w:pgMar w:left="240" w:top="417"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three months ended July 3, 2010 and June 27, 2009,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100" w:type="dxa"/>
            <w:vAlign w:val="bottom"/>
            <w:gridSpan w:val="6"/>
          </w:tcPr>
          <w:p>
            <w:pPr>
              <w:jc w:val="center"/>
              <w:spacing w:after="0"/>
              <w:rPr>
                <w:sz w:val="20"/>
                <w:szCs w:val="20"/>
                <w:color w:val="auto"/>
              </w:rPr>
            </w:pPr>
            <w:r>
              <w:rPr>
                <w:rFonts w:ascii="Arial" w:cs="Arial" w:eastAsia="Arial" w:hAnsi="Arial"/>
                <w:sz w:val="14"/>
                <w:szCs w:val="14"/>
                <w:color w:val="auto"/>
                <w:w w:val="92"/>
              </w:rPr>
              <w:t>Three Months Ended July 3, 2010</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vMerge w:val="restart"/>
          </w:tcPr>
          <w:p>
            <w:pPr>
              <w:jc w:val="center"/>
              <w:ind w:right="169"/>
              <w:spacing w:after="0"/>
              <w:rPr>
                <w:sz w:val="20"/>
                <w:szCs w:val="20"/>
                <w:color w:val="auto"/>
              </w:rPr>
            </w:pPr>
            <w:r>
              <w:rPr>
                <w:rFonts w:ascii="Arial" w:cs="Arial" w:eastAsia="Arial" w:hAnsi="Arial"/>
                <w:sz w:val="14"/>
                <w:szCs w:val="14"/>
                <w:color w:val="auto"/>
                <w:w w:val="93"/>
              </w:rPr>
              <w:t>Restructuring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9"/>
              <w:spacing w:after="0" w:line="147" w:lineRule="exact"/>
              <w:rPr>
                <w:sz w:val="20"/>
                <w:szCs w:val="20"/>
                <w:color w:val="auto"/>
              </w:rPr>
            </w:pPr>
            <w:r>
              <w:rPr>
                <w:rFonts w:ascii="Arial" w:cs="Arial" w:eastAsia="Arial" w:hAnsi="Arial"/>
                <w:sz w:val="14"/>
                <w:szCs w:val="14"/>
                <w:color w:val="auto"/>
                <w:w w:val="94"/>
              </w:rPr>
              <w:t>Accrual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9"/>
              <w:spacing w:after="0" w:line="147" w:lineRule="exact"/>
              <w:rPr>
                <w:sz w:val="20"/>
                <w:szCs w:val="20"/>
                <w:color w:val="auto"/>
              </w:rPr>
            </w:pPr>
            <w:r>
              <w:rPr>
                <w:rFonts w:ascii="Arial" w:cs="Arial" w:eastAsia="Arial" w:hAnsi="Arial"/>
                <w:sz w:val="14"/>
                <w:szCs w:val="14"/>
                <w:color w:val="auto"/>
                <w:w w:val="90"/>
              </w:rPr>
              <w:t>Balance at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jc w:val="center"/>
              <w:ind w:left="169"/>
              <w:spacing w:after="0" w:line="147" w:lineRule="exact"/>
              <w:rPr>
                <w:sz w:val="20"/>
                <w:szCs w:val="20"/>
                <w:color w:val="auto"/>
              </w:rPr>
            </w:pPr>
            <w:r>
              <w:rPr>
                <w:rFonts w:ascii="Arial" w:cs="Arial" w:eastAsia="Arial" w:hAnsi="Arial"/>
                <w:sz w:val="14"/>
                <w:szCs w:val="14"/>
                <w:color w:val="auto"/>
                <w:w w:val="91"/>
              </w:rPr>
              <w:t>Asset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9"/>
              <w:spacing w:after="0" w:line="147" w:lineRule="exact"/>
              <w:rPr>
                <w:sz w:val="20"/>
                <w:szCs w:val="20"/>
                <w:color w:val="auto"/>
              </w:rPr>
            </w:pPr>
            <w:r>
              <w:rPr>
                <w:rFonts w:ascii="Arial" w:cs="Arial" w:eastAsia="Arial" w:hAnsi="Arial"/>
                <w:sz w:val="14"/>
                <w:szCs w:val="14"/>
                <w:color w:val="auto"/>
                <w:w w:val="90"/>
              </w:rPr>
              <w:t>Balance at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color w:val="auto"/>
                <w:w w:val="96"/>
              </w:rPr>
              <w:t>April 3, 2010</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Cost Incurred</w:t>
            </w:r>
          </w:p>
        </w:tc>
        <w:tc>
          <w:tcPr>
            <w:tcW w:w="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Payments</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7"/>
              </w:rPr>
              <w:t>Write down</w:t>
            </w: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color w:val="auto"/>
                <w:w w:val="92"/>
              </w:rPr>
              <w:t>July 3, 2010</w:t>
            </w:r>
          </w:p>
        </w:tc>
        <w:tc>
          <w:tcPr>
            <w:tcW w:w="0" w:type="dxa"/>
            <w:vAlign w:val="bottom"/>
          </w:tcPr>
          <w:p>
            <w:pPr>
              <w:spacing w:after="0"/>
              <w:rPr>
                <w:sz w:val="1"/>
                <w:szCs w:val="1"/>
                <w:color w:val="auto"/>
              </w:rPr>
            </w:pPr>
          </w:p>
        </w:tc>
      </w:tr>
      <w:tr>
        <w:trPr>
          <w:trHeight w:val="288"/>
        </w:trPr>
        <w:tc>
          <w:tcPr>
            <w:tcW w:w="3020" w:type="dxa"/>
            <w:vAlign w:val="bottom"/>
            <w:gridSpan w:val="2"/>
          </w:tcPr>
          <w:p>
            <w:pPr>
              <w:spacing w:after="0"/>
              <w:rPr>
                <w:sz w:val="20"/>
                <w:szCs w:val="20"/>
                <w:color w:val="auto"/>
              </w:rPr>
            </w:pPr>
            <w:r>
              <w:rPr>
                <w:rFonts w:ascii="Arial" w:cs="Arial" w:eastAsia="Arial" w:hAnsi="Arial"/>
                <w:sz w:val="14"/>
                <w:szCs w:val="14"/>
                <w:color w:val="auto"/>
              </w:rPr>
              <w:t>Employee-related costs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9,761</w:t>
            </w:r>
          </w:p>
        </w:tc>
        <w:tc>
          <w:tcPr>
            <w:tcW w:w="4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1,245</w:t>
            </w:r>
          </w:p>
        </w:tc>
        <w:tc>
          <w:tcPr>
            <w:tcW w:w="64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(2,899)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jc w:val="right"/>
              <w:ind w:right="98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8,107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9,761</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1,245</w:t>
            </w: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(2,899)</w:t>
            </w:r>
          </w:p>
        </w:tc>
        <w:tc>
          <w:tcPr>
            <w:tcW w:w="26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989"/>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8,107</w:t>
            </w:r>
          </w:p>
        </w:tc>
        <w:tc>
          <w:tcPr>
            <w:tcW w:w="0" w:type="dxa"/>
            <w:vAlign w:val="bottom"/>
          </w:tcPr>
          <w:p>
            <w:pPr>
              <w:spacing w:after="0"/>
              <w:rPr>
                <w:sz w:val="1"/>
                <w:szCs w:val="1"/>
                <w:color w:val="auto"/>
              </w:rPr>
            </w:pPr>
          </w:p>
        </w:tc>
      </w:tr>
      <w:tr>
        <w:trPr>
          <w:trHeight w:val="20"/>
        </w:trPr>
        <w:tc>
          <w:tcPr>
            <w:tcW w:w="30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0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gridSpan w:val="6"/>
          </w:tcPr>
          <w:p>
            <w:pPr>
              <w:jc w:val="center"/>
              <w:ind w:right="20"/>
              <w:spacing w:after="0"/>
              <w:rPr>
                <w:sz w:val="20"/>
                <w:szCs w:val="20"/>
                <w:color w:val="auto"/>
              </w:rPr>
            </w:pPr>
            <w:r>
              <w:rPr>
                <w:rFonts w:ascii="Arial" w:cs="Arial" w:eastAsia="Arial" w:hAnsi="Arial"/>
                <w:sz w:val="14"/>
                <w:szCs w:val="14"/>
                <w:color w:val="auto"/>
                <w:w w:val="91"/>
              </w:rPr>
              <w:t>Three Months Ended June 27, 2009</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vMerge w:val="restart"/>
          </w:tcPr>
          <w:p>
            <w:pPr>
              <w:jc w:val="center"/>
              <w:ind w:right="169"/>
              <w:spacing w:after="0"/>
              <w:rPr>
                <w:sz w:val="20"/>
                <w:szCs w:val="20"/>
                <w:color w:val="auto"/>
              </w:rPr>
            </w:pPr>
            <w:r>
              <w:rPr>
                <w:rFonts w:ascii="Arial" w:cs="Arial" w:eastAsia="Arial" w:hAnsi="Arial"/>
                <w:sz w:val="14"/>
                <w:szCs w:val="14"/>
                <w:color w:val="auto"/>
                <w:w w:val="93"/>
              </w:rPr>
              <w:t>Restructuring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9"/>
              <w:spacing w:after="0" w:line="147" w:lineRule="exact"/>
              <w:rPr>
                <w:sz w:val="20"/>
                <w:szCs w:val="20"/>
                <w:color w:val="auto"/>
              </w:rPr>
            </w:pPr>
            <w:r>
              <w:rPr>
                <w:rFonts w:ascii="Arial" w:cs="Arial" w:eastAsia="Arial" w:hAnsi="Arial"/>
                <w:sz w:val="14"/>
                <w:szCs w:val="14"/>
                <w:color w:val="auto"/>
                <w:w w:val="94"/>
              </w:rPr>
              <w:t>Accrual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9"/>
              <w:spacing w:after="0" w:line="147" w:lineRule="exact"/>
              <w:rPr>
                <w:sz w:val="20"/>
                <w:szCs w:val="20"/>
                <w:color w:val="auto"/>
              </w:rPr>
            </w:pPr>
            <w:r>
              <w:rPr>
                <w:rFonts w:ascii="Arial" w:cs="Arial" w:eastAsia="Arial" w:hAnsi="Arial"/>
                <w:sz w:val="14"/>
                <w:szCs w:val="14"/>
                <w:color w:val="auto"/>
                <w:w w:val="90"/>
              </w:rPr>
              <w:t>Balance at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jc w:val="center"/>
              <w:ind w:left="169"/>
              <w:spacing w:after="0" w:line="147" w:lineRule="exact"/>
              <w:rPr>
                <w:sz w:val="20"/>
                <w:szCs w:val="20"/>
                <w:color w:val="auto"/>
              </w:rPr>
            </w:pPr>
            <w:r>
              <w:rPr>
                <w:rFonts w:ascii="Arial" w:cs="Arial" w:eastAsia="Arial" w:hAnsi="Arial"/>
                <w:sz w:val="14"/>
                <w:szCs w:val="14"/>
                <w:color w:val="auto"/>
                <w:w w:val="91"/>
              </w:rPr>
              <w:t>Asset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9"/>
              <w:spacing w:after="0" w:line="147" w:lineRule="exact"/>
              <w:rPr>
                <w:sz w:val="20"/>
                <w:szCs w:val="20"/>
                <w:color w:val="auto"/>
              </w:rPr>
            </w:pPr>
            <w:r>
              <w:rPr>
                <w:rFonts w:ascii="Arial" w:cs="Arial" w:eastAsia="Arial" w:hAnsi="Arial"/>
                <w:sz w:val="14"/>
                <w:szCs w:val="14"/>
                <w:color w:val="auto"/>
                <w:w w:val="90"/>
              </w:rPr>
              <w:t>Balance at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49"/>
              <w:spacing w:after="0"/>
              <w:rPr>
                <w:sz w:val="20"/>
                <w:szCs w:val="20"/>
                <w:color w:val="auto"/>
              </w:rPr>
            </w:pPr>
            <w:r>
              <w:rPr>
                <w:rFonts w:ascii="Arial" w:cs="Arial" w:eastAsia="Arial" w:hAnsi="Arial"/>
                <w:sz w:val="14"/>
                <w:szCs w:val="14"/>
                <w:color w:val="auto"/>
                <w:w w:val="94"/>
              </w:rPr>
              <w:t>March 28, 2009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Cost Incurred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tcPr>
          <w:p>
            <w:pPr>
              <w:jc w:val="right"/>
              <w:ind w:right="740"/>
              <w:spacing w:after="0"/>
              <w:rPr>
                <w:sz w:val="20"/>
                <w:szCs w:val="20"/>
                <w:color w:val="auto"/>
              </w:rPr>
            </w:pPr>
            <w:r>
              <w:rPr>
                <w:rFonts w:ascii="Arial" w:cs="Arial" w:eastAsia="Arial" w:hAnsi="Arial"/>
                <w:sz w:val="14"/>
                <w:szCs w:val="14"/>
                <w:color w:val="auto"/>
              </w:rPr>
              <w:t>Payments</w:t>
            </w:r>
          </w:p>
        </w:tc>
        <w:tc>
          <w:tcPr>
            <w:tcW w:w="1160" w:type="dxa"/>
            <w:vAlign w:val="bottom"/>
          </w:tcPr>
          <w:p>
            <w:pPr>
              <w:jc w:val="center"/>
              <w:ind w:left="169"/>
              <w:spacing w:after="0"/>
              <w:rPr>
                <w:sz w:val="20"/>
                <w:szCs w:val="20"/>
                <w:color w:val="auto"/>
              </w:rPr>
            </w:pPr>
            <w:r>
              <w:rPr>
                <w:rFonts w:ascii="Arial" w:cs="Arial" w:eastAsia="Arial" w:hAnsi="Arial"/>
                <w:sz w:val="14"/>
                <w:szCs w:val="14"/>
                <w:color w:val="auto"/>
                <w:w w:val="97"/>
              </w:rPr>
              <w:t>Write down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89"/>
              <w:spacing w:after="0"/>
              <w:rPr>
                <w:sz w:val="20"/>
                <w:szCs w:val="20"/>
                <w:color w:val="auto"/>
              </w:rPr>
            </w:pPr>
            <w:r>
              <w:rPr>
                <w:rFonts w:ascii="Arial" w:cs="Arial" w:eastAsia="Arial" w:hAnsi="Arial"/>
                <w:sz w:val="14"/>
                <w:szCs w:val="14"/>
                <w:color w:val="auto"/>
                <w:w w:val="90"/>
              </w:rPr>
              <w:t>June 27, 2009</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Employee-related costs</w:t>
            </w:r>
          </w:p>
        </w:tc>
        <w:tc>
          <w:tcPr>
            <w:tcW w:w="2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2,729</w:t>
            </w:r>
          </w:p>
        </w:tc>
        <w:tc>
          <w:tcPr>
            <w:tcW w:w="48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89"/>
              <w:spacing w:after="0" w:line="147"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(483)</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89"/>
              <w:spacing w:after="0" w:line="14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0" w:type="dxa"/>
            <w:vAlign w:val="bottom"/>
          </w:tcPr>
          <w:p>
            <w:pPr>
              <w:spacing w:after="0" w:line="147" w:lineRule="exact"/>
              <w:rPr>
                <w:sz w:val="20"/>
                <w:szCs w:val="20"/>
                <w:color w:val="auto"/>
              </w:rPr>
            </w:pPr>
            <w:r>
              <w:rPr>
                <w:rFonts w:ascii="Arial" w:cs="Arial" w:eastAsia="Arial" w:hAnsi="Arial"/>
                <w:sz w:val="14"/>
                <w:szCs w:val="14"/>
                <w:color w:val="auto"/>
              </w:rPr>
              <w:t>Facility related costs</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Arial" w:cs="Arial" w:eastAsia="Arial" w:hAnsi="Arial"/>
                <w:sz w:val="14"/>
                <w:szCs w:val="14"/>
                <w:color w:val="auto"/>
              </w:rPr>
              <w:t>42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Arial" w:cs="Arial" w:eastAsia="Arial" w:hAnsi="Arial"/>
                <w:sz w:val="14"/>
                <w:szCs w:val="14"/>
                <w:color w:val="auto"/>
              </w:rPr>
              <w:t>(42)</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exit &amp; termination costs</w:t>
            </w:r>
          </w:p>
        </w:tc>
        <w:tc>
          <w:tcPr>
            <w:tcW w:w="2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78</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(78)</w:t>
            </w:r>
          </w:p>
        </w:tc>
        <w:tc>
          <w:tcPr>
            <w:tcW w:w="2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2,849</w:t>
            </w:r>
          </w:p>
        </w:tc>
        <w:tc>
          <w:tcPr>
            <w:tcW w:w="240" w:type="dxa"/>
            <w:vAlign w:val="bottom"/>
          </w:tcPr>
          <w:p>
            <w:pPr>
              <w:spacing w:after="0"/>
              <w:rPr>
                <w:sz w:val="13"/>
                <w:szCs w:val="13"/>
                <w:color w:val="auto"/>
              </w:rPr>
            </w:pPr>
          </w:p>
        </w:tc>
        <w:tc>
          <w:tcPr>
            <w:tcW w:w="24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w:t>
            </w:r>
          </w:p>
        </w:tc>
        <w:tc>
          <w:tcPr>
            <w:tcW w:w="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989"/>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CAPITALIZATION OF SOFTWARE DEVELOPMENT COSTS</w:t>
      </w:r>
    </w:p>
    <w:p>
      <w:pPr>
        <w:spacing w:after="0" w:line="22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The cost of software that is developed or obtained for internal use is accounted for pursuant to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Company capitalized $0.5 million and $4.2 million in costs incurred for acquisition of the software license and related software development costs for new internal software that was in the application development stage during the three month period ended July 3, 2010 and June 27, 2009, respectively. The capitalized costs are included as a component of property, plant and equipment in the consolidated financial statements.</w:t>
      </w:r>
    </w:p>
    <w:p>
      <w:pPr>
        <w:spacing w:after="0" w:line="17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ASC Topic 985-20, </w:t>
      </w:r>
      <w:r>
        <w:rPr>
          <w:rFonts w:ascii="Arial" w:cs="Arial" w:eastAsia="Arial" w:hAnsi="Arial"/>
          <w:sz w:val="18"/>
          <w:szCs w:val="18"/>
          <w:i w:val="1"/>
          <w:iCs w:val="1"/>
          <w:color w:val="auto"/>
        </w:rPr>
        <w:t>Software</w:t>
      </w:r>
      <w:r>
        <w:rPr>
          <w:rFonts w:ascii="Arial" w:cs="Arial" w:eastAsia="Arial" w:hAnsi="Arial"/>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capitalized $1.2 million and $1.3 million in other software development costs for ongoing initiatives during three month period ended July 3, 2010 and June 27, 2009, respectively. At July 3, 2010 and June 27, 2009, we have a total of $7.7 million and $7.2 million of costs capitalized related to other in process software development initiatives, respectively. The costs capitalized for each project are included in intangible assets in the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312660" cy="804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2660" cy="804545"/>
                    </a:xfrm>
                    <a:prstGeom prst="rect">
                      <a:avLst/>
                    </a:prstGeom>
                    <a:noFill/>
                  </pic:spPr>
                </pic:pic>
              </a:graphicData>
            </a:graphic>
          </wp:anchor>
        </w:drawing>
      </w:r>
    </w:p>
    <w:p>
      <w:pPr>
        <w:spacing w:after="0" w:line="273" w:lineRule="exact"/>
        <w:rPr>
          <w:sz w:val="20"/>
          <w:szCs w:val="20"/>
          <w:color w:val="auto"/>
        </w:rPr>
      </w:pPr>
    </w:p>
    <w:p>
      <w:pPr>
        <w:ind w:left="100"/>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2010 Annual Report on Form 10-K filed with the Securities and Exchange Commission (the “SEC”) on June 1, 2010. The following discussion may contain forward-looking statements and should be read in conjunction with the “</w:t>
      </w:r>
      <w:r>
        <w:rPr>
          <w:rFonts w:ascii="Arial" w:cs="Arial" w:eastAsia="Arial" w:hAnsi="Arial"/>
          <w:sz w:val="18"/>
          <w:szCs w:val="18"/>
          <w:b w:val="1"/>
          <w:bCs w:val="1"/>
          <w:color w:val="auto"/>
        </w:rPr>
        <w:t>Cautionary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 Regarding Forward-Looking Information</w:t>
      </w:r>
      <w:r>
        <w:rPr>
          <w:rFonts w:ascii="Arial" w:cs="Arial" w:eastAsia="Arial" w:hAnsi="Arial"/>
          <w:sz w:val="18"/>
          <w:szCs w:val="18"/>
          <w:color w:val="auto"/>
        </w:rPr>
        <w:t>” beginning on page 33.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86"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Haemonetics is a blood management solutions company for our customers. Anchored by our reputable medical device systems, we also provide information technology platforms and value added services to provide customers with business solutions which support improved clinical outcomes for patients and efficiency in the blood supply chain.</w:t>
      </w:r>
    </w:p>
    <w:p>
      <w:pPr>
        <w:spacing w:after="0" w:line="15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systems automate the collection and processing of donated blood; assess likelihood for blood loss; salvage and process surgical patient blood; and dispense and track blood inventory in the hospital. These systems include devices and single-use, proprietary disposable sets (“disposables”) that operate only with our specialized devices. Specifically, our plasma and blood bank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143"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Our business services products include consulting, Six Sigma, and LEAN manufacturing offerings that support our customers’ needs for regulatory compliance and operational efficiency in the blood supply chain.</w:t>
      </w:r>
    </w:p>
    <w:p>
      <w:pPr>
        <w:spacing w:after="0" w:line="134"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186" w:lineRule="exact"/>
        <w:rPr>
          <w:sz w:val="20"/>
          <w:szCs w:val="20"/>
          <w:color w:val="auto"/>
        </w:rPr>
      </w:pPr>
    </w:p>
    <w:p>
      <w:pPr>
        <w:ind w:left="900" w:hanging="43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Purchase and consumption of a minimum level of disposables products;</w:t>
      </w:r>
    </w:p>
    <w:p>
      <w:pPr>
        <w:spacing w:after="0" w:line="20" w:lineRule="exact"/>
        <w:rPr>
          <w:rFonts w:ascii="Arial" w:cs="Arial" w:eastAsia="Arial" w:hAnsi="Arial"/>
          <w:sz w:val="18"/>
          <w:szCs w:val="18"/>
          <w:b w:val="1"/>
          <w:bCs w:val="1"/>
          <w:color w:val="auto"/>
        </w:rPr>
      </w:pPr>
    </w:p>
    <w:p>
      <w:pPr>
        <w:ind w:left="900" w:hanging="43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Payment of monthly rental fees; and</w:t>
      </w:r>
    </w:p>
    <w:p>
      <w:pPr>
        <w:spacing w:after="0" w:line="7" w:lineRule="exact"/>
        <w:rPr>
          <w:rFonts w:ascii="Arial" w:cs="Arial" w:eastAsia="Arial" w:hAnsi="Arial"/>
          <w:sz w:val="18"/>
          <w:szCs w:val="18"/>
          <w:b w:val="1"/>
          <w:bCs w:val="1"/>
          <w:color w:val="auto"/>
        </w:rPr>
      </w:pPr>
    </w:p>
    <w:p>
      <w:pPr>
        <w:ind w:left="900" w:hanging="43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09"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Our disposables revenue stream, which includes the sales of disposables and fees for the use of our equipment, accounted for approximately 81.9% and 87.5% of our total revenues for the first three months of fiscal year 2011 and 2010, respectively.</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80"/>
          </w:cols>
          <w:pgMar w:left="240" w:top="417" w:right="1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Financial Summary</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4"/>
                <w:szCs w:val="14"/>
                <w:b w:val="1"/>
                <w:bCs w:val="1"/>
                <w:color w:val="auto"/>
              </w:rPr>
              <w:t>For the three months ended</w:t>
            </w:r>
          </w:p>
        </w:tc>
        <w:tc>
          <w:tcPr>
            <w:tcW w:w="140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jc w:val="right"/>
              <w:ind w:right="569"/>
              <w:spacing w:after="0" w:line="125" w:lineRule="exact"/>
              <w:rPr>
                <w:sz w:val="20"/>
                <w:szCs w:val="20"/>
                <w:color w:val="auto"/>
              </w:rPr>
            </w:pPr>
            <w:r>
              <w:rPr>
                <w:rFonts w:ascii="Arial" w:cs="Arial" w:eastAsia="Arial" w:hAnsi="Arial"/>
                <w:sz w:val="14"/>
                <w:szCs w:val="14"/>
                <w:b w:val="1"/>
                <w:bCs w:val="1"/>
                <w:color w:val="auto"/>
              </w:rPr>
              <w:t>July 3,</w:t>
            </w:r>
          </w:p>
        </w:tc>
        <w:tc>
          <w:tcPr>
            <w:tcW w:w="460" w:type="dxa"/>
            <w:vAlign w:val="bottom"/>
          </w:tcPr>
          <w:p>
            <w:pPr>
              <w:spacing w:after="0"/>
              <w:rPr>
                <w:sz w:val="10"/>
                <w:szCs w:val="10"/>
                <w:color w:val="auto"/>
              </w:rPr>
            </w:pPr>
          </w:p>
        </w:tc>
        <w:tc>
          <w:tcPr>
            <w:tcW w:w="1000" w:type="dxa"/>
            <w:vAlign w:val="bottom"/>
          </w:tcPr>
          <w:p>
            <w:pPr>
              <w:jc w:val="right"/>
              <w:ind w:right="309"/>
              <w:spacing w:after="0" w:line="125" w:lineRule="exact"/>
              <w:rPr>
                <w:sz w:val="20"/>
                <w:szCs w:val="20"/>
                <w:color w:val="auto"/>
              </w:rPr>
            </w:pPr>
            <w:r>
              <w:rPr>
                <w:rFonts w:ascii="Arial" w:cs="Arial" w:eastAsia="Arial" w:hAnsi="Arial"/>
                <w:sz w:val="14"/>
                <w:szCs w:val="14"/>
                <w:b w:val="1"/>
                <w:bCs w:val="1"/>
                <w:color w:val="auto"/>
              </w:rPr>
              <w:t>June 27,</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2009</w:t>
            </w:r>
          </w:p>
        </w:tc>
        <w:tc>
          <w:tcPr>
            <w:tcW w:w="1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revenues</w:t>
            </w:r>
          </w:p>
        </w:tc>
        <w:tc>
          <w:tcPr>
            <w:tcW w:w="40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163,039</w:t>
            </w:r>
          </w:p>
        </w:tc>
        <w:tc>
          <w:tcPr>
            <w:tcW w:w="4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154,087</w:t>
            </w:r>
          </w:p>
        </w:tc>
        <w:tc>
          <w:tcPr>
            <w:tcW w:w="14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line="147" w:lineRule="exact"/>
              <w:rPr>
                <w:sz w:val="20"/>
                <w:szCs w:val="20"/>
                <w:color w:val="auto"/>
              </w:rPr>
            </w:pPr>
            <w:r>
              <w:rPr>
                <w:rFonts w:ascii="Arial" w:cs="Arial" w:eastAsia="Arial" w:hAnsi="Arial"/>
                <w:sz w:val="14"/>
                <w:szCs w:val="14"/>
                <w:color w:val="auto"/>
              </w:rPr>
              <w:t>Gross profit</w:t>
            </w:r>
          </w:p>
        </w:tc>
        <w:tc>
          <w:tcPr>
            <w:tcW w:w="400" w:type="dxa"/>
            <w:vAlign w:val="bottom"/>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229"/>
              <w:spacing w:after="0" w:line="147" w:lineRule="exact"/>
              <w:rPr>
                <w:sz w:val="20"/>
                <w:szCs w:val="20"/>
                <w:color w:val="auto"/>
              </w:rPr>
            </w:pPr>
            <w:r>
              <w:rPr>
                <w:rFonts w:ascii="Arial" w:cs="Arial" w:eastAsia="Arial" w:hAnsi="Arial"/>
                <w:sz w:val="14"/>
                <w:szCs w:val="14"/>
                <w:color w:val="auto"/>
              </w:rPr>
              <w:t>86,463</w:t>
            </w:r>
          </w:p>
        </w:tc>
        <w:tc>
          <w:tcPr>
            <w:tcW w:w="4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line="147" w:lineRule="exact"/>
              <w:rPr>
                <w:sz w:val="20"/>
                <w:szCs w:val="20"/>
                <w:color w:val="auto"/>
              </w:rPr>
            </w:pPr>
            <w:r>
              <w:rPr>
                <w:rFonts w:ascii="Arial" w:cs="Arial" w:eastAsia="Arial" w:hAnsi="Arial"/>
                <w:sz w:val="14"/>
                <w:szCs w:val="14"/>
                <w:color w:val="auto"/>
              </w:rPr>
              <w:t>82,943</w:t>
            </w:r>
          </w:p>
        </w:tc>
        <w:tc>
          <w:tcPr>
            <w:tcW w:w="1400" w:type="dxa"/>
            <w:vAlign w:val="bottom"/>
          </w:tcPr>
          <w:p>
            <w:pPr>
              <w:jc w:val="right"/>
              <w:ind w:right="9"/>
              <w:spacing w:after="0" w:line="147"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shd w:val="clear" w:color="auto" w:fill="CCEEFF"/>
          </w:tcPr>
          <w:p>
            <w:pPr>
              <w:ind w:left="320"/>
              <w:spacing w:after="0" w:line="147" w:lineRule="exact"/>
              <w:rPr>
                <w:sz w:val="20"/>
                <w:szCs w:val="20"/>
                <w:color w:val="auto"/>
              </w:rPr>
            </w:pPr>
            <w:r>
              <w:rPr>
                <w:rFonts w:ascii="Arial" w:cs="Arial" w:eastAsia="Arial" w:hAnsi="Arial"/>
                <w:sz w:val="14"/>
                <w:szCs w:val="14"/>
                <w:i w:val="1"/>
                <w:iCs w:val="1"/>
                <w:color w:val="auto"/>
              </w:rPr>
              <w:t>% of net revenues</w:t>
            </w: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i w:val="1"/>
                <w:iCs w:val="1"/>
                <w:color w:val="auto"/>
              </w:rPr>
              <w:t>53.0%</w:t>
            </w: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i w:val="1"/>
                <w:iCs w:val="1"/>
                <w:color w:val="auto"/>
              </w:rPr>
              <w:t>53.8%</w:t>
            </w: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35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4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9"/>
              <w:spacing w:after="0"/>
              <w:rPr>
                <w:sz w:val="20"/>
                <w:szCs w:val="20"/>
                <w:color w:val="auto"/>
              </w:rPr>
            </w:pPr>
            <w:r>
              <w:rPr>
                <w:rFonts w:ascii="Arial" w:cs="Arial" w:eastAsia="Arial" w:hAnsi="Arial"/>
                <w:sz w:val="14"/>
                <w:szCs w:val="14"/>
                <w:color w:val="auto"/>
              </w:rPr>
              <w:t>62,274</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56,616</w:t>
            </w: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income</w:t>
            </w:r>
          </w:p>
        </w:tc>
        <w:tc>
          <w:tcPr>
            <w:tcW w:w="40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24,189</w:t>
            </w:r>
          </w:p>
        </w:tc>
        <w:tc>
          <w:tcPr>
            <w:tcW w:w="4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26,327</w:t>
            </w:r>
          </w:p>
        </w:tc>
        <w:tc>
          <w:tcPr>
            <w:tcW w:w="14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20" w:type="dxa"/>
            <w:vAlign w:val="bottom"/>
          </w:tcPr>
          <w:p>
            <w:pPr>
              <w:ind w:left="320"/>
              <w:spacing w:after="0"/>
              <w:rPr>
                <w:sz w:val="20"/>
                <w:szCs w:val="20"/>
                <w:color w:val="auto"/>
              </w:rPr>
            </w:pPr>
            <w:r>
              <w:rPr>
                <w:rFonts w:ascii="Arial" w:cs="Arial" w:eastAsia="Arial" w:hAnsi="Arial"/>
                <w:sz w:val="14"/>
                <w:szCs w:val="14"/>
                <w:i w:val="1"/>
                <w:iCs w:val="1"/>
                <w:color w:val="auto"/>
              </w:rPr>
              <w:t>% of net revenues</w:t>
            </w:r>
          </w:p>
        </w:tc>
        <w:tc>
          <w:tcPr>
            <w:tcW w:w="400" w:type="dxa"/>
            <w:vAlign w:val="bottom"/>
          </w:tcPr>
          <w:p>
            <w:pPr>
              <w:spacing w:after="0"/>
              <w:rPr>
                <w:sz w:val="15"/>
                <w:szCs w:val="15"/>
                <w:color w:val="auto"/>
              </w:rPr>
            </w:pPr>
          </w:p>
        </w:tc>
        <w:tc>
          <w:tcPr>
            <w:tcW w:w="1180" w:type="dxa"/>
            <w:vAlign w:val="bottom"/>
          </w:tcPr>
          <w:p>
            <w:pPr>
              <w:jc w:val="right"/>
              <w:ind w:right="229"/>
              <w:spacing w:after="0"/>
              <w:rPr>
                <w:sz w:val="20"/>
                <w:szCs w:val="20"/>
                <w:color w:val="auto"/>
              </w:rPr>
            </w:pPr>
            <w:r>
              <w:rPr>
                <w:rFonts w:ascii="Arial" w:cs="Arial" w:eastAsia="Arial" w:hAnsi="Arial"/>
                <w:sz w:val="14"/>
                <w:szCs w:val="14"/>
                <w:i w:val="1"/>
                <w:iCs w:val="1"/>
                <w:color w:val="auto"/>
              </w:rPr>
              <w:t>14.8%</w:t>
            </w:r>
          </w:p>
        </w:tc>
        <w:tc>
          <w:tcPr>
            <w:tcW w:w="4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i w:val="1"/>
                <w:iCs w:val="1"/>
                <w:color w:val="auto"/>
              </w:rPr>
              <w:t>17.1%</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(153)</w:t>
            </w:r>
          </w:p>
        </w:tc>
        <w:tc>
          <w:tcPr>
            <w:tcW w:w="4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(214)</w:t>
            </w:r>
          </w:p>
        </w:tc>
        <w:tc>
          <w:tcPr>
            <w:tcW w:w="14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line="147" w:lineRule="exact"/>
              <w:rPr>
                <w:sz w:val="20"/>
                <w:szCs w:val="20"/>
                <w:color w:val="auto"/>
              </w:rPr>
            </w:pPr>
            <w:r>
              <w:rPr>
                <w:rFonts w:ascii="Arial" w:cs="Arial" w:eastAsia="Arial" w:hAnsi="Arial"/>
                <w:sz w:val="14"/>
                <w:szCs w:val="14"/>
                <w:color w:val="auto"/>
              </w:rPr>
              <w:t>Interest income</w:t>
            </w:r>
          </w:p>
        </w:tc>
        <w:tc>
          <w:tcPr>
            <w:tcW w:w="400" w:type="dxa"/>
            <w:vAlign w:val="bottom"/>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229"/>
              <w:spacing w:after="0" w:line="147" w:lineRule="exact"/>
              <w:rPr>
                <w:sz w:val="20"/>
                <w:szCs w:val="20"/>
                <w:color w:val="auto"/>
              </w:rPr>
            </w:pPr>
            <w:r>
              <w:rPr>
                <w:rFonts w:ascii="Arial" w:cs="Arial" w:eastAsia="Arial" w:hAnsi="Arial"/>
                <w:sz w:val="14"/>
                <w:szCs w:val="14"/>
                <w:color w:val="auto"/>
              </w:rPr>
              <w:t>102</w:t>
            </w:r>
          </w:p>
        </w:tc>
        <w:tc>
          <w:tcPr>
            <w:tcW w:w="4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line="147" w:lineRule="exact"/>
              <w:rPr>
                <w:sz w:val="20"/>
                <w:szCs w:val="20"/>
                <w:color w:val="auto"/>
              </w:rPr>
            </w:pPr>
            <w:r>
              <w:rPr>
                <w:rFonts w:ascii="Arial" w:cs="Arial" w:eastAsia="Arial" w:hAnsi="Arial"/>
                <w:sz w:val="14"/>
                <w:szCs w:val="14"/>
                <w:color w:val="auto"/>
              </w:rPr>
              <w:t>157</w:t>
            </w:r>
          </w:p>
        </w:tc>
        <w:tc>
          <w:tcPr>
            <w:tcW w:w="1400" w:type="dxa"/>
            <w:vAlign w:val="bottom"/>
          </w:tcPr>
          <w:p>
            <w:pPr>
              <w:jc w:val="right"/>
              <w:ind w:right="9"/>
              <w:spacing w:after="0" w:line="147"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income, net</w:t>
            </w:r>
          </w:p>
        </w:tc>
        <w:tc>
          <w:tcPr>
            <w:tcW w:w="40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237</w:t>
            </w:r>
          </w:p>
        </w:tc>
        <w:tc>
          <w:tcPr>
            <w:tcW w:w="4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(335)</w:t>
            </w:r>
          </w:p>
        </w:tc>
        <w:tc>
          <w:tcPr>
            <w:tcW w:w="14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310"/>
        </w:trPr>
        <w:tc>
          <w:tcPr>
            <w:tcW w:w="3540" w:type="dxa"/>
            <w:vAlign w:val="bottom"/>
            <w:gridSpan w:val="2"/>
          </w:tcPr>
          <w:p>
            <w:pPr>
              <w:spacing w:after="0"/>
              <w:rPr>
                <w:sz w:val="20"/>
                <w:szCs w:val="20"/>
                <w:color w:val="auto"/>
              </w:rPr>
            </w:pPr>
            <w:r>
              <w:rPr>
                <w:rFonts w:ascii="Arial" w:cs="Arial" w:eastAsia="Arial" w:hAnsi="Arial"/>
                <w:sz w:val="14"/>
                <w:szCs w:val="14"/>
                <w:color w:val="auto"/>
              </w:rPr>
              <w:t>Income before taxes</w:t>
            </w:r>
          </w:p>
        </w:tc>
        <w:tc>
          <w:tcPr>
            <w:tcW w:w="4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9"/>
              <w:spacing w:after="0"/>
              <w:rPr>
                <w:sz w:val="20"/>
                <w:szCs w:val="20"/>
                <w:color w:val="auto"/>
              </w:rPr>
            </w:pPr>
            <w:r>
              <w:rPr>
                <w:rFonts w:ascii="Arial" w:cs="Arial" w:eastAsia="Arial" w:hAnsi="Arial"/>
                <w:sz w:val="14"/>
                <w:szCs w:val="14"/>
                <w:color w:val="auto"/>
              </w:rPr>
              <w:t>24,375</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25,935</w:t>
            </w: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Provision for income tax</w:t>
            </w:r>
          </w:p>
        </w:tc>
        <w:tc>
          <w:tcPr>
            <w:tcW w:w="40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6,457</w:t>
            </w:r>
          </w:p>
        </w:tc>
        <w:tc>
          <w:tcPr>
            <w:tcW w:w="4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7,862</w:t>
            </w:r>
          </w:p>
        </w:tc>
        <w:tc>
          <w:tcPr>
            <w:tcW w:w="14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20" w:type="dxa"/>
            <w:vAlign w:val="bottom"/>
          </w:tcPr>
          <w:p>
            <w:pPr>
              <w:ind w:left="320"/>
              <w:spacing w:after="0"/>
              <w:rPr>
                <w:sz w:val="20"/>
                <w:szCs w:val="20"/>
                <w:color w:val="auto"/>
              </w:rPr>
            </w:pPr>
            <w:r>
              <w:rPr>
                <w:rFonts w:ascii="Arial" w:cs="Arial" w:eastAsia="Arial" w:hAnsi="Arial"/>
                <w:sz w:val="14"/>
                <w:szCs w:val="14"/>
                <w:i w:val="1"/>
                <w:iCs w:val="1"/>
                <w:color w:val="auto"/>
              </w:rPr>
              <w:t>% of pre-tax income</w:t>
            </w:r>
          </w:p>
        </w:tc>
        <w:tc>
          <w:tcPr>
            <w:tcW w:w="400" w:type="dxa"/>
            <w:vAlign w:val="bottom"/>
          </w:tcPr>
          <w:p>
            <w:pPr>
              <w:spacing w:after="0"/>
              <w:rPr>
                <w:sz w:val="15"/>
                <w:szCs w:val="15"/>
                <w:color w:val="auto"/>
              </w:rPr>
            </w:pPr>
          </w:p>
        </w:tc>
        <w:tc>
          <w:tcPr>
            <w:tcW w:w="1180" w:type="dxa"/>
            <w:vAlign w:val="bottom"/>
          </w:tcPr>
          <w:p>
            <w:pPr>
              <w:jc w:val="right"/>
              <w:ind w:right="229"/>
              <w:spacing w:after="0"/>
              <w:rPr>
                <w:sz w:val="20"/>
                <w:szCs w:val="20"/>
                <w:color w:val="auto"/>
              </w:rPr>
            </w:pPr>
            <w:r>
              <w:rPr>
                <w:rFonts w:ascii="Arial" w:cs="Arial" w:eastAsia="Arial" w:hAnsi="Arial"/>
                <w:sz w:val="14"/>
                <w:szCs w:val="14"/>
                <w:i w:val="1"/>
                <w:iCs w:val="1"/>
                <w:color w:val="auto"/>
              </w:rPr>
              <w:t>26.5%</w:t>
            </w:r>
          </w:p>
        </w:tc>
        <w:tc>
          <w:tcPr>
            <w:tcW w:w="4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i w:val="1"/>
                <w:iCs w:val="1"/>
                <w:color w:val="auto"/>
              </w:rPr>
              <w:t>30.3%</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17,918</w:t>
            </w:r>
          </w:p>
        </w:tc>
        <w:tc>
          <w:tcPr>
            <w:tcW w:w="4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18,073</w:t>
            </w:r>
          </w:p>
        </w:tc>
        <w:tc>
          <w:tcPr>
            <w:tcW w:w="14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20" w:type="dxa"/>
            <w:vAlign w:val="bottom"/>
          </w:tcPr>
          <w:p>
            <w:pPr>
              <w:ind w:left="320"/>
              <w:spacing w:after="0"/>
              <w:rPr>
                <w:sz w:val="20"/>
                <w:szCs w:val="20"/>
                <w:color w:val="auto"/>
              </w:rPr>
            </w:pPr>
            <w:r>
              <w:rPr>
                <w:rFonts w:ascii="Arial" w:cs="Arial" w:eastAsia="Arial" w:hAnsi="Arial"/>
                <w:sz w:val="14"/>
                <w:szCs w:val="14"/>
                <w:i w:val="1"/>
                <w:iCs w:val="1"/>
                <w:color w:val="auto"/>
              </w:rPr>
              <w:t>% of net revenues</w:t>
            </w:r>
          </w:p>
        </w:tc>
        <w:tc>
          <w:tcPr>
            <w:tcW w:w="400" w:type="dxa"/>
            <w:vAlign w:val="bottom"/>
          </w:tcPr>
          <w:p>
            <w:pPr>
              <w:spacing w:after="0"/>
              <w:rPr>
                <w:sz w:val="15"/>
                <w:szCs w:val="15"/>
                <w:color w:val="auto"/>
              </w:rPr>
            </w:pPr>
          </w:p>
        </w:tc>
        <w:tc>
          <w:tcPr>
            <w:tcW w:w="1180" w:type="dxa"/>
            <w:vAlign w:val="bottom"/>
          </w:tcPr>
          <w:p>
            <w:pPr>
              <w:jc w:val="right"/>
              <w:ind w:right="229"/>
              <w:spacing w:after="0"/>
              <w:rPr>
                <w:sz w:val="20"/>
                <w:szCs w:val="20"/>
                <w:color w:val="auto"/>
              </w:rPr>
            </w:pPr>
            <w:r>
              <w:rPr>
                <w:rFonts w:ascii="Arial" w:cs="Arial" w:eastAsia="Arial" w:hAnsi="Arial"/>
                <w:sz w:val="14"/>
                <w:szCs w:val="14"/>
                <w:i w:val="1"/>
                <w:iCs w:val="1"/>
                <w:color w:val="auto"/>
              </w:rPr>
              <w:t>11.0%</w:t>
            </w:r>
          </w:p>
        </w:tc>
        <w:tc>
          <w:tcPr>
            <w:tcW w:w="4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i w:val="1"/>
                <w:iCs w:val="1"/>
                <w:color w:val="auto"/>
              </w:rPr>
              <w:t>11.7%</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Earnings per share-diluted</w:t>
            </w:r>
          </w:p>
        </w:tc>
        <w:tc>
          <w:tcPr>
            <w:tcW w:w="40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0.70</w:t>
            </w:r>
          </w:p>
        </w:tc>
        <w:tc>
          <w:tcPr>
            <w:tcW w:w="4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0.69</w:t>
            </w:r>
          </w:p>
        </w:tc>
        <w:tc>
          <w:tcPr>
            <w:tcW w:w="140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1303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revenues increased 5.8% for the first three months of fiscal year 2011 over the comparable period of fiscal year 2010. Without the unfavorable effects of foreign exchange which accounted for a decrease of 1.9% for the first three months of fiscal year 2011, net revenues increased 7.7% for the quarter. This increase reflects the impact of recent acquisitions which contributed 5.7% to revenue growth for the quarter, as well as strong year over year growth from our Russian distribution market and Asia businesses.</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Gross profit increased 4.2% as compared to the first three months of fiscal year 2010. Without the unfavorable effects of foreign exchange which accounted for a decrease of 5.4% for the first three months of fiscal year 2011, gross profit increased 9.6% for the quarter. The increase was due primarily to increased sales and changes in product mix.</w:t>
      </w:r>
    </w:p>
    <w:p>
      <w:pPr>
        <w:spacing w:after="0" w:line="18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Operating expenses increased 10.0% for the first three months of fiscal year 2011 over the comparable period of fiscal year 2010. Foreign exchange accounted for a decrease in operating expenses of 0.1% for the quarter. Without the effects of foreign exchange, operating expenses increased 10.1% in the first three months of fiscal year 2011. The higher operating expenses are attributable to the newly acquired businesses, SEBRA and Global Med, restructuring and transaction costs related to the acquisition of Global Med, and research and development expenses related to the development of the automated whole blood collection device. The noted increases in operating expenses were partly offset by cost reductions from planned synergies and a reduction in the expense associated with cash bonus compensation for this fiscal year.</w:t>
      </w:r>
    </w:p>
    <w:p>
      <w:pPr>
        <w:spacing w:after="0" w:line="17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Operating income decreased 8.1% for the first three months of fiscal year 2011 over the comparable period of fiscal year 2010. Foreign exchange accounted for a decrease of 17.5% for the first quarter. Without the effects of foreign exchange, operating income increased 9.4% for the quarter as a result of increases in gross profit less additional spending largely associated with our acquisitions.</w:t>
      </w:r>
    </w:p>
    <w:p>
      <w:pPr>
        <w:spacing w:after="0" w:line="18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Net income decreased 0.9% for the first three months of fiscal year 2011 over the comparable period of fiscal year 2010. Without the unfavorable effects of foreign exchange which accounted for a decrease in net income of 16.6% for the quarter, net income increased 15.7% for the three months ended July 3, 2010. Higher operating income and a lower income tax rate were the principal reasons for the increase.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Net Revenues by Geography</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b w:val="1"/>
                <w:bCs w:val="1"/>
                <w:color w:val="auto"/>
                <w:w w:val="91"/>
              </w:rPr>
              <w:t>For the three months ended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jc w:val="right"/>
              <w:ind w:right="269"/>
              <w:spacing w:after="0" w:line="125" w:lineRule="exact"/>
              <w:rPr>
                <w:sz w:val="20"/>
                <w:szCs w:val="20"/>
                <w:color w:val="auto"/>
              </w:rPr>
            </w:pPr>
            <w:r>
              <w:rPr>
                <w:rFonts w:ascii="Arial" w:cs="Arial" w:eastAsia="Arial" w:hAnsi="Arial"/>
                <w:sz w:val="14"/>
                <w:szCs w:val="14"/>
                <w:b w:val="1"/>
                <w:bCs w:val="1"/>
                <w:color w:val="auto"/>
                <w:w w:val="91"/>
              </w:rPr>
              <w:t>July 3,</w:t>
            </w:r>
          </w:p>
        </w:tc>
        <w:tc>
          <w:tcPr>
            <w:tcW w:w="220" w:type="dxa"/>
            <w:vAlign w:val="bottom"/>
          </w:tcPr>
          <w:p>
            <w:pPr>
              <w:spacing w:after="0"/>
              <w:rPr>
                <w:sz w:val="10"/>
                <w:szCs w:val="10"/>
                <w:color w:val="auto"/>
              </w:rPr>
            </w:pPr>
          </w:p>
        </w:tc>
        <w:tc>
          <w:tcPr>
            <w:tcW w:w="1120" w:type="dxa"/>
            <w:vAlign w:val="bottom"/>
            <w:gridSpan w:val="2"/>
          </w:tcPr>
          <w:p>
            <w:pPr>
              <w:jc w:val="right"/>
              <w:ind w:right="229"/>
              <w:spacing w:after="0" w:line="125"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280" w:type="dxa"/>
            <w:vAlign w:val="bottom"/>
            <w:gridSpan w:val="3"/>
          </w:tcPr>
          <w:p>
            <w:pPr>
              <w:spacing w:after="0" w:line="150"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9"/>
              <w:spacing w:after="0" w:line="150"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9"/>
              <w:spacing w:after="0" w:line="150"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89"/>
              <w:spacing w:after="0" w:line="150"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79,309</w:t>
            </w:r>
          </w:p>
        </w:tc>
        <w:tc>
          <w:tcPr>
            <w:tcW w:w="6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75,013</w:t>
            </w:r>
          </w:p>
        </w:tc>
        <w:tc>
          <w:tcPr>
            <w:tcW w:w="12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gridSpan w:val="2"/>
          </w:tcPr>
          <w:p>
            <w:pPr>
              <w:spacing w:after="0" w:line="147" w:lineRule="exact"/>
              <w:rPr>
                <w:sz w:val="20"/>
                <w:szCs w:val="20"/>
                <w:color w:val="auto"/>
              </w:rPr>
            </w:pPr>
            <w:r>
              <w:rPr>
                <w:rFonts w:ascii="Arial" w:cs="Arial" w:eastAsia="Arial" w:hAnsi="Arial"/>
                <w:sz w:val="14"/>
                <w:szCs w:val="14"/>
                <w:color w:val="auto"/>
              </w:rPr>
              <w:t>International</w:t>
            </w:r>
          </w:p>
        </w:tc>
        <w:tc>
          <w:tcPr>
            <w:tcW w:w="340" w:type="dxa"/>
            <w:vAlign w:val="bottom"/>
          </w:tcPr>
          <w:p>
            <w:pPr>
              <w:spacing w:after="0"/>
              <w:rPr>
                <w:sz w:val="12"/>
                <w:szCs w:val="12"/>
                <w:color w:val="auto"/>
              </w:rPr>
            </w:pPr>
          </w:p>
        </w:tc>
        <w:tc>
          <w:tcPr>
            <w:tcW w:w="760" w:type="dxa"/>
            <w:vAlign w:val="bottom"/>
          </w:tcPr>
          <w:p>
            <w:pPr>
              <w:jc w:val="right"/>
              <w:ind w:right="9"/>
              <w:spacing w:after="0" w:line="147" w:lineRule="exact"/>
              <w:rPr>
                <w:sz w:val="20"/>
                <w:szCs w:val="20"/>
                <w:color w:val="auto"/>
              </w:rPr>
            </w:pPr>
            <w:r>
              <w:rPr>
                <w:rFonts w:ascii="Arial" w:cs="Arial" w:eastAsia="Arial" w:hAnsi="Arial"/>
                <w:sz w:val="14"/>
                <w:szCs w:val="14"/>
                <w:color w:val="auto"/>
              </w:rPr>
              <w:t>83,730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9"/>
              <w:spacing w:after="0" w:line="147" w:lineRule="exact"/>
              <w:rPr>
                <w:sz w:val="20"/>
                <w:szCs w:val="20"/>
                <w:color w:val="auto"/>
              </w:rPr>
            </w:pPr>
            <w:r>
              <w:rPr>
                <w:rFonts w:ascii="Arial" w:cs="Arial" w:eastAsia="Arial" w:hAnsi="Arial"/>
                <w:sz w:val="14"/>
                <w:szCs w:val="14"/>
                <w:color w:val="auto"/>
              </w:rPr>
              <w:t>79,074</w:t>
            </w:r>
          </w:p>
        </w:tc>
        <w:tc>
          <w:tcPr>
            <w:tcW w:w="1260" w:type="dxa"/>
            <w:vAlign w:val="bottom"/>
            <w:gridSpan w:val="2"/>
          </w:tcPr>
          <w:p>
            <w:pPr>
              <w:jc w:val="right"/>
              <w:ind w:right="29"/>
              <w:spacing w:after="0" w:line="147"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16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Net revenues</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163,039</w:t>
            </w:r>
          </w:p>
        </w:tc>
        <w:tc>
          <w:tcPr>
            <w:tcW w:w="6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154,087</w:t>
            </w:r>
          </w:p>
        </w:tc>
        <w:tc>
          <w:tcPr>
            <w:tcW w:w="126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22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through a combination of our direct sales force and independent distributors and agents.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revenues generated outside the U.S. approximated 51% of total revenues for the first three months of both fiscal years 2011 and 2010. Revenues in Japan accounted for approximately 15.3% and 15.8% of total revenues for the first three months of fiscal year 2011 and 2010, respectively. Revenues in Europe accounted for approximately 26.1% and 28.0% of total revenues for the first three months of fiscal year 2011 and 2010, respectively. International sales are generally conducted in local currencies, primarily the Japanese Yen and the Euro. As discussed above, our results of operations are impacted by changes in the value of the Yen and the Euro relative to the U.S. Dollar.</w:t>
      </w:r>
    </w:p>
    <w:p>
      <w:pPr>
        <w:spacing w:after="0" w:line="192"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Net Revenues by Product Type</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24"/>
                <w:szCs w:val="2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gridSpan w:val="4"/>
          </w:tcPr>
          <w:p>
            <w:pPr>
              <w:ind w:left="300"/>
              <w:spacing w:after="0"/>
              <w:rPr>
                <w:sz w:val="20"/>
                <w:szCs w:val="20"/>
                <w:color w:val="auto"/>
              </w:rPr>
            </w:pPr>
            <w:r>
              <w:rPr>
                <w:rFonts w:ascii="Arial" w:cs="Arial" w:eastAsia="Arial" w:hAnsi="Arial"/>
                <w:sz w:val="14"/>
                <w:szCs w:val="14"/>
                <w:b w:val="1"/>
                <w:bCs w:val="1"/>
                <w:color w:val="auto"/>
              </w:rPr>
              <w:t>July 3,</w:t>
            </w:r>
          </w:p>
        </w:tc>
        <w:tc>
          <w:tcPr>
            <w:tcW w:w="1120" w:type="dxa"/>
            <w:vAlign w:val="bottom"/>
            <w:gridSpan w:val="3"/>
          </w:tcPr>
          <w:p>
            <w:pPr>
              <w:ind w:left="260"/>
              <w:spacing w:after="0"/>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660" w:type="dxa"/>
            <w:vAlign w:val="bottom"/>
          </w:tcPr>
          <w:p>
            <w:pPr>
              <w:jc w:val="right"/>
              <w:ind w:right="289"/>
              <w:spacing w:after="0" w:line="157"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289"/>
              <w:spacing w:after="0" w:line="157"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Disposables</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133,565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134,773</w:t>
            </w:r>
          </w:p>
        </w:tc>
        <w:tc>
          <w:tcPr>
            <w:tcW w:w="134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gridSpan w:val="2"/>
          </w:tcPr>
          <w:p>
            <w:pPr>
              <w:spacing w:after="0" w:line="147" w:lineRule="exact"/>
              <w:rPr>
                <w:sz w:val="20"/>
                <w:szCs w:val="20"/>
                <w:color w:val="auto"/>
              </w:rPr>
            </w:pPr>
            <w:r>
              <w:rPr>
                <w:rFonts w:ascii="Arial" w:cs="Arial" w:eastAsia="Arial" w:hAnsi="Arial"/>
                <w:sz w:val="14"/>
                <w:szCs w:val="14"/>
                <w:color w:val="auto"/>
              </w:rPr>
              <w:t>Software solutions</w:t>
            </w:r>
          </w:p>
        </w:tc>
        <w:tc>
          <w:tcPr>
            <w:tcW w:w="340" w:type="dxa"/>
            <w:vAlign w:val="bottom"/>
          </w:tcPr>
          <w:p>
            <w:pPr>
              <w:spacing w:after="0"/>
              <w:rPr>
                <w:sz w:val="12"/>
                <w:szCs w:val="12"/>
                <w:color w:val="auto"/>
              </w:rPr>
            </w:pP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16,453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8,454</w:t>
            </w:r>
          </w:p>
        </w:tc>
        <w:tc>
          <w:tcPr>
            <w:tcW w:w="134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Equipment &amp; other</w:t>
            </w: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13,021</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10,860</w:t>
            </w:r>
          </w:p>
        </w:tc>
        <w:tc>
          <w:tcPr>
            <w:tcW w:w="134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54"/>
        </w:trPr>
        <w:tc>
          <w:tcPr>
            <w:tcW w:w="4220" w:type="dxa"/>
            <w:vAlign w:val="bottom"/>
            <w:gridSpan w:val="3"/>
          </w:tcPr>
          <w:p>
            <w:pPr>
              <w:spacing w:after="0" w:line="155" w:lineRule="exact"/>
              <w:rPr>
                <w:sz w:val="20"/>
                <w:szCs w:val="20"/>
                <w:color w:val="auto"/>
              </w:rPr>
            </w:pPr>
            <w:r>
              <w:rPr>
                <w:rFonts w:ascii="Arial" w:cs="Arial" w:eastAsia="Arial" w:hAnsi="Arial"/>
                <w:sz w:val="14"/>
                <w:szCs w:val="14"/>
                <w:color w:val="auto"/>
              </w:rPr>
              <w:t>Net revenues</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163,039</w:t>
            </w:r>
          </w:p>
        </w:tc>
        <w:tc>
          <w:tcPr>
            <w:tcW w:w="220" w:type="dxa"/>
            <w:vAlign w:val="bottom"/>
          </w:tcPr>
          <w:p>
            <w:pPr>
              <w:spacing w:after="0"/>
              <w:rPr>
                <w:sz w:val="13"/>
                <w:szCs w:val="13"/>
                <w:color w:val="auto"/>
              </w:rPr>
            </w:pPr>
          </w:p>
        </w:tc>
        <w:tc>
          <w:tcPr>
            <w:tcW w:w="36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154,087</w:t>
            </w:r>
          </w:p>
        </w:tc>
        <w:tc>
          <w:tcPr>
            <w:tcW w:w="200" w:type="dxa"/>
            <w:vAlign w:val="bottom"/>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60"/>
          </w:cols>
          <w:pgMar w:left="240" w:top="417"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Disposables Revenues by Product Type</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29"/>
              <w:spacing w:after="0"/>
              <w:rPr>
                <w:sz w:val="20"/>
                <w:szCs w:val="20"/>
                <w:color w:val="auto"/>
              </w:rPr>
            </w:pPr>
            <w:r>
              <w:rPr>
                <w:rFonts w:ascii="Arial" w:cs="Arial" w:eastAsia="Arial" w:hAnsi="Arial"/>
                <w:sz w:val="14"/>
                <w:szCs w:val="14"/>
                <w:b w:val="1"/>
                <w:bCs w:val="1"/>
                <w:color w:val="auto"/>
              </w:rPr>
              <w:t>For the three months ended</w:t>
            </w:r>
          </w:p>
        </w:tc>
        <w:tc>
          <w:tcPr>
            <w:tcW w:w="146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49"/>
              <w:spacing w:after="0"/>
              <w:rPr>
                <w:sz w:val="20"/>
                <w:szCs w:val="20"/>
                <w:color w:val="auto"/>
              </w:rPr>
            </w:pPr>
            <w:r>
              <w:rPr>
                <w:rFonts w:ascii="Arial" w:cs="Arial" w:eastAsia="Arial" w:hAnsi="Arial"/>
                <w:sz w:val="14"/>
                <w:szCs w:val="14"/>
                <w:b w:val="1"/>
                <w:bCs w:val="1"/>
                <w:color w:val="auto"/>
              </w:rPr>
              <w:t>July 3,</w:t>
            </w:r>
          </w:p>
        </w:tc>
        <w:tc>
          <w:tcPr>
            <w:tcW w:w="360" w:type="dxa"/>
            <w:vAlign w:val="bottom"/>
          </w:tcPr>
          <w:p>
            <w:pPr>
              <w:spacing w:after="0"/>
              <w:rPr>
                <w:sz w:val="16"/>
                <w:szCs w:val="16"/>
                <w:color w:val="auto"/>
              </w:rPr>
            </w:pPr>
          </w:p>
        </w:tc>
        <w:tc>
          <w:tcPr>
            <w:tcW w:w="1060" w:type="dxa"/>
            <w:vAlign w:val="bottom"/>
          </w:tcPr>
          <w:p>
            <w:pPr>
              <w:jc w:val="right"/>
              <w:ind w:right="369"/>
              <w:spacing w:after="0"/>
              <w:rPr>
                <w:sz w:val="20"/>
                <w:szCs w:val="20"/>
                <w:color w:val="auto"/>
              </w:rPr>
            </w:pPr>
            <w:r>
              <w:rPr>
                <w:rFonts w:ascii="Arial" w:cs="Arial" w:eastAsia="Arial" w:hAnsi="Arial"/>
                <w:sz w:val="14"/>
                <w:szCs w:val="14"/>
                <w:b w:val="1"/>
                <w:bCs w:val="1"/>
                <w:color w:val="auto"/>
              </w:rPr>
              <w:t>June 27,</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2009</w:t>
            </w:r>
          </w:p>
        </w:tc>
        <w:tc>
          <w:tcPr>
            <w:tcW w:w="14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6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Plasma disposables</w:t>
            </w:r>
          </w:p>
        </w:tc>
        <w:tc>
          <w:tcPr>
            <w:tcW w:w="32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9"/>
              <w:spacing w:after="0" w:line="147" w:lineRule="exact"/>
              <w:rPr>
                <w:sz w:val="20"/>
                <w:szCs w:val="20"/>
                <w:color w:val="auto"/>
              </w:rPr>
            </w:pPr>
            <w:r>
              <w:rPr>
                <w:rFonts w:ascii="Arial" w:cs="Arial" w:eastAsia="Arial" w:hAnsi="Arial"/>
                <w:sz w:val="14"/>
                <w:szCs w:val="14"/>
                <w:color w:val="auto"/>
              </w:rPr>
              <w:t>55,918</w:t>
            </w:r>
          </w:p>
        </w:tc>
        <w:tc>
          <w:tcPr>
            <w:tcW w:w="3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58,868</w:t>
            </w:r>
          </w:p>
        </w:tc>
        <w:tc>
          <w:tcPr>
            <w:tcW w:w="146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95"/>
        </w:trPr>
        <w:tc>
          <w:tcPr>
            <w:tcW w:w="3620" w:type="dxa"/>
            <w:vAlign w:val="bottom"/>
            <w:gridSpan w:val="3"/>
          </w:tcPr>
          <w:p>
            <w:pPr>
              <w:spacing w:after="0"/>
              <w:rPr>
                <w:sz w:val="20"/>
                <w:szCs w:val="20"/>
                <w:color w:val="auto"/>
              </w:rPr>
            </w:pPr>
            <w:r>
              <w:rPr>
                <w:rFonts w:ascii="Arial" w:cs="Arial" w:eastAsia="Arial" w:hAnsi="Arial"/>
                <w:sz w:val="14"/>
                <w:szCs w:val="14"/>
                <w:color w:val="auto"/>
              </w:rPr>
              <w:t>Blood bank disposables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320"/>
              <w:spacing w:after="0" w:line="147" w:lineRule="exact"/>
              <w:rPr>
                <w:sz w:val="20"/>
                <w:szCs w:val="20"/>
                <w:color w:val="auto"/>
              </w:rPr>
            </w:pPr>
            <w:r>
              <w:rPr>
                <w:rFonts w:ascii="Arial" w:cs="Arial" w:eastAsia="Arial" w:hAnsi="Arial"/>
                <w:sz w:val="14"/>
                <w:szCs w:val="14"/>
                <w:color w:val="auto"/>
              </w:rPr>
              <w:t>Platelet</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09"/>
              <w:spacing w:after="0" w:line="147" w:lineRule="exact"/>
              <w:rPr>
                <w:sz w:val="20"/>
                <w:szCs w:val="20"/>
                <w:color w:val="auto"/>
              </w:rPr>
            </w:pPr>
            <w:r>
              <w:rPr>
                <w:rFonts w:ascii="Arial" w:cs="Arial" w:eastAsia="Arial" w:hAnsi="Arial"/>
                <w:sz w:val="14"/>
                <w:szCs w:val="14"/>
                <w:color w:val="auto"/>
              </w:rPr>
              <w:t>36,317</w:t>
            </w: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34,306</w:t>
            </w:r>
          </w:p>
        </w:tc>
        <w:tc>
          <w:tcPr>
            <w:tcW w:w="146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00" w:type="dxa"/>
            <w:vAlign w:val="bottom"/>
            <w:gridSpan w:val="2"/>
          </w:tcPr>
          <w:p>
            <w:pPr>
              <w:ind w:left="320"/>
              <w:spacing w:after="0" w:line="147" w:lineRule="exact"/>
              <w:rPr>
                <w:sz w:val="20"/>
                <w:szCs w:val="20"/>
                <w:color w:val="auto"/>
              </w:rPr>
            </w:pPr>
            <w:r>
              <w:rPr>
                <w:rFonts w:ascii="Arial" w:cs="Arial" w:eastAsia="Arial" w:hAnsi="Arial"/>
                <w:sz w:val="14"/>
                <w:szCs w:val="14"/>
                <w:color w:val="auto"/>
              </w:rPr>
              <w:t>Red cell</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9"/>
              <w:spacing w:after="0" w:line="147" w:lineRule="exact"/>
              <w:rPr>
                <w:sz w:val="20"/>
                <w:szCs w:val="20"/>
                <w:color w:val="auto"/>
              </w:rPr>
            </w:pPr>
            <w:r>
              <w:rPr>
                <w:rFonts w:ascii="Arial" w:cs="Arial" w:eastAsia="Arial" w:hAnsi="Arial"/>
                <w:sz w:val="14"/>
                <w:szCs w:val="14"/>
                <w:color w:val="auto"/>
              </w:rPr>
              <w:t>11,314</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
              <w:spacing w:after="0" w:line="147" w:lineRule="exact"/>
              <w:rPr>
                <w:sz w:val="20"/>
                <w:szCs w:val="20"/>
                <w:color w:val="auto"/>
              </w:rPr>
            </w:pPr>
            <w:r>
              <w:rPr>
                <w:rFonts w:ascii="Arial" w:cs="Arial" w:eastAsia="Arial" w:hAnsi="Arial"/>
                <w:sz w:val="14"/>
                <w:szCs w:val="14"/>
                <w:color w:val="auto"/>
              </w:rPr>
              <w:t>11,779</w:t>
            </w:r>
          </w:p>
        </w:tc>
        <w:tc>
          <w:tcPr>
            <w:tcW w:w="1460" w:type="dxa"/>
            <w:vAlign w:val="bottom"/>
          </w:tcPr>
          <w:p>
            <w:pPr>
              <w:jc w:val="right"/>
              <w:ind w:right="69"/>
              <w:spacing w:after="0" w:line="147"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09"/>
              <w:spacing w:after="0" w:line="147" w:lineRule="exact"/>
              <w:rPr>
                <w:sz w:val="20"/>
                <w:szCs w:val="20"/>
                <w:color w:val="auto"/>
              </w:rPr>
            </w:pPr>
            <w:r>
              <w:rPr>
                <w:rFonts w:ascii="Arial" w:cs="Arial" w:eastAsia="Arial" w:hAnsi="Arial"/>
                <w:sz w:val="14"/>
                <w:szCs w:val="14"/>
                <w:color w:val="auto"/>
              </w:rPr>
              <w:t>47,631</w:t>
            </w:r>
          </w:p>
        </w:tc>
        <w:tc>
          <w:tcPr>
            <w:tcW w:w="3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46,085</w:t>
            </w:r>
          </w:p>
        </w:tc>
        <w:tc>
          <w:tcPr>
            <w:tcW w:w="146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302"/>
        </w:trPr>
        <w:tc>
          <w:tcPr>
            <w:tcW w:w="3620" w:type="dxa"/>
            <w:vAlign w:val="bottom"/>
            <w:gridSpan w:val="3"/>
          </w:tcPr>
          <w:p>
            <w:pPr>
              <w:spacing w:after="0"/>
              <w:rPr>
                <w:sz w:val="20"/>
                <w:szCs w:val="20"/>
                <w:color w:val="auto"/>
              </w:rPr>
            </w:pPr>
            <w:r>
              <w:rPr>
                <w:rFonts w:ascii="Arial" w:cs="Arial" w:eastAsia="Arial" w:hAnsi="Arial"/>
                <w:sz w:val="14"/>
                <w:szCs w:val="14"/>
                <w:color w:val="auto"/>
              </w:rPr>
              <w:t>Hospital disposables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320"/>
              <w:spacing w:after="0" w:line="147" w:lineRule="exact"/>
              <w:rPr>
                <w:sz w:val="20"/>
                <w:szCs w:val="20"/>
                <w:color w:val="auto"/>
              </w:rPr>
            </w:pPr>
            <w:r>
              <w:rPr>
                <w:rFonts w:ascii="Arial" w:cs="Arial" w:eastAsia="Arial" w:hAnsi="Arial"/>
                <w:sz w:val="14"/>
                <w:szCs w:val="14"/>
                <w:color w:val="auto"/>
              </w:rPr>
              <w:t>Surgical</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09"/>
              <w:spacing w:after="0" w:line="147" w:lineRule="exact"/>
              <w:rPr>
                <w:sz w:val="20"/>
                <w:szCs w:val="20"/>
                <w:color w:val="auto"/>
              </w:rPr>
            </w:pPr>
            <w:r>
              <w:rPr>
                <w:rFonts w:ascii="Arial" w:cs="Arial" w:eastAsia="Arial" w:hAnsi="Arial"/>
                <w:sz w:val="14"/>
                <w:szCs w:val="14"/>
                <w:color w:val="auto"/>
              </w:rPr>
              <w:t>16,351</w:t>
            </w: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17,425</w:t>
            </w:r>
          </w:p>
        </w:tc>
        <w:tc>
          <w:tcPr>
            <w:tcW w:w="146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tcPr>
          <w:p>
            <w:pPr>
              <w:ind w:left="320"/>
              <w:spacing w:after="0" w:line="147" w:lineRule="exact"/>
              <w:rPr>
                <w:sz w:val="20"/>
                <w:szCs w:val="20"/>
                <w:color w:val="auto"/>
              </w:rPr>
            </w:pPr>
            <w:r>
              <w:rPr>
                <w:rFonts w:ascii="Arial" w:cs="Arial" w:eastAsia="Arial" w:hAnsi="Arial"/>
                <w:sz w:val="14"/>
                <w:szCs w:val="14"/>
                <w:color w:val="auto"/>
              </w:rPr>
              <w:t>OrthoPAT</w:t>
            </w:r>
          </w:p>
        </w:tc>
        <w:tc>
          <w:tcPr>
            <w:tcW w:w="320" w:type="dxa"/>
            <w:vAlign w:val="bottom"/>
          </w:tcPr>
          <w:p>
            <w:pPr>
              <w:spacing w:after="0"/>
              <w:rPr>
                <w:sz w:val="12"/>
                <w:szCs w:val="12"/>
                <w:color w:val="auto"/>
              </w:rPr>
            </w:pPr>
          </w:p>
        </w:tc>
        <w:tc>
          <w:tcPr>
            <w:tcW w:w="1160" w:type="dxa"/>
            <w:vAlign w:val="bottom"/>
          </w:tcPr>
          <w:p>
            <w:pPr>
              <w:jc w:val="right"/>
              <w:ind w:right="109"/>
              <w:spacing w:after="0" w:line="147" w:lineRule="exact"/>
              <w:rPr>
                <w:sz w:val="20"/>
                <w:szCs w:val="20"/>
                <w:color w:val="auto"/>
              </w:rPr>
            </w:pPr>
            <w:r>
              <w:rPr>
                <w:rFonts w:ascii="Arial" w:cs="Arial" w:eastAsia="Arial" w:hAnsi="Arial"/>
                <w:sz w:val="14"/>
                <w:szCs w:val="14"/>
                <w:color w:val="auto"/>
              </w:rPr>
              <w:t>8,957</w:t>
            </w:r>
          </w:p>
        </w:tc>
        <w:tc>
          <w:tcPr>
            <w:tcW w:w="360" w:type="dxa"/>
            <w:vAlign w:val="bottom"/>
          </w:tcPr>
          <w:p>
            <w:pPr>
              <w:spacing w:after="0"/>
              <w:rPr>
                <w:sz w:val="12"/>
                <w:szCs w:val="12"/>
                <w:color w:val="auto"/>
              </w:rPr>
            </w:pPr>
          </w:p>
        </w:tc>
        <w:tc>
          <w:tcPr>
            <w:tcW w:w="1060" w:type="dxa"/>
            <w:vAlign w:val="bottom"/>
          </w:tcPr>
          <w:p>
            <w:pPr>
              <w:jc w:val="right"/>
              <w:ind w:right="9"/>
              <w:spacing w:after="0" w:line="147" w:lineRule="exact"/>
              <w:rPr>
                <w:sz w:val="20"/>
                <w:szCs w:val="20"/>
                <w:color w:val="auto"/>
              </w:rPr>
            </w:pPr>
            <w:r>
              <w:rPr>
                <w:rFonts w:ascii="Arial" w:cs="Arial" w:eastAsia="Arial" w:hAnsi="Arial"/>
                <w:sz w:val="14"/>
                <w:szCs w:val="14"/>
                <w:color w:val="auto"/>
              </w:rPr>
              <w:t>8,584</w:t>
            </w:r>
          </w:p>
        </w:tc>
        <w:tc>
          <w:tcPr>
            <w:tcW w:w="1460" w:type="dxa"/>
            <w:vAlign w:val="bottom"/>
          </w:tcPr>
          <w:p>
            <w:pPr>
              <w:jc w:val="right"/>
              <w:ind w:right="69"/>
              <w:spacing w:after="0" w:line="147"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gridSpan w:val="2"/>
            <w:shd w:val="clear" w:color="auto" w:fill="CCEEFF"/>
          </w:tcPr>
          <w:p>
            <w:pPr>
              <w:ind w:left="320"/>
              <w:spacing w:after="0" w:line="147" w:lineRule="exact"/>
              <w:rPr>
                <w:sz w:val="20"/>
                <w:szCs w:val="20"/>
                <w:color w:val="auto"/>
              </w:rPr>
            </w:pPr>
            <w:r>
              <w:rPr>
                <w:rFonts w:ascii="Arial" w:cs="Arial" w:eastAsia="Arial" w:hAnsi="Arial"/>
                <w:sz w:val="14"/>
                <w:szCs w:val="14"/>
                <w:color w:val="auto"/>
              </w:rPr>
              <w:t>Diagnostics</w:t>
            </w: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09"/>
              <w:spacing w:after="0" w:line="147" w:lineRule="exact"/>
              <w:rPr>
                <w:sz w:val="20"/>
                <w:szCs w:val="20"/>
                <w:color w:val="auto"/>
              </w:rPr>
            </w:pPr>
            <w:r>
              <w:rPr>
                <w:rFonts w:ascii="Arial" w:cs="Arial" w:eastAsia="Arial" w:hAnsi="Arial"/>
                <w:sz w:val="14"/>
                <w:szCs w:val="14"/>
                <w:color w:val="auto"/>
              </w:rPr>
              <w:t>4,708</w:t>
            </w:r>
          </w:p>
        </w:tc>
        <w:tc>
          <w:tcPr>
            <w:tcW w:w="3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3,811</w:t>
            </w:r>
          </w:p>
        </w:tc>
        <w:tc>
          <w:tcPr>
            <w:tcW w:w="146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30,016</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29,820</w:t>
            </w:r>
          </w:p>
        </w:tc>
        <w:tc>
          <w:tcPr>
            <w:tcW w:w="1460" w:type="dxa"/>
            <w:vAlign w:val="bottom"/>
          </w:tcPr>
          <w:p>
            <w:pPr>
              <w:jc w:val="right"/>
              <w:ind w:right="69"/>
              <w:spacing w:after="0" w:line="155"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2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6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Total disposables revenue</w:t>
            </w:r>
          </w:p>
        </w:tc>
        <w:tc>
          <w:tcPr>
            <w:tcW w:w="320" w:type="dxa"/>
            <w:vAlign w:val="bottom"/>
            <w:tcBorders>
              <w:bottom w:val="single" w:sz="8" w:color="auto"/>
            </w:tcBorders>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9"/>
              <w:spacing w:after="0" w:line="147" w:lineRule="exact"/>
              <w:rPr>
                <w:sz w:val="20"/>
                <w:szCs w:val="20"/>
                <w:color w:val="auto"/>
              </w:rPr>
            </w:pPr>
            <w:r>
              <w:rPr>
                <w:rFonts w:ascii="Arial" w:cs="Arial" w:eastAsia="Arial" w:hAnsi="Arial"/>
                <w:sz w:val="14"/>
                <w:szCs w:val="14"/>
                <w:color w:val="auto"/>
              </w:rPr>
              <w:t>133,565</w:t>
            </w:r>
          </w:p>
        </w:tc>
        <w:tc>
          <w:tcPr>
            <w:tcW w:w="360" w:type="dxa"/>
            <w:vAlign w:val="bottom"/>
            <w:tcBorders>
              <w:bottom w:val="single" w:sz="8" w:color="auto"/>
            </w:tcBorders>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134,773</w:t>
            </w:r>
          </w:p>
        </w:tc>
        <w:tc>
          <w:tcPr>
            <w:tcW w:w="146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22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Disposables include the Plasma, Blood Bank, and Hospital product lines. Disposables revenue decreased 0.9% for the first three months of fiscal year 2011 over the comparable period of fiscal year 2010. Foreign exchange resulted in a 1.9% decrease for the first quarter. Without the unfavorable effect of foreign exchange, disposables revenue increased 1.0% for the first three months of fiscal year 2011 which were driven primarily by increases in the Platelet product line offset by the decreases in Plasma disposables revenue as discussed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Plasma disposables revenue decreased 5.0% for the first three months of fiscal year 2011 compared to the same period in fiscal year 2010. Foreign exchange accounted for a 2.1% decrease for the first quarter. The remaining decrease in plasma disposables revenue of 2.9% is mostly attributable to fewer plasma collections in North America.</w:t>
      </w:r>
    </w:p>
    <w:p>
      <w:pPr>
        <w:spacing w:after="0" w:line="159"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As supply-demand balance has been achieved between source plasma collected and used in pharmaceutical production, we saw a reduction in collections late in fiscal year 2010. With contractual price increases, new products, and market share gains, we anticipate that in the near term plasma disposable revenue growth will moderate from prior years, but continue to outpace the growth in plasma collections the near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Bank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Blood bank consists of disposables used to collect platelets, red cells, and plasma for transfusion.</w:t>
      </w:r>
    </w:p>
    <w:p>
      <w:pPr>
        <w:spacing w:after="0" w:line="182"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Platelet disposables revenue increased 5.9% for the first three months of fiscal year 2011 compared to the same period in fiscal year 2010. Comparing the first three months of fiscal year 2011 to that of fiscal year 2010, foreign exchange accounted for a decrease of 1.1%. Without the unfavorable effect of foreign exchange, the increase of 6.9% was the result of growth in our Asia Pacific region and the distribution markets.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Red cell disposables (used to collect double units of red cells or one unit or red cells and one unit of plasma for transfusion) revenue decreased 3.9% for the first three months of fiscal year 2011 compared to the same period in fiscal year 2010. Foreign exchange accounted for a revenue decrease of 1.6% from the first three months of fiscal year 2010 to that of fiscal year 2011. The remaining decrease of 2.4% for the quarter was driven by lower demand for red cells as a result of fewer surgeries and a reduced demand for automated collection.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20"/>
          </w:cols>
          <w:pgMar w:left="240" w:top="417"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22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Surgical disposables revenue consists principally of the Cell Saver and cardioPAT products. Revenues from our surgical disposables decreased 6.2% for the first three months of fiscal year 2011 compared to the same period in fiscal year 2010. Foreign exchange resulted in a decrease in surgical disposables revenue of 3.3% for the quarter. The remaining decrease of 2.8% for the first quarter was the result of a decrease in demand across our European and North American market.</w:t>
      </w:r>
    </w:p>
    <w:p>
      <w:pPr>
        <w:spacing w:after="0" w:line="190" w:lineRule="exact"/>
        <w:rPr>
          <w:sz w:val="20"/>
          <w:szCs w:val="20"/>
          <w:color w:val="auto"/>
        </w:rPr>
      </w:pPr>
    </w:p>
    <w:p>
      <w:pPr>
        <w:ind w:right="560"/>
        <w:spacing w:after="0" w:line="308" w:lineRule="auto"/>
        <w:rPr>
          <w:sz w:val="20"/>
          <w:szCs w:val="20"/>
          <w:color w:val="auto"/>
        </w:rPr>
      </w:pPr>
      <w:r>
        <w:rPr>
          <w:rFonts w:ascii="Arial" w:cs="Arial" w:eastAsia="Arial" w:hAnsi="Arial"/>
          <w:sz w:val="16"/>
          <w:szCs w:val="16"/>
          <w:color w:val="auto"/>
        </w:rPr>
        <w:t>Revenues from our OrthoPAT disposables increased 4.3% for the first three months of fiscal year 2011 compared to the same period in fiscal year 2010. Foreign exchange resulted in a decrease in OrthoPAT disposables revenue of 1.7% for the quarter. Without the unfavorable effect of foreign currency, OrthoPAT disposables revenue increased by 6.0% for the first quarter. The increase was primarily the result of increased usage of the OrthoPAT.</w:t>
      </w:r>
    </w:p>
    <w:p>
      <w:pPr>
        <w:spacing w:after="0" w:line="15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Diagnostics product revenue consists principally of the TEG products. Revenues from our diagnostics products increased 23.5% for the first three months of fiscal year 2011 compared to the same period in fiscal year 2010. Currency exchange accounted for an increase of 0.9% of this increase. Without the effect of currency, diagnostic product revenues increased by 22.6% for the quarter. The revenue increase in the quarter is due to new and continued adoption of this product following an increase in TEG equipment placements in the fourth quarter of fiscal year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226"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Our software solutions revenues include revenue from software sales. Software solutions revenues increased 94.6% for the first three months of fiscal year 2011 over the comparable period of fiscal year 2010. Foreign exchange resulted in a 2.1% decrease for the quarter. The remaining increase of 96.7% for the first three months of fiscal year 2011 was driven primarily by revenues associated with the recent acquisition of Global Med which contributed 91.3% of the increase in software solutions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2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equipment &amp; other revenues include revenue from equipment sales, repairs performed under preventive maintenance contracts or emergency service visits, spare part sales, and various service and training programs. Equipment &amp; other revenues increased 19.9% for the first three months of fiscal year 2011 over the comparable period of fiscal year 2010. Foreign exchange resulted in a 2.0% decrease for the quarter. Without the unfavorable effect of currency exchange, the increase of 22.0% for the first three months of fiscal year 2011 was driven by the impact of the SEBRA acquisition during fiscal year 2010. Also contributing to this increase is the growth in the Russian distribution market. Irrespective of the increases noted, equipment sales continue to be impacted by restricted hospital capital spending and macro economic trends impacting health care funding in our distributor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b w:val="1"/>
                <w:bCs w:val="1"/>
                <w:color w:val="auto"/>
                <w:w w:val="91"/>
              </w:rPr>
              <w:t>For the three months ended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25"/>
        </w:trPr>
        <w:tc>
          <w:tcPr>
            <w:tcW w:w="4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jc w:val="right"/>
              <w:ind w:right="269"/>
              <w:spacing w:after="0" w:line="125" w:lineRule="exact"/>
              <w:rPr>
                <w:sz w:val="20"/>
                <w:szCs w:val="20"/>
                <w:color w:val="auto"/>
              </w:rPr>
            </w:pPr>
            <w:r>
              <w:rPr>
                <w:rFonts w:ascii="Arial" w:cs="Arial" w:eastAsia="Arial" w:hAnsi="Arial"/>
                <w:sz w:val="14"/>
                <w:szCs w:val="14"/>
                <w:b w:val="1"/>
                <w:bCs w:val="1"/>
                <w:color w:val="auto"/>
                <w:w w:val="91"/>
              </w:rPr>
              <w:t>July 3,</w:t>
            </w:r>
          </w:p>
        </w:tc>
        <w:tc>
          <w:tcPr>
            <w:tcW w:w="220" w:type="dxa"/>
            <w:vAlign w:val="bottom"/>
          </w:tcPr>
          <w:p>
            <w:pPr>
              <w:spacing w:after="0"/>
              <w:rPr>
                <w:sz w:val="10"/>
                <w:szCs w:val="10"/>
                <w:color w:val="auto"/>
              </w:rPr>
            </w:pPr>
          </w:p>
        </w:tc>
        <w:tc>
          <w:tcPr>
            <w:tcW w:w="1120" w:type="dxa"/>
            <w:vAlign w:val="bottom"/>
            <w:gridSpan w:val="2"/>
          </w:tcPr>
          <w:p>
            <w:pPr>
              <w:jc w:val="right"/>
              <w:ind w:right="229"/>
              <w:spacing w:after="0" w:line="125" w:lineRule="exact"/>
              <w:rPr>
                <w:sz w:val="20"/>
                <w:szCs w:val="20"/>
                <w:color w:val="auto"/>
              </w:rPr>
            </w:pPr>
            <w:r>
              <w:rPr>
                <w:rFonts w:ascii="Arial" w:cs="Arial" w:eastAsia="Arial" w:hAnsi="Arial"/>
                <w:sz w:val="14"/>
                <w:szCs w:val="14"/>
                <w:b w:val="1"/>
                <w:bCs w:val="1"/>
                <w:color w:val="auto"/>
              </w:rPr>
              <w:t>June 27,</w:t>
            </w: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77"/>
        </w:trPr>
        <w:tc>
          <w:tcPr>
            <w:tcW w:w="4220" w:type="dxa"/>
            <w:vAlign w:val="bottom"/>
          </w:tcPr>
          <w:p>
            <w:pPr>
              <w:spacing w:after="0" w:line="150"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9"/>
              <w:spacing w:after="0" w:line="150"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9"/>
              <w:spacing w:after="0" w:line="150"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right"/>
              <w:ind w:right="149"/>
              <w:spacing w:after="0" w:line="150" w:lineRule="exact"/>
              <w:rPr>
                <w:sz w:val="20"/>
                <w:szCs w:val="20"/>
                <w:color w:val="auto"/>
              </w:rPr>
            </w:pPr>
            <w:r>
              <w:rPr>
                <w:rFonts w:ascii="Arial" w:cs="Arial" w:eastAsia="Arial" w:hAnsi="Arial"/>
                <w:sz w:val="14"/>
                <w:szCs w:val="14"/>
                <w:b w:val="1"/>
                <w:bCs w:val="1"/>
                <w:color w:val="auto"/>
              </w:rPr>
              <w:t>% Increase</w:t>
            </w:r>
          </w:p>
        </w:tc>
      </w:tr>
      <w:tr>
        <w:trPr>
          <w:trHeight w:val="276"/>
        </w:trPr>
        <w:tc>
          <w:tcPr>
            <w:tcW w:w="4220" w:type="dxa"/>
            <w:vAlign w:val="bottom"/>
          </w:tcPr>
          <w:p>
            <w:pPr>
              <w:spacing w:after="0"/>
              <w:rPr>
                <w:sz w:val="20"/>
                <w:szCs w:val="20"/>
                <w:color w:val="auto"/>
              </w:rPr>
            </w:pPr>
            <w:r>
              <w:rPr>
                <w:rFonts w:ascii="Arial" w:cs="Arial" w:eastAsia="Arial" w:hAnsi="Arial"/>
                <w:sz w:val="14"/>
                <w:szCs w:val="14"/>
                <w:color w:val="auto"/>
              </w:rPr>
              <w:t>Gross profit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86,463</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82,943</w:t>
            </w:r>
          </w:p>
        </w:tc>
        <w:tc>
          <w:tcPr>
            <w:tcW w:w="1340" w:type="dxa"/>
            <w:vAlign w:val="bottom"/>
            <w:gridSpan w:val="2"/>
          </w:tcPr>
          <w:p>
            <w:pPr>
              <w:jc w:val="right"/>
              <w:ind w:right="29"/>
              <w:spacing w:after="0"/>
              <w:rPr>
                <w:sz w:val="20"/>
                <w:szCs w:val="20"/>
                <w:color w:val="auto"/>
              </w:rPr>
            </w:pPr>
            <w:r>
              <w:rPr>
                <w:rFonts w:ascii="Arial" w:cs="Arial" w:eastAsia="Arial" w:hAnsi="Arial"/>
                <w:sz w:val="14"/>
                <w:szCs w:val="14"/>
                <w:color w:val="auto"/>
              </w:rPr>
              <w:t>4.2%</w:t>
            </w:r>
          </w:p>
        </w:tc>
      </w:tr>
      <w:tr>
        <w:trPr>
          <w:trHeight w:val="181"/>
        </w:trPr>
        <w:tc>
          <w:tcPr>
            <w:tcW w:w="4220" w:type="dxa"/>
            <w:vAlign w:val="bottom"/>
          </w:tcPr>
          <w:p>
            <w:pPr>
              <w:ind w:left="200"/>
              <w:spacing w:after="0"/>
              <w:rPr>
                <w:sz w:val="20"/>
                <w:szCs w:val="20"/>
                <w:color w:val="auto"/>
              </w:rPr>
            </w:pPr>
            <w:r>
              <w:rPr>
                <w:rFonts w:ascii="Arial" w:cs="Arial" w:eastAsia="Arial" w:hAnsi="Arial"/>
                <w:sz w:val="14"/>
                <w:szCs w:val="14"/>
                <w:color w:val="auto"/>
              </w:rPr>
              <w:t>% of net revenues</w:t>
            </w:r>
          </w:p>
        </w:tc>
        <w:tc>
          <w:tcPr>
            <w:tcW w:w="32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53.0%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53.8%</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increased 4.2% for the first three months of fiscal year 2011 as compared to the same period of fiscal year 2010. Foreign exchange resulted in a decrease of 5.4%. Without the effects of currency, gross profit increased 9.6% which was attributable to the sales increase and a shift in our product mix toward our higher gross margin products and away from our plasma disposables. Our gross profit margin decreased by 80 basis points for the first three months of fiscal year 2011 due to the effects of foreign exchange.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529"/>
              <w:spacing w:after="0"/>
              <w:rPr>
                <w:sz w:val="20"/>
                <w:szCs w:val="20"/>
                <w:color w:val="auto"/>
              </w:rPr>
            </w:pPr>
            <w:r>
              <w:rPr>
                <w:rFonts w:ascii="Arial" w:cs="Arial" w:eastAsia="Arial" w:hAnsi="Arial"/>
                <w:sz w:val="14"/>
                <w:szCs w:val="14"/>
                <w:b w:val="1"/>
                <w:bCs w:val="1"/>
                <w:color w:val="auto"/>
              </w:rPr>
              <w:t>July 3,</w:t>
            </w:r>
          </w:p>
        </w:tc>
        <w:tc>
          <w:tcPr>
            <w:tcW w:w="108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w w:val="96"/>
              </w:rPr>
              <w:t>2010</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4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Research, development and engineering</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7,920</w:t>
            </w:r>
          </w:p>
        </w:tc>
        <w:tc>
          <w:tcPr>
            <w:tcW w:w="40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6,777</w:t>
            </w:r>
          </w:p>
        </w:tc>
        <w:tc>
          <w:tcPr>
            <w:tcW w:w="11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tcPr>
          <w:p>
            <w:pPr>
              <w:ind w:left="320"/>
              <w:spacing w:after="0"/>
              <w:rPr>
                <w:sz w:val="20"/>
                <w:szCs w:val="20"/>
                <w:color w:val="auto"/>
              </w:rPr>
            </w:pPr>
            <w:r>
              <w:rPr>
                <w:rFonts w:ascii="Arial" w:cs="Arial" w:eastAsia="Arial" w:hAnsi="Arial"/>
                <w:sz w:val="14"/>
                <w:szCs w:val="14"/>
                <w:color w:val="auto"/>
              </w:rPr>
              <w:t>% of net revenues</w:t>
            </w:r>
          </w:p>
        </w:tc>
        <w:tc>
          <w:tcPr>
            <w:tcW w:w="340" w:type="dxa"/>
            <w:vAlign w:val="bottom"/>
          </w:tcPr>
          <w:p>
            <w:pPr>
              <w:spacing w:after="0"/>
              <w:rPr>
                <w:sz w:val="15"/>
                <w:szCs w:val="15"/>
                <w:color w:val="auto"/>
              </w:rPr>
            </w:pP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4.9%</w:t>
            </w:r>
          </w:p>
        </w:tc>
        <w:tc>
          <w:tcPr>
            <w:tcW w:w="4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4.4%</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Selling, general and administrative</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54,354</w:t>
            </w:r>
          </w:p>
        </w:tc>
        <w:tc>
          <w:tcPr>
            <w:tcW w:w="40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49,839</w:t>
            </w:r>
          </w:p>
        </w:tc>
        <w:tc>
          <w:tcPr>
            <w:tcW w:w="11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tcPr>
          <w:p>
            <w:pPr>
              <w:ind w:left="320"/>
              <w:spacing w:after="0"/>
              <w:rPr>
                <w:sz w:val="20"/>
                <w:szCs w:val="20"/>
                <w:color w:val="auto"/>
              </w:rPr>
            </w:pPr>
            <w:r>
              <w:rPr>
                <w:rFonts w:ascii="Arial" w:cs="Arial" w:eastAsia="Arial" w:hAnsi="Arial"/>
                <w:sz w:val="14"/>
                <w:szCs w:val="14"/>
                <w:color w:val="auto"/>
              </w:rPr>
              <w:t>% of net revenues</w:t>
            </w:r>
          </w:p>
        </w:tc>
        <w:tc>
          <w:tcPr>
            <w:tcW w:w="340" w:type="dxa"/>
            <w:vAlign w:val="bottom"/>
          </w:tcPr>
          <w:p>
            <w:pPr>
              <w:spacing w:after="0"/>
              <w:rPr>
                <w:sz w:val="15"/>
                <w:szCs w:val="15"/>
                <w:color w:val="auto"/>
              </w:rPr>
            </w:pP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33.3%</w:t>
            </w:r>
          </w:p>
        </w:tc>
        <w:tc>
          <w:tcPr>
            <w:tcW w:w="4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32.3%</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Total operating expenses</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29"/>
              <w:spacing w:after="0" w:line="147" w:lineRule="exact"/>
              <w:rPr>
                <w:sz w:val="20"/>
                <w:szCs w:val="20"/>
                <w:color w:val="auto"/>
              </w:rPr>
            </w:pPr>
            <w:r>
              <w:rPr>
                <w:rFonts w:ascii="Arial" w:cs="Arial" w:eastAsia="Arial" w:hAnsi="Arial"/>
                <w:sz w:val="14"/>
                <w:szCs w:val="14"/>
                <w:color w:val="auto"/>
              </w:rPr>
              <w:t>62,274</w:t>
            </w:r>
          </w:p>
        </w:tc>
        <w:tc>
          <w:tcPr>
            <w:tcW w:w="40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56,616</w:t>
            </w:r>
          </w:p>
        </w:tc>
        <w:tc>
          <w:tcPr>
            <w:tcW w:w="116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tcPr>
          <w:p>
            <w:pPr>
              <w:ind w:left="320"/>
              <w:spacing w:after="0"/>
              <w:rPr>
                <w:sz w:val="20"/>
                <w:szCs w:val="20"/>
                <w:color w:val="auto"/>
              </w:rPr>
            </w:pPr>
            <w:r>
              <w:rPr>
                <w:rFonts w:ascii="Arial" w:cs="Arial" w:eastAsia="Arial" w:hAnsi="Arial"/>
                <w:sz w:val="14"/>
                <w:szCs w:val="14"/>
                <w:color w:val="auto"/>
              </w:rPr>
              <w:t>% of net revenues</w:t>
            </w:r>
          </w:p>
        </w:tc>
        <w:tc>
          <w:tcPr>
            <w:tcW w:w="340" w:type="dxa"/>
            <w:vAlign w:val="bottom"/>
          </w:tcPr>
          <w:p>
            <w:pPr>
              <w:spacing w:after="0"/>
              <w:rPr>
                <w:sz w:val="15"/>
                <w:szCs w:val="15"/>
                <w:color w:val="auto"/>
              </w:rPr>
            </w:pPr>
          </w:p>
        </w:tc>
        <w:tc>
          <w:tcPr>
            <w:tcW w:w="980" w:type="dxa"/>
            <w:vAlign w:val="bottom"/>
          </w:tcPr>
          <w:p>
            <w:pPr>
              <w:jc w:val="right"/>
              <w:ind w:right="229"/>
              <w:spacing w:after="0"/>
              <w:rPr>
                <w:sz w:val="20"/>
                <w:szCs w:val="20"/>
                <w:color w:val="auto"/>
              </w:rPr>
            </w:pPr>
            <w:r>
              <w:rPr>
                <w:rFonts w:ascii="Arial" w:cs="Arial" w:eastAsia="Arial" w:hAnsi="Arial"/>
                <w:sz w:val="14"/>
                <w:szCs w:val="14"/>
                <w:color w:val="auto"/>
              </w:rPr>
              <w:t>38.2%</w:t>
            </w:r>
          </w:p>
        </w:tc>
        <w:tc>
          <w:tcPr>
            <w:tcW w:w="4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36.7%</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Research, development and engineering expenses increased 16.9% for the first three months of fiscal year 2011 as compared to the same period of fiscal year 2010. The increase is primarily related to the development of our automated whole blood collection system.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first three months of fiscal year 2011, selling, general and administrative expenses increased 9.1%. Foreign exchange resulted in a decrease in selling, general and administrative expenses of 0.1% during fiscal year 2011. Excluding the impact of foreign exchange, selling, general and administrative expense increased 9.2% for the first quarter. The increase was attributable to newly acquired businesses, SEBRA and Global Med Technologies, and transformation costs including costs to integrate Global Med. This was partly offset by cost reductions from planned synergies and a reduction in the expense associated with cash bonus compensation this fiscal year as the Company’s financial results were lower than the financial targets established.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b w:val="1"/>
                <w:bCs w:val="1"/>
                <w:color w:val="auto"/>
                <w:w w:val="91"/>
              </w:rPr>
              <w:t>For the three months ended</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5"/>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289"/>
              <w:spacing w:after="0"/>
              <w:rPr>
                <w:sz w:val="20"/>
                <w:szCs w:val="20"/>
                <w:color w:val="auto"/>
              </w:rPr>
            </w:pPr>
            <w:r>
              <w:rPr>
                <w:rFonts w:ascii="Arial" w:cs="Arial" w:eastAsia="Arial" w:hAnsi="Arial"/>
                <w:sz w:val="14"/>
                <w:szCs w:val="14"/>
                <w:b w:val="1"/>
                <w:bCs w:val="1"/>
                <w:color w:val="auto"/>
                <w:w w:val="91"/>
              </w:rPr>
              <w:t>July 3,</w:t>
            </w:r>
          </w:p>
        </w:tc>
        <w:tc>
          <w:tcPr>
            <w:tcW w:w="200" w:type="dxa"/>
            <w:vAlign w:val="bottom"/>
          </w:tcPr>
          <w:p>
            <w:pPr>
              <w:spacing w:after="0"/>
              <w:rPr>
                <w:sz w:val="14"/>
                <w:szCs w:val="14"/>
                <w:color w:val="auto"/>
              </w:rPr>
            </w:pPr>
          </w:p>
        </w:tc>
        <w:tc>
          <w:tcPr>
            <w:tcW w:w="112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7"/>
        </w:trPr>
        <w:tc>
          <w:tcPr>
            <w:tcW w:w="4260" w:type="dxa"/>
            <w:vAlign w:val="bottom"/>
          </w:tcPr>
          <w:p>
            <w:pPr>
              <w:spacing w:after="0" w:line="150"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9"/>
              <w:spacing w:after="0" w:line="150"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9"/>
              <w:spacing w:after="0" w:line="150"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89"/>
              <w:spacing w:after="0" w:line="150" w:lineRule="exact"/>
              <w:rPr>
                <w:sz w:val="20"/>
                <w:szCs w:val="20"/>
                <w:color w:val="auto"/>
              </w:rPr>
            </w:pPr>
            <w:r>
              <w:rPr>
                <w:rFonts w:ascii="Arial" w:cs="Arial" w:eastAsia="Arial" w:hAnsi="Arial"/>
                <w:sz w:val="14"/>
                <w:szCs w:val="14"/>
                <w:b w:val="1"/>
                <w:bCs w:val="1"/>
                <w:color w:val="auto"/>
              </w:rPr>
              <w:t>% Decrease</w:t>
            </w:r>
          </w:p>
        </w:tc>
      </w:tr>
      <w:tr>
        <w:trPr>
          <w:trHeight w:val="276"/>
        </w:trPr>
        <w:tc>
          <w:tcPr>
            <w:tcW w:w="4260" w:type="dxa"/>
            <w:vAlign w:val="bottom"/>
          </w:tcPr>
          <w:p>
            <w:pPr>
              <w:spacing w:after="0"/>
              <w:rPr>
                <w:sz w:val="20"/>
                <w:szCs w:val="20"/>
                <w:color w:val="auto"/>
              </w:rPr>
            </w:pPr>
            <w:r>
              <w:rPr>
                <w:rFonts w:ascii="Arial" w:cs="Arial" w:eastAsia="Arial" w:hAnsi="Arial"/>
                <w:sz w:val="14"/>
                <w:szCs w:val="14"/>
                <w:color w:val="auto"/>
              </w:rPr>
              <w:t>Operating income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24,189</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26,327</w:t>
            </w:r>
          </w:p>
        </w:tc>
        <w:tc>
          <w:tcPr>
            <w:tcW w:w="1280" w:type="dxa"/>
            <w:vAlign w:val="bottom"/>
            <w:gridSpan w:val="2"/>
          </w:tcPr>
          <w:p>
            <w:pPr>
              <w:jc w:val="right"/>
              <w:ind w:right="49"/>
              <w:spacing w:after="0"/>
              <w:rPr>
                <w:sz w:val="20"/>
                <w:szCs w:val="20"/>
                <w:color w:val="auto"/>
              </w:rPr>
            </w:pPr>
            <w:r>
              <w:rPr>
                <w:rFonts w:ascii="Arial" w:cs="Arial" w:eastAsia="Arial" w:hAnsi="Arial"/>
                <w:sz w:val="14"/>
                <w:szCs w:val="14"/>
                <w:color w:val="auto"/>
              </w:rPr>
              <w:t>(8.1%)</w:t>
            </w:r>
          </w:p>
        </w:tc>
      </w:tr>
      <w:tr>
        <w:trPr>
          <w:trHeight w:val="181"/>
        </w:trPr>
        <w:tc>
          <w:tcPr>
            <w:tcW w:w="4260" w:type="dxa"/>
            <w:vAlign w:val="bottom"/>
          </w:tcPr>
          <w:p>
            <w:pPr>
              <w:ind w:left="340"/>
              <w:spacing w:after="0"/>
              <w:rPr>
                <w:sz w:val="20"/>
                <w:szCs w:val="20"/>
                <w:color w:val="auto"/>
              </w:rPr>
            </w:pPr>
            <w:r>
              <w:rPr>
                <w:rFonts w:ascii="Arial" w:cs="Arial" w:eastAsia="Arial" w:hAnsi="Arial"/>
                <w:sz w:val="14"/>
                <w:szCs w:val="14"/>
                <w:color w:val="auto"/>
              </w:rPr>
              <w:t>% of net revenues</w:t>
            </w:r>
          </w:p>
        </w:tc>
        <w:tc>
          <w:tcPr>
            <w:tcW w:w="34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14.8%</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17.1%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8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Operating income decreased 8.1% for the first three months of fiscal year 2011 as compared to the same period of fiscal year 2010. Foreign exchange accounted for a decline of 17.5% in operating income during the first three months. Without the effects of foreign currency, operating income increased 9.4% for the first three months due to increases in gross profit less additional spending largely associated with our acquisitions.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July 3,</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80" w:type="dxa"/>
            <w:vAlign w:val="bottom"/>
            <w:gridSpan w:val="2"/>
          </w:tcPr>
          <w:p>
            <w:pPr>
              <w:spacing w:after="0" w:line="150"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5"/>
                <w:szCs w:val="15"/>
                <w:color w:val="auto"/>
              </w:rPr>
            </w:pPr>
          </w:p>
        </w:tc>
        <w:tc>
          <w:tcPr>
            <w:tcW w:w="98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ind w:left="180"/>
              <w:spacing w:after="0" w:line="150"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Interest expense</w:t>
            </w:r>
          </w:p>
        </w:tc>
        <w:tc>
          <w:tcPr>
            <w:tcW w:w="760" w:type="dxa"/>
            <w:vAlign w:val="bottom"/>
            <w:shd w:val="clear" w:color="auto" w:fill="CCEEFF"/>
          </w:tcPr>
          <w:p>
            <w:pPr>
              <w:jc w:val="right"/>
              <w:ind w:right="369"/>
              <w:spacing w:after="0" w:line="14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5"/>
              </w:rPr>
              <w:t>(153)</w:t>
            </w:r>
          </w:p>
        </w:tc>
        <w:tc>
          <w:tcPr>
            <w:tcW w:w="980" w:type="dxa"/>
            <w:vAlign w:val="bottom"/>
            <w:gridSpan w:val="2"/>
            <w:shd w:val="clear" w:color="auto" w:fill="CCEEFF"/>
          </w:tcPr>
          <w:p>
            <w:pPr>
              <w:jc w:val="right"/>
              <w:ind w:right="349"/>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1"/>
              </w:rPr>
              <w:t>(214)</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line="147" w:lineRule="exact"/>
              <w:rPr>
                <w:sz w:val="20"/>
                <w:szCs w:val="20"/>
                <w:color w:val="auto"/>
              </w:rPr>
            </w:pPr>
            <w:r>
              <w:rPr>
                <w:rFonts w:ascii="Arial" w:cs="Arial" w:eastAsia="Arial" w:hAnsi="Arial"/>
                <w:sz w:val="14"/>
                <w:szCs w:val="14"/>
                <w:color w:val="auto"/>
              </w:rPr>
              <w:t>Interest income</w:t>
            </w:r>
          </w:p>
        </w:tc>
        <w:tc>
          <w:tcPr>
            <w:tcW w:w="760" w:type="dxa"/>
            <w:vAlign w:val="bottom"/>
          </w:tcPr>
          <w:p>
            <w:pPr>
              <w:spacing w:after="0"/>
              <w:rPr>
                <w:sz w:val="12"/>
                <w:szCs w:val="12"/>
                <w:color w:val="auto"/>
              </w:rPr>
            </w:pPr>
          </w:p>
        </w:tc>
        <w:tc>
          <w:tcPr>
            <w:tcW w:w="34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102</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157</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expense, net</w:t>
            </w:r>
          </w:p>
        </w:tc>
        <w:tc>
          <w:tcPr>
            <w:tcW w:w="7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237</w:t>
            </w:r>
          </w:p>
        </w:tc>
        <w:tc>
          <w:tcPr>
            <w:tcW w:w="2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w w:val="91"/>
              </w:rPr>
              <w:t>(335)</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80" w:type="dxa"/>
            <w:vAlign w:val="bottom"/>
            <w:gridSpan w:val="2"/>
          </w:tcPr>
          <w:p>
            <w:pPr>
              <w:spacing w:after="0" w:line="155" w:lineRule="exact"/>
              <w:rPr>
                <w:sz w:val="20"/>
                <w:szCs w:val="20"/>
                <w:color w:val="auto"/>
              </w:rPr>
            </w:pPr>
            <w:r>
              <w:rPr>
                <w:rFonts w:ascii="Arial" w:cs="Arial" w:eastAsia="Arial" w:hAnsi="Arial"/>
                <w:sz w:val="14"/>
                <w:szCs w:val="14"/>
                <w:color w:val="auto"/>
              </w:rPr>
              <w:t>Total other expense, net</w:t>
            </w:r>
          </w:p>
        </w:tc>
        <w:tc>
          <w:tcPr>
            <w:tcW w:w="76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186</w:t>
            </w: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349"/>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(392)</w:t>
            </w:r>
          </w:p>
        </w:tc>
        <w:tc>
          <w:tcPr>
            <w:tcW w:w="220" w:type="dxa"/>
            <w:vAlign w:val="bottom"/>
          </w:tcPr>
          <w:p>
            <w:pPr>
              <w:spacing w:after="0"/>
              <w:rPr>
                <w:sz w:val="13"/>
                <w:szCs w:val="13"/>
                <w:color w:val="auto"/>
              </w:rPr>
            </w:pPr>
          </w:p>
        </w:tc>
        <w:tc>
          <w:tcPr>
            <w:tcW w:w="1040" w:type="dxa"/>
            <w:vAlign w:val="bottom"/>
          </w:tcPr>
          <w:p>
            <w:pPr>
              <w:ind w:left="680"/>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260"/>
          </w:cols>
          <w:pgMar w:left="240" w:top="417"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color w:val="auto"/>
        </w:rPr>
        <w:t>Total other income, net increased more than 100% for first three months of fiscal year 2011 as compared to the same period of fiscal year 2010. The main reason for the increase is a reduction in foreign exchange losses on foreign currency denominated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60" w:type="dxa"/>
            <w:vAlign w:val="bottom"/>
          </w:tcPr>
          <w:p>
            <w:pPr>
              <w:spacing w:after="0"/>
              <w:rPr>
                <w:sz w:val="15"/>
                <w:szCs w:val="15"/>
                <w:color w:val="auto"/>
              </w:rPr>
            </w:pPr>
          </w:p>
        </w:tc>
        <w:tc>
          <w:tcPr>
            <w:tcW w:w="24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25"/>
        </w:trPr>
        <w:tc>
          <w:tcPr>
            <w:tcW w:w="4260" w:type="dxa"/>
            <w:vAlign w:val="bottom"/>
          </w:tcPr>
          <w:p>
            <w:pPr>
              <w:spacing w:after="0"/>
              <w:rPr>
                <w:sz w:val="10"/>
                <w:szCs w:val="10"/>
                <w:color w:val="auto"/>
              </w:rPr>
            </w:pPr>
          </w:p>
        </w:tc>
        <w:tc>
          <w:tcPr>
            <w:tcW w:w="1120" w:type="dxa"/>
            <w:vAlign w:val="bottom"/>
          </w:tcPr>
          <w:p>
            <w:pPr>
              <w:ind w:left="360"/>
              <w:spacing w:after="0" w:line="125" w:lineRule="exact"/>
              <w:rPr>
                <w:sz w:val="20"/>
                <w:szCs w:val="20"/>
                <w:color w:val="auto"/>
              </w:rPr>
            </w:pPr>
            <w:r>
              <w:rPr>
                <w:rFonts w:ascii="Arial" w:cs="Arial" w:eastAsia="Arial" w:hAnsi="Arial"/>
                <w:sz w:val="14"/>
                <w:szCs w:val="14"/>
                <w:b w:val="1"/>
                <w:bCs w:val="1"/>
                <w:color w:val="auto"/>
              </w:rPr>
              <w:t>July 3,</w:t>
            </w:r>
          </w:p>
        </w:tc>
        <w:tc>
          <w:tcPr>
            <w:tcW w:w="200" w:type="dxa"/>
            <w:vAlign w:val="bottom"/>
          </w:tcPr>
          <w:p>
            <w:pPr>
              <w:spacing w:after="0"/>
              <w:rPr>
                <w:sz w:val="10"/>
                <w:szCs w:val="10"/>
                <w:color w:val="auto"/>
              </w:rPr>
            </w:pPr>
          </w:p>
        </w:tc>
        <w:tc>
          <w:tcPr>
            <w:tcW w:w="1120" w:type="dxa"/>
            <w:vAlign w:val="bottom"/>
          </w:tcPr>
          <w:p>
            <w:pPr>
              <w:ind w:left="300"/>
              <w:spacing w:after="0" w:line="125" w:lineRule="exact"/>
              <w:rPr>
                <w:sz w:val="20"/>
                <w:szCs w:val="20"/>
                <w:color w:val="auto"/>
              </w:rPr>
            </w:pPr>
            <w:r>
              <w:rPr>
                <w:rFonts w:ascii="Arial" w:cs="Arial" w:eastAsia="Arial" w:hAnsi="Arial"/>
                <w:sz w:val="14"/>
                <w:szCs w:val="14"/>
                <w:b w:val="1"/>
                <w:bCs w:val="1"/>
                <w:color w:val="auto"/>
              </w:rPr>
              <w:t>June 27,</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77"/>
        </w:trPr>
        <w:tc>
          <w:tcPr>
            <w:tcW w:w="4260" w:type="dxa"/>
            <w:vAlign w:val="bottom"/>
          </w:tcPr>
          <w:p>
            <w:pPr>
              <w:spacing w:after="0" w:line="150"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jc w:val="right"/>
              <w:ind w:right="349"/>
              <w:spacing w:after="0" w:line="150"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right"/>
              <w:ind w:right="349"/>
              <w:spacing w:after="0" w:line="150"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4"/>
              </w:rPr>
              <w:t>% Decrease</w:t>
            </w:r>
          </w:p>
        </w:tc>
      </w:tr>
      <w:tr>
        <w:trPr>
          <w:trHeight w:val="310"/>
        </w:trPr>
        <w:tc>
          <w:tcPr>
            <w:tcW w:w="4260" w:type="dxa"/>
            <w:vAlign w:val="bottom"/>
          </w:tcPr>
          <w:p>
            <w:pPr>
              <w:spacing w:after="0"/>
              <w:rPr>
                <w:sz w:val="20"/>
                <w:szCs w:val="20"/>
                <w:color w:val="auto"/>
              </w:rPr>
            </w:pPr>
            <w:r>
              <w:rPr>
                <w:rFonts w:ascii="Arial" w:cs="Arial" w:eastAsia="Arial" w:hAnsi="Arial"/>
                <w:sz w:val="14"/>
                <w:szCs w:val="14"/>
                <w:color w:val="auto"/>
              </w:rPr>
              <w:t>Reported income tax rate</w:t>
            </w:r>
          </w:p>
        </w:tc>
        <w:tc>
          <w:tcPr>
            <w:tcW w:w="1120" w:type="dxa"/>
            <w:vAlign w:val="bottom"/>
          </w:tcPr>
          <w:p>
            <w:pPr>
              <w:jc w:val="right"/>
              <w:ind w:right="309"/>
              <w:spacing w:after="0"/>
              <w:rPr>
                <w:sz w:val="20"/>
                <w:szCs w:val="20"/>
                <w:color w:val="auto"/>
              </w:rPr>
            </w:pPr>
            <w:r>
              <w:rPr>
                <w:rFonts w:ascii="Arial" w:cs="Arial" w:eastAsia="Arial" w:hAnsi="Arial"/>
                <w:sz w:val="14"/>
                <w:szCs w:val="14"/>
                <w:color w:val="auto"/>
              </w:rPr>
              <w:t>26.5%</w:t>
            </w:r>
          </w:p>
        </w:tc>
        <w:tc>
          <w:tcPr>
            <w:tcW w:w="1320" w:type="dxa"/>
            <w:vAlign w:val="bottom"/>
            <w:gridSpan w:val="2"/>
          </w:tcPr>
          <w:p>
            <w:pPr>
              <w:jc w:val="right"/>
              <w:ind w:right="309"/>
              <w:spacing w:after="0"/>
              <w:rPr>
                <w:sz w:val="20"/>
                <w:szCs w:val="20"/>
                <w:color w:val="auto"/>
              </w:rPr>
            </w:pPr>
            <w:r>
              <w:rPr>
                <w:rFonts w:ascii="Arial" w:cs="Arial" w:eastAsia="Arial" w:hAnsi="Arial"/>
                <w:sz w:val="14"/>
                <w:szCs w:val="14"/>
                <w:color w:val="auto"/>
              </w:rPr>
              <w:t>30.3%</w:t>
            </w:r>
          </w:p>
        </w:tc>
        <w:tc>
          <w:tcPr>
            <w:tcW w:w="1280" w:type="dxa"/>
            <w:vAlign w:val="bottom"/>
            <w:gridSpan w:val="2"/>
          </w:tcPr>
          <w:p>
            <w:pPr>
              <w:jc w:val="right"/>
              <w:ind w:right="269"/>
              <w:spacing w:after="0"/>
              <w:rPr>
                <w:sz w:val="20"/>
                <w:szCs w:val="20"/>
                <w:color w:val="auto"/>
              </w:rPr>
            </w:pPr>
            <w:r>
              <w:rPr>
                <w:rFonts w:ascii="Arial" w:cs="Arial" w:eastAsia="Arial" w:hAnsi="Arial"/>
                <w:sz w:val="14"/>
                <w:szCs w:val="14"/>
                <w:color w:val="auto"/>
              </w:rPr>
              <w:t>(3.8%)</w:t>
            </w:r>
          </w:p>
        </w:tc>
      </w:tr>
    </w:tbl>
    <w:p>
      <w:pPr>
        <w:spacing w:after="0" w:line="4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or is resolved. Events or items that give rise to discrete recognition include finalizing audit examinations for open tax years, a statute of limitation’s expiration, or a change in the statutory tax rate. The calculated tax rate is without any benefit from the research and development credit that could later become valid for our fiscal year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26.5% for the three month period ended July 3, 2010. The reported tax rate includes:</w:t>
      </w:r>
    </w:p>
    <w:p>
      <w:pPr>
        <w:spacing w:after="0" w:line="222" w:lineRule="exact"/>
        <w:rPr>
          <w:sz w:val="20"/>
          <w:szCs w:val="20"/>
          <w:color w:val="auto"/>
        </w:rPr>
      </w:pPr>
    </w:p>
    <w:p>
      <w:pPr>
        <w:ind w:left="340" w:right="200" w:hanging="333"/>
        <w:spacing w:after="0" w:line="336" w:lineRule="auto"/>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 29.8% expected effective annual tax rate which reflects tax benefits from foreign taxes (including our Swiss principal) and a domestic manufacturing deduction, offset in part by the state income tax provision and stock compensation expenses not deductible in all jurisdictions; and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discrete item:</w:t>
      </w:r>
    </w:p>
    <w:p>
      <w:pPr>
        <w:spacing w:after="0" w:line="222" w:lineRule="exact"/>
        <w:rPr>
          <w:sz w:val="20"/>
          <w:szCs w:val="20"/>
          <w:color w:val="auto"/>
        </w:rPr>
      </w:pPr>
    </w:p>
    <w:p>
      <w:pPr>
        <w:ind w:left="340" w:hanging="333"/>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$0.8 million benefit from the finalization of our tax status as a principal in Switzerland.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30.3% for the three month period ended June 27, 2009. The reported tax rate includes:</w:t>
      </w:r>
    </w:p>
    <w:p>
      <w:pPr>
        <w:spacing w:after="0" w:line="222" w:lineRule="exact"/>
        <w:rPr>
          <w:sz w:val="20"/>
          <w:szCs w:val="20"/>
          <w:color w:val="auto"/>
        </w:rPr>
      </w:pPr>
    </w:p>
    <w:p>
      <w:pPr>
        <w:ind w:left="340" w:right="200" w:hanging="333"/>
        <w:spacing w:after="0" w:line="302" w:lineRule="auto"/>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 31.1% expected effective annual tax rate which reflects tax benefits from foreign taxes (including our Swiss principal) and a domestic manufacturing deduction, offset in part by the state tax provision, and stock compensation expenses not deductible in all jurisdictions; and</w:t>
      </w:r>
    </w:p>
    <w:p>
      <w:pPr>
        <w:spacing w:after="0" w:line="178" w:lineRule="exact"/>
        <w:rPr>
          <w:rFonts w:ascii="Arial" w:cs="Arial" w:eastAsia="Arial" w:hAnsi="Arial"/>
          <w:sz w:val="17"/>
          <w:szCs w:val="17"/>
          <w:b w:val="1"/>
          <w:bCs w:val="1"/>
          <w:color w:val="auto"/>
        </w:rPr>
      </w:pPr>
    </w:p>
    <w:p>
      <w:pPr>
        <w:ind w:left="340" w:hanging="333"/>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$0.2 million benefit from the remittance of Japanese earnings.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certain key performance indicators we believe depict our liquidity and cash flow position: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40" w:type="dxa"/>
            <w:vAlign w:val="bottom"/>
            <w:gridSpan w:val="2"/>
          </w:tcPr>
          <w:p>
            <w:pPr>
              <w:spacing w:after="0"/>
              <w:rPr>
                <w:sz w:val="20"/>
                <w:szCs w:val="20"/>
                <w:color w:val="auto"/>
              </w:rPr>
            </w:pPr>
            <w:r>
              <w:rPr>
                <w:rFonts w:ascii="Arial" w:cs="Arial" w:eastAsia="Arial" w:hAnsi="Arial"/>
                <w:sz w:val="16"/>
                <w:szCs w:val="16"/>
                <w:b w:val="1"/>
                <w:bCs w:val="1"/>
                <w:color w:val="auto"/>
              </w:rPr>
              <w:t>(dollars in thousands)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w w:val="93"/>
              </w:rPr>
              <w:t>July 3, 2010</w:t>
            </w: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April 3, 2010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Cash &amp; cash equivalents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83,467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141,562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Working capital</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221,503</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249,646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Current ratio</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Net cash position (1)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72,665</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120,911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Days sales outstanding (DSO)</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Disposables finished goods inventory turnover</w:t>
            </w:r>
          </w:p>
        </w:tc>
        <w:tc>
          <w:tcPr>
            <w:tcW w:w="4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133350</wp:posOffset>
            </wp:positionV>
            <wp:extent cx="6157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7595" cy="8255"/>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Net cash position is the sum of cash and cash equivalents less total debt.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80"/>
          </w:cols>
          <w:pgMar w:left="240" w:top="417"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primary sources of capital include cash and cash equivalents, internally generated cash flows, bank borrowings and option exercises. We believe these sources to be sufficient to fund our requirements, which are primarily capital expenditures (including our manufacturing expansion in Salt Lake City), share repurchases (like the $50.0 million share repurchase program authorized by the Board of Directors in April 2010 and completed in the first quarter of fiscal year 2011), new business and product development, and working capital for at least the next twelve months.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auto"/>
                <w:w w:val="93"/>
              </w:rPr>
              <w:t>For the three months ended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400"/>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00"/>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gridSpan w:val="4"/>
          </w:tcPr>
          <w:p>
            <w:pPr>
              <w:ind w:left="320"/>
              <w:spacing w:after="0"/>
              <w:rPr>
                <w:sz w:val="20"/>
                <w:szCs w:val="20"/>
                <w:color w:val="auto"/>
              </w:rPr>
            </w:pPr>
            <w:r>
              <w:rPr>
                <w:rFonts w:ascii="Arial" w:cs="Arial" w:eastAsia="Arial" w:hAnsi="Arial"/>
                <w:sz w:val="14"/>
                <w:szCs w:val="14"/>
                <w:b w:val="1"/>
                <w:bCs w:val="1"/>
                <w:color w:val="auto"/>
              </w:rPr>
              <w:t>July 3, 2010</w:t>
            </w:r>
          </w:p>
        </w:tc>
        <w:tc>
          <w:tcPr>
            <w:tcW w:w="1820" w:type="dxa"/>
            <w:vAlign w:val="bottom"/>
            <w:gridSpan w:val="4"/>
          </w:tcPr>
          <w:p>
            <w:pPr>
              <w:ind w:left="280"/>
              <w:spacing w:after="0"/>
              <w:rPr>
                <w:sz w:val="20"/>
                <w:szCs w:val="20"/>
                <w:color w:val="auto"/>
              </w:rPr>
            </w:pPr>
            <w:r>
              <w:rPr>
                <w:rFonts w:ascii="Arial" w:cs="Arial" w:eastAsia="Arial" w:hAnsi="Arial"/>
                <w:sz w:val="14"/>
                <w:szCs w:val="14"/>
                <w:b w:val="1"/>
                <w:bCs w:val="1"/>
                <w:color w:val="auto"/>
              </w:rPr>
              <w:t>June 27, 2009</w:t>
            </w:r>
          </w:p>
        </w:tc>
        <w:tc>
          <w:tcPr>
            <w:tcW w:w="156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Operating activities</w:t>
            </w: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13,526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25,706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(12,150)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(27,923)</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Financing activities</w:t>
            </w:r>
          </w:p>
        </w:tc>
        <w:tc>
          <w:tcPr>
            <w:tcW w:w="5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(54,937)</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18,844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(73,811)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 (1)</w:t>
            </w:r>
          </w:p>
        </w:tc>
        <w:tc>
          <w:tcPr>
            <w:tcW w:w="5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(1,571)</w:t>
            </w:r>
          </w:p>
        </w:tc>
        <w:tc>
          <w:tcPr>
            <w:tcW w:w="3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05"/>
        </w:trPr>
        <w:tc>
          <w:tcPr>
            <w:tcW w:w="5660" w:type="dxa"/>
            <w:vAlign w:val="bottom"/>
            <w:gridSpan w:val="2"/>
          </w:tcPr>
          <w:p>
            <w:pPr>
              <w:spacing w:after="0"/>
              <w:rPr>
                <w:sz w:val="20"/>
                <w:szCs w:val="20"/>
                <w:color w:val="auto"/>
              </w:rPr>
            </w:pPr>
            <w:r>
              <w:rPr>
                <w:rFonts w:ascii="Arial" w:cs="Arial" w:eastAsia="Arial" w:hAnsi="Arial"/>
                <w:sz w:val="16"/>
                <w:szCs w:val="16"/>
                <w:color w:val="auto"/>
              </w:rPr>
              <w:t>Net increase/(decrease) in cash and cash equivalents</w:t>
            </w: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(58,095)</w:t>
            </w:r>
          </w:p>
        </w:tc>
        <w:tc>
          <w:tcPr>
            <w:tcW w:w="300" w:type="dxa"/>
            <w:vAlign w:val="bottom"/>
          </w:tcPr>
          <w:p>
            <w:pPr>
              <w:spacing w:after="0"/>
              <w:rPr>
                <w:sz w:val="17"/>
                <w:szCs w:val="17"/>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17,101</w:t>
            </w:r>
          </w:p>
        </w:tc>
        <w:tc>
          <w:tcPr>
            <w:tcW w:w="1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(75,196)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600" w:firstLine="7"/>
        <w:spacing w:after="0" w:line="302" w:lineRule="auto"/>
        <w:tabs>
          <w:tab w:leader="none" w:pos="2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5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 our April 6, 2010 press release, the Company announced that its Board of Directors approved the repurchase of up to $50.0 million worth of Company shares during fiscal year 2011. Through July 3, 2010, the Company repurchased 907,310 shares of its common stock for an aggregate purchase price of $50.0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Net cash provided by operating activities decreased by $12.2 million in the first three months of fiscal year 2011 as compared to the first three months of fiscal year 2010 due primarily to:</w:t>
      </w:r>
    </w:p>
    <w:p>
      <w:pPr>
        <w:spacing w:after="0" w:line="175" w:lineRule="exact"/>
        <w:rPr>
          <w:sz w:val="20"/>
          <w:szCs w:val="20"/>
          <w:color w:val="auto"/>
        </w:rPr>
      </w:pPr>
    </w:p>
    <w:p>
      <w:pPr>
        <w:ind w:left="580" w:hanging="34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$4.8 million increased investment in inventories, and</w:t>
      </w:r>
    </w:p>
    <w:p>
      <w:pPr>
        <w:spacing w:after="0" w:line="249" w:lineRule="exact"/>
        <w:rPr>
          <w:rFonts w:ascii="Arial" w:cs="Arial" w:eastAsia="Arial" w:hAnsi="Arial"/>
          <w:sz w:val="18"/>
          <w:szCs w:val="18"/>
          <w:b w:val="1"/>
          <w:bCs w:val="1"/>
          <w:color w:val="auto"/>
        </w:rPr>
      </w:pPr>
    </w:p>
    <w:p>
      <w:pPr>
        <w:ind w:left="240" w:right="6000" w:hanging="5"/>
        <w:spacing w:after="0" w:line="526" w:lineRule="auto"/>
        <w:tabs>
          <w:tab w:leader="none" w:pos="57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$10.1 million decrease in accounts payable and accrued expenses partially offset by</w:t>
      </w:r>
    </w:p>
    <w:p>
      <w:pPr>
        <w:spacing w:after="0" w:line="4" w:lineRule="exact"/>
        <w:rPr>
          <w:rFonts w:ascii="Arial" w:cs="Arial" w:eastAsia="Arial" w:hAnsi="Arial"/>
          <w:sz w:val="18"/>
          <w:szCs w:val="18"/>
          <w:b w:val="1"/>
          <w:bCs w:val="1"/>
          <w:color w:val="auto"/>
        </w:rPr>
      </w:pPr>
    </w:p>
    <w:p>
      <w:pPr>
        <w:ind w:left="580" w:hanging="34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$2.4 million increase in unrealized gain from hedging activities, and</w:t>
      </w:r>
    </w:p>
    <w:p>
      <w:pPr>
        <w:spacing w:after="0" w:line="249" w:lineRule="exact"/>
        <w:rPr>
          <w:rFonts w:ascii="Arial" w:cs="Arial" w:eastAsia="Arial" w:hAnsi="Arial"/>
          <w:sz w:val="18"/>
          <w:szCs w:val="18"/>
          <w:b w:val="1"/>
          <w:bCs w:val="1"/>
          <w:color w:val="auto"/>
        </w:rPr>
      </w:pPr>
    </w:p>
    <w:p>
      <w:pPr>
        <w:ind w:left="580" w:hanging="345"/>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increased net income after non-cash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Net cash used in investing activities decreased by $12.8 million during the first three months of fiscal year 2011 as compared to the first three months of 2010 due primarily to:</w:t>
      </w:r>
    </w:p>
    <w:p>
      <w:pPr>
        <w:spacing w:after="0" w:line="175" w:lineRule="exact"/>
        <w:rPr>
          <w:sz w:val="20"/>
          <w:szCs w:val="20"/>
          <w:color w:val="auto"/>
        </w:rPr>
      </w:pPr>
    </w:p>
    <w:p>
      <w:pPr>
        <w:ind w:left="580" w:hanging="345"/>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$6.0 million decrease in capital expenditures on property, plant, and equipment, and</w:t>
      </w:r>
    </w:p>
    <w:p>
      <w:pPr>
        <w:spacing w:after="0" w:line="249" w:lineRule="exact"/>
        <w:rPr>
          <w:rFonts w:ascii="Arial" w:cs="Arial" w:eastAsia="Arial" w:hAnsi="Arial"/>
          <w:sz w:val="18"/>
          <w:szCs w:val="18"/>
          <w:b w:val="1"/>
          <w:bCs w:val="1"/>
          <w:color w:val="auto"/>
        </w:rPr>
      </w:pPr>
    </w:p>
    <w:p>
      <w:pPr>
        <w:ind w:left="580" w:hanging="345"/>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$6.9 million decrease in cash spent on acquisitions.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60"/>
          </w:cols>
          <w:pgMar w:left="240" w:top="417"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In the first three months of fiscal year 2011, we used money in financing activities versus generating financing cash flows in fiscal year 2010 resulting in a net change of $73.8 million due primarily to:</w:t>
      </w:r>
    </w:p>
    <w:p>
      <w:pPr>
        <w:spacing w:after="0" w:line="175" w:lineRule="exact"/>
        <w:rPr>
          <w:sz w:val="20"/>
          <w:szCs w:val="20"/>
          <w:color w:val="auto"/>
        </w:rPr>
      </w:pPr>
    </w:p>
    <w:p>
      <w:pPr>
        <w:ind w:left="580" w:hanging="345"/>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$50.0 million increase in cash paid out relating to stock repurchases and</w:t>
      </w:r>
    </w:p>
    <w:p>
      <w:pPr>
        <w:spacing w:after="0" w:line="249" w:lineRule="exact"/>
        <w:rPr>
          <w:rFonts w:ascii="Arial" w:cs="Arial" w:eastAsia="Arial" w:hAnsi="Arial"/>
          <w:sz w:val="18"/>
          <w:szCs w:val="18"/>
          <w:b w:val="1"/>
          <w:bCs w:val="1"/>
          <w:color w:val="auto"/>
        </w:rPr>
      </w:pPr>
    </w:p>
    <w:p>
      <w:pPr>
        <w:ind w:left="240" w:right="4640" w:hanging="5"/>
        <w:spacing w:after="0" w:line="526" w:lineRule="auto"/>
        <w:tabs>
          <w:tab w:leader="none" w:pos="57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$26.4 million decrease in net borrowings under short-term revolving credit agreements partially offset by</w:t>
      </w:r>
    </w:p>
    <w:p>
      <w:pPr>
        <w:spacing w:after="0" w:line="4" w:lineRule="exact"/>
        <w:rPr>
          <w:rFonts w:ascii="Arial" w:cs="Arial" w:eastAsia="Arial" w:hAnsi="Arial"/>
          <w:sz w:val="18"/>
          <w:szCs w:val="18"/>
          <w:b w:val="1"/>
          <w:bCs w:val="1"/>
          <w:color w:val="auto"/>
        </w:rPr>
      </w:pPr>
    </w:p>
    <w:p>
      <w:pPr>
        <w:ind w:left="580" w:hanging="345"/>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$2.5 million increase in exercise of stock options and related tax benefits.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2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Approximately 51% of our sales are generated outside the U.S. in local currencies yet our reporting currency is the U.S. dollar.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 an adverse affect on our results of operations and alternatively, whenever the U.S. dollar weakens relative to the other major currencies there is a positive effect on our results of operations.</w:t>
      </w:r>
    </w:p>
    <w:p>
      <w:pPr>
        <w:spacing w:after="0" w:line="19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Our primary foreign currency exposures in relation to the U.S. dollar are the Euro and the Japanese Yen. In response to the sharply increased volatility in the foreign exchange rates, we entered into forward contracts to hedge the anticipated cash flows from forecasted Great British Pound and Canadian Dollar denominated costs.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and costs. Hedging through the use of forward contracts does not eliminate the volatility of foreign exchange rates, but because we generally enter into forward contracts one year in advance of the foreign currency denominated cash flows,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18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Presented below are the spot rates for our Euro, Japanese Yen, Canadian Dollar, and British Pound cash flow hedges that settled in fiscal year 2010, settled the first three months of fiscal year 2011, or are presently outstanding. These hedges cover our long foreign currency positions that result from our sales in Europe and Japan. These hedges also include our short positions associated with costs in Canadian Dollars and British Pounds. The table also shows how the strengthening or weakening of the spot rates associated with those hedge contracts versus the spot rates in the contracts that settled in the prior comparable period affects our results favorably or unfavorably.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color w:val="auto"/>
              </w:rPr>
              <w:t>First</w:t>
            </w:r>
          </w:p>
        </w:tc>
        <w:tc>
          <w:tcPr>
            <w:tcW w:w="1440" w:type="dxa"/>
            <w:vAlign w:val="bottom"/>
          </w:tcPr>
          <w:p>
            <w:pPr>
              <w:jc w:val="right"/>
              <w:ind w:right="429"/>
              <w:spacing w:after="0"/>
              <w:rPr>
                <w:sz w:val="20"/>
                <w:szCs w:val="20"/>
                <w:color w:val="auto"/>
              </w:rPr>
            </w:pPr>
            <w:r>
              <w:rPr>
                <w:rFonts w:ascii="Arial" w:cs="Arial" w:eastAsia="Arial" w:hAnsi="Arial"/>
                <w:sz w:val="14"/>
                <w:szCs w:val="14"/>
                <w:color w:val="auto"/>
              </w:rPr>
              <w:t>Favorable /</w:t>
            </w:r>
          </w:p>
        </w:tc>
        <w:tc>
          <w:tcPr>
            <w:tcW w:w="1200" w:type="dxa"/>
            <w:vAlign w:val="bottom"/>
            <w:gridSpan w:val="2"/>
          </w:tcPr>
          <w:p>
            <w:pPr>
              <w:jc w:val="right"/>
              <w:ind w:right="500"/>
              <w:spacing w:after="0"/>
              <w:rPr>
                <w:sz w:val="20"/>
                <w:szCs w:val="20"/>
                <w:color w:val="auto"/>
              </w:rPr>
            </w:pPr>
            <w:r>
              <w:rPr>
                <w:rFonts w:ascii="Arial" w:cs="Arial" w:eastAsia="Arial" w:hAnsi="Arial"/>
                <w:sz w:val="14"/>
                <w:szCs w:val="14"/>
                <w:color w:val="auto"/>
              </w:rPr>
              <w:t>Second</w:t>
            </w:r>
          </w:p>
        </w:tc>
        <w:tc>
          <w:tcPr>
            <w:tcW w:w="1460" w:type="dxa"/>
            <w:vAlign w:val="bottom"/>
          </w:tcPr>
          <w:p>
            <w:pPr>
              <w:jc w:val="right"/>
              <w:ind w:right="449"/>
              <w:spacing w:after="0"/>
              <w:rPr>
                <w:sz w:val="20"/>
                <w:szCs w:val="20"/>
                <w:color w:val="auto"/>
              </w:rPr>
            </w:pPr>
            <w:r>
              <w:rPr>
                <w:rFonts w:ascii="Arial" w:cs="Arial" w:eastAsia="Arial" w:hAnsi="Arial"/>
                <w:sz w:val="14"/>
                <w:szCs w:val="14"/>
                <w:color w:val="auto"/>
              </w:rPr>
              <w:t>Favorable /</w:t>
            </w: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Third</w:t>
            </w:r>
          </w:p>
        </w:tc>
        <w:tc>
          <w:tcPr>
            <w:tcW w:w="1520" w:type="dxa"/>
            <w:vAlign w:val="bottom"/>
          </w:tcPr>
          <w:p>
            <w:pPr>
              <w:jc w:val="right"/>
              <w:ind w:right="489"/>
              <w:spacing w:after="0"/>
              <w:rPr>
                <w:sz w:val="20"/>
                <w:szCs w:val="20"/>
                <w:color w:val="auto"/>
              </w:rPr>
            </w:pPr>
            <w:r>
              <w:rPr>
                <w:rFonts w:ascii="Arial" w:cs="Arial" w:eastAsia="Arial" w:hAnsi="Arial"/>
                <w:sz w:val="14"/>
                <w:szCs w:val="14"/>
                <w:color w:val="auto"/>
              </w:rPr>
              <w:t>Favorable /</w:t>
            </w: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Fourth</w:t>
            </w:r>
          </w:p>
        </w:tc>
        <w:tc>
          <w:tcPr>
            <w:tcW w:w="1260" w:type="dxa"/>
            <w:vAlign w:val="bottom"/>
          </w:tcPr>
          <w:p>
            <w:pPr>
              <w:jc w:val="right"/>
              <w:ind w:right="229"/>
              <w:spacing w:after="0"/>
              <w:rPr>
                <w:sz w:val="20"/>
                <w:szCs w:val="20"/>
                <w:color w:val="auto"/>
              </w:rPr>
            </w:pPr>
            <w:r>
              <w:rPr>
                <w:rFonts w:ascii="Arial" w:cs="Arial" w:eastAsia="Arial" w:hAnsi="Arial"/>
                <w:sz w:val="14"/>
                <w:szCs w:val="14"/>
                <w:color w:val="auto"/>
              </w:rPr>
              <w:t>Favorable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Quarter</w:t>
            </w:r>
          </w:p>
        </w:tc>
        <w:tc>
          <w:tcPr>
            <w:tcW w:w="220" w:type="dxa"/>
            <w:vAlign w:val="bottom"/>
          </w:tcPr>
          <w:p>
            <w:pPr>
              <w:spacing w:after="0"/>
              <w:rPr>
                <w:sz w:val="14"/>
                <w:szCs w:val="14"/>
                <w:color w:val="auto"/>
              </w:rPr>
            </w:pPr>
          </w:p>
        </w:tc>
        <w:tc>
          <w:tcPr>
            <w:tcW w:w="1440" w:type="dxa"/>
            <w:vAlign w:val="bottom"/>
          </w:tcPr>
          <w:p>
            <w:pPr>
              <w:jc w:val="right"/>
              <w:ind w:right="349"/>
              <w:spacing w:after="0"/>
              <w:rPr>
                <w:sz w:val="20"/>
                <w:szCs w:val="20"/>
                <w:color w:val="auto"/>
              </w:rPr>
            </w:pPr>
            <w:r>
              <w:rPr>
                <w:rFonts w:ascii="Arial" w:cs="Arial" w:eastAsia="Arial" w:hAnsi="Arial"/>
                <w:sz w:val="14"/>
                <w:szCs w:val="14"/>
                <w:color w:val="auto"/>
              </w:rPr>
              <w:t>(Unfavorable)</w:t>
            </w: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Quarter</w:t>
            </w:r>
          </w:p>
        </w:tc>
        <w:tc>
          <w:tcPr>
            <w:tcW w:w="220" w:type="dxa"/>
            <w:vAlign w:val="bottom"/>
          </w:tcPr>
          <w:p>
            <w:pPr>
              <w:spacing w:after="0"/>
              <w:rPr>
                <w:sz w:val="14"/>
                <w:szCs w:val="14"/>
                <w:color w:val="auto"/>
              </w:rPr>
            </w:pPr>
          </w:p>
        </w:tc>
        <w:tc>
          <w:tcPr>
            <w:tcW w:w="1460" w:type="dxa"/>
            <w:vAlign w:val="bottom"/>
          </w:tcPr>
          <w:p>
            <w:pPr>
              <w:jc w:val="right"/>
              <w:ind w:right="369"/>
              <w:spacing w:after="0"/>
              <w:rPr>
                <w:sz w:val="20"/>
                <w:szCs w:val="20"/>
                <w:color w:val="auto"/>
              </w:rPr>
            </w:pPr>
            <w:r>
              <w:rPr>
                <w:rFonts w:ascii="Arial" w:cs="Arial" w:eastAsia="Arial" w:hAnsi="Arial"/>
                <w:sz w:val="14"/>
                <w:szCs w:val="14"/>
                <w:color w:val="auto"/>
              </w:rPr>
              <w:t>(Unfavorable)</w:t>
            </w: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Quarter</w:t>
            </w:r>
          </w:p>
        </w:tc>
        <w:tc>
          <w:tcPr>
            <w:tcW w:w="240" w:type="dxa"/>
            <w:vAlign w:val="bottom"/>
          </w:tcPr>
          <w:p>
            <w:pPr>
              <w:spacing w:after="0"/>
              <w:rPr>
                <w:sz w:val="14"/>
                <w:szCs w:val="14"/>
                <w:color w:val="auto"/>
              </w:rPr>
            </w:pPr>
          </w:p>
        </w:tc>
        <w:tc>
          <w:tcPr>
            <w:tcW w:w="1520" w:type="dxa"/>
            <w:vAlign w:val="bottom"/>
          </w:tcPr>
          <w:p>
            <w:pPr>
              <w:jc w:val="right"/>
              <w:ind w:right="409"/>
              <w:spacing w:after="0"/>
              <w:rPr>
                <w:sz w:val="20"/>
                <w:szCs w:val="20"/>
                <w:color w:val="auto"/>
              </w:rPr>
            </w:pPr>
            <w:r>
              <w:rPr>
                <w:rFonts w:ascii="Arial" w:cs="Arial" w:eastAsia="Arial" w:hAnsi="Arial"/>
                <w:sz w:val="14"/>
                <w:szCs w:val="14"/>
                <w:color w:val="auto"/>
              </w:rPr>
              <w:t>(Unfavorable)</w:t>
            </w:r>
          </w:p>
        </w:tc>
        <w:tc>
          <w:tcPr>
            <w:tcW w:w="10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Quarter</w:t>
            </w:r>
          </w:p>
        </w:tc>
        <w:tc>
          <w:tcPr>
            <w:tcW w:w="240" w:type="dxa"/>
            <w:vAlign w:val="bottom"/>
          </w:tcPr>
          <w:p>
            <w:pPr>
              <w:spacing w:after="0"/>
              <w:rPr>
                <w:sz w:val="14"/>
                <w:szCs w:val="14"/>
                <w:color w:val="auto"/>
              </w:rPr>
            </w:pP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(Unfavorable)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60" w:type="dxa"/>
            <w:vAlign w:val="bottom"/>
            <w:gridSpan w:val="4"/>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Euro - Hedge Spot Rate (US$ per Euro)</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line="147" w:lineRule="exact"/>
              <w:rPr>
                <w:sz w:val="20"/>
                <w:szCs w:val="20"/>
                <w:color w:val="auto"/>
              </w:rPr>
            </w:pPr>
            <w:r>
              <w:rPr>
                <w:rFonts w:ascii="Arial" w:cs="Arial" w:eastAsia="Arial" w:hAnsi="Arial"/>
                <w:sz w:val="14"/>
                <w:szCs w:val="14"/>
                <w:color w:val="auto"/>
              </w:rPr>
              <w:t>FY10</w:t>
            </w:r>
          </w:p>
        </w:tc>
        <w:tc>
          <w:tcPr>
            <w:tcW w:w="11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1.5681</w:t>
            </w:r>
          </w:p>
        </w:tc>
        <w:tc>
          <w:tcPr>
            <w:tcW w:w="1440" w:type="dxa"/>
            <w:vAlign w:val="bottom"/>
          </w:tcPr>
          <w:p>
            <w:pPr>
              <w:spacing w:after="0"/>
              <w:rPr>
                <w:sz w:val="12"/>
                <w:szCs w:val="12"/>
                <w:color w:val="auto"/>
              </w:rPr>
            </w:pPr>
          </w:p>
        </w:tc>
        <w:tc>
          <w:tcPr>
            <w:tcW w:w="12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1.4890</w:t>
            </w:r>
          </w:p>
        </w:tc>
        <w:tc>
          <w:tcPr>
            <w:tcW w:w="1460" w:type="dxa"/>
            <w:vAlign w:val="bottom"/>
          </w:tcPr>
          <w:p>
            <w:pPr>
              <w:spacing w:after="0"/>
              <w:rPr>
                <w:sz w:val="12"/>
                <w:szCs w:val="12"/>
                <w:color w:val="auto"/>
              </w:rPr>
            </w:pPr>
          </w:p>
        </w:tc>
        <w:tc>
          <w:tcPr>
            <w:tcW w:w="12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1.3192</w:t>
            </w:r>
          </w:p>
        </w:tc>
        <w:tc>
          <w:tcPr>
            <w:tcW w:w="1520" w:type="dxa"/>
            <w:vAlign w:val="bottom"/>
          </w:tcPr>
          <w:p>
            <w:pPr>
              <w:spacing w:after="0"/>
              <w:rPr>
                <w:sz w:val="12"/>
                <w:szCs w:val="12"/>
                <w:color w:val="auto"/>
              </w:rPr>
            </w:pPr>
          </w:p>
        </w:tc>
        <w:tc>
          <w:tcPr>
            <w:tcW w:w="12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1.2812</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FY11</w:t>
            </w:r>
          </w:p>
        </w:tc>
        <w:tc>
          <w:tcPr>
            <w:tcW w:w="11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1.3582</w:t>
            </w:r>
          </w:p>
        </w:tc>
        <w:tc>
          <w:tcPr>
            <w:tcW w:w="1440" w:type="dxa"/>
            <w:vAlign w:val="bottom"/>
            <w:shd w:val="clear" w:color="auto" w:fill="CCEEFF"/>
          </w:tcPr>
          <w:p>
            <w:pPr>
              <w:jc w:val="right"/>
              <w:ind w:right="269"/>
              <w:spacing w:after="0" w:line="147" w:lineRule="exact"/>
              <w:rPr>
                <w:sz w:val="20"/>
                <w:szCs w:val="20"/>
                <w:color w:val="auto"/>
              </w:rPr>
            </w:pPr>
            <w:r>
              <w:rPr>
                <w:rFonts w:ascii="Arial" w:cs="Arial" w:eastAsia="Arial" w:hAnsi="Arial"/>
                <w:sz w:val="14"/>
                <w:szCs w:val="14"/>
                <w:color w:val="auto"/>
              </w:rPr>
              <w:t>(13.4%)</w:t>
            </w:r>
          </w:p>
        </w:tc>
        <w:tc>
          <w:tcPr>
            <w:tcW w:w="12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1.4272</w:t>
            </w:r>
          </w:p>
        </w:tc>
        <w:tc>
          <w:tcPr>
            <w:tcW w:w="1460" w:type="dxa"/>
            <w:vAlign w:val="bottom"/>
            <w:shd w:val="clear" w:color="auto" w:fill="CCEEFF"/>
          </w:tcPr>
          <w:p>
            <w:pPr>
              <w:jc w:val="right"/>
              <w:ind w:right="289"/>
              <w:spacing w:after="0" w:line="147" w:lineRule="exact"/>
              <w:rPr>
                <w:sz w:val="20"/>
                <w:szCs w:val="20"/>
                <w:color w:val="auto"/>
              </w:rPr>
            </w:pPr>
            <w:r>
              <w:rPr>
                <w:rFonts w:ascii="Arial" w:cs="Arial" w:eastAsia="Arial" w:hAnsi="Arial"/>
                <w:sz w:val="14"/>
                <w:szCs w:val="14"/>
                <w:color w:val="auto"/>
              </w:rPr>
              <w:t>(4.2%)</w:t>
            </w:r>
          </w:p>
        </w:tc>
        <w:tc>
          <w:tcPr>
            <w:tcW w:w="12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1.4817</w:t>
            </w:r>
          </w:p>
        </w:tc>
        <w:tc>
          <w:tcPr>
            <w:tcW w:w="1520" w:type="dxa"/>
            <w:vAlign w:val="bottom"/>
            <w:shd w:val="clear" w:color="auto" w:fill="CCEEFF"/>
          </w:tcPr>
          <w:p>
            <w:pPr>
              <w:jc w:val="right"/>
              <w:ind w:right="309"/>
              <w:spacing w:after="0" w:line="147" w:lineRule="exact"/>
              <w:rPr>
                <w:sz w:val="20"/>
                <w:szCs w:val="20"/>
                <w:color w:val="auto"/>
              </w:rPr>
            </w:pPr>
            <w:r>
              <w:rPr>
                <w:rFonts w:ascii="Arial" w:cs="Arial" w:eastAsia="Arial" w:hAnsi="Arial"/>
                <w:sz w:val="14"/>
                <w:szCs w:val="14"/>
                <w:color w:val="auto"/>
              </w:rPr>
              <w:t>12.3%</w:t>
            </w:r>
          </w:p>
        </w:tc>
        <w:tc>
          <w:tcPr>
            <w:tcW w:w="12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1.3689</w:t>
            </w:r>
          </w:p>
        </w:tc>
        <w:tc>
          <w:tcPr>
            <w:tcW w:w="12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FY12</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1.2432</w:t>
            </w:r>
          </w:p>
        </w:tc>
        <w:tc>
          <w:tcPr>
            <w:tcW w:w="1440" w:type="dxa"/>
            <w:vAlign w:val="bottom"/>
          </w:tcPr>
          <w:p>
            <w:pPr>
              <w:jc w:val="right"/>
              <w:ind w:right="269"/>
              <w:spacing w:after="0"/>
              <w:rPr>
                <w:sz w:val="20"/>
                <w:szCs w:val="20"/>
                <w:color w:val="auto"/>
              </w:rPr>
            </w:pPr>
            <w:r>
              <w:rPr>
                <w:rFonts w:ascii="Arial" w:cs="Arial" w:eastAsia="Arial" w:hAnsi="Arial"/>
                <w:sz w:val="14"/>
                <w:szCs w:val="14"/>
                <w:color w:val="auto"/>
              </w:rPr>
              <w:t>(8.5%)</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vMerge w:val="restart"/>
          </w:tcPr>
          <w:p>
            <w:pPr>
              <w:spacing w:after="0"/>
              <w:rPr>
                <w:sz w:val="22"/>
                <w:szCs w:val="22"/>
                <w:color w:val="auto"/>
              </w:rPr>
            </w:pPr>
          </w:p>
        </w:tc>
        <w:tc>
          <w:tcPr>
            <w:tcW w:w="1800" w:type="dxa"/>
            <w:vAlign w:val="bottom"/>
            <w:gridSpan w:val="2"/>
          </w:tcPr>
          <w:p>
            <w:pPr>
              <w:spacing w:after="0"/>
              <w:rPr>
                <w:sz w:val="22"/>
                <w:szCs w:val="22"/>
                <w:color w:val="auto"/>
              </w:rPr>
            </w:pPr>
          </w:p>
        </w:tc>
        <w:tc>
          <w:tcPr>
            <w:tcW w:w="166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460" w:type="dxa"/>
            <w:vAlign w:val="bottom"/>
            <w:gridSpan w:val="4"/>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Japanese Yen - Hedge Spot Rate (JPY per US$)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line="147" w:lineRule="exact"/>
              <w:rPr>
                <w:sz w:val="20"/>
                <w:szCs w:val="20"/>
                <w:color w:val="auto"/>
              </w:rPr>
            </w:pPr>
            <w:r>
              <w:rPr>
                <w:rFonts w:ascii="Arial" w:cs="Arial" w:eastAsia="Arial" w:hAnsi="Arial"/>
                <w:sz w:val="14"/>
                <w:szCs w:val="14"/>
                <w:color w:val="auto"/>
              </w:rPr>
              <w:t>FY10</w:t>
            </w:r>
          </w:p>
        </w:tc>
        <w:tc>
          <w:tcPr>
            <w:tcW w:w="11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105.2792</w:t>
            </w:r>
          </w:p>
        </w:tc>
        <w:tc>
          <w:tcPr>
            <w:tcW w:w="1440" w:type="dxa"/>
            <w:vAlign w:val="bottom"/>
          </w:tcPr>
          <w:p>
            <w:pPr>
              <w:spacing w:after="0"/>
              <w:rPr>
                <w:sz w:val="12"/>
                <w:szCs w:val="12"/>
                <w:color w:val="auto"/>
              </w:rPr>
            </w:pPr>
          </w:p>
        </w:tc>
        <w:tc>
          <w:tcPr>
            <w:tcW w:w="12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105.1132</w:t>
            </w:r>
          </w:p>
        </w:tc>
        <w:tc>
          <w:tcPr>
            <w:tcW w:w="1460" w:type="dxa"/>
            <w:vAlign w:val="bottom"/>
          </w:tcPr>
          <w:p>
            <w:pPr>
              <w:spacing w:after="0"/>
              <w:rPr>
                <w:sz w:val="12"/>
                <w:szCs w:val="12"/>
                <w:color w:val="auto"/>
              </w:rPr>
            </w:pPr>
          </w:p>
        </w:tc>
        <w:tc>
          <w:tcPr>
            <w:tcW w:w="12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96.3791</w:t>
            </w:r>
          </w:p>
        </w:tc>
        <w:tc>
          <w:tcPr>
            <w:tcW w:w="1520" w:type="dxa"/>
            <w:vAlign w:val="bottom"/>
          </w:tcPr>
          <w:p>
            <w:pPr>
              <w:spacing w:after="0"/>
              <w:rPr>
                <w:sz w:val="12"/>
                <w:szCs w:val="12"/>
                <w:color w:val="auto"/>
              </w:rPr>
            </w:pPr>
          </w:p>
        </w:tc>
        <w:tc>
          <w:tcPr>
            <w:tcW w:w="12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93.4950</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FY11</w:t>
            </w:r>
          </w:p>
        </w:tc>
        <w:tc>
          <w:tcPr>
            <w:tcW w:w="11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98.1677</w:t>
            </w:r>
          </w:p>
        </w:tc>
        <w:tc>
          <w:tcPr>
            <w:tcW w:w="1440" w:type="dxa"/>
            <w:vAlign w:val="bottom"/>
            <w:shd w:val="clear" w:color="auto" w:fill="CCEEFF"/>
          </w:tcPr>
          <w:p>
            <w:pPr>
              <w:jc w:val="right"/>
              <w:ind w:right="269"/>
              <w:spacing w:after="0" w:line="147" w:lineRule="exact"/>
              <w:rPr>
                <w:sz w:val="20"/>
                <w:szCs w:val="20"/>
                <w:color w:val="auto"/>
              </w:rPr>
            </w:pPr>
            <w:r>
              <w:rPr>
                <w:rFonts w:ascii="Arial" w:cs="Arial" w:eastAsia="Arial" w:hAnsi="Arial"/>
                <w:sz w:val="14"/>
                <w:szCs w:val="14"/>
                <w:color w:val="auto"/>
              </w:rPr>
              <w:t>6.8%</w:t>
            </w:r>
          </w:p>
        </w:tc>
        <w:tc>
          <w:tcPr>
            <w:tcW w:w="12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94.9066</w:t>
            </w:r>
          </w:p>
        </w:tc>
        <w:tc>
          <w:tcPr>
            <w:tcW w:w="1460" w:type="dxa"/>
            <w:vAlign w:val="bottom"/>
            <w:shd w:val="clear" w:color="auto" w:fill="CCEEFF"/>
          </w:tcPr>
          <w:p>
            <w:pPr>
              <w:jc w:val="right"/>
              <w:ind w:right="289"/>
              <w:spacing w:after="0" w:line="147" w:lineRule="exact"/>
              <w:rPr>
                <w:sz w:val="20"/>
                <w:szCs w:val="20"/>
                <w:color w:val="auto"/>
              </w:rPr>
            </w:pPr>
            <w:r>
              <w:rPr>
                <w:rFonts w:ascii="Arial" w:cs="Arial" w:eastAsia="Arial" w:hAnsi="Arial"/>
                <w:sz w:val="14"/>
                <w:szCs w:val="14"/>
                <w:color w:val="auto"/>
              </w:rPr>
              <w:t>9.7%</w:t>
            </w:r>
          </w:p>
        </w:tc>
        <w:tc>
          <w:tcPr>
            <w:tcW w:w="12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89.1300</w:t>
            </w:r>
          </w:p>
        </w:tc>
        <w:tc>
          <w:tcPr>
            <w:tcW w:w="1520" w:type="dxa"/>
            <w:vAlign w:val="bottom"/>
            <w:shd w:val="clear" w:color="auto" w:fill="CCEEFF"/>
          </w:tcPr>
          <w:p>
            <w:pPr>
              <w:jc w:val="right"/>
              <w:ind w:right="309"/>
              <w:spacing w:after="0" w:line="147" w:lineRule="exact"/>
              <w:rPr>
                <w:sz w:val="20"/>
                <w:szCs w:val="20"/>
                <w:color w:val="auto"/>
              </w:rPr>
            </w:pPr>
            <w:r>
              <w:rPr>
                <w:rFonts w:ascii="Arial" w:cs="Arial" w:eastAsia="Arial" w:hAnsi="Arial"/>
                <w:sz w:val="14"/>
                <w:szCs w:val="14"/>
                <w:color w:val="auto"/>
              </w:rPr>
              <w:t>7.5%</w:t>
            </w:r>
          </w:p>
        </w:tc>
        <w:tc>
          <w:tcPr>
            <w:tcW w:w="12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89.7839</w:t>
            </w:r>
          </w:p>
        </w:tc>
        <w:tc>
          <w:tcPr>
            <w:tcW w:w="12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FY12</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89.1701</w:t>
            </w:r>
          </w:p>
        </w:tc>
        <w:tc>
          <w:tcPr>
            <w:tcW w:w="1440" w:type="dxa"/>
            <w:vAlign w:val="bottom"/>
          </w:tcPr>
          <w:p>
            <w:pPr>
              <w:jc w:val="right"/>
              <w:ind w:right="269"/>
              <w:spacing w:after="0"/>
              <w:rPr>
                <w:sz w:val="20"/>
                <w:szCs w:val="20"/>
                <w:color w:val="auto"/>
              </w:rPr>
            </w:pPr>
            <w:r>
              <w:rPr>
                <w:rFonts w:ascii="Arial" w:cs="Arial" w:eastAsia="Arial" w:hAnsi="Arial"/>
                <w:sz w:val="14"/>
                <w:szCs w:val="14"/>
                <w:color w:val="auto"/>
              </w:rPr>
              <w:t>9.2%</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vMerge w:val="restart"/>
          </w:tcPr>
          <w:p>
            <w:pPr>
              <w:spacing w:after="0"/>
              <w:rPr>
                <w:sz w:val="22"/>
                <w:szCs w:val="22"/>
                <w:color w:val="auto"/>
              </w:rPr>
            </w:pPr>
          </w:p>
        </w:tc>
        <w:tc>
          <w:tcPr>
            <w:tcW w:w="1800" w:type="dxa"/>
            <w:vAlign w:val="bottom"/>
            <w:gridSpan w:val="2"/>
          </w:tcPr>
          <w:p>
            <w:pPr>
              <w:spacing w:after="0"/>
              <w:rPr>
                <w:sz w:val="22"/>
                <w:szCs w:val="22"/>
                <w:color w:val="auto"/>
              </w:rPr>
            </w:pPr>
          </w:p>
        </w:tc>
        <w:tc>
          <w:tcPr>
            <w:tcW w:w="166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460" w:type="dxa"/>
            <w:vAlign w:val="bottom"/>
            <w:gridSpan w:val="4"/>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Canadian Dollar - Hedge Spot Rate (CAD per US$)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line="147" w:lineRule="exact"/>
              <w:rPr>
                <w:sz w:val="20"/>
                <w:szCs w:val="20"/>
                <w:color w:val="auto"/>
              </w:rPr>
            </w:pPr>
            <w:r>
              <w:rPr>
                <w:rFonts w:ascii="Arial" w:cs="Arial" w:eastAsia="Arial" w:hAnsi="Arial"/>
                <w:sz w:val="14"/>
                <w:szCs w:val="14"/>
                <w:color w:val="auto"/>
              </w:rPr>
              <w:t>FY10</w:t>
            </w:r>
          </w:p>
        </w:tc>
        <w:tc>
          <w:tcPr>
            <w:tcW w:w="11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1.1409</w:t>
            </w:r>
          </w:p>
        </w:tc>
        <w:tc>
          <w:tcPr>
            <w:tcW w:w="1440" w:type="dxa"/>
            <w:vAlign w:val="bottom"/>
          </w:tcPr>
          <w:p>
            <w:pPr>
              <w:spacing w:after="0"/>
              <w:rPr>
                <w:sz w:val="12"/>
                <w:szCs w:val="12"/>
                <w:color w:val="auto"/>
              </w:rPr>
            </w:pPr>
          </w:p>
        </w:tc>
        <w:tc>
          <w:tcPr>
            <w:tcW w:w="12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1.1200</w:t>
            </w:r>
          </w:p>
        </w:tc>
        <w:tc>
          <w:tcPr>
            <w:tcW w:w="1460" w:type="dxa"/>
            <w:vAlign w:val="bottom"/>
          </w:tcPr>
          <w:p>
            <w:pPr>
              <w:spacing w:after="0"/>
              <w:rPr>
                <w:sz w:val="12"/>
                <w:szCs w:val="12"/>
                <w:color w:val="auto"/>
              </w:rPr>
            </w:pPr>
          </w:p>
        </w:tc>
        <w:tc>
          <w:tcPr>
            <w:tcW w:w="12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1.1125</w:t>
            </w:r>
          </w:p>
        </w:tc>
        <w:tc>
          <w:tcPr>
            <w:tcW w:w="1520" w:type="dxa"/>
            <w:vAlign w:val="bottom"/>
          </w:tcPr>
          <w:p>
            <w:pPr>
              <w:spacing w:after="0"/>
              <w:rPr>
                <w:sz w:val="12"/>
                <w:szCs w:val="12"/>
                <w:color w:val="auto"/>
              </w:rPr>
            </w:pPr>
          </w:p>
        </w:tc>
        <w:tc>
          <w:tcPr>
            <w:tcW w:w="12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1.0884</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FY11</w:t>
            </w:r>
          </w:p>
        </w:tc>
        <w:tc>
          <w:tcPr>
            <w:tcW w:w="11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1.0959</w:t>
            </w:r>
          </w:p>
        </w:tc>
        <w:tc>
          <w:tcPr>
            <w:tcW w:w="1440" w:type="dxa"/>
            <w:vAlign w:val="bottom"/>
            <w:shd w:val="clear" w:color="auto" w:fill="CCEEFF"/>
          </w:tcPr>
          <w:p>
            <w:pPr>
              <w:jc w:val="right"/>
              <w:ind w:right="269"/>
              <w:spacing w:after="0" w:line="147" w:lineRule="exact"/>
              <w:rPr>
                <w:sz w:val="20"/>
                <w:szCs w:val="20"/>
                <w:color w:val="auto"/>
              </w:rPr>
            </w:pPr>
            <w:r>
              <w:rPr>
                <w:rFonts w:ascii="Arial" w:cs="Arial" w:eastAsia="Arial" w:hAnsi="Arial"/>
                <w:sz w:val="14"/>
                <w:szCs w:val="14"/>
                <w:color w:val="auto"/>
              </w:rPr>
              <w:t>(3.9%)</w:t>
            </w:r>
          </w:p>
        </w:tc>
        <w:tc>
          <w:tcPr>
            <w:tcW w:w="12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1.0862</w:t>
            </w:r>
          </w:p>
        </w:tc>
        <w:tc>
          <w:tcPr>
            <w:tcW w:w="1460" w:type="dxa"/>
            <w:vAlign w:val="bottom"/>
            <w:shd w:val="clear" w:color="auto" w:fill="CCEEFF"/>
          </w:tcPr>
          <w:p>
            <w:pPr>
              <w:jc w:val="right"/>
              <w:ind w:right="289"/>
              <w:spacing w:after="0" w:line="147" w:lineRule="exact"/>
              <w:rPr>
                <w:sz w:val="20"/>
                <w:szCs w:val="20"/>
                <w:color w:val="auto"/>
              </w:rPr>
            </w:pPr>
            <w:r>
              <w:rPr>
                <w:rFonts w:ascii="Arial" w:cs="Arial" w:eastAsia="Arial" w:hAnsi="Arial"/>
                <w:sz w:val="14"/>
                <w:szCs w:val="14"/>
                <w:color w:val="auto"/>
              </w:rPr>
              <w:t>(3.0%)</w:t>
            </w:r>
          </w:p>
        </w:tc>
        <w:tc>
          <w:tcPr>
            <w:tcW w:w="12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1.0654</w:t>
            </w:r>
          </w:p>
        </w:tc>
        <w:tc>
          <w:tcPr>
            <w:tcW w:w="1520" w:type="dxa"/>
            <w:vAlign w:val="bottom"/>
            <w:shd w:val="clear" w:color="auto" w:fill="CCEEFF"/>
          </w:tcPr>
          <w:p>
            <w:pPr>
              <w:jc w:val="right"/>
              <w:ind w:right="309"/>
              <w:spacing w:after="0" w:line="147" w:lineRule="exact"/>
              <w:rPr>
                <w:sz w:val="20"/>
                <w:szCs w:val="20"/>
                <w:color w:val="auto"/>
              </w:rPr>
            </w:pPr>
            <w:r>
              <w:rPr>
                <w:rFonts w:ascii="Arial" w:cs="Arial" w:eastAsia="Arial" w:hAnsi="Arial"/>
                <w:sz w:val="14"/>
                <w:szCs w:val="14"/>
                <w:color w:val="auto"/>
              </w:rPr>
              <w:t>(4.2%)</w:t>
            </w:r>
          </w:p>
        </w:tc>
        <w:tc>
          <w:tcPr>
            <w:tcW w:w="12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1.0282</w:t>
            </w:r>
          </w:p>
        </w:tc>
        <w:tc>
          <w:tcPr>
            <w:tcW w:w="12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FY12</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1.0501</w:t>
            </w:r>
          </w:p>
        </w:tc>
        <w:tc>
          <w:tcPr>
            <w:tcW w:w="1440" w:type="dxa"/>
            <w:vAlign w:val="bottom"/>
          </w:tcPr>
          <w:p>
            <w:pPr>
              <w:jc w:val="right"/>
              <w:ind w:right="269"/>
              <w:spacing w:after="0"/>
              <w:rPr>
                <w:sz w:val="20"/>
                <w:szCs w:val="20"/>
                <w:color w:val="auto"/>
              </w:rPr>
            </w:pPr>
            <w:r>
              <w:rPr>
                <w:rFonts w:ascii="Arial" w:cs="Arial" w:eastAsia="Arial" w:hAnsi="Arial"/>
                <w:sz w:val="14"/>
                <w:szCs w:val="14"/>
                <w:color w:val="auto"/>
              </w:rPr>
              <w:t>(4.2%)</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vMerge w:val="restart"/>
          </w:tcPr>
          <w:p>
            <w:pPr>
              <w:spacing w:after="0"/>
              <w:rPr>
                <w:sz w:val="22"/>
                <w:szCs w:val="22"/>
                <w:color w:val="auto"/>
              </w:rPr>
            </w:pPr>
          </w:p>
        </w:tc>
        <w:tc>
          <w:tcPr>
            <w:tcW w:w="1800" w:type="dxa"/>
            <w:vAlign w:val="bottom"/>
            <w:gridSpan w:val="2"/>
          </w:tcPr>
          <w:p>
            <w:pPr>
              <w:spacing w:after="0"/>
              <w:rPr>
                <w:sz w:val="22"/>
                <w:szCs w:val="22"/>
                <w:color w:val="auto"/>
              </w:rPr>
            </w:pPr>
          </w:p>
        </w:tc>
        <w:tc>
          <w:tcPr>
            <w:tcW w:w="166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460" w:type="dxa"/>
            <w:vAlign w:val="bottom"/>
            <w:gridSpan w:val="4"/>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British Pound - Hedge Spot Rate (US$ per GBP)</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line="147" w:lineRule="exact"/>
              <w:rPr>
                <w:sz w:val="20"/>
                <w:szCs w:val="20"/>
                <w:color w:val="auto"/>
              </w:rPr>
            </w:pPr>
            <w:r>
              <w:rPr>
                <w:rFonts w:ascii="Arial" w:cs="Arial" w:eastAsia="Arial" w:hAnsi="Arial"/>
                <w:sz w:val="14"/>
                <w:szCs w:val="14"/>
                <w:color w:val="auto"/>
              </w:rPr>
              <w:t>FY10</w:t>
            </w:r>
          </w:p>
        </w:tc>
        <w:tc>
          <w:tcPr>
            <w:tcW w:w="11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1.4487</w:t>
            </w:r>
          </w:p>
        </w:tc>
        <w:tc>
          <w:tcPr>
            <w:tcW w:w="1440" w:type="dxa"/>
            <w:vAlign w:val="bottom"/>
          </w:tcPr>
          <w:p>
            <w:pPr>
              <w:spacing w:after="0"/>
              <w:rPr>
                <w:sz w:val="12"/>
                <w:szCs w:val="12"/>
                <w:color w:val="auto"/>
              </w:rPr>
            </w:pPr>
          </w:p>
        </w:tc>
        <w:tc>
          <w:tcPr>
            <w:tcW w:w="12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1.4439</w:t>
            </w:r>
          </w:p>
        </w:tc>
        <w:tc>
          <w:tcPr>
            <w:tcW w:w="1460" w:type="dxa"/>
            <w:vAlign w:val="bottom"/>
          </w:tcPr>
          <w:p>
            <w:pPr>
              <w:spacing w:after="0"/>
              <w:rPr>
                <w:sz w:val="12"/>
                <w:szCs w:val="12"/>
                <w:color w:val="auto"/>
              </w:rPr>
            </w:pPr>
          </w:p>
        </w:tc>
        <w:tc>
          <w:tcPr>
            <w:tcW w:w="12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1.4229</w:t>
            </w:r>
          </w:p>
        </w:tc>
        <w:tc>
          <w:tcPr>
            <w:tcW w:w="1520" w:type="dxa"/>
            <w:vAlign w:val="bottom"/>
          </w:tcPr>
          <w:p>
            <w:pPr>
              <w:spacing w:after="0"/>
              <w:rPr>
                <w:sz w:val="12"/>
                <w:szCs w:val="12"/>
                <w:color w:val="auto"/>
              </w:rPr>
            </w:pPr>
          </w:p>
        </w:tc>
        <w:tc>
          <w:tcPr>
            <w:tcW w:w="12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1.4048</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FY11</w:t>
            </w:r>
          </w:p>
        </w:tc>
        <w:tc>
          <w:tcPr>
            <w:tcW w:w="11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1.4714</w:t>
            </w:r>
          </w:p>
        </w:tc>
        <w:tc>
          <w:tcPr>
            <w:tcW w:w="1440" w:type="dxa"/>
            <w:vAlign w:val="bottom"/>
            <w:shd w:val="clear" w:color="auto" w:fill="CCEEFF"/>
          </w:tcPr>
          <w:p>
            <w:pPr>
              <w:jc w:val="right"/>
              <w:ind w:right="269"/>
              <w:spacing w:after="0" w:line="147" w:lineRule="exact"/>
              <w:rPr>
                <w:sz w:val="20"/>
                <w:szCs w:val="20"/>
                <w:color w:val="auto"/>
              </w:rPr>
            </w:pPr>
            <w:r>
              <w:rPr>
                <w:rFonts w:ascii="Arial" w:cs="Arial" w:eastAsia="Arial" w:hAnsi="Arial"/>
                <w:sz w:val="14"/>
                <w:szCs w:val="14"/>
                <w:color w:val="auto"/>
              </w:rPr>
              <w:t>(1.6%)</w:t>
            </w:r>
          </w:p>
        </w:tc>
        <w:tc>
          <w:tcPr>
            <w:tcW w:w="12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1.6531</w:t>
            </w:r>
          </w:p>
        </w:tc>
        <w:tc>
          <w:tcPr>
            <w:tcW w:w="1460" w:type="dxa"/>
            <w:vAlign w:val="bottom"/>
            <w:shd w:val="clear" w:color="auto" w:fill="CCEEFF"/>
          </w:tcPr>
          <w:p>
            <w:pPr>
              <w:jc w:val="right"/>
              <w:ind w:right="289"/>
              <w:spacing w:after="0" w:line="147" w:lineRule="exact"/>
              <w:rPr>
                <w:sz w:val="20"/>
                <w:szCs w:val="20"/>
                <w:color w:val="auto"/>
              </w:rPr>
            </w:pPr>
            <w:r>
              <w:rPr>
                <w:rFonts w:ascii="Arial" w:cs="Arial" w:eastAsia="Arial" w:hAnsi="Arial"/>
                <w:sz w:val="14"/>
                <w:szCs w:val="14"/>
                <w:color w:val="auto"/>
              </w:rPr>
              <w:t>(14.5%)</w:t>
            </w:r>
          </w:p>
        </w:tc>
        <w:tc>
          <w:tcPr>
            <w:tcW w:w="12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1.6321</w:t>
            </w:r>
          </w:p>
        </w:tc>
        <w:tc>
          <w:tcPr>
            <w:tcW w:w="1520" w:type="dxa"/>
            <w:vAlign w:val="bottom"/>
            <w:shd w:val="clear" w:color="auto" w:fill="CCEEFF"/>
          </w:tcPr>
          <w:p>
            <w:pPr>
              <w:jc w:val="right"/>
              <w:ind w:right="309"/>
              <w:spacing w:after="0" w:line="147" w:lineRule="exact"/>
              <w:rPr>
                <w:sz w:val="20"/>
                <w:szCs w:val="20"/>
                <w:color w:val="auto"/>
              </w:rPr>
            </w:pPr>
            <w:r>
              <w:rPr>
                <w:rFonts w:ascii="Arial" w:cs="Arial" w:eastAsia="Arial" w:hAnsi="Arial"/>
                <w:sz w:val="14"/>
                <w:szCs w:val="14"/>
                <w:color w:val="auto"/>
              </w:rPr>
              <w:t>(14.7%)</w:t>
            </w:r>
          </w:p>
        </w:tc>
        <w:tc>
          <w:tcPr>
            <w:tcW w:w="12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1.5859</w:t>
            </w:r>
          </w:p>
        </w:tc>
        <w:tc>
          <w:tcPr>
            <w:tcW w:w="12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FY12</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1.5001</w:t>
            </w:r>
          </w:p>
        </w:tc>
        <w:tc>
          <w:tcPr>
            <w:tcW w:w="1440" w:type="dxa"/>
            <w:vAlign w:val="bottom"/>
          </w:tcPr>
          <w:p>
            <w:pPr>
              <w:jc w:val="right"/>
              <w:ind w:right="269"/>
              <w:spacing w:after="0"/>
              <w:rPr>
                <w:sz w:val="20"/>
                <w:szCs w:val="20"/>
                <w:color w:val="auto"/>
              </w:rPr>
            </w:pPr>
            <w:r>
              <w:rPr>
                <w:rFonts w:ascii="Arial" w:cs="Arial" w:eastAsia="Arial" w:hAnsi="Arial"/>
                <w:sz w:val="14"/>
                <w:szCs w:val="14"/>
                <w:color w:val="auto"/>
              </w:rPr>
              <w:t>(2.0%)</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180" w:firstLine="7"/>
        <w:spacing w:after="0" w:line="272" w:lineRule="auto"/>
        <w:tabs>
          <w:tab w:leader="none" w:pos="1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 Accordingly, the only hedge contracts placed for fiscal year 2012 are for the first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In October 2009, the FASB issued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an amendment to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Update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an amendment to FASB ASC subtopic 985-605, </w:t>
      </w:r>
      <w:r>
        <w:rPr>
          <w:rFonts w:ascii="Arial" w:cs="Arial" w:eastAsia="Arial" w:hAnsi="Arial"/>
          <w:sz w:val="16"/>
          <w:szCs w:val="16"/>
          <w:i w:val="1"/>
          <w:iCs w:val="1"/>
          <w:color w:val="auto"/>
        </w:rPr>
        <w:t>Software — Revenue Recognition</w:t>
      </w:r>
      <w:r>
        <w:rPr>
          <w:rFonts w:ascii="Arial" w:cs="Arial" w:eastAsia="Arial" w:hAnsi="Arial"/>
          <w:sz w:val="16"/>
          <w:szCs w:val="16"/>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is currently assessing the timing and method of adoption, as well as the possible impact of this guidance on its financial position and results of operations.</w:t>
      </w:r>
    </w:p>
    <w:p>
      <w:pPr>
        <w:spacing w:after="0" w:line="17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December 2009, the FASB issued Accounting Standards Update No. 2009-17, </w:t>
      </w:r>
      <w:r>
        <w:rPr>
          <w:rFonts w:ascii="Arial" w:cs="Arial" w:eastAsia="Arial" w:hAnsi="Arial"/>
          <w:sz w:val="16"/>
          <w:szCs w:val="16"/>
          <w:i w:val="1"/>
          <w:iCs w:val="1"/>
          <w:color w:val="auto"/>
        </w:rPr>
        <w:t>Improvements to Financial Reporting by Enterprises Involved with Variable</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Entities</w:t>
      </w:r>
      <w:r>
        <w:rPr>
          <w:rFonts w:ascii="Arial" w:cs="Arial" w:eastAsia="Arial" w:hAnsi="Arial"/>
          <w:sz w:val="16"/>
          <w:szCs w:val="16"/>
          <w:color w:val="auto"/>
        </w:rPr>
        <w:t>, an amendment to FASB ASC Topic 810,</w:t>
      </w:r>
      <w:r>
        <w:rPr>
          <w:rFonts w:ascii="Arial" w:cs="Arial" w:eastAsia="Arial" w:hAnsi="Arial"/>
          <w:sz w:val="16"/>
          <w:szCs w:val="16"/>
          <w:i w:val="1"/>
          <w:iCs w:val="1"/>
          <w:color w:val="auto"/>
        </w:rPr>
        <w:t xml:space="preserve"> Consolidations</w:t>
      </w:r>
      <w:r>
        <w:rPr>
          <w:rFonts w:ascii="Arial" w:cs="Arial" w:eastAsia="Arial" w:hAnsi="Arial"/>
          <w:sz w:val="16"/>
          <w:szCs w:val="16"/>
          <w:color w:val="auto"/>
        </w:rPr>
        <w:t>. ASU No. 2009-17 requires an enterprise to perform an analysis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The update became effective for our fiscal year 2011 and its impact is reflected in the notes to our consolidated financial statements for the first three months ended July 3, 2010.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w:t>
      </w:r>
      <w:r>
        <w:rPr>
          <w:rFonts w:ascii="Arial" w:cs="Arial" w:eastAsia="Arial" w:hAnsi="Arial"/>
          <w:sz w:val="12"/>
          <w:szCs w:val="12"/>
          <w:b w:val="1"/>
          <w:bCs w:val="1"/>
          <w:color w:val="auto"/>
        </w:rPr>
        <w:t>UANTITATIVE AND QUALITATIVE DISCLOSURES ABOUT MARKET RISK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w:t>
      </w:r>
      <w:r>
        <w:rPr>
          <w:rFonts w:ascii="Arial" w:cs="Arial" w:eastAsia="Arial" w:hAnsi="Arial"/>
          <w:sz w:val="12"/>
          <w:szCs w:val="12"/>
          <w:b w:val="1"/>
          <w:bCs w:val="1"/>
          <w:i w:val="1"/>
          <w:iCs w:val="1"/>
          <w:color w:val="auto"/>
        </w:rPr>
        <w:t>OREIGN EXCHANGE RISK</w:t>
      </w:r>
    </w:p>
    <w:p>
      <w:pPr>
        <w:spacing w:after="0" w:line="22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July 3, 2010, we had the following significant foreign exchange contracts to hedge the anticipated cash flows from forecasted foreign currency denominated sales outstanding. The contracts have been organized into maturity groups and the related quarter that we expect the hedge contract to affect our earnings.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Hedged Currency</w:t>
            </w:r>
          </w:p>
        </w:tc>
        <w:tc>
          <w:tcPr>
            <w:tcW w:w="100" w:type="dxa"/>
            <w:vAlign w:val="bottom"/>
          </w:tcPr>
          <w:p>
            <w:pPr>
              <w:spacing w:after="0"/>
              <w:rPr>
                <w:sz w:val="14"/>
                <w:szCs w:val="14"/>
                <w:color w:val="auto"/>
              </w:rPr>
            </w:pPr>
          </w:p>
        </w:tc>
        <w:tc>
          <w:tcPr>
            <w:tcW w:w="1380" w:type="dxa"/>
            <w:vAlign w:val="bottom"/>
          </w:tcPr>
          <w:p>
            <w:pPr>
              <w:jc w:val="right"/>
              <w:ind w:right="189"/>
              <w:spacing w:after="0"/>
              <w:rPr>
                <w:sz w:val="20"/>
                <w:szCs w:val="20"/>
                <w:color w:val="auto"/>
              </w:rPr>
            </w:pPr>
            <w:r>
              <w:rPr>
                <w:rFonts w:ascii="Arial" w:cs="Arial" w:eastAsia="Arial" w:hAnsi="Arial"/>
                <w:sz w:val="14"/>
                <w:szCs w:val="14"/>
                <w:b w:val="1"/>
                <w:bCs w:val="1"/>
                <w:color w:val="auto"/>
              </w:rPr>
              <w:t>(BUY) / SELL</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Weighted Spot</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 Forward</w:t>
            </w:r>
          </w:p>
        </w:tc>
        <w:tc>
          <w:tcPr>
            <w:tcW w:w="22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7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Maturity</w:t>
            </w:r>
          </w:p>
        </w:tc>
        <w:tc>
          <w:tcPr>
            <w:tcW w:w="1160" w:type="dxa"/>
            <w:vAlign w:val="bottom"/>
          </w:tcPr>
          <w:p>
            <w:pPr>
              <w:ind w:left="40"/>
              <w:spacing w:after="0"/>
              <w:rPr>
                <w:sz w:val="20"/>
                <w:szCs w:val="20"/>
                <w:color w:val="auto"/>
              </w:rPr>
            </w:pPr>
            <w:r>
              <w:rPr>
                <w:rFonts w:ascii="Arial" w:cs="Arial" w:eastAsia="Arial" w:hAnsi="Arial"/>
                <w:sz w:val="14"/>
                <w:szCs w:val="14"/>
                <w:b w:val="1"/>
                <w:bCs w:val="1"/>
                <w:color w:val="auto"/>
                <w:w w:val="94"/>
              </w:rPr>
              <w:t>Quarter Expected</w:t>
            </w:r>
          </w:p>
        </w:tc>
        <w:tc>
          <w:tcPr>
            <w:tcW w:w="0" w:type="dxa"/>
            <w:vAlign w:val="bottom"/>
          </w:tcPr>
          <w:p>
            <w:pPr>
              <w:spacing w:after="0"/>
              <w:rPr>
                <w:sz w:val="1"/>
                <w:szCs w:val="1"/>
                <w:color w:val="auto"/>
              </w:rPr>
            </w:pPr>
          </w:p>
        </w:tc>
      </w:tr>
      <w:tr>
        <w:trPr>
          <w:trHeight w:val="170"/>
        </w:trPr>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49"/>
              <w:spacing w:after="0"/>
              <w:rPr>
                <w:sz w:val="20"/>
                <w:szCs w:val="20"/>
                <w:color w:val="auto"/>
              </w:rPr>
            </w:pPr>
            <w:r>
              <w:rPr>
                <w:rFonts w:ascii="Arial" w:cs="Arial" w:eastAsia="Arial" w:hAnsi="Arial"/>
                <w:sz w:val="14"/>
                <w:szCs w:val="14"/>
                <w:b w:val="1"/>
                <w:bCs w:val="1"/>
                <w:color w:val="auto"/>
              </w:rPr>
              <w:t>Local Currency</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Contract Rate</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Contract Rate</w:t>
            </w:r>
          </w:p>
        </w:tc>
        <w:tc>
          <w:tcPr>
            <w:tcW w:w="22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Arial" w:cs="Arial" w:eastAsia="Arial" w:hAnsi="Arial"/>
                <w:sz w:val="14"/>
                <w:szCs w:val="14"/>
                <w:b w:val="1"/>
                <w:bCs w:val="1"/>
                <w:color w:val="auto"/>
              </w:rPr>
              <w:t>Gain / (Loss)</w:t>
            </w:r>
          </w:p>
        </w:tc>
        <w:tc>
          <w:tcPr>
            <w:tcW w:w="2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w w:val="92"/>
              </w:rPr>
              <w:t>to Affect Earnings</w:t>
            </w:r>
          </w:p>
        </w:tc>
        <w:tc>
          <w:tcPr>
            <w:tcW w:w="0" w:type="dxa"/>
            <w:vAlign w:val="bottom"/>
          </w:tcPr>
          <w:p>
            <w:pPr>
              <w:spacing w:after="0"/>
              <w:rPr>
                <w:sz w:val="1"/>
                <w:szCs w:val="1"/>
                <w:color w:val="auto"/>
              </w:rPr>
            </w:pPr>
          </w:p>
        </w:tc>
      </w:tr>
      <w:tr>
        <w:trPr>
          <w:trHeight w:val="141"/>
        </w:trPr>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Euro</w:t>
            </w:r>
          </w:p>
        </w:tc>
        <w:tc>
          <w:tcPr>
            <w:tcW w:w="148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6,103,517</w:t>
            </w:r>
          </w:p>
        </w:tc>
        <w:tc>
          <w:tcPr>
            <w:tcW w:w="9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1.424</w:t>
            </w: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1.424</w:t>
            </w:r>
          </w:p>
        </w:tc>
        <w:tc>
          <w:tcPr>
            <w:tcW w:w="10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$1,182,851</w:t>
            </w:r>
          </w:p>
        </w:tc>
        <w:tc>
          <w:tcPr>
            <w:tcW w:w="2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Jun 2010 - Aug 2010</w:t>
            </w:r>
          </w:p>
        </w:tc>
        <w:tc>
          <w:tcPr>
            <w:tcW w:w="1160" w:type="dxa"/>
            <w:vAlign w:val="bottom"/>
            <w:shd w:val="clear" w:color="auto" w:fill="CCEEFF"/>
          </w:tcPr>
          <w:p>
            <w:pPr>
              <w:ind w:left="460"/>
              <w:spacing w:after="0" w:line="147" w:lineRule="exact"/>
              <w:rPr>
                <w:sz w:val="20"/>
                <w:szCs w:val="20"/>
                <w:color w:val="auto"/>
              </w:rPr>
            </w:pPr>
            <w:r>
              <w:rPr>
                <w:rFonts w:ascii="Arial" w:cs="Arial" w:eastAsia="Arial" w:hAnsi="Arial"/>
                <w:sz w:val="14"/>
                <w:szCs w:val="14"/>
                <w:color w:val="auto"/>
              </w:rPr>
              <w:t>Q2 FY11</w:t>
            </w:r>
          </w:p>
        </w:tc>
        <w:tc>
          <w:tcPr>
            <w:tcW w:w="0" w:type="dxa"/>
            <w:vAlign w:val="bottom"/>
          </w:tcPr>
          <w:p>
            <w:pPr>
              <w:spacing w:after="0"/>
              <w:rPr>
                <w:sz w:val="1"/>
                <w:szCs w:val="1"/>
                <w:color w:val="auto"/>
              </w:rPr>
            </w:pPr>
          </w:p>
        </w:tc>
      </w:tr>
      <w:tr>
        <w:trPr>
          <w:trHeight w:val="216"/>
        </w:trPr>
        <w:tc>
          <w:tcPr>
            <w:tcW w:w="1380" w:type="dxa"/>
            <w:vAlign w:val="bottom"/>
          </w:tcPr>
          <w:p>
            <w:pPr>
              <w:ind w:left="80"/>
              <w:spacing w:after="0"/>
              <w:rPr>
                <w:sz w:val="20"/>
                <w:szCs w:val="20"/>
                <w:color w:val="auto"/>
              </w:rPr>
            </w:pPr>
            <w:r>
              <w:rPr>
                <w:rFonts w:ascii="Arial" w:cs="Arial" w:eastAsia="Arial" w:hAnsi="Arial"/>
                <w:sz w:val="14"/>
                <w:szCs w:val="14"/>
                <w:color w:val="auto"/>
              </w:rPr>
              <w:t>Euro</w:t>
            </w:r>
          </w:p>
        </w:tc>
        <w:tc>
          <w:tcPr>
            <w:tcW w:w="1480" w:type="dxa"/>
            <w:vAlign w:val="bottom"/>
            <w:gridSpan w:val="2"/>
          </w:tcPr>
          <w:p>
            <w:pPr>
              <w:jc w:val="right"/>
              <w:ind w:right="29"/>
              <w:spacing w:after="0"/>
              <w:rPr>
                <w:sz w:val="20"/>
                <w:szCs w:val="20"/>
                <w:color w:val="auto"/>
              </w:rPr>
            </w:pPr>
            <w:r>
              <w:rPr>
                <w:rFonts w:ascii="Arial" w:cs="Arial" w:eastAsia="Arial" w:hAnsi="Arial"/>
                <w:sz w:val="14"/>
                <w:szCs w:val="14"/>
                <w:color w:val="auto"/>
              </w:rPr>
              <w:t>10,242,532</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1.482</w:t>
            </w:r>
          </w:p>
        </w:tc>
        <w:tc>
          <w:tcPr>
            <w:tcW w:w="1020" w:type="dxa"/>
            <w:vAlign w:val="bottom"/>
          </w:tcPr>
          <w:p>
            <w:pPr>
              <w:spacing w:after="0"/>
              <w:rPr>
                <w:sz w:val="18"/>
                <w:szCs w:val="18"/>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4"/>
                <w:szCs w:val="14"/>
                <w:color w:val="auto"/>
              </w:rPr>
              <w:t>1.478</w:t>
            </w:r>
          </w:p>
        </w:tc>
        <w:tc>
          <w:tcPr>
            <w:tcW w:w="1040" w:type="dxa"/>
            <w:vAlign w:val="bottom"/>
          </w:tcPr>
          <w:p>
            <w:pPr>
              <w:spacing w:after="0"/>
              <w:rPr>
                <w:sz w:val="18"/>
                <w:szCs w:val="18"/>
                <w:color w:val="auto"/>
              </w:rPr>
            </w:pPr>
          </w:p>
        </w:tc>
        <w:tc>
          <w:tcPr>
            <w:tcW w:w="1320" w:type="dxa"/>
            <w:vAlign w:val="bottom"/>
            <w:gridSpan w:val="2"/>
          </w:tcPr>
          <w:p>
            <w:pPr>
              <w:jc w:val="right"/>
              <w:ind w:right="29"/>
              <w:spacing w:after="0"/>
              <w:rPr>
                <w:sz w:val="20"/>
                <w:szCs w:val="20"/>
                <w:color w:val="auto"/>
              </w:rPr>
            </w:pPr>
            <w:r>
              <w:rPr>
                <w:rFonts w:ascii="Arial" w:cs="Arial" w:eastAsia="Arial" w:hAnsi="Arial"/>
                <w:sz w:val="14"/>
                <w:szCs w:val="14"/>
                <w:color w:val="auto"/>
              </w:rPr>
              <w:t>$2,489,818</w:t>
            </w:r>
          </w:p>
        </w:tc>
        <w:tc>
          <w:tcPr>
            <w:tcW w:w="2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Sep 2010 - Nov 2010</w:t>
            </w:r>
          </w:p>
        </w:tc>
        <w:tc>
          <w:tcPr>
            <w:tcW w:w="1160" w:type="dxa"/>
            <w:vAlign w:val="bottom"/>
          </w:tcPr>
          <w:p>
            <w:pPr>
              <w:ind w:left="460"/>
              <w:spacing w:after="0"/>
              <w:rPr>
                <w:sz w:val="20"/>
                <w:szCs w:val="20"/>
                <w:color w:val="auto"/>
              </w:rPr>
            </w:pPr>
            <w:r>
              <w:rPr>
                <w:rFonts w:ascii="Arial" w:cs="Arial" w:eastAsia="Arial" w:hAnsi="Arial"/>
                <w:sz w:val="14"/>
                <w:szCs w:val="14"/>
                <w:color w:val="auto"/>
              </w:rPr>
              <w:t>Q3 FY11</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8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Euro</w:t>
            </w:r>
          </w:p>
        </w:tc>
        <w:tc>
          <w:tcPr>
            <w:tcW w:w="148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10,370,808</w:t>
            </w:r>
          </w:p>
        </w:tc>
        <w:tc>
          <w:tcPr>
            <w:tcW w:w="9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1.369</w:t>
            </w: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1.367</w:t>
            </w:r>
          </w:p>
        </w:tc>
        <w:tc>
          <w:tcPr>
            <w:tcW w:w="10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$1,368,624</w:t>
            </w:r>
          </w:p>
        </w:tc>
        <w:tc>
          <w:tcPr>
            <w:tcW w:w="2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Dec 2010 - Feb 2011</w:t>
            </w:r>
          </w:p>
        </w:tc>
        <w:tc>
          <w:tcPr>
            <w:tcW w:w="1160" w:type="dxa"/>
            <w:vAlign w:val="bottom"/>
            <w:shd w:val="clear" w:color="auto" w:fill="CCEEFF"/>
          </w:tcPr>
          <w:p>
            <w:pPr>
              <w:ind w:left="460"/>
              <w:spacing w:after="0" w:line="147" w:lineRule="exact"/>
              <w:rPr>
                <w:sz w:val="20"/>
                <w:szCs w:val="20"/>
                <w:color w:val="auto"/>
              </w:rPr>
            </w:pPr>
            <w:r>
              <w:rPr>
                <w:rFonts w:ascii="Arial" w:cs="Arial" w:eastAsia="Arial" w:hAnsi="Arial"/>
                <w:sz w:val="14"/>
                <w:szCs w:val="14"/>
                <w:color w:val="auto"/>
              </w:rPr>
              <w:t>Q4 FY11</w:t>
            </w:r>
          </w:p>
        </w:tc>
        <w:tc>
          <w:tcPr>
            <w:tcW w:w="0" w:type="dxa"/>
            <w:vAlign w:val="bottom"/>
          </w:tcPr>
          <w:p>
            <w:pPr>
              <w:spacing w:after="0"/>
              <w:rPr>
                <w:sz w:val="1"/>
                <w:szCs w:val="1"/>
                <w:color w:val="auto"/>
              </w:rPr>
            </w:pPr>
          </w:p>
        </w:tc>
      </w:tr>
      <w:tr>
        <w:trPr>
          <w:trHeight w:val="216"/>
        </w:trPr>
        <w:tc>
          <w:tcPr>
            <w:tcW w:w="1380" w:type="dxa"/>
            <w:vAlign w:val="bottom"/>
          </w:tcPr>
          <w:p>
            <w:pPr>
              <w:ind w:left="80"/>
              <w:spacing w:after="0"/>
              <w:rPr>
                <w:sz w:val="20"/>
                <w:szCs w:val="20"/>
                <w:color w:val="auto"/>
              </w:rPr>
            </w:pPr>
            <w:r>
              <w:rPr>
                <w:rFonts w:ascii="Arial" w:cs="Arial" w:eastAsia="Arial" w:hAnsi="Arial"/>
                <w:sz w:val="14"/>
                <w:szCs w:val="14"/>
                <w:color w:val="auto"/>
              </w:rPr>
              <w:t>Euro</w:t>
            </w:r>
          </w:p>
        </w:tc>
        <w:tc>
          <w:tcPr>
            <w:tcW w:w="1480" w:type="dxa"/>
            <w:vAlign w:val="bottom"/>
            <w:gridSpan w:val="2"/>
          </w:tcPr>
          <w:p>
            <w:pPr>
              <w:jc w:val="right"/>
              <w:ind w:right="29"/>
              <w:spacing w:after="0"/>
              <w:rPr>
                <w:sz w:val="20"/>
                <w:szCs w:val="20"/>
                <w:color w:val="auto"/>
              </w:rPr>
            </w:pPr>
            <w:r>
              <w:rPr>
                <w:rFonts w:ascii="Arial" w:cs="Arial" w:eastAsia="Arial" w:hAnsi="Arial"/>
                <w:sz w:val="14"/>
                <w:szCs w:val="14"/>
                <w:color w:val="auto"/>
              </w:rPr>
              <w:t>11,080,452</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1.243</w:t>
            </w:r>
          </w:p>
        </w:tc>
        <w:tc>
          <w:tcPr>
            <w:tcW w:w="1020" w:type="dxa"/>
            <w:vAlign w:val="bottom"/>
          </w:tcPr>
          <w:p>
            <w:pPr>
              <w:spacing w:after="0"/>
              <w:rPr>
                <w:sz w:val="18"/>
                <w:szCs w:val="18"/>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4"/>
                <w:szCs w:val="14"/>
                <w:color w:val="auto"/>
              </w:rPr>
              <w:t>1.246</w:t>
            </w:r>
          </w:p>
        </w:tc>
        <w:tc>
          <w:tcPr>
            <w:tcW w:w="1040" w:type="dxa"/>
            <w:vAlign w:val="bottom"/>
          </w:tcPr>
          <w:p>
            <w:pPr>
              <w:spacing w:after="0"/>
              <w:rPr>
                <w:sz w:val="18"/>
                <w:szCs w:val="18"/>
                <w:color w:val="auto"/>
              </w:rPr>
            </w:pPr>
          </w:p>
        </w:tc>
        <w:tc>
          <w:tcPr>
            <w:tcW w:w="1320" w:type="dxa"/>
            <w:vAlign w:val="bottom"/>
            <w:gridSpan w:val="2"/>
          </w:tcPr>
          <w:p>
            <w:pPr>
              <w:jc w:val="right"/>
              <w:ind w:right="29"/>
              <w:spacing w:after="0"/>
              <w:rPr>
                <w:sz w:val="20"/>
                <w:szCs w:val="20"/>
                <w:color w:val="auto"/>
              </w:rPr>
            </w:pPr>
            <w:r>
              <w:rPr>
                <w:rFonts w:ascii="Arial" w:cs="Arial" w:eastAsia="Arial" w:hAnsi="Arial"/>
                <w:sz w:val="14"/>
                <w:szCs w:val="14"/>
                <w:color w:val="auto"/>
              </w:rPr>
              <w:t>$164,015</w:t>
            </w:r>
          </w:p>
        </w:tc>
        <w:tc>
          <w:tcPr>
            <w:tcW w:w="2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Mar 2011 - May 2011</w:t>
            </w:r>
          </w:p>
        </w:tc>
        <w:tc>
          <w:tcPr>
            <w:tcW w:w="1160" w:type="dxa"/>
            <w:vAlign w:val="bottom"/>
          </w:tcPr>
          <w:p>
            <w:pPr>
              <w:ind w:left="460"/>
              <w:spacing w:after="0"/>
              <w:rPr>
                <w:sz w:val="20"/>
                <w:szCs w:val="20"/>
                <w:color w:val="auto"/>
              </w:rPr>
            </w:pPr>
            <w:r>
              <w:rPr>
                <w:rFonts w:ascii="Arial" w:cs="Arial" w:eastAsia="Arial" w:hAnsi="Arial"/>
                <w:sz w:val="14"/>
                <w:szCs w:val="14"/>
                <w:color w:val="auto"/>
              </w:rPr>
              <w:t>Q1 FY12</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8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Japanese Yen</w:t>
            </w:r>
          </w:p>
        </w:tc>
        <w:tc>
          <w:tcPr>
            <w:tcW w:w="148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963,695,560</w:t>
            </w:r>
          </w:p>
        </w:tc>
        <w:tc>
          <w:tcPr>
            <w:tcW w:w="9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94.68</w:t>
            </w:r>
          </w:p>
        </w:tc>
        <w:tc>
          <w:tcPr>
            <w:tcW w:w="102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per US$</w:t>
            </w:r>
          </w:p>
        </w:tc>
        <w:tc>
          <w:tcPr>
            <w:tcW w:w="10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94.12</w:t>
            </w:r>
          </w:p>
        </w:tc>
        <w:tc>
          <w:tcPr>
            <w:tcW w:w="10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per US$</w:t>
            </w:r>
          </w:p>
        </w:tc>
        <w:tc>
          <w:tcPr>
            <w:tcW w:w="1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($645,022)</w:t>
            </w:r>
          </w:p>
        </w:tc>
        <w:tc>
          <w:tcPr>
            <w:tcW w:w="2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Jun 2010 - Aug 2010</w:t>
            </w:r>
          </w:p>
        </w:tc>
        <w:tc>
          <w:tcPr>
            <w:tcW w:w="1160" w:type="dxa"/>
            <w:vAlign w:val="bottom"/>
            <w:shd w:val="clear" w:color="auto" w:fill="CCEEFF"/>
          </w:tcPr>
          <w:p>
            <w:pPr>
              <w:ind w:left="460"/>
              <w:spacing w:after="0" w:line="147" w:lineRule="exact"/>
              <w:rPr>
                <w:sz w:val="20"/>
                <w:szCs w:val="20"/>
                <w:color w:val="auto"/>
              </w:rPr>
            </w:pPr>
            <w:r>
              <w:rPr>
                <w:rFonts w:ascii="Arial" w:cs="Arial" w:eastAsia="Arial" w:hAnsi="Arial"/>
                <w:sz w:val="14"/>
                <w:szCs w:val="14"/>
                <w:color w:val="auto"/>
              </w:rPr>
              <w:t>Q2 FY11</w:t>
            </w:r>
          </w:p>
        </w:tc>
        <w:tc>
          <w:tcPr>
            <w:tcW w:w="0" w:type="dxa"/>
            <w:vAlign w:val="bottom"/>
          </w:tcPr>
          <w:p>
            <w:pPr>
              <w:spacing w:after="0"/>
              <w:rPr>
                <w:sz w:val="1"/>
                <w:szCs w:val="1"/>
                <w:color w:val="auto"/>
              </w:rPr>
            </w:pPr>
          </w:p>
        </w:tc>
      </w:tr>
      <w:tr>
        <w:trPr>
          <w:trHeight w:val="216"/>
        </w:trPr>
        <w:tc>
          <w:tcPr>
            <w:tcW w:w="1380" w:type="dxa"/>
            <w:vAlign w:val="bottom"/>
          </w:tcPr>
          <w:p>
            <w:pPr>
              <w:ind w:left="80"/>
              <w:spacing w:after="0"/>
              <w:rPr>
                <w:sz w:val="20"/>
                <w:szCs w:val="20"/>
                <w:color w:val="auto"/>
              </w:rPr>
            </w:pPr>
            <w:r>
              <w:rPr>
                <w:rFonts w:ascii="Arial" w:cs="Arial" w:eastAsia="Arial" w:hAnsi="Arial"/>
                <w:sz w:val="14"/>
                <w:szCs w:val="14"/>
                <w:color w:val="auto"/>
              </w:rPr>
              <w:t>Japanese Yen</w:t>
            </w:r>
          </w:p>
        </w:tc>
        <w:tc>
          <w:tcPr>
            <w:tcW w:w="1480" w:type="dxa"/>
            <w:vAlign w:val="bottom"/>
            <w:gridSpan w:val="2"/>
          </w:tcPr>
          <w:p>
            <w:pPr>
              <w:jc w:val="right"/>
              <w:ind w:right="29"/>
              <w:spacing w:after="0"/>
              <w:rPr>
                <w:sz w:val="20"/>
                <w:szCs w:val="20"/>
                <w:color w:val="auto"/>
              </w:rPr>
            </w:pPr>
            <w:r>
              <w:rPr>
                <w:rFonts w:ascii="Arial" w:cs="Arial" w:eastAsia="Arial" w:hAnsi="Arial"/>
                <w:sz w:val="14"/>
                <w:szCs w:val="14"/>
                <w:color w:val="auto"/>
              </w:rPr>
              <w:t>1,527,960,999</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89.13</w:t>
            </w:r>
          </w:p>
        </w:tc>
        <w:tc>
          <w:tcPr>
            <w:tcW w:w="1020" w:type="dxa"/>
            <w:vAlign w:val="bottom"/>
          </w:tcPr>
          <w:p>
            <w:pPr>
              <w:ind w:left="100"/>
              <w:spacing w:after="0"/>
              <w:rPr>
                <w:sz w:val="20"/>
                <w:szCs w:val="20"/>
                <w:color w:val="auto"/>
              </w:rPr>
            </w:pPr>
            <w:r>
              <w:rPr>
                <w:rFonts w:ascii="Arial" w:cs="Arial" w:eastAsia="Arial" w:hAnsi="Arial"/>
                <w:sz w:val="14"/>
                <w:szCs w:val="14"/>
                <w:color w:val="auto"/>
              </w:rPr>
              <w:t>per US$</w:t>
            </w:r>
          </w:p>
        </w:tc>
        <w:tc>
          <w:tcPr>
            <w:tcW w:w="1000" w:type="dxa"/>
            <w:vAlign w:val="bottom"/>
            <w:gridSpan w:val="2"/>
          </w:tcPr>
          <w:p>
            <w:pPr>
              <w:jc w:val="right"/>
              <w:ind w:right="29"/>
              <w:spacing w:after="0"/>
              <w:rPr>
                <w:sz w:val="20"/>
                <w:szCs w:val="20"/>
                <w:color w:val="auto"/>
              </w:rPr>
            </w:pPr>
            <w:r>
              <w:rPr>
                <w:rFonts w:ascii="Arial" w:cs="Arial" w:eastAsia="Arial" w:hAnsi="Arial"/>
                <w:sz w:val="14"/>
                <w:szCs w:val="14"/>
                <w:color w:val="auto"/>
              </w:rPr>
              <w:t>88.77</w:t>
            </w:r>
          </w:p>
        </w:tc>
        <w:tc>
          <w:tcPr>
            <w:tcW w:w="1040" w:type="dxa"/>
            <w:vAlign w:val="bottom"/>
          </w:tcPr>
          <w:p>
            <w:pPr>
              <w:ind w:left="120"/>
              <w:spacing w:after="0"/>
              <w:rPr>
                <w:sz w:val="20"/>
                <w:szCs w:val="20"/>
                <w:color w:val="auto"/>
              </w:rPr>
            </w:pPr>
            <w:r>
              <w:rPr>
                <w:rFonts w:ascii="Arial" w:cs="Arial" w:eastAsia="Arial" w:hAnsi="Arial"/>
                <w:sz w:val="14"/>
                <w:szCs w:val="14"/>
                <w:color w:val="auto"/>
              </w:rPr>
              <w:t>per US$</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($75,941)</w:t>
            </w:r>
          </w:p>
        </w:tc>
        <w:tc>
          <w:tcPr>
            <w:tcW w:w="2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Sep 2010 - Nov 2010</w:t>
            </w:r>
          </w:p>
        </w:tc>
        <w:tc>
          <w:tcPr>
            <w:tcW w:w="1160" w:type="dxa"/>
            <w:vAlign w:val="bottom"/>
          </w:tcPr>
          <w:p>
            <w:pPr>
              <w:ind w:left="460"/>
              <w:spacing w:after="0"/>
              <w:rPr>
                <w:sz w:val="20"/>
                <w:szCs w:val="20"/>
                <w:color w:val="auto"/>
              </w:rPr>
            </w:pPr>
            <w:r>
              <w:rPr>
                <w:rFonts w:ascii="Arial" w:cs="Arial" w:eastAsia="Arial" w:hAnsi="Arial"/>
                <w:sz w:val="14"/>
                <w:szCs w:val="14"/>
                <w:color w:val="auto"/>
              </w:rPr>
              <w:t>Q3 FY11</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8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Japanese Yen</w:t>
            </w:r>
          </w:p>
        </w:tc>
        <w:tc>
          <w:tcPr>
            <w:tcW w:w="148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1,487,690,000</w:t>
            </w:r>
          </w:p>
        </w:tc>
        <w:tc>
          <w:tcPr>
            <w:tcW w:w="9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89.78</w:t>
            </w:r>
          </w:p>
        </w:tc>
        <w:tc>
          <w:tcPr>
            <w:tcW w:w="102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per US$</w:t>
            </w:r>
          </w:p>
        </w:tc>
        <w:tc>
          <w:tcPr>
            <w:tcW w:w="10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89.43</w:t>
            </w:r>
          </w:p>
        </w:tc>
        <w:tc>
          <w:tcPr>
            <w:tcW w:w="10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per US$</w:t>
            </w:r>
          </w:p>
        </w:tc>
        <w:tc>
          <w:tcPr>
            <w:tcW w:w="1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($221,468)</w:t>
            </w:r>
          </w:p>
        </w:tc>
        <w:tc>
          <w:tcPr>
            <w:tcW w:w="2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Dec 2010 - Feb 2011</w:t>
            </w:r>
          </w:p>
        </w:tc>
        <w:tc>
          <w:tcPr>
            <w:tcW w:w="1160" w:type="dxa"/>
            <w:vAlign w:val="bottom"/>
            <w:shd w:val="clear" w:color="auto" w:fill="CCEEFF"/>
          </w:tcPr>
          <w:p>
            <w:pPr>
              <w:ind w:left="460"/>
              <w:spacing w:after="0" w:line="147" w:lineRule="exact"/>
              <w:rPr>
                <w:sz w:val="20"/>
                <w:szCs w:val="20"/>
                <w:color w:val="auto"/>
              </w:rPr>
            </w:pPr>
            <w:r>
              <w:rPr>
                <w:rFonts w:ascii="Arial" w:cs="Arial" w:eastAsia="Arial" w:hAnsi="Arial"/>
                <w:sz w:val="14"/>
                <w:szCs w:val="14"/>
                <w:color w:val="auto"/>
              </w:rPr>
              <w:t>Q4 FY11</w:t>
            </w:r>
          </w:p>
        </w:tc>
        <w:tc>
          <w:tcPr>
            <w:tcW w:w="0" w:type="dxa"/>
            <w:vAlign w:val="bottom"/>
          </w:tcPr>
          <w:p>
            <w:pPr>
              <w:spacing w:after="0"/>
              <w:rPr>
                <w:sz w:val="1"/>
                <w:szCs w:val="1"/>
                <w:color w:val="auto"/>
              </w:rPr>
            </w:pPr>
          </w:p>
        </w:tc>
      </w:tr>
      <w:tr>
        <w:trPr>
          <w:trHeight w:val="216"/>
        </w:trPr>
        <w:tc>
          <w:tcPr>
            <w:tcW w:w="1380" w:type="dxa"/>
            <w:vAlign w:val="bottom"/>
          </w:tcPr>
          <w:p>
            <w:pPr>
              <w:ind w:left="80"/>
              <w:spacing w:after="0"/>
              <w:rPr>
                <w:sz w:val="20"/>
                <w:szCs w:val="20"/>
                <w:color w:val="auto"/>
              </w:rPr>
            </w:pPr>
            <w:r>
              <w:rPr>
                <w:rFonts w:ascii="Arial" w:cs="Arial" w:eastAsia="Arial" w:hAnsi="Arial"/>
                <w:sz w:val="14"/>
                <w:szCs w:val="14"/>
                <w:color w:val="auto"/>
              </w:rPr>
              <w:t>Japanese Yen</w:t>
            </w:r>
          </w:p>
        </w:tc>
        <w:tc>
          <w:tcPr>
            <w:tcW w:w="1480" w:type="dxa"/>
            <w:vAlign w:val="bottom"/>
            <w:gridSpan w:val="2"/>
          </w:tcPr>
          <w:p>
            <w:pPr>
              <w:jc w:val="right"/>
              <w:ind w:right="29"/>
              <w:spacing w:after="0"/>
              <w:rPr>
                <w:sz w:val="20"/>
                <w:szCs w:val="20"/>
                <w:color w:val="auto"/>
              </w:rPr>
            </w:pPr>
            <w:r>
              <w:rPr>
                <w:rFonts w:ascii="Arial" w:cs="Arial" w:eastAsia="Arial" w:hAnsi="Arial"/>
                <w:sz w:val="14"/>
                <w:szCs w:val="14"/>
                <w:color w:val="auto"/>
              </w:rPr>
              <w:t>1,232,428,057</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89.17</w:t>
            </w:r>
          </w:p>
        </w:tc>
        <w:tc>
          <w:tcPr>
            <w:tcW w:w="1020" w:type="dxa"/>
            <w:vAlign w:val="bottom"/>
          </w:tcPr>
          <w:p>
            <w:pPr>
              <w:ind w:left="100"/>
              <w:spacing w:after="0"/>
              <w:rPr>
                <w:sz w:val="20"/>
                <w:szCs w:val="20"/>
                <w:color w:val="auto"/>
              </w:rPr>
            </w:pPr>
            <w:r>
              <w:rPr>
                <w:rFonts w:ascii="Arial" w:cs="Arial" w:eastAsia="Arial" w:hAnsi="Arial"/>
                <w:sz w:val="14"/>
                <w:szCs w:val="14"/>
                <w:color w:val="auto"/>
              </w:rPr>
              <w:t>per US$</w:t>
            </w:r>
          </w:p>
        </w:tc>
        <w:tc>
          <w:tcPr>
            <w:tcW w:w="1000" w:type="dxa"/>
            <w:vAlign w:val="bottom"/>
            <w:gridSpan w:val="2"/>
          </w:tcPr>
          <w:p>
            <w:pPr>
              <w:jc w:val="right"/>
              <w:ind w:right="29"/>
              <w:spacing w:after="0"/>
              <w:rPr>
                <w:sz w:val="20"/>
                <w:szCs w:val="20"/>
                <w:color w:val="auto"/>
              </w:rPr>
            </w:pPr>
            <w:r>
              <w:rPr>
                <w:rFonts w:ascii="Arial" w:cs="Arial" w:eastAsia="Arial" w:hAnsi="Arial"/>
                <w:sz w:val="14"/>
                <w:szCs w:val="14"/>
                <w:color w:val="auto"/>
              </w:rPr>
              <w:t>88.59</w:t>
            </w:r>
          </w:p>
        </w:tc>
        <w:tc>
          <w:tcPr>
            <w:tcW w:w="1040" w:type="dxa"/>
            <w:vAlign w:val="bottom"/>
          </w:tcPr>
          <w:p>
            <w:pPr>
              <w:ind w:left="120"/>
              <w:spacing w:after="0"/>
              <w:rPr>
                <w:sz w:val="20"/>
                <w:szCs w:val="20"/>
                <w:color w:val="auto"/>
              </w:rPr>
            </w:pPr>
            <w:r>
              <w:rPr>
                <w:rFonts w:ascii="Arial" w:cs="Arial" w:eastAsia="Arial" w:hAnsi="Arial"/>
                <w:sz w:val="14"/>
                <w:szCs w:val="14"/>
                <w:color w:val="auto"/>
              </w:rPr>
              <w:t>per US$</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($84,455)</w:t>
            </w:r>
          </w:p>
        </w:tc>
        <w:tc>
          <w:tcPr>
            <w:tcW w:w="2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Mar 2011 - May 2011</w:t>
            </w:r>
          </w:p>
        </w:tc>
        <w:tc>
          <w:tcPr>
            <w:tcW w:w="1160" w:type="dxa"/>
            <w:vAlign w:val="bottom"/>
          </w:tcPr>
          <w:p>
            <w:pPr>
              <w:ind w:left="460"/>
              <w:spacing w:after="0"/>
              <w:rPr>
                <w:sz w:val="20"/>
                <w:szCs w:val="20"/>
                <w:color w:val="auto"/>
              </w:rPr>
            </w:pPr>
            <w:r>
              <w:rPr>
                <w:rFonts w:ascii="Arial" w:cs="Arial" w:eastAsia="Arial" w:hAnsi="Arial"/>
                <w:sz w:val="14"/>
                <w:szCs w:val="14"/>
                <w:color w:val="auto"/>
              </w:rPr>
              <w:t>Q1 FY12</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8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GBP</w:t>
            </w:r>
          </w:p>
        </w:tc>
        <w:tc>
          <w:tcPr>
            <w:tcW w:w="1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(818,502)</w:t>
            </w:r>
          </w:p>
        </w:tc>
        <w:tc>
          <w:tcPr>
            <w:tcW w:w="9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1.678</w:t>
            </w: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1.677</w:t>
            </w:r>
          </w:p>
        </w:tc>
        <w:tc>
          <w:tcPr>
            <w:tcW w:w="10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($148,350)</w:t>
            </w:r>
          </w:p>
        </w:tc>
        <w:tc>
          <w:tcPr>
            <w:tcW w:w="2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May 2010 - Jul 2010</w:t>
            </w:r>
          </w:p>
        </w:tc>
        <w:tc>
          <w:tcPr>
            <w:tcW w:w="1160" w:type="dxa"/>
            <w:vAlign w:val="bottom"/>
            <w:shd w:val="clear" w:color="auto" w:fill="CCEEFF"/>
          </w:tcPr>
          <w:p>
            <w:pPr>
              <w:ind w:left="460"/>
              <w:spacing w:after="0" w:line="147" w:lineRule="exact"/>
              <w:rPr>
                <w:sz w:val="20"/>
                <w:szCs w:val="20"/>
                <w:color w:val="auto"/>
              </w:rPr>
            </w:pPr>
            <w:r>
              <w:rPr>
                <w:rFonts w:ascii="Arial" w:cs="Arial" w:eastAsia="Arial" w:hAnsi="Arial"/>
                <w:sz w:val="14"/>
                <w:szCs w:val="14"/>
                <w:color w:val="auto"/>
              </w:rPr>
              <w:t>Q2 FY11</w:t>
            </w:r>
          </w:p>
        </w:tc>
        <w:tc>
          <w:tcPr>
            <w:tcW w:w="0" w:type="dxa"/>
            <w:vAlign w:val="bottom"/>
          </w:tcPr>
          <w:p>
            <w:pPr>
              <w:spacing w:after="0"/>
              <w:rPr>
                <w:sz w:val="1"/>
                <w:szCs w:val="1"/>
                <w:color w:val="auto"/>
              </w:rPr>
            </w:pPr>
          </w:p>
        </w:tc>
      </w:tr>
      <w:tr>
        <w:trPr>
          <w:trHeight w:val="216"/>
        </w:trPr>
        <w:tc>
          <w:tcPr>
            <w:tcW w:w="1380" w:type="dxa"/>
            <w:vAlign w:val="bottom"/>
          </w:tcPr>
          <w:p>
            <w:pPr>
              <w:ind w:left="80"/>
              <w:spacing w:after="0"/>
              <w:rPr>
                <w:sz w:val="20"/>
                <w:szCs w:val="20"/>
                <w:color w:val="auto"/>
              </w:rPr>
            </w:pPr>
            <w:r>
              <w:rPr>
                <w:rFonts w:ascii="Arial" w:cs="Arial" w:eastAsia="Arial" w:hAnsi="Arial"/>
                <w:sz w:val="14"/>
                <w:szCs w:val="14"/>
                <w:color w:val="auto"/>
              </w:rPr>
              <w:t>GBP</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(2,645,949)</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1.632</w:t>
            </w:r>
          </w:p>
        </w:tc>
        <w:tc>
          <w:tcPr>
            <w:tcW w:w="1020" w:type="dxa"/>
            <w:vAlign w:val="bottom"/>
          </w:tcPr>
          <w:p>
            <w:pPr>
              <w:spacing w:after="0"/>
              <w:rPr>
                <w:sz w:val="18"/>
                <w:szCs w:val="18"/>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4"/>
                <w:szCs w:val="14"/>
                <w:color w:val="auto"/>
              </w:rPr>
              <w:t>1.630</w:t>
            </w:r>
          </w:p>
        </w:tc>
        <w:tc>
          <w:tcPr>
            <w:tcW w:w="10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($350,866)</w:t>
            </w:r>
          </w:p>
        </w:tc>
        <w:tc>
          <w:tcPr>
            <w:tcW w:w="2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Aug 2010 - Oct 2010</w:t>
            </w:r>
          </w:p>
        </w:tc>
        <w:tc>
          <w:tcPr>
            <w:tcW w:w="1160" w:type="dxa"/>
            <w:vAlign w:val="bottom"/>
          </w:tcPr>
          <w:p>
            <w:pPr>
              <w:ind w:left="460"/>
              <w:spacing w:after="0"/>
              <w:rPr>
                <w:sz w:val="20"/>
                <w:szCs w:val="20"/>
                <w:color w:val="auto"/>
              </w:rPr>
            </w:pPr>
            <w:r>
              <w:rPr>
                <w:rFonts w:ascii="Arial" w:cs="Arial" w:eastAsia="Arial" w:hAnsi="Arial"/>
                <w:sz w:val="14"/>
                <w:szCs w:val="14"/>
                <w:color w:val="auto"/>
              </w:rPr>
              <w:t>Q3 FY11</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8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GBP</w:t>
            </w:r>
          </w:p>
        </w:tc>
        <w:tc>
          <w:tcPr>
            <w:tcW w:w="1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(2,602,543)</w:t>
            </w:r>
          </w:p>
        </w:tc>
        <w:tc>
          <w:tcPr>
            <w:tcW w:w="9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1.586</w:t>
            </w: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1.582</w:t>
            </w:r>
          </w:p>
        </w:tc>
        <w:tc>
          <w:tcPr>
            <w:tcW w:w="10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($220,990)</w:t>
            </w:r>
          </w:p>
        </w:tc>
        <w:tc>
          <w:tcPr>
            <w:tcW w:w="2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Nov 2010 - Jan 2011</w:t>
            </w:r>
          </w:p>
        </w:tc>
        <w:tc>
          <w:tcPr>
            <w:tcW w:w="1160" w:type="dxa"/>
            <w:vAlign w:val="bottom"/>
            <w:shd w:val="clear" w:color="auto" w:fill="CCEEFF"/>
          </w:tcPr>
          <w:p>
            <w:pPr>
              <w:ind w:left="460"/>
              <w:spacing w:after="0" w:line="147" w:lineRule="exact"/>
              <w:rPr>
                <w:sz w:val="20"/>
                <w:szCs w:val="20"/>
                <w:color w:val="auto"/>
              </w:rPr>
            </w:pPr>
            <w:r>
              <w:rPr>
                <w:rFonts w:ascii="Arial" w:cs="Arial" w:eastAsia="Arial" w:hAnsi="Arial"/>
                <w:sz w:val="14"/>
                <w:szCs w:val="14"/>
                <w:color w:val="auto"/>
              </w:rPr>
              <w:t>Q4 FY11</w:t>
            </w:r>
          </w:p>
        </w:tc>
        <w:tc>
          <w:tcPr>
            <w:tcW w:w="0" w:type="dxa"/>
            <w:vAlign w:val="bottom"/>
          </w:tcPr>
          <w:p>
            <w:pPr>
              <w:spacing w:after="0"/>
              <w:rPr>
                <w:sz w:val="1"/>
                <w:szCs w:val="1"/>
                <w:color w:val="auto"/>
              </w:rPr>
            </w:pPr>
          </w:p>
        </w:tc>
      </w:tr>
      <w:tr>
        <w:trPr>
          <w:trHeight w:val="216"/>
        </w:trPr>
        <w:tc>
          <w:tcPr>
            <w:tcW w:w="1380" w:type="dxa"/>
            <w:vAlign w:val="bottom"/>
          </w:tcPr>
          <w:p>
            <w:pPr>
              <w:ind w:left="80"/>
              <w:spacing w:after="0"/>
              <w:rPr>
                <w:sz w:val="20"/>
                <w:szCs w:val="20"/>
                <w:color w:val="auto"/>
              </w:rPr>
            </w:pPr>
            <w:r>
              <w:rPr>
                <w:rFonts w:ascii="Arial" w:cs="Arial" w:eastAsia="Arial" w:hAnsi="Arial"/>
                <w:sz w:val="14"/>
                <w:szCs w:val="14"/>
                <w:color w:val="auto"/>
              </w:rPr>
              <w:t>GBP</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(2,616,001)</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1.500</w:t>
            </w:r>
          </w:p>
        </w:tc>
        <w:tc>
          <w:tcPr>
            <w:tcW w:w="1020" w:type="dxa"/>
            <w:vAlign w:val="bottom"/>
          </w:tcPr>
          <w:p>
            <w:pPr>
              <w:spacing w:after="0"/>
              <w:rPr>
                <w:sz w:val="18"/>
                <w:szCs w:val="18"/>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4"/>
                <w:szCs w:val="14"/>
                <w:color w:val="auto"/>
              </w:rPr>
              <w:t>1.499</w:t>
            </w:r>
          </w:p>
        </w:tc>
        <w:tc>
          <w:tcPr>
            <w:tcW w:w="10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($11,852)</w:t>
            </w:r>
          </w:p>
        </w:tc>
        <w:tc>
          <w:tcPr>
            <w:tcW w:w="2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Feb 2011 - Apr 2011</w:t>
            </w:r>
          </w:p>
        </w:tc>
        <w:tc>
          <w:tcPr>
            <w:tcW w:w="1160" w:type="dxa"/>
            <w:vAlign w:val="bottom"/>
          </w:tcPr>
          <w:p>
            <w:pPr>
              <w:ind w:left="460"/>
              <w:spacing w:after="0"/>
              <w:rPr>
                <w:sz w:val="20"/>
                <w:szCs w:val="20"/>
                <w:color w:val="auto"/>
              </w:rPr>
            </w:pPr>
            <w:r>
              <w:rPr>
                <w:rFonts w:ascii="Arial" w:cs="Arial" w:eastAsia="Arial" w:hAnsi="Arial"/>
                <w:sz w:val="14"/>
                <w:szCs w:val="14"/>
                <w:color w:val="auto"/>
              </w:rPr>
              <w:t>Q1 FY12</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8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GBP</w:t>
            </w:r>
          </w:p>
        </w:tc>
        <w:tc>
          <w:tcPr>
            <w:tcW w:w="1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(1,855,130)</w:t>
            </w:r>
          </w:p>
        </w:tc>
        <w:tc>
          <w:tcPr>
            <w:tcW w:w="9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1.515</w:t>
            </w: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1.515</w:t>
            </w:r>
          </w:p>
        </w:tc>
        <w:tc>
          <w:tcPr>
            <w:tcW w:w="10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($36,071)</w:t>
            </w:r>
          </w:p>
        </w:tc>
        <w:tc>
          <w:tcPr>
            <w:tcW w:w="2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May 2011 - July 2011</w:t>
            </w:r>
          </w:p>
        </w:tc>
        <w:tc>
          <w:tcPr>
            <w:tcW w:w="1160" w:type="dxa"/>
            <w:vAlign w:val="bottom"/>
            <w:shd w:val="clear" w:color="auto" w:fill="CCEEFF"/>
          </w:tcPr>
          <w:p>
            <w:pPr>
              <w:ind w:left="460"/>
              <w:spacing w:after="0" w:line="147" w:lineRule="exact"/>
              <w:rPr>
                <w:sz w:val="20"/>
                <w:szCs w:val="20"/>
                <w:color w:val="auto"/>
              </w:rPr>
            </w:pPr>
            <w:r>
              <w:rPr>
                <w:rFonts w:ascii="Arial" w:cs="Arial" w:eastAsia="Arial" w:hAnsi="Arial"/>
                <w:sz w:val="14"/>
                <w:szCs w:val="14"/>
                <w:color w:val="auto"/>
              </w:rPr>
              <w:t>Q2 FY12</w:t>
            </w:r>
          </w:p>
        </w:tc>
        <w:tc>
          <w:tcPr>
            <w:tcW w:w="0" w:type="dxa"/>
            <w:vAlign w:val="bottom"/>
          </w:tcPr>
          <w:p>
            <w:pPr>
              <w:spacing w:after="0"/>
              <w:rPr>
                <w:sz w:val="1"/>
                <w:szCs w:val="1"/>
                <w:color w:val="auto"/>
              </w:rPr>
            </w:pPr>
          </w:p>
        </w:tc>
      </w:tr>
      <w:tr>
        <w:trPr>
          <w:trHeight w:val="216"/>
        </w:trPr>
        <w:tc>
          <w:tcPr>
            <w:tcW w:w="1380" w:type="dxa"/>
            <w:vAlign w:val="bottom"/>
          </w:tcPr>
          <w:p>
            <w:pPr>
              <w:ind w:left="80"/>
              <w:spacing w:after="0"/>
              <w:rPr>
                <w:sz w:val="20"/>
                <w:szCs w:val="20"/>
                <w:color w:val="auto"/>
              </w:rPr>
            </w:pPr>
            <w:r>
              <w:rPr>
                <w:rFonts w:ascii="Arial" w:cs="Arial" w:eastAsia="Arial" w:hAnsi="Arial"/>
                <w:sz w:val="14"/>
                <w:szCs w:val="14"/>
                <w:color w:val="auto"/>
              </w:rPr>
              <w:t>CAD</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(3,475,271)</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1.085</w:t>
            </w:r>
          </w:p>
        </w:tc>
        <w:tc>
          <w:tcPr>
            <w:tcW w:w="1020" w:type="dxa"/>
            <w:vAlign w:val="bottom"/>
          </w:tcPr>
          <w:p>
            <w:pPr>
              <w:ind w:left="100"/>
              <w:spacing w:after="0"/>
              <w:rPr>
                <w:sz w:val="20"/>
                <w:szCs w:val="20"/>
                <w:color w:val="auto"/>
              </w:rPr>
            </w:pPr>
            <w:r>
              <w:rPr>
                <w:rFonts w:ascii="Arial" w:cs="Arial" w:eastAsia="Arial" w:hAnsi="Arial"/>
                <w:sz w:val="14"/>
                <w:szCs w:val="14"/>
                <w:color w:val="auto"/>
              </w:rPr>
              <w:t>per US$</w:t>
            </w:r>
          </w:p>
        </w:tc>
        <w:tc>
          <w:tcPr>
            <w:tcW w:w="1000" w:type="dxa"/>
            <w:vAlign w:val="bottom"/>
            <w:gridSpan w:val="2"/>
          </w:tcPr>
          <w:p>
            <w:pPr>
              <w:jc w:val="right"/>
              <w:ind w:right="29"/>
              <w:spacing w:after="0"/>
              <w:rPr>
                <w:sz w:val="20"/>
                <w:szCs w:val="20"/>
                <w:color w:val="auto"/>
              </w:rPr>
            </w:pPr>
            <w:r>
              <w:rPr>
                <w:rFonts w:ascii="Arial" w:cs="Arial" w:eastAsia="Arial" w:hAnsi="Arial"/>
                <w:sz w:val="14"/>
                <w:szCs w:val="14"/>
                <w:color w:val="auto"/>
              </w:rPr>
              <w:t>1.086</w:t>
            </w:r>
          </w:p>
        </w:tc>
        <w:tc>
          <w:tcPr>
            <w:tcW w:w="1040" w:type="dxa"/>
            <w:vAlign w:val="bottom"/>
          </w:tcPr>
          <w:p>
            <w:pPr>
              <w:ind w:left="120"/>
              <w:spacing w:after="0"/>
              <w:rPr>
                <w:sz w:val="20"/>
                <w:szCs w:val="20"/>
                <w:color w:val="auto"/>
              </w:rPr>
            </w:pPr>
            <w:r>
              <w:rPr>
                <w:rFonts w:ascii="Arial" w:cs="Arial" w:eastAsia="Arial" w:hAnsi="Arial"/>
                <w:sz w:val="14"/>
                <w:szCs w:val="14"/>
                <w:color w:val="auto"/>
              </w:rPr>
              <w:t>per US$</w:t>
            </w:r>
          </w:p>
        </w:tc>
        <w:tc>
          <w:tcPr>
            <w:tcW w:w="1320" w:type="dxa"/>
            <w:vAlign w:val="bottom"/>
            <w:gridSpan w:val="2"/>
          </w:tcPr>
          <w:p>
            <w:pPr>
              <w:jc w:val="right"/>
              <w:ind w:right="29"/>
              <w:spacing w:after="0"/>
              <w:rPr>
                <w:sz w:val="20"/>
                <w:szCs w:val="20"/>
                <w:color w:val="auto"/>
              </w:rPr>
            </w:pPr>
            <w:r>
              <w:rPr>
                <w:rFonts w:ascii="Arial" w:cs="Arial" w:eastAsia="Arial" w:hAnsi="Arial"/>
                <w:sz w:val="14"/>
                <w:szCs w:val="14"/>
                <w:color w:val="auto"/>
              </w:rPr>
              <w:t>$62,802</w:t>
            </w:r>
          </w:p>
        </w:tc>
        <w:tc>
          <w:tcPr>
            <w:tcW w:w="2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Jul 2010 - Sep 2010</w:t>
            </w:r>
          </w:p>
        </w:tc>
        <w:tc>
          <w:tcPr>
            <w:tcW w:w="1160" w:type="dxa"/>
            <w:vAlign w:val="bottom"/>
          </w:tcPr>
          <w:p>
            <w:pPr>
              <w:ind w:left="460"/>
              <w:spacing w:after="0"/>
              <w:rPr>
                <w:sz w:val="20"/>
                <w:szCs w:val="20"/>
                <w:color w:val="auto"/>
              </w:rPr>
            </w:pPr>
            <w:r>
              <w:rPr>
                <w:rFonts w:ascii="Arial" w:cs="Arial" w:eastAsia="Arial" w:hAnsi="Arial"/>
                <w:sz w:val="14"/>
                <w:szCs w:val="14"/>
                <w:color w:val="auto"/>
              </w:rPr>
              <w:t>Q2 FY11</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8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CAD</w:t>
            </w:r>
          </w:p>
        </w:tc>
        <w:tc>
          <w:tcPr>
            <w:tcW w:w="1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(3,241,542)</w:t>
            </w:r>
          </w:p>
        </w:tc>
        <w:tc>
          <w:tcPr>
            <w:tcW w:w="9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1.065</w:t>
            </w:r>
          </w:p>
        </w:tc>
        <w:tc>
          <w:tcPr>
            <w:tcW w:w="102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per US$</w:t>
            </w:r>
          </w:p>
        </w:tc>
        <w:tc>
          <w:tcPr>
            <w:tcW w:w="10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1.067</w:t>
            </w:r>
          </w:p>
        </w:tc>
        <w:tc>
          <w:tcPr>
            <w:tcW w:w="10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per US$</w:t>
            </w:r>
          </w:p>
        </w:tc>
        <w:tc>
          <w:tcPr>
            <w:tcW w:w="132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$1,731</w:t>
            </w:r>
          </w:p>
        </w:tc>
        <w:tc>
          <w:tcPr>
            <w:tcW w:w="2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Oct 2010 - Dec 2010</w:t>
            </w:r>
          </w:p>
        </w:tc>
        <w:tc>
          <w:tcPr>
            <w:tcW w:w="1160" w:type="dxa"/>
            <w:vAlign w:val="bottom"/>
            <w:shd w:val="clear" w:color="auto" w:fill="CCEEFF"/>
          </w:tcPr>
          <w:p>
            <w:pPr>
              <w:ind w:left="460"/>
              <w:spacing w:after="0" w:line="147" w:lineRule="exact"/>
              <w:rPr>
                <w:sz w:val="20"/>
                <w:szCs w:val="20"/>
                <w:color w:val="auto"/>
              </w:rPr>
            </w:pPr>
            <w:r>
              <w:rPr>
                <w:rFonts w:ascii="Arial" w:cs="Arial" w:eastAsia="Arial" w:hAnsi="Arial"/>
                <w:sz w:val="14"/>
                <w:szCs w:val="14"/>
                <w:color w:val="auto"/>
              </w:rPr>
              <w:t>Q3 FY11</w:t>
            </w:r>
          </w:p>
        </w:tc>
        <w:tc>
          <w:tcPr>
            <w:tcW w:w="0" w:type="dxa"/>
            <w:vAlign w:val="bottom"/>
          </w:tcPr>
          <w:p>
            <w:pPr>
              <w:spacing w:after="0"/>
              <w:rPr>
                <w:sz w:val="1"/>
                <w:szCs w:val="1"/>
                <w:color w:val="auto"/>
              </w:rPr>
            </w:pPr>
          </w:p>
        </w:tc>
      </w:tr>
      <w:tr>
        <w:trPr>
          <w:trHeight w:val="216"/>
        </w:trPr>
        <w:tc>
          <w:tcPr>
            <w:tcW w:w="1380" w:type="dxa"/>
            <w:vAlign w:val="bottom"/>
          </w:tcPr>
          <w:p>
            <w:pPr>
              <w:ind w:left="80"/>
              <w:spacing w:after="0"/>
              <w:rPr>
                <w:sz w:val="20"/>
                <w:szCs w:val="20"/>
                <w:color w:val="auto"/>
              </w:rPr>
            </w:pPr>
            <w:r>
              <w:rPr>
                <w:rFonts w:ascii="Arial" w:cs="Arial" w:eastAsia="Arial" w:hAnsi="Arial"/>
                <w:sz w:val="14"/>
                <w:szCs w:val="14"/>
                <w:color w:val="auto"/>
              </w:rPr>
              <w:t>CAD</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(3,426,211)</w:t>
            </w:r>
          </w:p>
        </w:tc>
        <w:tc>
          <w:tcPr>
            <w:tcW w:w="900" w:type="dxa"/>
            <w:vAlign w:val="bottom"/>
            <w:gridSpan w:val="2"/>
          </w:tcPr>
          <w:p>
            <w:pPr>
              <w:jc w:val="right"/>
              <w:ind w:right="29"/>
              <w:spacing w:after="0"/>
              <w:rPr>
                <w:sz w:val="20"/>
                <w:szCs w:val="20"/>
                <w:color w:val="auto"/>
              </w:rPr>
            </w:pPr>
            <w:r>
              <w:rPr>
                <w:rFonts w:ascii="Arial" w:cs="Arial" w:eastAsia="Arial" w:hAnsi="Arial"/>
                <w:sz w:val="14"/>
                <w:szCs w:val="14"/>
                <w:color w:val="auto"/>
              </w:rPr>
              <w:t>1.028</w:t>
            </w:r>
          </w:p>
        </w:tc>
        <w:tc>
          <w:tcPr>
            <w:tcW w:w="1020" w:type="dxa"/>
            <w:vAlign w:val="bottom"/>
          </w:tcPr>
          <w:p>
            <w:pPr>
              <w:ind w:left="100"/>
              <w:spacing w:after="0"/>
              <w:rPr>
                <w:sz w:val="20"/>
                <w:szCs w:val="20"/>
                <w:color w:val="auto"/>
              </w:rPr>
            </w:pPr>
            <w:r>
              <w:rPr>
                <w:rFonts w:ascii="Arial" w:cs="Arial" w:eastAsia="Arial" w:hAnsi="Arial"/>
                <w:sz w:val="14"/>
                <w:szCs w:val="14"/>
                <w:color w:val="auto"/>
              </w:rPr>
              <w:t>per US$</w:t>
            </w:r>
          </w:p>
        </w:tc>
        <w:tc>
          <w:tcPr>
            <w:tcW w:w="1000" w:type="dxa"/>
            <w:vAlign w:val="bottom"/>
            <w:gridSpan w:val="2"/>
          </w:tcPr>
          <w:p>
            <w:pPr>
              <w:jc w:val="right"/>
              <w:ind w:right="29"/>
              <w:spacing w:after="0"/>
              <w:rPr>
                <w:sz w:val="20"/>
                <w:szCs w:val="20"/>
                <w:color w:val="auto"/>
              </w:rPr>
            </w:pPr>
            <w:r>
              <w:rPr>
                <w:rFonts w:ascii="Arial" w:cs="Arial" w:eastAsia="Arial" w:hAnsi="Arial"/>
                <w:sz w:val="14"/>
                <w:szCs w:val="14"/>
                <w:color w:val="auto"/>
              </w:rPr>
              <w:t>1.032</w:t>
            </w:r>
          </w:p>
        </w:tc>
        <w:tc>
          <w:tcPr>
            <w:tcW w:w="1040" w:type="dxa"/>
            <w:vAlign w:val="bottom"/>
          </w:tcPr>
          <w:p>
            <w:pPr>
              <w:ind w:left="120"/>
              <w:spacing w:after="0"/>
              <w:rPr>
                <w:sz w:val="20"/>
                <w:szCs w:val="20"/>
                <w:color w:val="auto"/>
              </w:rPr>
            </w:pPr>
            <w:r>
              <w:rPr>
                <w:rFonts w:ascii="Arial" w:cs="Arial" w:eastAsia="Arial" w:hAnsi="Arial"/>
                <w:sz w:val="14"/>
                <w:szCs w:val="14"/>
                <w:color w:val="auto"/>
              </w:rPr>
              <w:t>per US$</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($103,160)</w:t>
            </w:r>
          </w:p>
        </w:tc>
        <w:tc>
          <w:tcPr>
            <w:tcW w:w="2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Jan 2011 - Feb 2011</w:t>
            </w:r>
          </w:p>
        </w:tc>
        <w:tc>
          <w:tcPr>
            <w:tcW w:w="1160" w:type="dxa"/>
            <w:vAlign w:val="bottom"/>
          </w:tcPr>
          <w:p>
            <w:pPr>
              <w:ind w:left="460"/>
              <w:spacing w:after="0"/>
              <w:rPr>
                <w:sz w:val="20"/>
                <w:szCs w:val="20"/>
                <w:color w:val="auto"/>
              </w:rPr>
            </w:pPr>
            <w:r>
              <w:rPr>
                <w:rFonts w:ascii="Arial" w:cs="Arial" w:eastAsia="Arial" w:hAnsi="Arial"/>
                <w:sz w:val="14"/>
                <w:szCs w:val="14"/>
                <w:color w:val="auto"/>
              </w:rPr>
              <w:t>Q4 FY11</w:t>
            </w: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8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CAD</w:t>
            </w:r>
          </w:p>
        </w:tc>
        <w:tc>
          <w:tcPr>
            <w:tcW w:w="14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(4,039,754)</w:t>
            </w:r>
          </w:p>
        </w:tc>
        <w:tc>
          <w:tcPr>
            <w:tcW w:w="9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1.050</w:t>
            </w:r>
          </w:p>
        </w:tc>
        <w:tc>
          <w:tcPr>
            <w:tcW w:w="102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per US$</w:t>
            </w:r>
          </w:p>
        </w:tc>
        <w:tc>
          <w:tcPr>
            <w:tcW w:w="1000" w:type="dxa"/>
            <w:vAlign w:val="bottom"/>
            <w:gridSpan w:val="2"/>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1.054</w:t>
            </w:r>
          </w:p>
        </w:tc>
        <w:tc>
          <w:tcPr>
            <w:tcW w:w="10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per US$</w:t>
            </w:r>
          </w:p>
        </w:tc>
        <w:tc>
          <w:tcPr>
            <w:tcW w:w="1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($47,961)</w:t>
            </w:r>
          </w:p>
        </w:tc>
        <w:tc>
          <w:tcPr>
            <w:tcW w:w="2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Apr 2011 - Jun 2011</w:t>
            </w:r>
          </w:p>
        </w:tc>
        <w:tc>
          <w:tcPr>
            <w:tcW w:w="1160" w:type="dxa"/>
            <w:vAlign w:val="bottom"/>
            <w:shd w:val="clear" w:color="auto" w:fill="CCEEFF"/>
          </w:tcPr>
          <w:p>
            <w:pPr>
              <w:ind w:left="460"/>
              <w:spacing w:after="0" w:line="147" w:lineRule="exact"/>
              <w:rPr>
                <w:sz w:val="20"/>
                <w:szCs w:val="20"/>
                <w:color w:val="auto"/>
              </w:rPr>
            </w:pPr>
            <w:r>
              <w:rPr>
                <w:rFonts w:ascii="Arial" w:cs="Arial" w:eastAsia="Arial" w:hAnsi="Arial"/>
                <w:sz w:val="14"/>
                <w:szCs w:val="14"/>
                <w:color w:val="auto"/>
              </w:rPr>
              <w:t>Q1 FY12</w:t>
            </w: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$3,323,706</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$9.3 million increase in the fair value of the forward contracts; whereas a 10% weakening of the US dollar would result in a $10.8 million decrease in the fair value of the forward contracts.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2"/>
          <w:szCs w:val="12"/>
          <w:b w:val="1"/>
          <w:bCs w:val="1"/>
          <w:i w:val="1"/>
          <w:iCs w:val="1"/>
          <w:color w:val="auto"/>
        </w:rPr>
        <w:t>NTEREST</w:t>
      </w:r>
      <w:r>
        <w:rPr>
          <w:rFonts w:ascii="Arial" w:cs="Arial" w:eastAsia="Arial" w:hAnsi="Arial"/>
          <w:sz w:val="18"/>
          <w:szCs w:val="18"/>
          <w:b w:val="1"/>
          <w:bCs w:val="1"/>
          <w:i w:val="1"/>
          <w:iCs w:val="1"/>
          <w:color w:val="auto"/>
        </w:rPr>
        <w:t xml:space="preserve"> R</w:t>
      </w:r>
      <w:r>
        <w:rPr>
          <w:rFonts w:ascii="Arial" w:cs="Arial" w:eastAsia="Arial" w:hAnsi="Arial"/>
          <w:sz w:val="12"/>
          <w:szCs w:val="12"/>
          <w:b w:val="1"/>
          <w:bCs w:val="1"/>
          <w:i w:val="1"/>
          <w:iCs w:val="1"/>
          <w:color w:val="auto"/>
        </w:rPr>
        <w:t>ATE</w:t>
      </w:r>
      <w:r>
        <w:rPr>
          <w:rFonts w:ascii="Arial" w:cs="Arial" w:eastAsia="Arial" w:hAnsi="Arial"/>
          <w:sz w:val="18"/>
          <w:szCs w:val="18"/>
          <w:b w:val="1"/>
          <w:bCs w:val="1"/>
          <w:i w:val="1"/>
          <w:iCs w:val="1"/>
          <w:color w:val="auto"/>
        </w:rPr>
        <w:t xml:space="preserve"> R</w:t>
      </w:r>
      <w:r>
        <w:rPr>
          <w:rFonts w:ascii="Arial" w:cs="Arial" w:eastAsia="Arial" w:hAnsi="Arial"/>
          <w:sz w:val="12"/>
          <w:szCs w:val="12"/>
          <w:b w:val="1"/>
          <w:bCs w:val="1"/>
          <w:i w:val="1"/>
          <w:iCs w:val="1"/>
          <w:color w:val="auto"/>
        </w:rPr>
        <w:t>ISK</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 term obligations would pay in the market interest rate environment.</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At July 3, 2010, the fair value of our long-term debt was approximately $0.5 million higher than the value of the debt reflected on our financial statements. This higher fair market is entirely related to the $4.4 million remaining principal balance of the original $10.0 million, 8.41% real estate mortgage due January, 2016.</w:t>
      </w:r>
    </w:p>
    <w:p>
      <w:pPr>
        <w:spacing w:after="0" w:line="186"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July 3, 2010, the fair value of our long-term debt would change by approximately $0.0 million.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conducted an evaluation, as of July 3, 2010,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w:t>
      </w:r>
    </w:p>
    <w:p>
      <w:pPr>
        <w:spacing w:after="0" w:line="159"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July 3, 2010 that has materially affected, or is reasonably likely to materially affect, the Company’s internal control over financial reporting.</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240"/>
          </w:cols>
          <w:pgMar w:left="240" w:top="417"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22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December 2005, we filed a lawsuit against Baxter Healthcare SA and Fenwal Inc. in Massachusetts federal district court, seeking an injunction and damages on account of Baxter’s infringement of a Haemonetics patent, through the sale of Baxter’s ALYX brand automated red cell collection system, a competitor of our automated red cell collection systems. In March 2007, Baxter sold the Transfusion Technologies Division (which markets the ALYX product) to private investors, TPG, and Maverick Capital, Ltd. The new company which resulted from the sale was renamed Fenwal. In January 2009, a jury found that the Fenwal ALYX system infringed Haemonetics’ patent and awarded us $15.7 million in damages for past infringement. On June 2, 2009, the trial court ruled that, in addition to paying the damages awarded by the jury, Fenwal must stop selling the ALYX consumable by December 1, 2010 and must pay Haemonetics a 10% royalty on ALYX consumable net sales from January 30, 2009 until December 1, 2010 when the injunction takes effect. In addition, the trial court awarded pre-judgment interest at 5% on the unpaid damages awarded. On August 19, 2009, an amended judgment was issued under which Haemonetics was awarded $11.3 million for lost profits suffered as a result of the infringement, $4.4 million in royalty damages suffered as a result of the infringement, and prejudgment interest of $2.3 million for a total award of $18.0 million. Fenwal and Baxter appealed these rulings to the United States Court of Appeals for the Federal Circuit. On May 28, 2010 the Patent and Trademark Office re examined the subject patent owned by Haemonetics, as requested by Fenwal, and determined that the patent is valid, contrary to Fenwal’s assertions. Then, on June 2, 2010, a three judge panel of the Court of Appeals reversed the trial court’s claim construction and accordingly, vacated the original jury verdict finding of infringement and remanded the case to the trial court for further proceedings. We believe that Fenwal’s original Alyx consumable kit, as well as a modified Alyx consumable kit which is the subject of a December 14, 2009 infringement lawsuit by Haemonetics, infringes the Haemonetics patent even under the Court of Appeals’ claim construction.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22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April 3, 2010,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an April 6, 2010 press release, the Company announced that its Board of Directors approved the repurchase of up to $50.0 million worth of Company shares during fiscal year 2011. Through July 3, 2010, the Company repurchased 907,310 shares of its common stock for an aggregate purchase price of $50.0 million. We reflect stock repurchases in our financial statements on a “trade date” basis and as Authorized Unissued (Haemonetics is a Massachusetts company and under Massachusetts law repurchased shares are treated as authorized but unissued).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All purchases were made in the open market.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417"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center"/>
              <w:ind w:right="160"/>
              <w:spacing w:after="0"/>
              <w:rPr>
                <w:sz w:val="20"/>
                <w:szCs w:val="20"/>
                <w:color w:val="auto"/>
              </w:rPr>
            </w:pPr>
            <w:r>
              <w:rPr>
                <w:rFonts w:ascii="Arial" w:cs="Arial" w:eastAsia="Arial" w:hAnsi="Arial"/>
                <w:sz w:val="16"/>
                <w:szCs w:val="16"/>
                <w:b w:val="1"/>
                <w:bCs w:val="1"/>
                <w:color w:val="auto"/>
                <w:w w:val="93"/>
              </w:rPr>
              <w:t>Total Dollar Value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center"/>
              <w:ind w:right="140"/>
              <w:spacing w:after="0"/>
              <w:rPr>
                <w:sz w:val="20"/>
                <w:szCs w:val="20"/>
                <w:color w:val="auto"/>
              </w:rPr>
            </w:pPr>
            <w:r>
              <w:rPr>
                <w:rFonts w:ascii="Arial" w:cs="Arial" w:eastAsia="Arial" w:hAnsi="Arial"/>
                <w:sz w:val="16"/>
                <w:szCs w:val="16"/>
                <w:b w:val="1"/>
                <w:bCs w:val="1"/>
                <w:color w:val="auto"/>
                <w:w w:val="97"/>
              </w:rPr>
              <w:t>Maximum Dollar</w:t>
            </w:r>
          </w:p>
        </w:tc>
      </w:tr>
      <w:tr>
        <w:trPr>
          <w:trHeight w:val="201"/>
        </w:trPr>
        <w:tc>
          <w:tcPr>
            <w:tcW w:w="2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Average Price</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center"/>
              <w:ind w:right="180"/>
              <w:spacing w:after="0"/>
              <w:rPr>
                <w:sz w:val="20"/>
                <w:szCs w:val="20"/>
                <w:color w:val="auto"/>
              </w:rPr>
            </w:pPr>
            <w:r>
              <w:rPr>
                <w:rFonts w:ascii="Arial" w:cs="Arial" w:eastAsia="Arial" w:hAnsi="Arial"/>
                <w:sz w:val="16"/>
                <w:szCs w:val="16"/>
                <w:b w:val="1"/>
                <w:bCs w:val="1"/>
                <w:color w:val="auto"/>
                <w:w w:val="87"/>
              </w:rPr>
              <w:t>of Shares Purchased</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center"/>
              <w:ind w:right="160"/>
              <w:spacing w:after="0"/>
              <w:rPr>
                <w:sz w:val="20"/>
                <w:szCs w:val="20"/>
                <w:color w:val="auto"/>
              </w:rPr>
            </w:pPr>
            <w:r>
              <w:rPr>
                <w:rFonts w:ascii="Arial" w:cs="Arial" w:eastAsia="Arial" w:hAnsi="Arial"/>
                <w:sz w:val="16"/>
                <w:szCs w:val="16"/>
                <w:b w:val="1"/>
                <w:bCs w:val="1"/>
                <w:color w:val="auto"/>
                <w:w w:val="89"/>
              </w:rPr>
              <w:t>Value of Shares that</w:t>
            </w:r>
          </w:p>
        </w:tc>
      </w:tr>
      <w:tr>
        <w:trPr>
          <w:trHeight w:val="201"/>
        </w:trPr>
        <w:tc>
          <w:tcPr>
            <w:tcW w:w="2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3"/>
              </w:rPr>
              <w:t>Total Number</w:t>
            </w:r>
          </w:p>
        </w:tc>
        <w:tc>
          <w:tcPr>
            <w:tcW w:w="68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Paid per Share</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center"/>
              <w:ind w:right="160"/>
              <w:spacing w:after="0"/>
              <w:rPr>
                <w:sz w:val="20"/>
                <w:szCs w:val="20"/>
                <w:color w:val="auto"/>
              </w:rPr>
            </w:pPr>
            <w:r>
              <w:rPr>
                <w:rFonts w:ascii="Arial" w:cs="Arial" w:eastAsia="Arial" w:hAnsi="Arial"/>
                <w:sz w:val="16"/>
                <w:szCs w:val="16"/>
                <w:b w:val="1"/>
                <w:bCs w:val="1"/>
                <w:color w:val="auto"/>
                <w:w w:val="90"/>
              </w:rPr>
              <w:t>as Part of Publicly</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center"/>
              <w:ind w:right="160"/>
              <w:spacing w:after="0"/>
              <w:rPr>
                <w:sz w:val="20"/>
                <w:szCs w:val="20"/>
                <w:color w:val="auto"/>
              </w:rPr>
            </w:pPr>
            <w:r>
              <w:rPr>
                <w:rFonts w:ascii="Arial" w:cs="Arial" w:eastAsia="Arial" w:hAnsi="Arial"/>
                <w:sz w:val="16"/>
                <w:szCs w:val="16"/>
                <w:b w:val="1"/>
                <w:bCs w:val="1"/>
                <w:color w:val="auto"/>
                <w:w w:val="93"/>
              </w:rPr>
              <w:t>May Yet be</w:t>
            </w:r>
          </w:p>
        </w:tc>
      </w:tr>
      <w:tr>
        <w:trPr>
          <w:trHeight w:val="201"/>
        </w:trPr>
        <w:tc>
          <w:tcPr>
            <w:tcW w:w="2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center"/>
              <w:ind w:right="200"/>
              <w:spacing w:after="0"/>
              <w:rPr>
                <w:sz w:val="20"/>
                <w:szCs w:val="20"/>
                <w:color w:val="auto"/>
              </w:rPr>
            </w:pPr>
            <w:r>
              <w:rPr>
                <w:rFonts w:ascii="Arial" w:cs="Arial" w:eastAsia="Arial" w:hAnsi="Arial"/>
                <w:sz w:val="16"/>
                <w:szCs w:val="16"/>
                <w:b w:val="1"/>
                <w:bCs w:val="1"/>
                <w:color w:val="auto"/>
                <w:w w:val="89"/>
              </w:rPr>
              <w:t>including</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center"/>
              <w:ind w:right="180"/>
              <w:spacing w:after="0"/>
              <w:rPr>
                <w:sz w:val="20"/>
                <w:szCs w:val="20"/>
                <w:color w:val="auto"/>
              </w:rPr>
            </w:pPr>
            <w:r>
              <w:rPr>
                <w:rFonts w:ascii="Arial" w:cs="Arial" w:eastAsia="Arial" w:hAnsi="Arial"/>
                <w:sz w:val="16"/>
                <w:szCs w:val="16"/>
                <w:b w:val="1"/>
                <w:bCs w:val="1"/>
                <w:color w:val="auto"/>
                <w:w w:val="88"/>
              </w:rPr>
              <w:t>Announced Plans</w:t>
            </w:r>
          </w:p>
        </w:tc>
        <w:tc>
          <w:tcPr>
            <w:tcW w:w="680" w:type="dxa"/>
            <w:vAlign w:val="bottom"/>
          </w:tcPr>
          <w:p>
            <w:pPr>
              <w:spacing w:after="0"/>
              <w:rPr>
                <w:sz w:val="17"/>
                <w:szCs w:val="17"/>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Purchased Under the</w:t>
            </w:r>
          </w:p>
        </w:tc>
      </w:tr>
      <w:tr>
        <w:trPr>
          <w:trHeight w:val="222"/>
        </w:trPr>
        <w:tc>
          <w:tcPr>
            <w:tcW w:w="20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Period</w:t>
            </w:r>
          </w:p>
        </w:tc>
        <w:tc>
          <w:tcPr>
            <w:tcW w:w="68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Repurchased</w:t>
            </w:r>
          </w:p>
        </w:tc>
        <w:tc>
          <w:tcPr>
            <w:tcW w:w="68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Commissions</w:t>
            </w: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or Programs</w:t>
            </w: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89"/>
              </w:rPr>
              <w:t>Plans or Programs</w:t>
            </w:r>
          </w:p>
        </w:tc>
      </w:tr>
      <w:tr>
        <w:trPr>
          <w:trHeight w:val="205"/>
        </w:trPr>
        <w:tc>
          <w:tcPr>
            <w:tcW w:w="20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6, 2010 to</w:t>
            </w:r>
          </w:p>
        </w:tc>
        <w:tc>
          <w:tcPr>
            <w:tcW w:w="6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398"/>
        </w:trPr>
        <w:tc>
          <w:tcPr>
            <w:tcW w:w="2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May 31, 2010</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576,271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55.64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32,081,557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17,918,443</w:t>
            </w:r>
          </w:p>
        </w:tc>
      </w:tr>
      <w:tr>
        <w:trPr>
          <w:trHeight w:val="517"/>
        </w:trPr>
        <w:tc>
          <w:tcPr>
            <w:tcW w:w="2040" w:type="dxa"/>
            <w:vAlign w:val="bottom"/>
          </w:tcPr>
          <w:p>
            <w:pPr>
              <w:ind w:left="80"/>
              <w:spacing w:after="0"/>
              <w:rPr>
                <w:sz w:val="20"/>
                <w:szCs w:val="20"/>
                <w:color w:val="auto"/>
              </w:rPr>
            </w:pPr>
            <w:r>
              <w:rPr>
                <w:rFonts w:ascii="Arial" w:cs="Arial" w:eastAsia="Arial" w:hAnsi="Arial"/>
                <w:sz w:val="16"/>
                <w:szCs w:val="16"/>
                <w:color w:val="auto"/>
              </w:rPr>
              <w:t>Jun 1, 2010 to</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05"/>
        </w:trPr>
        <w:tc>
          <w:tcPr>
            <w:tcW w:w="2040" w:type="dxa"/>
            <w:vAlign w:val="bottom"/>
          </w:tcPr>
          <w:p>
            <w:pPr>
              <w:ind w:left="280"/>
              <w:spacing w:after="0"/>
              <w:rPr>
                <w:sz w:val="20"/>
                <w:szCs w:val="20"/>
                <w:color w:val="auto"/>
              </w:rPr>
            </w:pPr>
            <w:r>
              <w:rPr>
                <w:rFonts w:ascii="Arial" w:cs="Arial" w:eastAsia="Arial" w:hAnsi="Arial"/>
                <w:sz w:val="16"/>
                <w:szCs w:val="16"/>
                <w:color w:val="auto"/>
              </w:rPr>
              <w:t>Jun 25, 2010</w:t>
            </w:r>
          </w:p>
        </w:tc>
        <w:tc>
          <w:tcPr>
            <w:tcW w:w="2280" w:type="dxa"/>
            <w:vAlign w:val="bottom"/>
            <w:gridSpan w:val="2"/>
          </w:tcPr>
          <w:p>
            <w:pPr>
              <w:jc w:val="right"/>
              <w:ind w:right="40"/>
              <w:spacing w:after="0"/>
              <w:rPr>
                <w:sz w:val="20"/>
                <w:szCs w:val="20"/>
                <w:color w:val="auto"/>
              </w:rPr>
            </w:pPr>
            <w:r>
              <w:rPr>
                <w:rFonts w:ascii="Arial" w:cs="Arial" w:eastAsia="Arial" w:hAnsi="Arial"/>
                <w:sz w:val="16"/>
                <w:szCs w:val="16"/>
                <w:color w:val="auto"/>
              </w:rPr>
              <w:t>331,039</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54.10</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17,918,415</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28</w:t>
            </w:r>
          </w:p>
        </w:tc>
      </w:tr>
      <w:tr>
        <w:trPr>
          <w:trHeight w:val="171"/>
        </w:trPr>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1"/>
        </w:trPr>
        <w:tc>
          <w:tcPr>
            <w:tcW w:w="20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907,310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55.08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49,999,972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r>
      <w:tr>
        <w:trPr>
          <w:trHeight w:val="20"/>
        </w:trPr>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Defaults upon Senior Securities</w:t>
      </w:r>
    </w:p>
    <w:p>
      <w:pPr>
        <w:spacing w:after="0" w:line="2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Item 4.  [Reserved]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2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 of Sarbanes-Oxley Act of 2002, of Brian Concannon, President and Chief Executive Officer of the Company</w:t>
      </w:r>
    </w:p>
    <w:p>
      <w:pPr>
        <w:spacing w:after="0" w:line="222" w:lineRule="exact"/>
        <w:rPr>
          <w:sz w:val="20"/>
          <w:szCs w:val="20"/>
          <w:color w:val="auto"/>
        </w:rPr>
      </w:pPr>
    </w:p>
    <w:p>
      <w:pPr>
        <w:ind w:left="680" w:right="620" w:hanging="670"/>
        <w:spacing w:after="0" w:line="272" w:lineRule="auto"/>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Chief Financial Officer and Vice President Business Development of the Company</w:t>
      </w:r>
    </w:p>
    <w:p>
      <w:pPr>
        <w:spacing w:after="0" w:line="175" w:lineRule="exact"/>
        <w:rPr>
          <w:sz w:val="20"/>
          <w:szCs w:val="20"/>
          <w:color w:val="auto"/>
        </w:rPr>
      </w:pPr>
    </w:p>
    <w:p>
      <w:pPr>
        <w:ind w:left="680" w:right="540" w:hanging="670"/>
        <w:spacing w:after="0" w:line="272" w:lineRule="auto"/>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Brian Concannon, President and Chief Executive Officer of the Company</w:t>
      </w:r>
    </w:p>
    <w:p>
      <w:pPr>
        <w:spacing w:after="0" w:line="175" w:lineRule="exact"/>
        <w:rPr>
          <w:sz w:val="20"/>
          <w:szCs w:val="20"/>
          <w:color w:val="auto"/>
        </w:rPr>
      </w:pPr>
    </w:p>
    <w:p>
      <w:pPr>
        <w:ind w:left="680" w:right="80" w:hanging="670"/>
        <w:spacing w:after="0" w:line="272" w:lineRule="auto"/>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Christopher Lindop, Chief Financial Officer and Vice President Business Development of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HAEMONETICS CORPORATION</w:t>
      </w:r>
    </w:p>
    <w:p>
      <w:pPr>
        <w:spacing w:after="0" w:line="356"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Date: August 11, 2010</w:t>
      </w:r>
      <w:r>
        <w:rPr>
          <w:sz w:val="20"/>
          <w:szCs w:val="20"/>
          <w:color w:val="auto"/>
        </w:rPr>
        <w:tab/>
      </w:r>
      <w:r>
        <w:rPr>
          <w:rFonts w:ascii="Arial" w:cs="Arial" w:eastAsia="Arial" w:hAnsi="Arial"/>
          <w:sz w:val="16"/>
          <w:szCs w:val="16"/>
          <w:color w:val="auto"/>
        </w:rPr>
        <w:t>By: /s/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13970</wp:posOffset>
            </wp:positionV>
            <wp:extent cx="2972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1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Brian Concannon, President and Chief Executive Officer</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(Principal Executive Officer)</w:t>
      </w:r>
    </w:p>
    <w:p>
      <w:pPr>
        <w:spacing w:after="0" w:line="344"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Date: August 11, 2010</w:t>
      </w:r>
      <w:r>
        <w:rPr>
          <w:sz w:val="20"/>
          <w:szCs w:val="20"/>
          <w:color w:val="auto"/>
        </w:rPr>
        <w:tab/>
      </w:r>
      <w:r>
        <w:rPr>
          <w:rFonts w:ascii="Arial" w:cs="Arial" w:eastAsia="Arial" w:hAnsi="Arial"/>
          <w:sz w:val="16"/>
          <w:szCs w:val="16"/>
          <w:color w:val="auto"/>
        </w:rPr>
        <w:t>By: /s/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13970</wp:posOffset>
            </wp:positionV>
            <wp:extent cx="2972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1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Christopher Lindop, Chief Financial Officer and Vice</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President Business Development (Principal Financial Officer)</w:t>
      </w:r>
    </w:p>
    <w:p>
      <w:pPr>
        <w:spacing w:after="0" w:line="1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17" w:right="459" w:bottom="1440" w:gutter="0" w:footer="0" w:header="0"/>
        </w:sectPr>
      </w:pPr>
    </w:p>
    <w:bookmarkStart w:id="36" w:name="page37"/>
    <w:bookmarkEnd w:id="36"/>
    <w:p>
      <w:pPr>
        <w:ind w:left="6280"/>
        <w:spacing w:after="0"/>
        <w:rPr>
          <w:sz w:val="20"/>
          <w:szCs w:val="20"/>
          <w:color w:val="auto"/>
        </w:rPr>
      </w:pPr>
      <w:r>
        <w:rPr>
          <w:rFonts w:ascii="Arial" w:cs="Arial" w:eastAsia="Arial" w:hAnsi="Arial"/>
          <w:sz w:val="20"/>
          <w:szCs w:val="20"/>
          <w:b w:val="1"/>
          <w:bCs w:val="1"/>
          <w:u w:val="single" w:color="auto"/>
          <w:color w:val="auto"/>
        </w:rPr>
        <w:t>EXHIBIT 31.1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82" w:lineRule="exact"/>
        <w:rPr>
          <w:sz w:val="20"/>
          <w:szCs w:val="20"/>
          <w:color w:val="auto"/>
        </w:rPr>
      </w:pPr>
    </w:p>
    <w:p>
      <w:pPr>
        <w:ind w:left="340" w:hanging="333"/>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222" w:lineRule="exact"/>
        <w:rPr>
          <w:rFonts w:ascii="Arial" w:cs="Arial" w:eastAsia="Arial" w:hAnsi="Arial"/>
          <w:sz w:val="18"/>
          <w:szCs w:val="18"/>
          <w:color w:val="auto"/>
        </w:rPr>
      </w:pPr>
    </w:p>
    <w:p>
      <w:pPr>
        <w:ind w:left="340" w:right="80" w:hanging="333"/>
        <w:spacing w:after="0" w:line="33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left="340" w:right="120" w:hanging="333"/>
        <w:spacing w:after="0" w:line="302"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340" w:right="20" w:hanging="333"/>
        <w:spacing w:after="0" w:line="26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Arial" w:cs="Arial" w:eastAsia="Arial" w:hAnsi="Arial"/>
          <w:sz w:val="18"/>
          <w:szCs w:val="18"/>
          <w:color w:val="auto"/>
        </w:rPr>
      </w:pPr>
    </w:p>
    <w:p>
      <w:pPr>
        <w:ind w:left="1360" w:hanging="441"/>
        <w:spacing w:after="0" w:line="260"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1360" w:right="140" w:hanging="441"/>
        <w:spacing w:after="0" w:line="260"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jc w:val="both"/>
        <w:ind w:left="1360" w:right="320" w:hanging="441"/>
        <w:spacing w:after="0" w:line="336" w:lineRule="auto"/>
        <w:tabs>
          <w:tab w:leader="none" w:pos="1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1360" w:hanging="441"/>
        <w:spacing w:after="0" w:line="260"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340" w:right="460" w:hanging="333"/>
        <w:spacing w:after="0" w:line="302"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4" w:lineRule="exact"/>
        <w:rPr>
          <w:rFonts w:ascii="Arial" w:cs="Arial" w:eastAsia="Arial" w:hAnsi="Arial"/>
          <w:sz w:val="17"/>
          <w:szCs w:val="17"/>
          <w:color w:val="auto"/>
        </w:rPr>
      </w:pPr>
    </w:p>
    <w:p>
      <w:pPr>
        <w:ind w:left="1360" w:right="540" w:hanging="441"/>
        <w:spacing w:after="0" w:line="336" w:lineRule="auto"/>
        <w:tabs>
          <w:tab w:leader="none" w:pos="1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360" w:right="220" w:hanging="441"/>
        <w:spacing w:after="0" w:line="272"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2010</w:t>
      </w:r>
    </w:p>
    <w:p>
      <w:pPr>
        <w:spacing w:after="0" w:line="200" w:lineRule="exact"/>
        <w:rPr>
          <w:sz w:val="20"/>
          <w:szCs w:val="20"/>
          <w:color w:val="auto"/>
        </w:rPr>
      </w:pPr>
    </w:p>
    <w:p>
      <w:pPr>
        <w:spacing w:after="0" w:line="23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Brian Concannon</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Brian Concannon, 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-130175</wp:posOffset>
            </wp:positionV>
            <wp:extent cx="1762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62760"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320"/>
          </w:cols>
          <w:pgMar w:left="240" w:top="118" w:right="339" w:bottom="1440" w:gutter="0" w:footer="0" w:header="0"/>
        </w:sectPr>
      </w:pPr>
    </w:p>
    <w:bookmarkStart w:id="37" w:name="page38"/>
    <w:bookmarkEnd w:id="37"/>
    <w:p>
      <w:pPr>
        <w:ind w:left="6280"/>
        <w:spacing w:after="0"/>
        <w:rPr>
          <w:sz w:val="20"/>
          <w:szCs w:val="20"/>
          <w:color w:val="auto"/>
        </w:rPr>
      </w:pPr>
      <w:r>
        <w:rPr>
          <w:rFonts w:ascii="Arial" w:cs="Arial" w:eastAsia="Arial" w:hAnsi="Arial"/>
          <w:sz w:val="20"/>
          <w:szCs w:val="20"/>
          <w:b w:val="1"/>
          <w:bCs w:val="1"/>
          <w:u w:val="single" w:color="auto"/>
          <w:color w:val="auto"/>
        </w:rPr>
        <w:t>EXHIBIT 31.2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5" w:lineRule="exact"/>
        <w:rPr>
          <w:sz w:val="20"/>
          <w:szCs w:val="20"/>
          <w:color w:val="auto"/>
        </w:rPr>
      </w:pPr>
    </w:p>
    <w:p>
      <w:pPr>
        <w:ind w:left="340" w:hanging="333"/>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222" w:lineRule="exact"/>
        <w:rPr>
          <w:rFonts w:ascii="Arial" w:cs="Arial" w:eastAsia="Arial" w:hAnsi="Arial"/>
          <w:sz w:val="18"/>
          <w:szCs w:val="18"/>
          <w:color w:val="auto"/>
        </w:rPr>
      </w:pPr>
    </w:p>
    <w:p>
      <w:pPr>
        <w:ind w:left="340" w:right="80" w:hanging="333"/>
        <w:spacing w:after="0" w:line="33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left="340" w:right="120" w:hanging="333"/>
        <w:spacing w:after="0" w:line="302"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left="340" w:right="20" w:hanging="333"/>
        <w:spacing w:after="0" w:line="26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18"/>
          <w:szCs w:val="18"/>
          <w:color w:val="auto"/>
        </w:rPr>
      </w:pPr>
    </w:p>
    <w:p>
      <w:pPr>
        <w:ind w:left="1360" w:hanging="441"/>
        <w:spacing w:after="0" w:line="260"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1360" w:right="140" w:hanging="441"/>
        <w:spacing w:after="0" w:line="260"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jc w:val="both"/>
        <w:ind w:left="1360" w:right="320" w:hanging="441"/>
        <w:spacing w:after="0" w:line="336" w:lineRule="auto"/>
        <w:tabs>
          <w:tab w:leader="none" w:pos="1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1360" w:hanging="441"/>
        <w:spacing w:after="0" w:line="260"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8"/>
          <w:szCs w:val="18"/>
          <w:color w:val="auto"/>
        </w:rPr>
      </w:pPr>
    </w:p>
    <w:p>
      <w:pPr>
        <w:ind w:left="340" w:right="460" w:hanging="333"/>
        <w:spacing w:after="0" w:line="302"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1" w:lineRule="exact"/>
        <w:rPr>
          <w:rFonts w:ascii="Arial" w:cs="Arial" w:eastAsia="Arial" w:hAnsi="Arial"/>
          <w:sz w:val="17"/>
          <w:szCs w:val="17"/>
          <w:color w:val="auto"/>
        </w:rPr>
      </w:pPr>
    </w:p>
    <w:p>
      <w:pPr>
        <w:ind w:left="1360" w:right="540" w:hanging="441"/>
        <w:spacing w:after="0" w:line="336" w:lineRule="auto"/>
        <w:tabs>
          <w:tab w:leader="none" w:pos="1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360" w:right="220" w:hanging="441"/>
        <w:spacing w:after="0" w:line="272"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2010</w:t>
      </w:r>
    </w:p>
    <w:p>
      <w:pPr>
        <w:spacing w:after="0" w:line="200" w:lineRule="exact"/>
        <w:rPr>
          <w:sz w:val="20"/>
          <w:szCs w:val="20"/>
          <w:color w:val="auto"/>
        </w:rPr>
      </w:pPr>
    </w:p>
    <w:p>
      <w:pPr>
        <w:spacing w:after="0" w:line="23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Christopher Lindop</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Christopher Lindop, Chief Financial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4024630</wp:posOffset>
            </wp:positionH>
            <wp:positionV relativeFrom="paragraph">
              <wp:posOffset>-130175</wp:posOffset>
            </wp:positionV>
            <wp:extent cx="23844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84425"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Vice President Business Development</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320"/>
          </w:cols>
          <w:pgMar w:left="240" w:top="1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3, 2010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2010</w:t>
      </w:r>
    </w:p>
    <w:p>
      <w:pPr>
        <w:spacing w:after="0" w:line="200" w:lineRule="exact"/>
        <w:rPr>
          <w:sz w:val="20"/>
          <w:szCs w:val="20"/>
          <w:color w:val="auto"/>
        </w:rPr>
      </w:pPr>
    </w:p>
    <w:p>
      <w:pPr>
        <w:spacing w:after="0" w:line="23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Brian Concannon</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-130175</wp:posOffset>
            </wp:positionV>
            <wp:extent cx="34747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472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3, 2010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2010</w:t>
      </w:r>
    </w:p>
    <w:p>
      <w:pPr>
        <w:spacing w:after="0" w:line="200" w:lineRule="exact"/>
        <w:rPr>
          <w:sz w:val="20"/>
          <w:szCs w:val="20"/>
          <w:color w:val="auto"/>
        </w:rPr>
      </w:pPr>
    </w:p>
    <w:p>
      <w:pPr>
        <w:spacing w:after="0" w:line="23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Christopher Lindop</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-130175</wp:posOffset>
            </wp:positionV>
            <wp:extent cx="34747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472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Chief Financial Officer and Vice President</w:t>
      </w:r>
    </w:p>
    <w:p>
      <w:pPr>
        <w:spacing w:after="0" w:line="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2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9"/>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2019-12-10T03:59:37Z</dcterms:created>
  <dcterms:modified xsi:type="dcterms:W3CDTF">2019-12-10T03:59:37Z</dcterms:modified>
</cp:coreProperties>
</file>