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December 29, 2012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001-14041</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4"/>
          <w:szCs w:val="24"/>
          <w:color w:val="auto"/>
        </w:rPr>
      </w:pPr>
    </w:p>
    <w:tbl>
      <w:tblPr>
        <w:tblLayout w:type="fixed"/>
        <w:tblInd w:w="1460" w:type="dxa"/>
        <w:tblCellMar>
          <w:top w:w="0" w:type="dxa"/>
          <w:left w:w="0" w:type="dxa"/>
          <w:bottom w:w="0" w:type="dxa"/>
          <w:right w:w="0" w:type="dxa"/>
        </w:tblCellMar>
      </w:tblPr>
      <w:tr>
        <w:trPr>
          <w:trHeight w:val="220"/>
        </w:trPr>
        <w:tc>
          <w:tcPr>
            <w:tcW w:w="2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5"/>
              </w:rPr>
              <w:t>Massachusetts</w:t>
            </w:r>
          </w:p>
        </w:tc>
        <w:tc>
          <w:tcPr>
            <w:tcW w:w="6000" w:type="dxa"/>
            <w:vAlign w:val="bottom"/>
            <w:vMerge w:val="restart"/>
          </w:tcPr>
          <w:p>
            <w:pPr>
              <w:jc w:val="right"/>
              <w:ind w:right="770"/>
              <w:spacing w:after="0"/>
              <w:rPr>
                <w:sz w:val="20"/>
                <w:szCs w:val="20"/>
                <w:color w:val="auto"/>
              </w:rPr>
            </w:pPr>
            <w:r>
              <w:rPr>
                <w:rFonts w:ascii="Arial" w:cs="Arial" w:eastAsia="Arial" w:hAnsi="Arial"/>
                <w:sz w:val="18"/>
                <w:szCs w:val="18"/>
                <w:b w:val="1"/>
                <w:bCs w:val="1"/>
                <w:color w:val="auto"/>
              </w:rPr>
              <w:t>04-2882273</w:t>
            </w:r>
          </w:p>
        </w:tc>
        <w:tc>
          <w:tcPr>
            <w:tcW w:w="0" w:type="dxa"/>
            <w:vAlign w:val="bottom"/>
          </w:tcPr>
          <w:p>
            <w:pPr>
              <w:spacing w:after="0"/>
              <w:rPr>
                <w:sz w:val="1"/>
                <w:szCs w:val="1"/>
                <w:color w:val="auto"/>
              </w:rPr>
            </w:pPr>
          </w:p>
        </w:tc>
      </w:tr>
      <w:tr>
        <w:trPr>
          <w:trHeight w:val="108"/>
        </w:trPr>
        <w:tc>
          <w:tcPr>
            <w:tcW w:w="2580" w:type="dxa"/>
            <w:vAlign w:val="bottom"/>
            <w:vMerge w:val="restart"/>
          </w:tcPr>
          <w:p>
            <w:pPr>
              <w:jc w:val="center"/>
              <w:ind w:right="150"/>
              <w:spacing w:after="0"/>
              <w:rPr>
                <w:sz w:val="20"/>
                <w:szCs w:val="20"/>
                <w:color w:val="auto"/>
              </w:rPr>
            </w:pPr>
            <w:r>
              <w:rPr>
                <w:rFonts w:ascii="Arial" w:cs="Arial" w:eastAsia="Arial" w:hAnsi="Arial"/>
                <w:sz w:val="18"/>
                <w:szCs w:val="18"/>
                <w:color w:val="auto"/>
                <w:w w:val="92"/>
              </w:rPr>
              <w:t>(State or other jurisdiction</w:t>
            </w:r>
          </w:p>
        </w:tc>
        <w:tc>
          <w:tcPr>
            <w:tcW w:w="6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vMerge w:val="restart"/>
          </w:tcPr>
          <w:p>
            <w:pPr>
              <w:jc w:val="center"/>
              <w:ind w:left="331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122"/>
        </w:trPr>
        <w:tc>
          <w:tcPr>
            <w:tcW w:w="258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of incorporation or organization)</w:t>
            </w:r>
          </w:p>
        </w:tc>
        <w:tc>
          <w:tcPr>
            <w:tcW w:w="6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580" w:type="dxa"/>
            <w:vAlign w:val="bottom"/>
            <w:vMerge w:val="continue"/>
          </w:tcPr>
          <w:p>
            <w:pPr>
              <w:spacing w:after="0"/>
              <w:rPr>
                <w:sz w:val="9"/>
                <w:szCs w:val="9"/>
                <w:color w:val="auto"/>
              </w:rPr>
            </w:pPr>
          </w:p>
        </w:tc>
        <w:tc>
          <w:tcPr>
            <w:tcW w:w="6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9"/>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b w:val="1"/>
                <w:bCs w:val="1"/>
                <w:color w:val="auto"/>
                <w:w w:val="92"/>
              </w:rPr>
              <w:t>400 Wood Road, Braintree, MA 02184</w:t>
            </w:r>
          </w:p>
        </w:tc>
        <w:tc>
          <w:tcPr>
            <w:tcW w:w="0" w:type="dxa"/>
            <w:vAlign w:val="bottom"/>
          </w:tcPr>
          <w:p>
            <w:pPr>
              <w:spacing w:after="0"/>
              <w:rPr>
                <w:sz w:val="1"/>
                <w:szCs w:val="1"/>
                <w:color w:val="auto"/>
              </w:rPr>
            </w:pPr>
          </w:p>
        </w:tc>
      </w:tr>
      <w:tr>
        <w:trPr>
          <w:trHeight w:val="432"/>
        </w:trPr>
        <w:tc>
          <w:tcPr>
            <w:tcW w:w="2580" w:type="dxa"/>
            <w:vAlign w:val="bottom"/>
          </w:tcPr>
          <w:p>
            <w:pPr>
              <w:spacing w:after="0"/>
              <w:rPr>
                <w:sz w:val="24"/>
                <w:szCs w:val="24"/>
                <w:color w:val="auto"/>
              </w:rPr>
            </w:pPr>
          </w:p>
        </w:tc>
        <w:tc>
          <w:tcPr>
            <w:tcW w:w="6000" w:type="dxa"/>
            <w:vAlign w:val="bottom"/>
          </w:tcPr>
          <w:p>
            <w:pPr>
              <w:jc w:val="center"/>
              <w:ind w:right="2570"/>
              <w:spacing w:after="0"/>
              <w:rPr>
                <w:sz w:val="20"/>
                <w:szCs w:val="20"/>
                <w:color w:val="auto"/>
              </w:rPr>
            </w:pPr>
            <w:r>
              <w:rPr>
                <w:rFonts w:ascii="Arial" w:cs="Arial" w:eastAsia="Arial" w:hAnsi="Arial"/>
                <w:sz w:val="18"/>
                <w:szCs w:val="18"/>
                <w:color w:val="auto"/>
                <w:w w:val="92"/>
              </w:rPr>
              <w:t>(Address of principal executive offices)</w:t>
            </w: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4"/>
          <w:szCs w:val="24"/>
          <w:color w:val="auto"/>
        </w:rPr>
      </w:pPr>
    </w:p>
    <w:p>
      <w:pPr>
        <w:ind w:right="8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95" w:lineRule="exact"/>
        <w:rPr>
          <w:sz w:val="24"/>
          <w:szCs w:val="24"/>
          <w:color w:val="auto"/>
        </w:rPr>
      </w:pPr>
    </w:p>
    <w:p>
      <w:pPr>
        <w:jc w:val="center"/>
        <w:ind w:right="80"/>
        <w:spacing w:after="0" w:line="207" w:lineRule="exact"/>
        <w:tabs>
          <w:tab w:leader="none" w:pos="5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No o</w:t>
      </w:r>
    </w:p>
    <w:p>
      <w:pPr>
        <w:spacing w:after="0" w:line="177"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pacing w:after="0" w:line="37" w:lineRule="exact"/>
        <w:rPr>
          <w:sz w:val="24"/>
          <w:szCs w:val="24"/>
          <w:color w:val="auto"/>
        </w:rPr>
      </w:pPr>
    </w:p>
    <w:p>
      <w:pPr>
        <w:ind w:left="420"/>
        <w:spacing w:after="0" w:line="207" w:lineRule="exact"/>
        <w:tabs>
          <w:tab w:leader="none" w:pos="3400" w:val="left"/>
          <w:tab w:leader="none" w:pos="5960" w:val="left"/>
          <w:tab w:leader="none" w:pos="8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39" w:lineRule="exact"/>
        <w:rPr>
          <w:sz w:val="24"/>
          <w:szCs w:val="24"/>
          <w:color w:val="auto"/>
        </w:rPr>
      </w:pPr>
    </w:p>
    <w:p>
      <w:pPr>
        <w:ind w:left="5060"/>
        <w:spacing w:after="0" w:line="207" w:lineRule="exact"/>
        <w:tabs>
          <w:tab w:leader="none" w:pos="596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The number of shares of $0.01 par value common stock outstanding as of December 29, 2012: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51,638,739</w:t>
      </w:r>
    </w:p>
    <w:p>
      <w:pPr>
        <w:sectPr>
          <w:pgSz w:w="11900" w:h="16838" w:orient="portrait"/>
          <w:cols w:equalWidth="0" w:num="1">
            <w:col w:w="11420"/>
          </w:cols>
          <w:pgMar w:left="240" w:top="22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2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PAGE</w:t>
            </w:r>
          </w:p>
        </w:tc>
      </w:tr>
      <w:tr>
        <w:trPr>
          <w:trHeight w:val="203"/>
        </w:trPr>
        <w:tc>
          <w:tcPr>
            <w:tcW w:w="40" w:type="dxa"/>
            <w:vAlign w:val="bottom"/>
          </w:tcPr>
          <w:p>
            <w:pPr>
              <w:spacing w:after="0"/>
              <w:rPr>
                <w:sz w:val="17"/>
                <w:szCs w:val="17"/>
                <w:color w:val="auto"/>
              </w:rPr>
            </w:pPr>
          </w:p>
        </w:tc>
        <w:tc>
          <w:tcPr>
            <w:tcW w:w="10360" w:type="dxa"/>
            <w:vAlign w:val="bottom"/>
            <w:gridSpan w:val="19"/>
          </w:tcPr>
          <w:p>
            <w:pPr>
              <w:spacing w:after="0" w:line="202" w:lineRule="exact"/>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r>
      <w:tr>
        <w:trPr>
          <w:trHeight w:val="520"/>
        </w:trPr>
        <w:tc>
          <w:tcPr>
            <w:tcW w:w="40" w:type="dxa"/>
            <w:vAlign w:val="bottom"/>
          </w:tcPr>
          <w:p>
            <w:pPr>
              <w:spacing w:after="0"/>
              <w:rPr>
                <w:sz w:val="24"/>
                <w:szCs w:val="24"/>
                <w:color w:val="auto"/>
              </w:rPr>
            </w:pPr>
          </w:p>
        </w:tc>
        <w:tc>
          <w:tcPr>
            <w:tcW w:w="2320" w:type="dxa"/>
            <w:vAlign w:val="bottom"/>
            <w:tcBorders>
              <w:top w:val="single" w:sz="8" w:color="0000FF"/>
              <w:bottom w:val="single" w:sz="8" w:color="0000FF"/>
            </w:tcBorders>
            <w:gridSpan w:val="7"/>
          </w:tcPr>
          <w:p>
            <w:pPr>
              <w:spacing w:after="0"/>
              <w:rPr>
                <w:rFonts w:ascii="Arial" w:cs="Arial" w:eastAsia="Arial" w:hAnsi="Arial"/>
                <w:sz w:val="18"/>
                <w:szCs w:val="18"/>
                <w:b w:val="1"/>
                <w:bCs w:val="1"/>
                <w:color w:val="0000FF"/>
                <w:w w:val="92"/>
              </w:rPr>
            </w:pPr>
            <w:hyperlink w:anchor="page3">
              <w:r>
                <w:rPr>
                  <w:rFonts w:ascii="Arial" w:cs="Arial" w:eastAsia="Arial" w:hAnsi="Arial"/>
                  <w:sz w:val="18"/>
                  <w:szCs w:val="18"/>
                  <w:b w:val="1"/>
                  <w:bCs w:val="1"/>
                  <w:color w:val="0000FF"/>
                  <w:w w:val="92"/>
                </w:rPr>
                <w:t>ITEM 1. Financial Statements</w:t>
              </w:r>
            </w:hyperlink>
          </w:p>
        </w:tc>
        <w:tc>
          <w:tcPr>
            <w:tcW w:w="740" w:type="dxa"/>
            <w:vAlign w:val="bottom"/>
            <w:tcBorders>
              <w:top w:val="single" w:sz="8" w:color="0000FF"/>
            </w:tcBorders>
            <w:gridSpan w:val="3"/>
          </w:tcPr>
          <w:p>
            <w:pPr>
              <w:spacing w:after="0"/>
              <w:rPr>
                <w:sz w:val="24"/>
                <w:szCs w:val="24"/>
                <w:color w:val="auto"/>
              </w:rPr>
            </w:pPr>
          </w:p>
        </w:tc>
        <w:tc>
          <w:tcPr>
            <w:tcW w:w="7300" w:type="dxa"/>
            <w:vAlign w:val="bottom"/>
            <w:gridSpan w:val="9"/>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520"/>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FF"/>
                <w:w w:val="95"/>
              </w:rPr>
            </w:pPr>
            <w:hyperlink w:anchor="page3">
              <w:r>
                <w:rPr>
                  <w:rFonts w:ascii="Arial" w:cs="Arial" w:eastAsia="Arial" w:hAnsi="Arial"/>
                  <w:sz w:val="18"/>
                  <w:szCs w:val="18"/>
                  <w:color w:val="0000FF"/>
                  <w:w w:val="95"/>
                </w:rPr>
                <w:t>Unaudited Consolidated Statements of Income and Comprehensive Income— Three and Nine Months Ended December 29, 2012 and</w:t>
              </w:r>
            </w:hyperlink>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3</w:t>
              </w:r>
            </w:hyperlink>
          </w:p>
        </w:tc>
        <w:tc>
          <w:tcPr>
            <w:tcW w:w="460" w:type="dxa"/>
            <w:vAlign w:val="bottom"/>
          </w:tcPr>
          <w:p>
            <w:pPr>
              <w:spacing w:after="0"/>
              <w:rPr>
                <w:sz w:val="24"/>
                <w:szCs w:val="24"/>
                <w:color w:val="auto"/>
              </w:rPr>
            </w:pPr>
          </w:p>
        </w:tc>
      </w:tr>
      <w:tr>
        <w:trPr>
          <w:trHeight w:val="196"/>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7"/>
              </w:rPr>
            </w:pPr>
            <w:hyperlink w:anchor="page3">
              <w:r>
                <w:rPr>
                  <w:rFonts w:ascii="Arial" w:cs="Arial" w:eastAsia="Arial" w:hAnsi="Arial"/>
                  <w:sz w:val="18"/>
                  <w:szCs w:val="18"/>
                  <w:color w:val="0000FF"/>
                  <w:w w:val="87"/>
                </w:rPr>
                <w:t>December 31, 2011</w:t>
              </w:r>
            </w:hyperlink>
          </w:p>
        </w:tc>
        <w:tc>
          <w:tcPr>
            <w:tcW w:w="8220" w:type="dxa"/>
            <w:vAlign w:val="bottom"/>
            <w:tcBorders>
              <w:top w:val="single" w:sz="8" w:color="0000FF"/>
            </w:tcBorders>
            <w:gridSpan w:val="14"/>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46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2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Unaudited Consolidated Balance Sheets — December 29, 2012 and March 31, 201</w:t>
              </w:r>
            </w:hyperlink>
            <w:r>
              <w:rPr>
                <w:rFonts w:ascii="Arial" w:cs="Arial" w:eastAsia="Arial" w:hAnsi="Arial"/>
                <w:sz w:val="18"/>
                <w:szCs w:val="18"/>
                <w:color w:val="0033CC"/>
              </w:rPr>
              <w:t>2</w:t>
            </w:r>
          </w:p>
        </w:tc>
        <w:tc>
          <w:tcPr>
            <w:tcW w:w="560" w:type="dxa"/>
            <w:vAlign w:val="bottom"/>
            <w:gridSpan w:val="2"/>
          </w:tcPr>
          <w:p>
            <w:pPr>
              <w:jc w:val="center"/>
              <w:ind w:left="371"/>
              <w:spacing w:after="0"/>
              <w:rPr>
                <w:rFonts w:ascii="Arial" w:cs="Arial" w:eastAsia="Arial" w:hAnsi="Arial"/>
                <w:sz w:val="18"/>
                <w:szCs w:val="18"/>
                <w:color w:val="0000FF"/>
                <w:w w:val="99"/>
              </w:rPr>
            </w:pPr>
            <w:hyperlink w:anchor="page3">
              <w:r>
                <w:rPr>
                  <w:rFonts w:ascii="Arial" w:cs="Arial" w:eastAsia="Arial" w:hAnsi="Arial"/>
                  <w:sz w:val="18"/>
                  <w:szCs w:val="18"/>
                  <w:color w:val="0000FF"/>
                  <w:w w:val="99"/>
                </w:rPr>
                <w:t>4</w:t>
              </w:r>
            </w:hyperlink>
          </w:p>
        </w:tc>
        <w:tc>
          <w:tcPr>
            <w:tcW w:w="46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33CC"/>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0" w:type="dxa"/>
            <w:vAlign w:val="bottom"/>
            <w:tcBorders>
              <w:bottom w:val="single" w:sz="8" w:color="0000FF"/>
            </w:tcBorders>
            <w:gridSpan w:val="16"/>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Unaudited Consolidated Statements of Cash Flows — Nine Months Ended December 29, 2012 and December 31, 2011</w:t>
              </w:r>
            </w:hyperlink>
          </w:p>
        </w:tc>
        <w:tc>
          <w:tcPr>
            <w:tcW w:w="1620" w:type="dxa"/>
            <w:vAlign w:val="bottom"/>
            <w:gridSpan w:val="2"/>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5</w:t>
              </w:r>
            </w:hyperlink>
          </w:p>
        </w:tc>
        <w:tc>
          <w:tcPr>
            <w:tcW w:w="460" w:type="dxa"/>
            <w:vAlign w:val="bottom"/>
          </w:tcPr>
          <w:p>
            <w:pPr>
              <w:spacing w:after="0"/>
              <w:rPr>
                <w:sz w:val="21"/>
                <w:szCs w:val="21"/>
                <w:color w:val="auto"/>
              </w:rPr>
            </w:pPr>
          </w:p>
        </w:tc>
      </w:tr>
      <w:tr>
        <w:trPr>
          <w:trHeight w:val="250"/>
        </w:trPr>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94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5">
              <w:r>
                <w:rPr>
                  <w:rFonts w:ascii="Arial" w:cs="Arial" w:eastAsia="Arial" w:hAnsi="Arial"/>
                  <w:sz w:val="18"/>
                  <w:szCs w:val="18"/>
                  <w:color w:val="0000FF"/>
                  <w:w w:val="89"/>
                </w:rPr>
                <w:t>Notes to Unaudited Consolidated Financial Statements</w:t>
              </w:r>
            </w:hyperlink>
          </w:p>
        </w:tc>
        <w:tc>
          <w:tcPr>
            <w:tcW w:w="6280" w:type="dxa"/>
            <w:vAlign w:val="bottom"/>
            <w:gridSpan w:val="7"/>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Borders>
              <w:bottom w:val="single" w:sz="8" w:color="0000FF"/>
            </w:tcBorders>
          </w:tcPr>
          <w:p>
            <w:pPr>
              <w:jc w:val="cente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6</w:t>
              </w:r>
            </w:hyperlink>
          </w:p>
        </w:tc>
        <w:tc>
          <w:tcPr>
            <w:tcW w:w="460" w:type="dxa"/>
            <w:vAlign w:val="bottom"/>
          </w:tcPr>
          <w:p>
            <w:pPr>
              <w:spacing w:after="0"/>
              <w:rPr>
                <w:sz w:val="21"/>
                <w:szCs w:val="21"/>
                <w:color w:val="auto"/>
              </w:rPr>
            </w:pPr>
          </w:p>
        </w:tc>
      </w:tr>
      <w:tr>
        <w:trPr>
          <w:trHeight w:val="520"/>
        </w:trPr>
        <w:tc>
          <w:tcPr>
            <w:tcW w:w="4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b w:val="1"/>
                <w:bCs w:val="1"/>
                <w:color w:val="0000FF"/>
              </w:rPr>
            </w:pPr>
            <w:hyperlink w:anchor="page19">
              <w:r>
                <w:rPr>
                  <w:rFonts w:ascii="Arial" w:cs="Arial" w:eastAsia="Arial" w:hAnsi="Arial"/>
                  <w:sz w:val="18"/>
                  <w:szCs w:val="18"/>
                  <w:b w:val="1"/>
                  <w:bCs w:val="1"/>
                  <w:color w:val="0000FF"/>
                </w:rPr>
                <w:t>ITEM 2. Managements Discussion and Analysis of Financial Condition and Results of Operations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19">
              <w:r>
                <w:rPr>
                  <w:rFonts w:ascii="Arial" w:cs="Arial" w:eastAsia="Arial" w:hAnsi="Arial"/>
                  <w:sz w:val="18"/>
                  <w:szCs w:val="18"/>
                  <w:color w:val="0000FF"/>
                  <w:w w:val="89"/>
                </w:rPr>
                <w:t>19</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220" w:type="dxa"/>
            <w:vAlign w:val="bottom"/>
            <w:tcBorders>
              <w:left w:val="single" w:sz="8" w:color="0000FF"/>
            </w:tcBorders>
            <w:gridSpan w:val="3"/>
            <w:shd w:val="clear" w:color="auto" w:fill="0000FF"/>
          </w:tcPr>
          <w:p>
            <w:pPr>
              <w:spacing w:after="0" w:line="20" w:lineRule="exact"/>
              <w:rPr>
                <w:sz w:val="1"/>
                <w:szCs w:val="1"/>
                <w:color w:val="auto"/>
              </w:rPr>
            </w:pPr>
          </w:p>
        </w:tc>
        <w:tc>
          <w:tcPr>
            <w:tcW w:w="2880" w:type="dxa"/>
            <w:vAlign w:val="bottom"/>
            <w:gridSpan w:val="3"/>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7480" w:type="dxa"/>
            <w:vAlign w:val="bottom"/>
            <w:gridSpan w:val="16"/>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ITEM 3. Quantitative and Qualitative Disclosures about Market Risk</w:t>
              </w:r>
            </w:hyperlink>
          </w:p>
        </w:tc>
        <w:tc>
          <w:tcPr>
            <w:tcW w:w="2880" w:type="dxa"/>
            <w:vAlign w:val="bottom"/>
            <w:gridSpan w:val="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tcBorders>
              <w:left w:val="single" w:sz="8" w:color="0000FF"/>
            </w:tcBorders>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620" w:type="dxa"/>
            <w:vAlign w:val="bottom"/>
            <w:gridSpan w:val="8"/>
          </w:tcPr>
          <w:p>
            <w:pPr>
              <w:spacing w:after="0"/>
              <w:rPr>
                <w:rFonts w:ascii="Arial" w:cs="Arial" w:eastAsia="Arial" w:hAnsi="Arial"/>
                <w:sz w:val="18"/>
                <w:szCs w:val="18"/>
                <w:b w:val="1"/>
                <w:bCs w:val="1"/>
                <w:color w:val="0000FF"/>
                <w:w w:val="91"/>
              </w:rPr>
            </w:pPr>
            <w:hyperlink w:anchor="page30">
              <w:r>
                <w:rPr>
                  <w:rFonts w:ascii="Arial" w:cs="Arial" w:eastAsia="Arial" w:hAnsi="Arial"/>
                  <w:sz w:val="18"/>
                  <w:szCs w:val="18"/>
                  <w:b w:val="1"/>
                  <w:bCs w:val="1"/>
                  <w:color w:val="0000FF"/>
                  <w:w w:val="91"/>
                </w:rPr>
                <w:t>ITEM 4. Controls and Procedures</w:t>
              </w:r>
            </w:hyperlink>
          </w:p>
        </w:tc>
        <w:tc>
          <w:tcPr>
            <w:tcW w:w="2640" w:type="dxa"/>
            <w:vAlign w:val="bottom"/>
            <w:gridSpan w:val="5"/>
          </w:tcPr>
          <w:p>
            <w:pPr>
              <w:spacing w:after="0"/>
              <w:rPr>
                <w:sz w:val="24"/>
                <w:szCs w:val="24"/>
                <w:color w:val="auto"/>
              </w:rPr>
            </w:pPr>
          </w:p>
        </w:tc>
        <w:tc>
          <w:tcPr>
            <w:tcW w:w="5100" w:type="dxa"/>
            <w:vAlign w:val="bottom"/>
            <w:gridSpan w:val="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b w:val="1"/>
                <w:bCs w:val="1"/>
                <w:color w:val="0000FF"/>
              </w:rPr>
            </w:pPr>
            <w:hyperlink w:anchor="page30">
              <w:r>
                <w:rPr>
                  <w:rFonts w:ascii="Arial" w:cs="Arial" w:eastAsia="Arial" w:hAnsi="Arial"/>
                  <w:sz w:val="18"/>
                  <w:szCs w:val="18"/>
                  <w:b w:val="1"/>
                  <w:bCs w:val="1"/>
                  <w:color w:val="0000FF"/>
                </w:rPr>
                <w:t>PART II. OTHER INFORMATION</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0">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760" w:type="dxa"/>
            <w:vAlign w:val="bottom"/>
            <w:gridSpan w:val="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 Legal Proceedings</w:t>
              </w:r>
            </w:hyperlink>
          </w:p>
        </w:tc>
        <w:tc>
          <w:tcPr>
            <w:tcW w:w="7600" w:type="dxa"/>
            <w:vAlign w:val="bottom"/>
            <w:gridSpan w:val="10"/>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100" w:type="dxa"/>
            <w:vAlign w:val="bottom"/>
            <w:gridSpan w:val="6"/>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1A. Risk Factors</w:t>
              </w:r>
            </w:hyperlink>
          </w:p>
        </w:tc>
        <w:tc>
          <w:tcPr>
            <w:tcW w:w="8260" w:type="dxa"/>
            <w:vAlign w:val="bottom"/>
            <w:gridSpan w:val="13"/>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2. Unregistered Sales of Equity Securities and Use of Proceeds</w:t>
              </w:r>
            </w:hyperlink>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3120" w:type="dxa"/>
            <w:vAlign w:val="bottom"/>
            <w:gridSpan w:val="11"/>
          </w:tcPr>
          <w:p>
            <w:pPr>
              <w:spacing w:after="0"/>
              <w:rPr>
                <w:rFonts w:ascii="Arial" w:cs="Arial" w:eastAsia="Arial" w:hAnsi="Arial"/>
                <w:sz w:val="18"/>
                <w:szCs w:val="18"/>
                <w:b w:val="1"/>
                <w:bCs w:val="1"/>
                <w:color w:val="0000FF"/>
                <w:w w:val="91"/>
              </w:rPr>
            </w:pPr>
            <w:hyperlink w:anchor="page31">
              <w:r>
                <w:rPr>
                  <w:rFonts w:ascii="Arial" w:cs="Arial" w:eastAsia="Arial" w:hAnsi="Arial"/>
                  <w:sz w:val="18"/>
                  <w:szCs w:val="18"/>
                  <w:b w:val="1"/>
                  <w:bCs w:val="1"/>
                  <w:color w:val="0000FF"/>
                  <w:w w:val="91"/>
                </w:rPr>
                <w:t>ITEM 3. Defaults upon Senior Securities</w:t>
              </w:r>
            </w:hyperlink>
          </w:p>
        </w:tc>
        <w:tc>
          <w:tcPr>
            <w:tcW w:w="2140" w:type="dxa"/>
            <w:vAlign w:val="bottom"/>
            <w:gridSpan w:val="2"/>
          </w:tcPr>
          <w:p>
            <w:pPr>
              <w:spacing w:after="0"/>
              <w:rPr>
                <w:sz w:val="24"/>
                <w:szCs w:val="24"/>
                <w:color w:val="auto"/>
              </w:rPr>
            </w:pPr>
          </w:p>
        </w:tc>
        <w:tc>
          <w:tcPr>
            <w:tcW w:w="5100" w:type="dxa"/>
            <w:vAlign w:val="bottom"/>
            <w:gridSpan w:val="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7240" w:type="dxa"/>
            <w:vAlign w:val="bottom"/>
            <w:gridSpan w:val="8"/>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3120" w:type="dxa"/>
            <w:vAlign w:val="bottom"/>
            <w:gridSpan w:val="11"/>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4. (Removed and Reserved)</w:t>
              </w:r>
            </w:hyperlink>
          </w:p>
        </w:tc>
        <w:tc>
          <w:tcPr>
            <w:tcW w:w="7240" w:type="dxa"/>
            <w:vAlign w:val="bottom"/>
            <w:gridSpan w:val="8"/>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0360" w:type="dxa"/>
            <w:vAlign w:val="bottom"/>
            <w:gridSpan w:val="19"/>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 xml:space="preserve">ITEM 5. </w:t>
              </w:r>
            </w:hyperlink>
            <w:r>
              <w:rPr>
                <w:rFonts w:ascii="Arial" w:cs="Arial" w:eastAsia="Arial" w:hAnsi="Arial"/>
                <w:sz w:val="18"/>
                <w:szCs w:val="18"/>
                <w:b w:val="1"/>
                <w:bCs w:val="1"/>
                <w:color w:val="0000FF"/>
              </w:rPr>
              <w:t>(Removed and Reserved)</w:t>
            </w: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2620" w:type="dxa"/>
            <w:vAlign w:val="bottom"/>
            <w:gridSpan w:val="8"/>
          </w:tcPr>
          <w:p>
            <w:pPr>
              <w:spacing w:after="0"/>
              <w:rPr>
                <w:rFonts w:ascii="Arial" w:cs="Arial" w:eastAsia="Arial" w:hAnsi="Arial"/>
                <w:sz w:val="18"/>
                <w:szCs w:val="18"/>
                <w:b w:val="1"/>
                <w:bCs w:val="1"/>
                <w:color w:val="0000FF"/>
              </w:rPr>
            </w:pPr>
            <w:hyperlink w:anchor="page31">
              <w:r>
                <w:rPr>
                  <w:rFonts w:ascii="Arial" w:cs="Arial" w:eastAsia="Arial" w:hAnsi="Arial"/>
                  <w:sz w:val="18"/>
                  <w:szCs w:val="18"/>
                  <w:b w:val="1"/>
                  <w:bCs w:val="1"/>
                  <w:color w:val="0000FF"/>
                </w:rPr>
                <w:t>ITEM 6. Exhibits</w:t>
              </w:r>
            </w:hyperlink>
          </w:p>
        </w:tc>
        <w:tc>
          <w:tcPr>
            <w:tcW w:w="7740" w:type="dxa"/>
            <w:vAlign w:val="bottom"/>
            <w:gridSpan w:val="11"/>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32</w:t>
              </w:r>
            </w:hyperlink>
          </w:p>
        </w:tc>
        <w:tc>
          <w:tcPr>
            <w:tcW w:w="4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020" w:type="dxa"/>
            <w:vAlign w:val="bottom"/>
            <w:gridSpan w:val="16"/>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520"/>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Signatures</w:t>
              </w:r>
            </w:hyperlink>
          </w:p>
        </w:tc>
        <w:tc>
          <w:tcPr>
            <w:tcW w:w="9020" w:type="dxa"/>
            <w:vAlign w:val="bottom"/>
            <w:gridSpan w:val="16"/>
          </w:tcPr>
          <w:p>
            <w:pPr>
              <w:spacing w:after="0"/>
              <w:rPr>
                <w:sz w:val="24"/>
                <w:szCs w:val="24"/>
                <w:color w:val="auto"/>
              </w:rPr>
            </w:pPr>
          </w:p>
        </w:tc>
        <w:tc>
          <w:tcPr>
            <w:tcW w:w="560" w:type="dxa"/>
            <w:vAlign w:val="bottom"/>
            <w:gridSpan w:val="2"/>
          </w:tcPr>
          <w:p>
            <w:pPr>
              <w:jc w:val="center"/>
              <w:ind w:left="291"/>
              <w:spacing w:after="0"/>
              <w:rPr>
                <w:rFonts w:ascii="Arial" w:cs="Arial" w:eastAsia="Arial" w:hAnsi="Arial"/>
                <w:sz w:val="18"/>
                <w:szCs w:val="18"/>
                <w:color w:val="0000FF"/>
                <w:w w:val="89"/>
              </w:rPr>
            </w:pPr>
            <w:hyperlink w:anchor="page32">
              <w:r>
                <w:rPr>
                  <w:rFonts w:ascii="Arial" w:cs="Arial" w:eastAsia="Arial" w:hAnsi="Arial"/>
                  <w:sz w:val="18"/>
                  <w:szCs w:val="18"/>
                  <w:color w:val="0000FF"/>
                  <w:w w:val="89"/>
                </w:rPr>
                <w:t>33</w:t>
              </w:r>
            </w:hyperlink>
          </w:p>
        </w:tc>
        <w:tc>
          <w:tcPr>
            <w:tcW w:w="460" w:type="dxa"/>
            <w:vAlign w:val="bottom"/>
          </w:tcPr>
          <w:p>
            <w:pPr>
              <w:spacing w:after="0"/>
              <w:rPr>
                <w:sz w:val="24"/>
                <w:szCs w:val="24"/>
                <w:color w:val="auto"/>
              </w:rPr>
            </w:pPr>
          </w:p>
        </w:tc>
      </w:tr>
      <w:tr>
        <w:trPr>
          <w:trHeight w:val="20"/>
        </w:trPr>
        <w:tc>
          <w:tcPr>
            <w:tcW w:w="180" w:type="dxa"/>
            <w:vAlign w:val="bottom"/>
            <w:gridSpan w:val="2"/>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9480" w:type="dxa"/>
            <w:vAlign w:val="bottom"/>
            <w:gridSpan w:val="17"/>
          </w:tcPr>
          <w:p>
            <w:pPr>
              <w:spacing w:after="0" w:line="20" w:lineRule="exact"/>
              <w:rPr>
                <w:sz w:val="1"/>
                <w:szCs w:val="1"/>
                <w:color w:val="auto"/>
              </w:rPr>
            </w:pPr>
          </w:p>
        </w:tc>
        <w:tc>
          <w:tcPr>
            <w:tcW w:w="4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r>
      <w:tr>
        <w:trPr>
          <w:trHeight w:val="291"/>
        </w:trPr>
        <w:tc>
          <w:tcPr>
            <w:tcW w:w="10400" w:type="dxa"/>
            <w:vAlign w:val="bottom"/>
            <w:gridSpan w:val="20"/>
          </w:tcPr>
          <w:p>
            <w:pPr>
              <w:spacing w:after="0"/>
              <w:rPr>
                <w:sz w:val="20"/>
                <w:szCs w:val="20"/>
                <w:color w:val="auto"/>
              </w:rPr>
            </w:pPr>
            <w:r>
              <w:rPr>
                <w:rFonts w:ascii="Arial" w:cs="Arial" w:eastAsia="Arial" w:hAnsi="Arial"/>
                <w:sz w:val="18"/>
                <w:szCs w:val="18"/>
                <w:color w:val="auto"/>
              </w:rPr>
              <w:t>EX-3.1 PRO FORMA AMENDED AND RESTATED ARTICLES OF ORGANIZATION OF HAEMONETICS CORPORATION</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0360" w:type="dxa"/>
            <w:vAlign w:val="bottom"/>
            <w:gridSpan w:val="19"/>
          </w:tcPr>
          <w:p>
            <w:pPr>
              <w:ind w:left="20"/>
              <w:spacing w:after="0"/>
              <w:rPr>
                <w:sz w:val="20"/>
                <w:szCs w:val="20"/>
                <w:color w:val="auto"/>
              </w:rPr>
            </w:pPr>
            <w:r>
              <w:rPr>
                <w:rFonts w:ascii="Arial" w:cs="Arial" w:eastAsia="Arial" w:hAnsi="Arial"/>
                <w:sz w:val="18"/>
                <w:szCs w:val="18"/>
                <w:color w:val="auto"/>
              </w:rPr>
              <w:t>EX-31.1</w:t>
            </w: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r>
    </w:tbl>
    <w:p>
      <w:pPr>
        <w:spacing w:after="0" w:line="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EX-31.2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EX-32.2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INSTANCE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SCHEMA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CALCULATION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LABELS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PRESENTATION LINKBASE DOCUMENT</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EX-101 DEFINITION LINKBASE DOCUMENT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HAEMONETICS CORPORATION AND SUBSIDIARIES CONSOLIDATED STATEMENTS OF INCOME AND COMPREHENSIVE INCOME (Unaudited in thousands, except per share data)</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79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5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3"/>
                <w:szCs w:val="13"/>
                <w:color w:val="auto"/>
              </w:rPr>
            </w:pPr>
          </w:p>
        </w:tc>
        <w:tc>
          <w:tcPr>
            <w:tcW w:w="13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260" w:type="dxa"/>
            <w:vAlign w:val="bottom"/>
          </w:tcPr>
          <w:p>
            <w:pPr>
              <w:jc w:val="right"/>
              <w:ind w:right="252"/>
              <w:spacing w:after="0" w:line="153" w:lineRule="exact"/>
              <w:rPr>
                <w:sz w:val="20"/>
                <w:szCs w:val="20"/>
                <w:color w:val="auto"/>
              </w:rPr>
            </w:pPr>
            <w:r>
              <w:rPr>
                <w:rFonts w:ascii="Arial" w:cs="Arial" w:eastAsia="Arial" w:hAnsi="Arial"/>
                <w:sz w:val="14"/>
                <w:szCs w:val="14"/>
                <w:b w:val="1"/>
                <w:bCs w:val="1"/>
                <w:color w:val="auto"/>
                <w:w w:val="98"/>
              </w:rPr>
              <w:t>December 31,</w:t>
            </w:r>
          </w:p>
        </w:tc>
      </w:tr>
      <w:tr>
        <w:trPr>
          <w:trHeight w:val="192"/>
        </w:trPr>
        <w:tc>
          <w:tcPr>
            <w:tcW w:w="5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247,395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191,160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642,048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541,174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134,280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95,229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337,058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266,545</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113,115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95,931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304,990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274,629</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10,588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30,823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86,780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61,376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235,438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180,221</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 income</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Total operating expenses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97,368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70,608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266,261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206,831</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38,729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67,798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370</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13,205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25,463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68,168</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7,211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19,088</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9,904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26,239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49,080</w:t>
            </w:r>
          </w:p>
        </w:tc>
      </w:tr>
      <w:tr>
        <w:trPr>
          <w:trHeight w:val="324"/>
        </w:trPr>
        <w:tc>
          <w:tcPr>
            <w:tcW w:w="5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0.97</w:t>
            </w:r>
          </w:p>
        </w:tc>
      </w:tr>
      <w:tr>
        <w:trPr>
          <w:trHeight w:val="270"/>
        </w:trPr>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per share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0.95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50,818</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52,606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50,876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52,264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51,666</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324"/>
        </w:trPr>
        <w:tc>
          <w:tcPr>
            <w:tcW w:w="51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12,239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18,585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24,020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48,657</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December 29,</w:t>
            </w:r>
          </w:p>
        </w:tc>
        <w:tc>
          <w:tcPr>
            <w:tcW w:w="260" w:type="dxa"/>
            <w:vAlign w:val="bottom"/>
          </w:tcPr>
          <w:p>
            <w:pPr>
              <w:spacing w:after="0"/>
              <w:rPr>
                <w:sz w:val="14"/>
                <w:szCs w:val="14"/>
                <w:color w:val="auto"/>
              </w:rPr>
            </w:pPr>
          </w:p>
        </w:tc>
        <w:tc>
          <w:tcPr>
            <w:tcW w:w="1200" w:type="dxa"/>
            <w:vAlign w:val="bottom"/>
          </w:tcPr>
          <w:p>
            <w:pPr>
              <w:jc w:val="right"/>
              <w:ind w:right="359"/>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193,181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228,861</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Accounts receivable, less allowance of $1,715 at December 29, 2012 and $1,480 at March 31, 2012</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167,347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135,464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180,037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117,163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net</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10,807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9,665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47,510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35,976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assets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598,882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527,129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Land, building and building improvements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80,242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59,816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Plant equipment and machinery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196,869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136,057</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Office equipment and information technology</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100,955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88,185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Haemonetics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241,435</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226,476</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color w:val="auto"/>
              </w:rPr>
              <w:t>Total property, plant and equipment</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619,501</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510,534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Less: accumulated depreciation</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(356,373)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(348,877)</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Net property, plant and equipment</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263,128</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161,657</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Intangible assets, less amortization of $71,102 at December 29, 2012 and $54,973 at March 31, 2012</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273,695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96,549</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321,284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115,058</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asset, long term</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long-term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16,651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10,719</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other assets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612,363</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222,349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1,474,373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911,135</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3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Notes payable and current maturities of long-term debt</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14,197</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53,077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35,425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Accrued payroll and related costs</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40,897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29,451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Accrued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6,632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8,075</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Deferred tax liability</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250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62,557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56,835</w:t>
            </w:r>
          </w:p>
        </w:tc>
        <w:tc>
          <w:tcPr>
            <w:tcW w:w="0" w:type="dxa"/>
            <w:vAlign w:val="bottom"/>
          </w:tcPr>
          <w:p>
            <w:pPr>
              <w:spacing w:after="0"/>
              <w:rPr>
                <w:sz w:val="1"/>
                <w:szCs w:val="1"/>
                <w:color w:val="auto"/>
              </w:rPr>
            </w:pPr>
          </w:p>
        </w:tc>
      </w:tr>
      <w:tr>
        <w:trPr>
          <w:trHeight w:val="217"/>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current 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177,610</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130,744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net of current maturities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468,250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Long-term deferred tax liability</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25,497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23,332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23,858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21,551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Stockholders’ equity:</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w w:val="98"/>
              </w:rPr>
              <w:t>Common stock, $0.01 par value; Authorized — 150,000,000 shares; Issued and outstanding —51,638,739 shares at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December 29, 2012 and 50,603,798 shares at March 31, 2012</w:t>
            </w:r>
          </w:p>
        </w:tc>
        <w:tc>
          <w:tcPr>
            <w:tcW w:w="22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362,199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322,232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409,553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400,783</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Arial" w:cs="Arial" w:eastAsia="Arial" w:hAnsi="Arial"/>
                <w:sz w:val="16"/>
                <w:szCs w:val="16"/>
                <w:color w:val="auto"/>
              </w:rPr>
              <w:t>Accumulated other comprehensive income</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Arial" w:cs="Arial" w:eastAsia="Arial" w:hAnsi="Arial"/>
                <w:sz w:val="16"/>
                <w:szCs w:val="16"/>
                <w:color w:val="auto"/>
              </w:rPr>
              <w:t>6,890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9,110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Total stockholders’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779,158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732,631</w:t>
            </w:r>
          </w:p>
        </w:tc>
        <w:tc>
          <w:tcPr>
            <w:tcW w:w="0" w:type="dxa"/>
            <w:vAlign w:val="bottom"/>
          </w:tcPr>
          <w:p>
            <w:pPr>
              <w:spacing w:after="0"/>
              <w:rPr>
                <w:sz w:val="1"/>
                <w:szCs w:val="1"/>
                <w:color w:val="auto"/>
              </w:rPr>
            </w:pPr>
          </w:p>
        </w:tc>
      </w:tr>
      <w:tr>
        <w:trPr>
          <w:trHeight w:val="244"/>
        </w:trPr>
        <w:tc>
          <w:tcPr>
            <w:tcW w:w="8340" w:type="dxa"/>
            <w:vAlign w:val="bottom"/>
          </w:tcPr>
          <w:p>
            <w:pPr>
              <w:ind w:left="380"/>
              <w:spacing w:after="0"/>
              <w:rPr>
                <w:sz w:val="20"/>
                <w:szCs w:val="20"/>
                <w:color w:val="auto"/>
              </w:rPr>
            </w:pPr>
            <w:r>
              <w:rPr>
                <w:rFonts w:ascii="Arial" w:cs="Arial" w:eastAsia="Arial" w:hAnsi="Arial"/>
                <w:sz w:val="16"/>
                <w:szCs w:val="16"/>
                <w:b w:val="1"/>
                <w:bCs w:val="1"/>
                <w:color w:val="auto"/>
              </w:rPr>
              <w:t>Total liabilities and stockholders’ equity</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1,474,373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911,135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5"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3"/>
                <w:szCs w:val="13"/>
                <w:color w:val="auto"/>
              </w:rPr>
            </w:pPr>
          </w:p>
        </w:tc>
        <w:tc>
          <w:tcPr>
            <w:tcW w:w="12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26,239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49,080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Non cash items: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37,256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Stock compensation expense</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7,931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6,727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Loss on sales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Unrealized loss from hedging activities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Contingent consideration income</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Reversal of interest expense on contingent consideration</w:t>
            </w:r>
          </w:p>
        </w:tc>
        <w:tc>
          <w:tcPr>
            <w:tcW w:w="2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Change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Increase in accounts receivable, net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(1,461)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(Increase)/decrease in prepaid income taxes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14,949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 in other assets and other long-term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Tax benefit of exercise of stock options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3,905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Increase/(decrease) in accounts payable and accrued expenses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22,686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57,532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81,343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Capital expenditures on property, plant and equipment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(49,685)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(36,959)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Acquisition of Whole Blood Business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(535,144)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Investment in Hemerus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(584,539)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(36,442)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Payments on long-term real estate mortgage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increase in short-term loans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Term Loan borrowings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475,000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employee stock purchase plan</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3,722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exercise of stock options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9,076</w:t>
            </w:r>
          </w:p>
        </w:tc>
        <w:tc>
          <w:tcPr>
            <w:tcW w:w="0" w:type="dxa"/>
            <w:vAlign w:val="bottom"/>
          </w:tcPr>
          <w:p>
            <w:pPr>
              <w:spacing w:after="0"/>
              <w:rPr>
                <w:sz w:val="1"/>
                <w:szCs w:val="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6"/>
                <w:szCs w:val="16"/>
                <w:color w:val="auto"/>
              </w:rPr>
              <w:t>Excess tax benefit on exercise of stock options</w:t>
            </w:r>
          </w:p>
        </w:tc>
        <w:tc>
          <w:tcPr>
            <w:tcW w:w="2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3,158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Share repurchases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(49,998)</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491,038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(35,714)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exchange rates on cash and cash equivalents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b w:val="1"/>
                <w:bCs w:val="1"/>
                <w:color w:val="auto"/>
              </w:rPr>
              <w:t>Net (Decrease)/Increase in Cash and Cash Equivalents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(35,680)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8,665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and Cash Equivalents at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228,861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196,707</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Cash and Cash Equivalents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193,181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205,372</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Non-cash Investing and Financing 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Transfers from inventory to fixed assets for placements of Haemonetics equipment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19,606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10,912</w:t>
            </w:r>
          </w:p>
        </w:tc>
        <w:tc>
          <w:tcPr>
            <w:tcW w:w="0" w:type="dxa"/>
            <w:vAlign w:val="bottom"/>
          </w:tcPr>
          <w:p>
            <w:pPr>
              <w:spacing w:after="0"/>
              <w:rPr>
                <w:sz w:val="1"/>
                <w:szCs w:val="1"/>
                <w:color w:val="auto"/>
              </w:rPr>
            </w:pP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Interest paid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4,020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Income taxes paid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6,098</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840" w:type="dxa"/>
            <w:vAlign w:val="bottom"/>
            <w:gridSpan w:val="3"/>
          </w:tcPr>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adjustments) considered necessary for a fair presentation have been included. All significant intercompany transactions have been eliminated. Operating results for the nine month period ended December 29, 2012 are not necessarily indicative of the results that may be expected for the full fiscal year ending March 30, 2013, or any other interim period. These unaudited consolidated financial statements should be read in conjunction with our audited consolidated financial statements and footnotes included in our annual report on Form 10-K for the fiscal year ended March 31, 2012.</w:t>
      </w:r>
    </w:p>
    <w:p>
      <w:pPr>
        <w:spacing w:after="0" w:line="59"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The Company considers events or transactions that occur after the balance sheet date but prior to the issuance of the financial statements to provide additional evidence relative to certain estimates or to identify matters that require additional disclosure. Subsequent events have been evaluated, and these financial statements reflect those material items that arose after the balance sheet date but prior to the issuance of the financial statements that would be considered recognized subsequent events. There were no material recognized subsequent events recorded in the December 29, 2012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fiscal year ends on the Saturday closest to the last day of March. Fiscal years 2013 and 2012 include 52 weeks with each quarter having 13 weeks.</w:t>
      </w:r>
    </w:p>
    <w:p>
      <w:pPr>
        <w:spacing w:after="0" w:line="1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October 29, 2012 the Company announced that its Board of Directors approved a two-for-one split of the Company's common stock in the form of a stock dividend. The stock split was effective on November 30, 2012 to stockholders of record as of November 9, 2012. Unless otherwise indicated, all common stock shares and per share information referenced within the Interim Consolidated Financial Statements have been retroactively adjusted to reflect the stock split. The exercise price of each outstanding option has also been proportionately and retroactively adjusted for all periods presented. Par value per share and authorized shares were however not affected by the stock split.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9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New pronouncements issued but not effective until after December 29, 2012 are not expected to have a material impact on financial position, results of operation or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June 2011, the Financial Accounting Standards Board ("FASB") issued Accounting Standards Update ("ASU") No. 2011-05, </w:t>
      </w:r>
      <w:r>
        <w:rPr>
          <w:rFonts w:ascii="Arial" w:cs="Arial" w:eastAsia="Arial" w:hAnsi="Arial"/>
          <w:sz w:val="18"/>
          <w:szCs w:val="18"/>
          <w:i w:val="1"/>
          <w:iCs w:val="1"/>
          <w:color w:val="auto"/>
        </w:rPr>
        <w:t>Comprehensive Income</w:t>
      </w:r>
      <w:r>
        <w:rPr>
          <w:rFonts w:ascii="Arial" w:cs="Arial" w:eastAsia="Arial" w:hAnsi="Arial"/>
          <w:sz w:val="18"/>
          <w:szCs w:val="18"/>
          <w:color w:val="auto"/>
        </w:rPr>
        <w:t xml:space="preserve"> </w:t>
      </w:r>
      <w:r>
        <w:rPr>
          <w:rFonts w:ascii="Arial" w:cs="Arial" w:eastAsia="Arial" w:hAnsi="Arial"/>
          <w:sz w:val="18"/>
          <w:szCs w:val="18"/>
          <w:i w:val="1"/>
          <w:iCs w:val="1"/>
          <w:color w:val="auto"/>
        </w:rPr>
        <w:t>(Topic 220): Presentation of Comprehensive Income</w:t>
      </w:r>
      <w:r>
        <w:rPr>
          <w:rFonts w:ascii="Arial" w:cs="Arial" w:eastAsia="Arial" w:hAnsi="Arial"/>
          <w:sz w:val="18"/>
          <w:szCs w:val="18"/>
          <w:color w:val="auto"/>
        </w:rPr>
        <w:t>. Update No. 2011-05 updates the presentation requirements for comprehensive income to include total</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 and should be applied retrospectively. Early adoption is permitted and amendments do not require any transition disclosures. We adopted this standard in the first quarter of fiscal 2013 using the single continuous statement approach.</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Forthcoming Guidance</w:t>
      </w:r>
    </w:p>
    <w:p>
      <w:pPr>
        <w:spacing w:after="0" w:line="9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October 2012, the FASB issued ASU 2012-04, </w:t>
      </w:r>
      <w:r>
        <w:rPr>
          <w:rFonts w:ascii="Arial" w:cs="Arial" w:eastAsia="Arial" w:hAnsi="Arial"/>
          <w:sz w:val="18"/>
          <w:szCs w:val="18"/>
          <w:i w:val="1"/>
          <w:iCs w:val="1"/>
          <w:color w:val="auto"/>
        </w:rPr>
        <w:t>Technical Corrections and Improvements.</w:t>
      </w:r>
      <w:r>
        <w:rPr>
          <w:rFonts w:ascii="Arial" w:cs="Arial" w:eastAsia="Arial" w:hAnsi="Arial"/>
          <w:sz w:val="18"/>
          <w:szCs w:val="18"/>
          <w:color w:val="auto"/>
        </w:rPr>
        <w:t xml:space="preserve">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Company is currently evaluating the impact, if any, that the adoption of this pronouncement may have on its results of operations or financial position.</w:t>
      </w:r>
    </w:p>
    <w:p>
      <w:pPr>
        <w:spacing w:after="0" w:line="5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 xml:space="preserve">In July 2012, the FASB issued ASU No. 2012-02, </w:t>
      </w:r>
      <w:r>
        <w:rPr>
          <w:rFonts w:ascii="Arial" w:cs="Arial" w:eastAsia="Arial" w:hAnsi="Arial"/>
          <w:sz w:val="17"/>
          <w:szCs w:val="17"/>
          <w:i w:val="1"/>
          <w:iCs w:val="1"/>
          <w:color w:val="auto"/>
        </w:rPr>
        <w:t>Intangibles-Goodwill and Other (Topic 350): Testing Indefinite-Lived Intangible Assets for Impairment.</w:t>
      </w:r>
      <w:r>
        <w:rPr>
          <w:rFonts w:ascii="Arial" w:cs="Arial" w:eastAsia="Arial" w:hAnsi="Arial"/>
          <w:sz w:val="17"/>
          <w:szCs w:val="17"/>
          <w:color w:val="auto"/>
        </w:rPr>
        <w:t xml:space="preserve"> This standard, which amends the guidance on testing indefinite-lived intangible assets for impairment</w:t>
      </w:r>
      <w:r>
        <w:rPr>
          <w:rFonts w:ascii="Arial" w:cs="Arial" w:eastAsia="Arial" w:hAnsi="Arial"/>
          <w:sz w:val="17"/>
          <w:szCs w:val="17"/>
          <w:i w:val="1"/>
          <w:iCs w:val="1"/>
          <w:color w:val="auto"/>
        </w:rPr>
        <w:t>,</w:t>
      </w:r>
      <w:r>
        <w:rPr>
          <w:rFonts w:ascii="Arial" w:cs="Arial" w:eastAsia="Arial" w:hAnsi="Arial"/>
          <w:sz w:val="17"/>
          <w:szCs w:val="17"/>
          <w:color w:val="auto"/>
        </w:rPr>
        <w:t xml:space="preserve"> other than goodwill, provides companies with the option to first perform a qualitative assessment before performing the two-step quantitative impairment test. If the company determines, on the basis of qualitative factors, that the fair value of the indefinite-lived intangible asset is more likely than not to exceed its carrying amount, then the company would not need to perform the two-step quantitative impairment test. This standard does not revise the requirement to test indefinite-lived intangible assets annually for impairment. This standard becomes effective for annual and interim impairment tests performed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fiscal years beginning after September 15, 2012, with early adoption allowed. The Company does not expect the adoption of this standard will have a material effect on its financial condition or results of operations.</w:t>
      </w:r>
    </w:p>
    <w:p>
      <w:pPr>
        <w:spacing w:after="0" w:line="13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December 2011, the FASB issued ASU No. 2011-11 </w:t>
      </w:r>
      <w:r>
        <w:rPr>
          <w:rFonts w:ascii="Arial" w:cs="Arial" w:eastAsia="Arial" w:hAnsi="Arial"/>
          <w:sz w:val="17"/>
          <w:szCs w:val="17"/>
          <w:i w:val="1"/>
          <w:iCs w:val="1"/>
          <w:color w:val="auto"/>
        </w:rPr>
        <w:t>Balance Sheet: Disclosures about Offsetting Assets and Liabilities</w:t>
      </w:r>
      <w:r>
        <w:rPr>
          <w:rFonts w:ascii="Arial" w:cs="Arial" w:eastAsia="Arial" w:hAnsi="Arial"/>
          <w:sz w:val="17"/>
          <w:szCs w:val="17"/>
          <w:color w:val="auto"/>
        </w:rPr>
        <w:t>. This update requires an entity to disclose information about offsetting and related arrangements to enable users of its financial statements to understand the effect of those arrangements on its financial position. The objective of this disclosure is to facilitate comparison between those entities that prepare their financial statements on the basis of U.S. GAAP and those entities that prepare their financial statements on the basis of IFRS. The amended guidance is effective for annual reporting periods beginning on or after January 1, 2013, and interim periods within those annual periods. The Company is currently evaluating the impact, if any, that the adoption of this pronouncement may have on its results of operations or financial position.</w:t>
      </w:r>
    </w:p>
    <w:p>
      <w:pPr>
        <w:spacing w:after="0" w:line="215" w:lineRule="exact"/>
        <w:rPr>
          <w:sz w:val="20"/>
          <w:szCs w:val="20"/>
          <w:color w:val="auto"/>
        </w:rPr>
      </w:pPr>
    </w:p>
    <w:p>
      <w:pPr>
        <w:ind w:right="9880" w:firstLine="8"/>
        <w:spacing w:after="0" w:line="376" w:lineRule="auto"/>
        <w:tabs>
          <w:tab w:leader="none" w:pos="18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w:t>
      </w:r>
      <w:r>
        <w:rPr>
          <w:rFonts w:ascii="Arial" w:cs="Arial" w:eastAsia="Arial" w:hAnsi="Arial"/>
          <w:sz w:val="18"/>
          <w:szCs w:val="18"/>
          <w:i w:val="1"/>
          <w:iCs w:val="1"/>
          <w:color w:val="auto"/>
        </w:rPr>
        <w:t>Pall Acquisition</w:t>
      </w:r>
    </w:p>
    <w:p>
      <w:pPr>
        <w:spacing w:after="0" w:line="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August 1, 2012, we completed the acquisition from Pall Corporation (“Pall”) of substantially all of the assets relating to its blood collection, filtration, processing, storage, and re-infusion product lines, and all of the outstanding equity interest in Pall Mexico Manufacturing, S. de R.L. de C.V., a subsidiary of Pall based in Mexico pursuant to an Asset Purchase Agreement (the “Purchase Agreement”) with Pall. We refer to the acquired business as the “whole blood business.”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 the closing of the transaction, we paid Pall $535.1 million in cash consideration, which is subject to post-closing adjustments. During the three months ended December 29, 2012 we accrued $4.6 million for post-closing adjustments related to estimated historical earnings and working capital transferred which will be paid to Pall in the fourth quarter of fiscal 2013. We anticipate paying an additional $15.0 million upon replication and delivery of certain manufacturing assets of Pall's filter media business to Haemonetics by 2016. Until that time, Pall will manufacture and sell filter media to Haemonetics under a supply agreement.</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entered into a credit agreement on August 1, 2012 in connection with the transaction which includes a $475.0 million term loan to fund the majority of the cash paid to Pall. See Note 14 for a detailed description of the key terms and provisions of the credit agreement.</w:t>
      </w:r>
    </w:p>
    <w:p>
      <w:pPr>
        <w:spacing w:after="0" w:line="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acquired the whole blood business to provide access to the manual collection and whole blood markets and provide scope for introduction of automated solutions in those markets. The whole blood business manufactures and sells manual blood collection systems and filters and has operations in North America, Europe and Asia Pacific countries. Revenue from the sale of whole blood disposables will be reported within the blood center disposables product line.</w:t>
      </w:r>
    </w:p>
    <w:p>
      <w:pPr>
        <w:spacing w:after="0" w:line="5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assets and liabilities acquired from Pall were recorded at fair value at the date of acquisition. During the current period, we updated the fair value of assets and liabilities recorded as of the date of acquisition with a corresponding adjustment to goodwill to reflect such updates to the allocation of purchase price.</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allocation of purchase price, and assessment of useful lives, is preliminary and based on management's judgments after evaluating several factors, including preliminary valuation assessments of tangible and intangible assets and preliminary estimates of the fair value of liabilities assumed. The allocation of the purchase price to the assets acquired and liabilities assumed will be completed when the working capital adjustment is finalized and valuation assessments of inventory, property, plant and equipment and intangible assets, and estimates of the fair value of liabilities assumed are completed. We expect to complete these valuations by March 30, 2013.</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25" w:right="2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preliminary allocation of the purchase price to the estimated fair value of the acquired assets and liabilities is summarized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Amounts Recognized as of</w:t>
            </w:r>
          </w:p>
        </w:tc>
        <w:tc>
          <w:tcPr>
            <w:tcW w:w="0" w:type="dxa"/>
            <w:vAlign w:val="bottom"/>
          </w:tcPr>
          <w:p>
            <w:pPr>
              <w:spacing w:after="0"/>
              <w:rPr>
                <w:sz w:val="1"/>
                <w:szCs w:val="1"/>
                <w:color w:val="auto"/>
              </w:rPr>
            </w:pPr>
          </w:p>
        </w:tc>
      </w:tr>
      <w:tr>
        <w:trPr>
          <w:trHeight w:val="216"/>
        </w:trPr>
        <w:tc>
          <w:tcPr>
            <w:tcW w:w="318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29, 2012</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6000" w:type="dxa"/>
            <w:vAlign w:val="bottom"/>
            <w:gridSpan w:val="3"/>
            <w:vMerge w:val="restart"/>
          </w:tcPr>
          <w:p>
            <w:pPr>
              <w:jc w:val="right"/>
              <w:ind w:right="4270"/>
              <w:spacing w:after="0"/>
              <w:rPr>
                <w:sz w:val="20"/>
                <w:szCs w:val="20"/>
                <w:color w:val="auto"/>
              </w:rPr>
            </w:pPr>
            <w:r>
              <w:rPr>
                <w:rFonts w:ascii="Arial" w:cs="Arial" w:eastAsia="Arial" w:hAnsi="Arial"/>
                <w:sz w:val="18"/>
                <w:szCs w:val="18"/>
                <w:b w:val="1"/>
                <w:bCs w:val="1"/>
                <w:color w:val="auto"/>
              </w:rPr>
              <w:t>Asset class</w:t>
            </w:r>
          </w:p>
        </w:tc>
        <w:tc>
          <w:tcPr>
            <w:tcW w:w="22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(Provisional)</w:t>
            </w:r>
          </w:p>
        </w:tc>
        <w:tc>
          <w:tcPr>
            <w:tcW w:w="0" w:type="dxa"/>
            <w:vAlign w:val="bottom"/>
          </w:tcPr>
          <w:p>
            <w:pPr>
              <w:spacing w:after="0"/>
              <w:rPr>
                <w:sz w:val="1"/>
                <w:szCs w:val="1"/>
                <w:color w:val="auto"/>
              </w:rPr>
            </w:pPr>
          </w:p>
        </w:tc>
      </w:tr>
      <w:tr>
        <w:trPr>
          <w:trHeight w:val="176"/>
        </w:trPr>
        <w:tc>
          <w:tcPr>
            <w:tcW w:w="3180" w:type="dxa"/>
            <w:vAlign w:val="bottom"/>
          </w:tcPr>
          <w:p>
            <w:pPr>
              <w:spacing w:after="0"/>
              <w:rPr>
                <w:sz w:val="15"/>
                <w:szCs w:val="15"/>
                <w:color w:val="auto"/>
              </w:rPr>
            </w:pPr>
          </w:p>
        </w:tc>
        <w:tc>
          <w:tcPr>
            <w:tcW w:w="6000" w:type="dxa"/>
            <w:vAlign w:val="bottom"/>
            <w:gridSpan w:val="3"/>
            <w:vMerge w:val="continue"/>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3180" w:type="dxa"/>
            <w:vAlign w:val="bottom"/>
            <w:tcBorders>
              <w:bottom w:val="single" w:sz="8" w:color="auto"/>
            </w:tcBorders>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60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50,741</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93,847</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5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188,500</w:t>
            </w:r>
          </w:p>
        </w:tc>
        <w:tc>
          <w:tcPr>
            <w:tcW w:w="0" w:type="dxa"/>
            <w:vAlign w:val="bottom"/>
          </w:tcPr>
          <w:p>
            <w:pPr>
              <w:spacing w:after="0"/>
              <w:rPr>
                <w:sz w:val="1"/>
                <w:szCs w:val="1"/>
                <w:color w:val="auto"/>
              </w:rPr>
            </w:pPr>
          </w:p>
        </w:tc>
      </w:tr>
      <w:tr>
        <w:trPr>
          <w:trHeight w:val="243"/>
        </w:trPr>
        <w:tc>
          <w:tcPr>
            <w:tcW w:w="3180" w:type="dxa"/>
            <w:vAlign w:val="bottom"/>
          </w:tcPr>
          <w:p>
            <w:pPr>
              <w:ind w:left="40"/>
              <w:spacing w:after="0"/>
              <w:rPr>
                <w:sz w:val="20"/>
                <w:szCs w:val="20"/>
                <w:color w:val="auto"/>
              </w:rPr>
            </w:pPr>
            <w:r>
              <w:rPr>
                <w:rFonts w:ascii="Arial" w:cs="Arial" w:eastAsia="Arial" w:hAnsi="Arial"/>
                <w:sz w:val="18"/>
                <w:szCs w:val="18"/>
                <w:color w:val="auto"/>
              </w:rPr>
              <w:t>Other assets/liabilities, net</w:t>
            </w:r>
          </w:p>
        </w:tc>
        <w:tc>
          <w:tcPr>
            <w:tcW w:w="5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7"/>
        </w:trPr>
        <w:tc>
          <w:tcPr>
            <w:tcW w:w="318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56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206,303</w:t>
            </w:r>
          </w:p>
        </w:tc>
        <w:tc>
          <w:tcPr>
            <w:tcW w:w="0" w:type="dxa"/>
            <w:vAlign w:val="bottom"/>
          </w:tcPr>
          <w:p>
            <w:pPr>
              <w:spacing w:after="0"/>
              <w:rPr>
                <w:sz w:val="1"/>
                <w:szCs w:val="1"/>
                <w:color w:val="auto"/>
              </w:rPr>
            </w:pPr>
          </w:p>
        </w:tc>
      </w:tr>
      <w:tr>
        <w:trPr>
          <w:trHeight w:val="257"/>
        </w:trPr>
        <w:tc>
          <w:tcPr>
            <w:tcW w:w="3180" w:type="dxa"/>
            <w:vAlign w:val="bottom"/>
          </w:tcPr>
          <w:p>
            <w:pPr>
              <w:ind w:left="40"/>
              <w:spacing w:after="0"/>
              <w:rPr>
                <w:sz w:val="20"/>
                <w:szCs w:val="20"/>
                <w:color w:val="auto"/>
              </w:rPr>
            </w:pPr>
            <w:r>
              <w:rPr>
                <w:rFonts w:ascii="Arial" w:cs="Arial" w:eastAsia="Arial" w:hAnsi="Arial"/>
                <w:sz w:val="18"/>
                <w:szCs w:val="18"/>
                <w:color w:val="auto"/>
              </w:rPr>
              <w:t>Fair value of net assets acquired</w:t>
            </w:r>
          </w:p>
        </w:tc>
        <w:tc>
          <w:tcPr>
            <w:tcW w:w="5840" w:type="dxa"/>
            <w:vAlign w:val="bottom"/>
            <w:gridSpan w:val="2"/>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539,711</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adjusted fair value of the acquired assets and liabilities are reflected in the Consolidated Balance Sheets.</w:t>
      </w:r>
    </w:p>
    <w:p>
      <w:pPr>
        <w:spacing w:after="0" w:line="18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provisional allocation of purchase price changed as compared to the initial allocation as of September 29, 2012 as follows: inventory reduced by $1.7 million, property, plant and equipment increased by $23.1 million, intangible assets reduced by $18.3 million, other assets increased by $0.1 million, liabilities reduced by $2.0 million and goodwill decreased by $0.7 million. This is represented by an increase in purchase consideration of $4.5 million arising from provisional customary adjustments.</w:t>
      </w:r>
    </w:p>
    <w:p>
      <w:pPr>
        <w:spacing w:after="0" w:line="14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$188.5 million of acquired intangible assets was allocated to acquired technology and customer relationships at preliminary fair values of $61.0 million and $127.5 million, respectively. The acquired assets are amortized over the preliminary estimate of their useful lives of 11 years on a straight-line basis. We will conclude on the useful lives of acquired assets in connection with finalizing the overall purchase price allocation. We recorded $3.7 million and $7.1 million in amortization expense relating to the acquired intangible assets for the three and nine months ended December 29, 2012.</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Preliminary goodwill represents the excess of the purchase price over the fair value of the net assets. Preliminary goodwill of $206.3 million represents future economic benefits expected to arise from work force at the various plants and locations and significant technological know-how in filter manufacturing. All of the domestic goodwill is deductible for tax purposes.</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Revenue and earnings for the whole blood business from acquisition was $83.5 million and $8.0 million, respectively. The estimated impact to earnings includes $11.1 million of costs of goods sold related to the increase in fair value of acquired inventory.</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recognized $3.2 million of transaction costs related to the whole blood acquisition in the consolidated statements of income and comprehensive income for the nine months ended December 29, 2012.</w:t>
      </w:r>
    </w:p>
    <w:p>
      <w:pPr>
        <w:spacing w:after="0" w:line="1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following represents the pro forma consolidated statements of income and comprehensive income as if the acquisition of the whole blood business had been included in our consolidated results on April 3, 2011. The common stock weighted average number of shares used in calculating the pro-forma earnings per share has been retroactively adjusted for the stock split: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920" w:type="dxa"/>
            <w:vAlign w:val="bottom"/>
            <w:gridSpan w:val="4"/>
          </w:tcPr>
          <w:p>
            <w:pPr>
              <w:jc w:val="right"/>
              <w:ind w:right="1230"/>
              <w:spacing w:after="0"/>
              <w:rPr>
                <w:sz w:val="20"/>
                <w:szCs w:val="20"/>
                <w:color w:val="auto"/>
              </w:rPr>
            </w:pPr>
            <w:r>
              <w:rPr>
                <w:rFonts w:ascii="Arial" w:cs="Arial" w:eastAsia="Arial" w:hAnsi="Arial"/>
                <w:sz w:val="18"/>
                <w:szCs w:val="18"/>
                <w:color w:val="auto"/>
              </w:rPr>
              <w:t>Nine Months Ended</w:t>
            </w:r>
          </w:p>
        </w:tc>
      </w:tr>
      <w:tr>
        <w:trPr>
          <w:trHeight w:val="27"/>
        </w:trPr>
        <w:tc>
          <w:tcPr>
            <w:tcW w:w="7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8"/>
        </w:trPr>
        <w:tc>
          <w:tcPr>
            <w:tcW w:w="732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2"/>
                <w:szCs w:val="22"/>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December 29, 2012</w:t>
            </w:r>
          </w:p>
        </w:tc>
        <w:tc>
          <w:tcPr>
            <w:tcW w:w="200" w:type="dxa"/>
            <w:vAlign w:val="bottom"/>
          </w:tcPr>
          <w:p>
            <w:pPr>
              <w:spacing w:after="0"/>
              <w:rPr>
                <w:sz w:val="22"/>
                <w:szCs w:val="22"/>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2011</w:t>
            </w:r>
          </w:p>
        </w:tc>
      </w:tr>
      <w:tr>
        <w:trPr>
          <w:trHeight w:val="250"/>
        </w:trPr>
        <w:tc>
          <w:tcPr>
            <w:tcW w:w="7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713,981</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703,023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42,975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47,961</w:t>
            </w:r>
          </w:p>
        </w:tc>
      </w:tr>
      <w:tr>
        <w:trPr>
          <w:trHeight w:val="27"/>
        </w:trPr>
        <w:tc>
          <w:tcPr>
            <w:tcW w:w="7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0.84</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0.94</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0.82</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0.93</w:t>
            </w:r>
          </w:p>
        </w:tc>
      </w:tr>
    </w:tbl>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unaudited consolidated pro-forma financial information above includes the following significant adjustments made to account for certain costs which would have been incurred if the acquisition had been completed on April 3, 2011, as adjusted for the applicable tax impact. As our acquisition of the whole blood business was completed on August 1, 2012, the pro-forma adjustments for the nine months ended December 29, 2012 in the table below only include the required adjustments through August 1, 2012.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1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642"/>
        </w:trPr>
        <w:tc>
          <w:tcPr>
            <w:tcW w:w="1280" w:type="dxa"/>
            <w:vAlign w:val="bottom"/>
            <w:tcBorders>
              <w:top w:val="single" w:sz="8" w:color="0000FF"/>
            </w:tcBorders>
          </w:tcPr>
          <w:p>
            <w:pPr>
              <w:spacing w:after="0"/>
              <w:rPr>
                <w:sz w:val="24"/>
                <w:szCs w:val="24"/>
                <w:color w:val="auto"/>
              </w:rPr>
            </w:pPr>
          </w:p>
        </w:tc>
        <w:tc>
          <w:tcPr>
            <w:tcW w:w="6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20" w:type="dxa"/>
            <w:vAlign w:val="bottom"/>
            <w:gridSpan w:val="4"/>
          </w:tcPr>
          <w:p>
            <w:pPr>
              <w:jc w:val="right"/>
              <w:ind w:right="1230"/>
              <w:spacing w:after="0"/>
              <w:rPr>
                <w:sz w:val="20"/>
                <w:szCs w:val="20"/>
                <w:color w:val="auto"/>
              </w:rPr>
            </w:pPr>
            <w:r>
              <w:rPr>
                <w:rFonts w:ascii="Arial" w:cs="Arial" w:eastAsia="Arial" w:hAnsi="Arial"/>
                <w:sz w:val="18"/>
                <w:szCs w:val="18"/>
                <w:color w:val="auto"/>
              </w:rPr>
              <w:t>Nine Months Ended</w:t>
            </w:r>
          </w:p>
        </w:tc>
      </w:tr>
      <w:tr>
        <w:trPr>
          <w:trHeight w:val="27"/>
        </w:trPr>
        <w:tc>
          <w:tcPr>
            <w:tcW w:w="12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58"/>
        </w:trPr>
        <w:tc>
          <w:tcPr>
            <w:tcW w:w="7320" w:type="dxa"/>
            <w:vAlign w:val="bottom"/>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22"/>
                <w:szCs w:val="22"/>
                <w:color w:val="auto"/>
              </w:rPr>
            </w:pPr>
          </w:p>
        </w:tc>
        <w:tc>
          <w:tcPr>
            <w:tcW w:w="1980" w:type="dxa"/>
            <w:vAlign w:val="bottom"/>
            <w:gridSpan w:val="2"/>
          </w:tcPr>
          <w:p>
            <w:pPr>
              <w:ind w:left="80"/>
              <w:spacing w:after="0"/>
              <w:rPr>
                <w:sz w:val="20"/>
                <w:szCs w:val="20"/>
                <w:color w:val="auto"/>
              </w:rPr>
            </w:pPr>
            <w:r>
              <w:rPr>
                <w:rFonts w:ascii="Arial" w:cs="Arial" w:eastAsia="Arial" w:hAnsi="Arial"/>
                <w:sz w:val="18"/>
                <w:szCs w:val="18"/>
                <w:color w:val="auto"/>
              </w:rPr>
              <w:t>December 29, 2012</w:t>
            </w:r>
          </w:p>
        </w:tc>
        <w:tc>
          <w:tcPr>
            <w:tcW w:w="200" w:type="dxa"/>
            <w:vAlign w:val="bottom"/>
          </w:tcPr>
          <w:p>
            <w:pPr>
              <w:spacing w:after="0"/>
              <w:rPr>
                <w:sz w:val="22"/>
                <w:szCs w:val="22"/>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color w:val="auto"/>
                <w:w w:val="92"/>
              </w:rPr>
              <w:t>December 31, 2011</w:t>
            </w:r>
          </w:p>
        </w:tc>
      </w:tr>
      <w:tr>
        <w:trPr>
          <w:trHeight w:val="250"/>
        </w:trPr>
        <w:tc>
          <w:tcPr>
            <w:tcW w:w="7320" w:type="dxa"/>
            <w:vAlign w:val="bottom"/>
            <w:tcBorders>
              <w:top w:val="single" w:sz="8" w:color="auto"/>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Transaction costs (1)</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3,184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Amortization of inventory fair value adjustment (2)</w:t>
            </w:r>
          </w:p>
        </w:tc>
        <w:tc>
          <w:tcPr>
            <w:tcW w:w="180" w:type="dxa"/>
            <w:vAlign w:val="bottom"/>
          </w:tcPr>
          <w:p>
            <w:pPr>
              <w:spacing w:after="0"/>
              <w:rPr>
                <w:sz w:val="21"/>
                <w:szCs w:val="21"/>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11,067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(11,067)</w:t>
            </w:r>
          </w:p>
        </w:tc>
      </w:tr>
      <w:tr>
        <w:trPr>
          <w:trHeight w:val="27"/>
        </w:trPr>
        <w:tc>
          <w:tcPr>
            <w:tcW w:w="12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 (3)</w:t>
            </w: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(12,852)</w:t>
            </w:r>
          </w:p>
        </w:tc>
      </w:tr>
      <w:tr>
        <w:trPr>
          <w:trHeight w:val="243"/>
        </w:trPr>
        <w:tc>
          <w:tcPr>
            <w:tcW w:w="7320" w:type="dxa"/>
            <w:vAlign w:val="bottom"/>
            <w:gridSpan w:val="2"/>
          </w:tcPr>
          <w:p>
            <w:pPr>
              <w:ind w:left="40"/>
              <w:spacing w:after="0"/>
              <w:rPr>
                <w:sz w:val="20"/>
                <w:szCs w:val="20"/>
                <w:color w:val="auto"/>
              </w:rPr>
            </w:pPr>
            <w:r>
              <w:rPr>
                <w:rFonts w:ascii="Arial" w:cs="Arial" w:eastAsia="Arial" w:hAnsi="Arial"/>
                <w:sz w:val="18"/>
                <w:szCs w:val="18"/>
                <w:color w:val="auto"/>
              </w:rPr>
              <w:t>Interest expense incurred on acquisition financing (4)</w:t>
            </w:r>
          </w:p>
        </w:tc>
        <w:tc>
          <w:tcPr>
            <w:tcW w:w="18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(3,173)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(7,137)</w:t>
            </w:r>
          </w:p>
        </w:tc>
      </w:tr>
      <w:tr>
        <w:trPr>
          <w:trHeight w:val="27"/>
        </w:trPr>
        <w:tc>
          <w:tcPr>
            <w:tcW w:w="128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43"/>
        </w:trPr>
        <w:tc>
          <w:tcPr>
            <w:tcW w:w="7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 expenses (5)</w:t>
            </w:r>
          </w:p>
        </w:tc>
        <w:tc>
          <w:tcPr>
            <w:tcW w:w="18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(7,905)</w:t>
            </w:r>
          </w:p>
        </w:tc>
      </w:tr>
      <w:tr>
        <w:trPr>
          <w:trHeight w:val="27"/>
        </w:trPr>
        <w:tc>
          <w:tcPr>
            <w:tcW w:w="1280" w:type="dxa"/>
            <w:vAlign w:val="bottom"/>
            <w:shd w:val="clear" w:color="auto" w:fill="CCEEFF"/>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29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Eliminated transactions costs as these non-recurring costs were incurred in the first and second quarters of FY13.</w:t>
      </w:r>
    </w:p>
    <w:p>
      <w:pPr>
        <w:spacing w:after="0" w:line="23" w:lineRule="exact"/>
        <w:rPr>
          <w:rFonts w:ascii="Arial" w:cs="Arial" w:eastAsia="Arial" w:hAnsi="Arial"/>
          <w:sz w:val="18"/>
          <w:szCs w:val="18"/>
          <w:color w:val="auto"/>
        </w:rPr>
      </w:pPr>
    </w:p>
    <w:p>
      <w:pPr>
        <w:ind w:left="660" w:right="10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additional expense in the period ended December 31, 2011 to reflect the inventory fair value adjustments which would have been amortized had the transaction been consummated on April 3, 2011 as the corresponding inventory would have been completely sold during the first two quarters of 2011. Also, deducted the actual inventory fair value adjustment recorded in the nine months ended December 29, 2012 to reflect the pro-forma consumption of inventory in 2011.</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additional amortization of the acquired whole blood intangible assets recognized at fair value in purchase accounting.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additional interest expense for the debt used to finance the acquisition.</w:t>
      </w:r>
    </w:p>
    <w:p>
      <w:pPr>
        <w:spacing w:after="0" w:line="9" w:lineRule="exact"/>
        <w:rPr>
          <w:sz w:val="20"/>
          <w:szCs w:val="20"/>
          <w:color w:val="auto"/>
        </w:rPr>
      </w:pPr>
    </w:p>
    <w:p>
      <w:pPr>
        <w:ind w:left="880" w:hanging="539"/>
        <w:spacing w:after="0" w:line="253" w:lineRule="auto"/>
        <w:rPr>
          <w:sz w:val="20"/>
          <w:szCs w:val="20"/>
          <w:color w:val="auto"/>
        </w:rPr>
      </w:pPr>
      <w:r>
        <w:rPr>
          <w:rFonts w:ascii="Arial" w:cs="Arial" w:eastAsia="Arial" w:hAnsi="Arial"/>
          <w:sz w:val="18"/>
          <w:szCs w:val="18"/>
          <w:color w:val="auto"/>
        </w:rPr>
        <w:t>(5)Additional investments in infrastructure costs to replicate certain support functions performed by division or corporate organizations of Pall that did not transfer in the acquisition. These costs are primarily related to information technology infrastructure and application costs, and personnel costs required to expand regional and corporate administrative and sales support functions. These costs are not intended to be representative of actual costs incurred by Pall Corporation, and represent Haemonetics' best estimate of future incremental costs on an annualized basis. Actual incremental investments may differ from these estimates.</w:t>
      </w:r>
    </w:p>
    <w:p>
      <w:pPr>
        <w:spacing w:after="0" w:line="19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Prior to the acquisition, we had purchased filters from the whole blood business for inclusion in some of our devices. The transactional value between both parties approximated $10.0 million which was recorded as a cost of sale. At the acquisition date, there were no amounts due to or due from the whole blood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EARNINGS PER SHARE (“EPS”)</w:t>
      </w:r>
    </w:p>
    <w:p>
      <w:pPr>
        <w:spacing w:after="0" w:line="12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 The common stock weighted average number of shares has been retroactively adjusted for the stock split.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6"/>
        </w:trPr>
        <w:tc>
          <w:tcPr>
            <w:tcW w:w="428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December 29,</w:t>
            </w:r>
          </w:p>
        </w:tc>
        <w:tc>
          <w:tcPr>
            <w:tcW w:w="220" w:type="dxa"/>
            <w:vAlign w:val="bottom"/>
          </w:tcPr>
          <w:p>
            <w:pPr>
              <w:spacing w:after="0"/>
              <w:rPr>
                <w:sz w:val="13"/>
                <w:szCs w:val="13"/>
                <w:color w:val="auto"/>
              </w:rPr>
            </w:pPr>
          </w:p>
        </w:tc>
        <w:tc>
          <w:tcPr>
            <w:tcW w:w="126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96"/>
        </w:trPr>
        <w:tc>
          <w:tcPr>
            <w:tcW w:w="428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4"/>
          </w:tcPr>
          <w:p>
            <w:pPr>
              <w:jc w:val="right"/>
              <w:ind w:right="274"/>
              <w:spacing w:after="0"/>
              <w:rPr>
                <w:sz w:val="20"/>
                <w:szCs w:val="20"/>
                <w:color w:val="auto"/>
              </w:rPr>
            </w:pPr>
            <w:r>
              <w:rPr>
                <w:rFonts w:ascii="Arial" w:cs="Arial" w:eastAsia="Arial" w:hAnsi="Arial"/>
                <w:sz w:val="14"/>
                <w:szCs w:val="14"/>
                <w:color w:val="auto"/>
                <w:w w:val="95"/>
              </w:rPr>
              <w:t>(in thousands, except per share amounts)</w:t>
            </w:r>
          </w:p>
        </w:tc>
        <w:tc>
          <w:tcPr>
            <w:tcW w:w="0" w:type="dxa"/>
            <w:vAlign w:val="bottom"/>
          </w:tcPr>
          <w:p>
            <w:pPr>
              <w:spacing w:after="0"/>
              <w:rPr>
                <w:sz w:val="1"/>
                <w:szCs w:val="1"/>
                <w:color w:val="auto"/>
              </w:rPr>
            </w:pPr>
          </w:p>
        </w:tc>
      </w:tr>
      <w:tr>
        <w:trPr>
          <w:trHeight w:val="256"/>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4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18,252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40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51,707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50,154</w:t>
            </w:r>
          </w:p>
        </w:tc>
        <w:tc>
          <w:tcPr>
            <w:tcW w:w="0" w:type="dxa"/>
            <w:vAlign w:val="bottom"/>
          </w:tcPr>
          <w:p>
            <w:pPr>
              <w:spacing w:after="0"/>
              <w:rPr>
                <w:sz w:val="1"/>
                <w:szCs w:val="1"/>
                <w:color w:val="auto"/>
              </w:rPr>
            </w:pPr>
          </w:p>
        </w:tc>
      </w:tr>
      <w:tr>
        <w:trPr>
          <w:trHeight w:val="297"/>
        </w:trPr>
        <w:tc>
          <w:tcPr>
            <w:tcW w:w="42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406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37"/>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4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4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9,904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18,252</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4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4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51,707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50,154</w:t>
            </w:r>
          </w:p>
        </w:tc>
        <w:tc>
          <w:tcPr>
            <w:tcW w:w="0" w:type="dxa"/>
            <w:vAlign w:val="bottom"/>
          </w:tcPr>
          <w:p>
            <w:pPr>
              <w:spacing w:after="0"/>
              <w:rPr>
                <w:sz w:val="1"/>
                <w:szCs w:val="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4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7"/>
        </w:trPr>
        <w:tc>
          <w:tcPr>
            <w:tcW w:w="4280" w:type="dxa"/>
            <w:vAlign w:val="bottom"/>
            <w:tcBorders>
              <w:bottom w:val="single" w:sz="8" w:color="CCEEFF"/>
            </w:tcBorders>
          </w:tcPr>
          <w:p>
            <w:pPr>
              <w:spacing w:after="0"/>
              <w:rPr>
                <w:sz w:val="2"/>
                <w:szCs w:val="2"/>
                <w:color w:val="auto"/>
              </w:rPr>
            </w:pPr>
          </w:p>
        </w:tc>
        <w:tc>
          <w:tcPr>
            <w:tcW w:w="4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4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50,876</w:t>
            </w:r>
          </w:p>
        </w:tc>
        <w:tc>
          <w:tcPr>
            <w:tcW w:w="0" w:type="dxa"/>
            <w:vAlign w:val="bottom"/>
          </w:tcPr>
          <w:p>
            <w:pPr>
              <w:spacing w:after="0"/>
              <w:rPr>
                <w:sz w:val="1"/>
                <w:szCs w:val="1"/>
                <w:color w:val="auto"/>
              </w:rPr>
            </w:pPr>
          </w:p>
        </w:tc>
      </w:tr>
      <w:tr>
        <w:trPr>
          <w:trHeight w:val="264"/>
        </w:trPr>
        <w:tc>
          <w:tcPr>
            <w:tcW w:w="428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4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0.19</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4060" w:type="dxa"/>
            <w:vAlign w:val="bottom"/>
            <w:vMerge w:val="restart"/>
          </w:tcPr>
          <w:p>
            <w:pPr>
              <w:jc w:val="right"/>
              <w:ind w:right="2490"/>
              <w:spacing w:after="0"/>
              <w:rPr>
                <w:sz w:val="20"/>
                <w:szCs w:val="20"/>
                <w:color w:val="auto"/>
              </w:rPr>
            </w:pPr>
            <w:r>
              <w:rPr>
                <w:rFonts w:ascii="Arial" w:cs="Arial" w:eastAsia="Arial" w:hAnsi="Arial"/>
                <w:sz w:val="18"/>
                <w:szCs w:val="18"/>
                <w:color w:val="auto"/>
              </w:rPr>
              <w:t>9</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28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color w:val="auto"/>
              </w:rPr>
              <w:t>Nine Months Ended</w:t>
            </w:r>
          </w:p>
        </w:tc>
      </w:tr>
      <w:tr>
        <w:trPr>
          <w:trHeight w:val="156"/>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December 29,</w:t>
            </w:r>
          </w:p>
        </w:tc>
        <w:tc>
          <w:tcPr>
            <w:tcW w:w="220" w:type="dxa"/>
            <w:vAlign w:val="bottom"/>
          </w:tcPr>
          <w:p>
            <w:pPr>
              <w:spacing w:after="0"/>
              <w:rPr>
                <w:sz w:val="13"/>
                <w:szCs w:val="13"/>
                <w:color w:val="auto"/>
              </w:rPr>
            </w:pPr>
          </w:p>
        </w:tc>
        <w:tc>
          <w:tcPr>
            <w:tcW w:w="1260" w:type="dxa"/>
            <w:vAlign w:val="bottom"/>
          </w:tcPr>
          <w:p>
            <w:pPr>
              <w:jc w:val="right"/>
              <w:ind w:right="274"/>
              <w:spacing w:after="0" w:line="157" w:lineRule="exact"/>
              <w:rPr>
                <w:sz w:val="20"/>
                <w:szCs w:val="20"/>
                <w:color w:val="auto"/>
              </w:rPr>
            </w:pPr>
            <w:r>
              <w:rPr>
                <w:rFonts w:ascii="Arial" w:cs="Arial" w:eastAsia="Arial" w:hAnsi="Arial"/>
                <w:sz w:val="14"/>
                <w:szCs w:val="14"/>
                <w:color w:val="auto"/>
              </w:rPr>
              <w:t>December 31,</w:t>
            </w:r>
          </w:p>
        </w:tc>
      </w:t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color w:val="auto"/>
              </w:rPr>
              <w:t>2011</w:t>
            </w:r>
          </w:p>
        </w:tc>
      </w:tr>
      <w:tr>
        <w:trPr>
          <w:trHeight w:val="196"/>
        </w:trPr>
        <w:tc>
          <w:tcPr>
            <w:tcW w:w="8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60" w:type="dxa"/>
            <w:vAlign w:val="bottom"/>
            <w:gridSpan w:val="4"/>
          </w:tcPr>
          <w:p>
            <w:pPr>
              <w:jc w:val="right"/>
              <w:ind w:right="274"/>
              <w:spacing w:after="0"/>
              <w:rPr>
                <w:sz w:val="20"/>
                <w:szCs w:val="20"/>
                <w:color w:val="auto"/>
              </w:rPr>
            </w:pPr>
            <w:r>
              <w:rPr>
                <w:rFonts w:ascii="Arial" w:cs="Arial" w:eastAsia="Arial" w:hAnsi="Arial"/>
                <w:sz w:val="14"/>
                <w:szCs w:val="14"/>
                <w:color w:val="auto"/>
                <w:w w:val="95"/>
              </w:rPr>
              <w:t>(in thousands, except per share amounts)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26,239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49,080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51,364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50,818</w:t>
            </w:r>
          </w:p>
        </w:tc>
      </w:tr>
      <w:tr>
        <w:trPr>
          <w:trHeight w:val="297"/>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income per share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0.97</w:t>
            </w:r>
          </w:p>
        </w:tc>
      </w:tr>
      <w:tr>
        <w:trPr>
          <w:trHeight w:val="23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26,239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49,080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51,364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50,818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effect of common stock equivalents</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848</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52,264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51,666</w:t>
            </w: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Diluted income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0.95</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Weighted average shares outstanding, assuming dilution, excludes the impact of 0.7 million and 0.4 million stock options for the three and nine months ended December 29, 2012, respectively, and 1.8 million and 1.2 million stock options for the three and nine months ended December 31, 2011, respectively, because these securities were anti-dilutive during the noted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Stock-based compensation expense of $7.9 million and $6.7 million was recognized for the nine months ended December 29, 2012 and December 31, 2011, respectively. The related income tax benefit recognized was $2.5 million and $2.0 million for the nine months ended December 29, 2012 and December 31, 2011, respectively.</w:t>
      </w:r>
    </w:p>
    <w:p>
      <w:pPr>
        <w:spacing w:after="0" w:line="73"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color w:val="auto"/>
        </w:rPr>
        <w:t>The weighted average fair value for our options granted was $9.76 and $8.15 for the nine months ended December 29, 2012 and December 31, 2011, respectively. The assumptions utilized for estimating the fair value of option grants during the periods presented are as follows:</w:t>
      </w:r>
    </w:p>
    <w:p>
      <w:pPr>
        <w:spacing w:after="0" w:line="88"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20955</wp:posOffset>
            </wp:positionV>
            <wp:extent cx="204089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4089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1660" w:type="dxa"/>
            <w:vAlign w:val="bottom"/>
            <w:gridSpan w:val="2"/>
          </w:tcPr>
          <w:p>
            <w:pPr>
              <w:ind w:left="360"/>
              <w:spacing w:after="0"/>
              <w:rPr>
                <w:sz w:val="20"/>
                <w:szCs w:val="20"/>
                <w:color w:val="auto"/>
              </w:rPr>
            </w:pPr>
            <w:r>
              <w:rPr>
                <w:rFonts w:ascii="Arial" w:cs="Arial" w:eastAsia="Arial" w:hAnsi="Arial"/>
                <w:sz w:val="14"/>
                <w:szCs w:val="14"/>
                <w:color w:val="auto"/>
              </w:rPr>
              <w:t>December 29,</w:t>
            </w:r>
          </w:p>
        </w:tc>
        <w:tc>
          <w:tcPr>
            <w:tcW w:w="1560" w:type="dxa"/>
            <w:vAlign w:val="bottom"/>
          </w:tcPr>
          <w:p>
            <w:pPr>
              <w:jc w:val="right"/>
              <w:ind w:right="316"/>
              <w:spacing w:after="0"/>
              <w:rPr>
                <w:sz w:val="20"/>
                <w:szCs w:val="20"/>
                <w:color w:val="auto"/>
              </w:rPr>
            </w:pPr>
            <w:r>
              <w:rPr>
                <w:rFonts w:ascii="Arial" w:cs="Arial" w:eastAsia="Arial" w:hAnsi="Arial"/>
                <w:sz w:val="14"/>
                <w:szCs w:val="14"/>
                <w:color w:val="auto"/>
              </w:rPr>
              <w:t>December 31,</w:t>
            </w:r>
          </w:p>
        </w:tc>
      </w:tr>
      <w:tr>
        <w:trPr>
          <w:trHeight w:val="188"/>
        </w:trPr>
        <w:tc>
          <w:tcPr>
            <w:tcW w:w="82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color w:val="auto"/>
              </w:rPr>
              <w:t>2011</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 Black-Scholes assumptions (weighted average):</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Volatility</w:t>
            </w:r>
          </w:p>
        </w:tc>
        <w:tc>
          <w:tcPr>
            <w:tcW w:w="1560" w:type="dxa"/>
            <w:vAlign w:val="bottom"/>
          </w:tcPr>
          <w:p>
            <w:pPr>
              <w:jc w:val="right"/>
              <w:spacing w:after="0"/>
              <w:rPr>
                <w:sz w:val="20"/>
                <w:szCs w:val="20"/>
                <w:color w:val="auto"/>
              </w:rPr>
            </w:pPr>
            <w:r>
              <w:rPr>
                <w:rFonts w:ascii="Arial" w:cs="Arial" w:eastAsia="Arial" w:hAnsi="Arial"/>
                <w:sz w:val="18"/>
                <w:szCs w:val="18"/>
                <w:color w:val="auto"/>
              </w:rPr>
              <w:t>26.94%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27.95%</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Expected life (years)</w:t>
            </w:r>
          </w:p>
        </w:tc>
        <w:tc>
          <w:tcPr>
            <w:tcW w:w="15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4.9</w:t>
            </w:r>
          </w:p>
        </w:tc>
      </w:tr>
      <w:tr>
        <w:trPr>
          <w:trHeight w:val="243"/>
        </w:trPr>
        <w:tc>
          <w:tcPr>
            <w:tcW w:w="8200" w:type="dxa"/>
            <w:vAlign w:val="bottom"/>
          </w:tcPr>
          <w:p>
            <w:pPr>
              <w:ind w:left="180"/>
              <w:spacing w:after="0"/>
              <w:rPr>
                <w:sz w:val="20"/>
                <w:szCs w:val="20"/>
                <w:color w:val="auto"/>
              </w:rPr>
            </w:pPr>
            <w:r>
              <w:rPr>
                <w:rFonts w:ascii="Arial" w:cs="Arial" w:eastAsia="Arial" w:hAnsi="Arial"/>
                <w:sz w:val="18"/>
                <w:szCs w:val="18"/>
                <w:color w:val="auto"/>
              </w:rPr>
              <w:t>Risk-free interest rate</w:t>
            </w:r>
          </w:p>
        </w:tc>
        <w:tc>
          <w:tcPr>
            <w:tcW w:w="1560" w:type="dxa"/>
            <w:vAlign w:val="bottom"/>
          </w:tcPr>
          <w:p>
            <w:pPr>
              <w:jc w:val="right"/>
              <w:spacing w:after="0"/>
              <w:rPr>
                <w:sz w:val="20"/>
                <w:szCs w:val="20"/>
                <w:color w:val="auto"/>
              </w:rPr>
            </w:pPr>
            <w:r>
              <w:rPr>
                <w:rFonts w:ascii="Arial" w:cs="Arial" w:eastAsia="Arial" w:hAnsi="Arial"/>
                <w:sz w:val="18"/>
                <w:szCs w:val="18"/>
                <w:color w:val="auto"/>
              </w:rPr>
              <w:t>0.72%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
        </w:trPr>
        <w:tc>
          <w:tcPr>
            <w:tcW w:w="8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43"/>
        </w:trPr>
        <w:tc>
          <w:tcPr>
            <w:tcW w:w="8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yield</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
        </w:trPr>
        <w:tc>
          <w:tcPr>
            <w:tcW w:w="82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During the nine months ended December 29, 2012 and December 31, 2011, there were 150,763 and 154,520 shares, respectively, purchased under the Employee Stock Purchase Plan at an average price of $27.47 and $24.58 per share,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4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56"/>
        </w:trPr>
        <w:tc>
          <w:tcPr>
            <w:tcW w:w="464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December 29,</w:t>
            </w:r>
          </w:p>
        </w:tc>
        <w:tc>
          <w:tcPr>
            <w:tcW w:w="220" w:type="dxa"/>
            <w:vAlign w:val="bottom"/>
          </w:tcPr>
          <w:p>
            <w:pPr>
              <w:spacing w:after="0"/>
              <w:rPr>
                <w:sz w:val="13"/>
                <w:szCs w:val="13"/>
                <w:color w:val="auto"/>
              </w:rPr>
            </w:pPr>
          </w:p>
        </w:tc>
        <w:tc>
          <w:tcPr>
            <w:tcW w:w="1260" w:type="dxa"/>
            <w:vAlign w:val="bottom"/>
          </w:tcPr>
          <w:p>
            <w:pPr>
              <w:jc w:val="right"/>
              <w:ind w:right="276"/>
              <w:spacing w:after="0" w:line="157"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8"/>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7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accrual as of the beginning of the period</w:t>
            </w:r>
          </w:p>
        </w:tc>
        <w:tc>
          <w:tcPr>
            <w:tcW w:w="39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1,273</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Warranty provision</w:t>
            </w:r>
          </w:p>
        </w:tc>
        <w:tc>
          <w:tcPr>
            <w:tcW w:w="3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Warranty spending</w:t>
            </w:r>
          </w:p>
        </w:tc>
        <w:tc>
          <w:tcPr>
            <w:tcW w:w="37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57"/>
        </w:trPr>
        <w:tc>
          <w:tcPr>
            <w:tcW w:w="4640" w:type="dxa"/>
            <w:vAlign w:val="bottom"/>
          </w:tcPr>
          <w:p>
            <w:pPr>
              <w:ind w:left="40"/>
              <w:spacing w:after="0"/>
              <w:rPr>
                <w:sz w:val="20"/>
                <w:szCs w:val="20"/>
                <w:color w:val="auto"/>
              </w:rPr>
            </w:pPr>
            <w:r>
              <w:rPr>
                <w:rFonts w:ascii="Arial" w:cs="Arial" w:eastAsia="Arial" w:hAnsi="Arial"/>
                <w:sz w:val="18"/>
                <w:szCs w:val="18"/>
                <w:color w:val="auto"/>
              </w:rPr>
              <w:t>Warranty accrual as of the end of the period</w:t>
            </w:r>
          </w:p>
        </w:tc>
        <w:tc>
          <w:tcPr>
            <w:tcW w:w="37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3700" w:type="dxa"/>
            <w:vAlign w:val="bottom"/>
            <w:vMerge w:val="restart"/>
          </w:tcPr>
          <w:p>
            <w:pPr>
              <w:jc w:val="right"/>
              <w:ind w:right="2450"/>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640" w:type="dxa"/>
            <w:vAlign w:val="bottom"/>
          </w:tcPr>
          <w:p>
            <w:pPr>
              <w:spacing w:after="0"/>
              <w:rPr>
                <w:sz w:val="24"/>
                <w:szCs w:val="24"/>
                <w:color w:val="auto"/>
              </w:rPr>
            </w:pPr>
          </w:p>
        </w:tc>
        <w:tc>
          <w:tcPr>
            <w:tcW w:w="37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color w:val="auto"/>
              </w:rPr>
              <w:t>December 29,</w:t>
            </w:r>
          </w:p>
        </w:tc>
        <w:tc>
          <w:tcPr>
            <w:tcW w:w="280" w:type="dxa"/>
            <w:vAlign w:val="bottom"/>
          </w:tcPr>
          <w:p>
            <w:pPr>
              <w:spacing w:after="0"/>
              <w:rPr>
                <w:sz w:val="14"/>
                <w:szCs w:val="14"/>
                <w:color w:val="auto"/>
              </w:rPr>
            </w:pPr>
          </w:p>
        </w:tc>
        <w:tc>
          <w:tcPr>
            <w:tcW w:w="1200" w:type="dxa"/>
            <w:vAlign w:val="bottom"/>
          </w:tcPr>
          <w:p>
            <w:pPr>
              <w:jc w:val="right"/>
              <w:ind w:right="376"/>
              <w:spacing w:after="0"/>
              <w:rPr>
                <w:sz w:val="20"/>
                <w:szCs w:val="20"/>
                <w:color w:val="auto"/>
              </w:rPr>
            </w:pPr>
            <w:r>
              <w:rPr>
                <w:rFonts w:ascii="Arial" w:cs="Arial" w:eastAsia="Arial" w:hAnsi="Arial"/>
                <w:sz w:val="14"/>
                <w:szCs w:val="14"/>
                <w:color w:val="auto"/>
              </w:rPr>
              <w:t>March 31,</w:t>
            </w:r>
          </w:p>
        </w:tc>
      </w:tr>
      <w:tr>
        <w:trPr>
          <w:trHeight w:val="18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58,508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41,219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2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8,979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4,640</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112,550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71,304</w:t>
            </w:r>
          </w:p>
        </w:tc>
      </w:tr>
      <w:tr>
        <w:trPr>
          <w:trHeight w:val="237"/>
        </w:trPr>
        <w:tc>
          <w:tcPr>
            <w:tcW w:w="83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180,037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117,163</w:t>
            </w:r>
          </w:p>
        </w:tc>
      </w:tr>
      <w:tr>
        <w:trPr>
          <w:trHeight w:val="27"/>
        </w:trPr>
        <w:tc>
          <w:tcPr>
            <w:tcW w:w="8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DERIVATIVES AND FAIR VALUE MEASUREMENTS</w:t>
      </w:r>
    </w:p>
    <w:p>
      <w:pPr>
        <w:spacing w:after="0" w:line="121"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We manufacture, market and sell our products globally. For the nine months ended December 29, 2012, approximately 49.4% of our sales were generated outside the U.S. generally in local currencies. We also incur certain manufacturing, marketing and selling costs in international markets in local currency.</w:t>
      </w:r>
    </w:p>
    <w:p>
      <w:pPr>
        <w:spacing w:after="0" w:line="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Accordingly, our earnings and cash flows are exposed to market risk from changes in foreign currency exchange rates relative to the U.S. Dollar, our reporting currency. 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foreign currency forward contracts to hedge the anticipated cash flows from transactions denominated in foreign currencies, primarily the Japanese Yen and the Euro, and to a lesser extent the Swiss Franc,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All of our designated foreign currency hedge contracts as of December 29, 2012 and March 31, 2012 were cash flow hedges under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We record the effective portion of any change in the fair value of designated foreign currency hedge contracts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$133.4 million as of December 29, 2012 and $162.1 million as of March 31, 2012.</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During the nine months ended December 29, 2012, we recognized net gains of $2.0 million in earnings on our cash flow hedges. For the nine months ended December 29, 2012, a $0.4 million gain related to foreign exchange hedge contracts, net of tax, was recorded in Accumulated Other Comprehensive Income to recognize the effective portion of the fair value of any designated foreign currency hedge contracts that are, or previously were, designated as foreign currency cash flow hedges, as compared to net losses of $0.4 million for the nine months ended December 31, 2011. At December 29, 2012, losses of $0.4 million, net of tax, may be reclassified to earnings within the next twelve months. All currency cash flow hedges outstanding as of December 29, 2012 mature within twelve months.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manage our exposure to changes in foreign currency on a consolidated basis to take advantage of offsetting transactions and balances. We use foreign currency forward contracts as a part of our strategy to manage exposure related to foreign currency denominated monetary assets and liabilities. These foreign currency forward contracts are entered into for periods consistent with currency transaction exposures, generally one month. They are not designated as cash flow or fair value hedges under ASC Topic 815. These forward contracts are marked-to-market with changes in fair value recorded to earnings. We had non-designated foreign currency hedge contracts under ASC Topic 815 outstanding in the contract amount of $68.9 million as of December 29, 2012 and $45.5 million as of March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39"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On August 1, 2012, we entered into a credit agreement which provided for a $475.0 million term loan (“Term Loan”). 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(“Adjusted LIBOR”). The terms of the Credit Agreement also allow us to borrow in multiple tranches. While we currently borrow in a single tranche, in the future, we may choose to borrow in multiple tranches.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Accordingly, our earnings and cash flows are exposed to interest rate risk from changes in adjusted LIBOR. Part of our interest rate risk management strategy includes the use of interest rate swaps to mitigate our exposure to changes in variable interest rates. Our objective in using interest rate swaps is to add stability to interest expense and to manage and reduce the risk inherent in interest rate fluctuations. If the interest rate swap qualifies for hedge accounting, we formally document our hedge relationships (including identifying the hedged instrument and hedged item) at hedge inception. On a quarterly basis, we assess whether the interest rate swaps are highly effective in offsetting changes in the cash flow of the hedged item. We do not hold or issue interest rate swaps for trading purposes. We manage the credit risk of the counterparties by dealing only with institutions that we consider financially sound and consider the risk of non-performance to be remote.</w:t>
      </w:r>
    </w:p>
    <w:p>
      <w:pPr>
        <w:spacing w:after="0" w:line="189"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On December 21, 2012, we entered into two interest rate swap agreements ("the swaps"), whereby we receive Adjusted LIBOR and pay an average fixed rate of 0.68% on a total notional value of $250.0 million of debt. The interest rate swaps mature on August 1, 2017. The Company designated the interest rate swaps as a cash flow hedge of variable interest rate risk associated with $250.0 million of indebtedness. For the nine months ended December 29, 2012, $0.6 million of losses, net of tax, were recorded in Accumulated Other Comprehensive Income to recognize the effective portion of the fair value of interest rate swaps that qualify as cash flow hedges. At December 29, 2012, losses of $0.1 million may be reclassified to earnings within the next twelve months.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December 29, 2012 or March 31,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7"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following table presents the effect of our derivative instruments designated as cash flow hedges and those not designated as hedging instruments under ASC Topic 815 in our consolidated statements of income and consolidated income for the nine months ended December 29, 2012.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color w:val="auto"/>
                <w:w w:val="96"/>
              </w:rPr>
              <w:t>Amount of Loss</w:t>
            </w: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49"/>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Amount of Loss</w:t>
            </w:r>
          </w:p>
        </w:tc>
        <w:tc>
          <w:tcPr>
            <w:tcW w:w="16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Reclassified</w:t>
            </w: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4"/>
              </w:rPr>
              <w:t>Amount of loss</w:t>
            </w:r>
          </w:p>
        </w:tc>
        <w:tc>
          <w:tcPr>
            <w:tcW w:w="1480" w:type="dxa"/>
            <w:vAlign w:val="bottom"/>
          </w:tcPr>
          <w:p>
            <w:pPr>
              <w:spacing w:after="0"/>
              <w:rPr>
                <w:sz w:val="12"/>
                <w:szCs w:val="12"/>
                <w:color w:val="auto"/>
              </w:rPr>
            </w:pPr>
          </w:p>
        </w:tc>
      </w:tr>
      <w:tr>
        <w:trPr>
          <w:trHeight w:val="149"/>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1"/>
              </w:rPr>
              <w:t>Recognized</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from AOCI into</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7"/>
              </w:rPr>
              <w:t>Location in</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Excluded from</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7"/>
              </w:rPr>
              <w:t>Location in</w:t>
            </w:r>
          </w:p>
        </w:tc>
      </w:tr>
      <w:tr>
        <w:trPr>
          <w:trHeight w:val="149"/>
        </w:trPr>
        <w:tc>
          <w:tcPr>
            <w:tcW w:w="3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in AOCI</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4"/>
              </w:rPr>
              <w:t>Earnings</w:t>
            </w:r>
          </w:p>
        </w:tc>
        <w:tc>
          <w:tcPr>
            <w:tcW w:w="20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Statement of</w:t>
            </w:r>
          </w:p>
        </w:tc>
        <w:tc>
          <w:tcPr>
            <w:tcW w:w="220" w:type="dxa"/>
            <w:vAlign w:val="bottom"/>
          </w:tcPr>
          <w:p>
            <w:pPr>
              <w:spacing w:after="0"/>
              <w:rPr>
                <w:sz w:val="12"/>
                <w:szCs w:val="12"/>
                <w:color w:val="auto"/>
              </w:rPr>
            </w:pPr>
          </w:p>
        </w:tc>
        <w:tc>
          <w:tcPr>
            <w:tcW w:w="13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Effectiveness</w:t>
            </w:r>
          </w:p>
        </w:tc>
        <w:tc>
          <w:tcPr>
            <w:tcW w:w="1480" w:type="dxa"/>
            <w:vAlign w:val="bottom"/>
          </w:tcPr>
          <w:p>
            <w:pPr>
              <w:jc w:val="center"/>
              <w:spacing w:after="0" w:line="149" w:lineRule="exact"/>
              <w:rPr>
                <w:sz w:val="20"/>
                <w:szCs w:val="20"/>
                <w:color w:val="auto"/>
              </w:rPr>
            </w:pPr>
            <w:r>
              <w:rPr>
                <w:rFonts w:ascii="Arial" w:cs="Arial" w:eastAsia="Arial" w:hAnsi="Arial"/>
                <w:sz w:val="14"/>
                <w:szCs w:val="14"/>
                <w:color w:val="auto"/>
                <w:w w:val="90"/>
              </w:rPr>
              <w:t>Statement of</w:t>
            </w:r>
          </w:p>
        </w:tc>
      </w:tr>
      <w:tr>
        <w:trPr>
          <w:trHeight w:val="188"/>
        </w:trPr>
        <w:tc>
          <w:tcPr>
            <w:tcW w:w="306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0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color w:val="auto"/>
                <w:w w:val="97"/>
              </w:rPr>
              <w:t>(Effective Portion)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color w:val="auto"/>
                <w:w w:val="97"/>
              </w:rPr>
              <w:t>(Effective Portion)</w:t>
            </w:r>
          </w:p>
        </w:tc>
        <w:tc>
          <w:tcPr>
            <w:tcW w:w="204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Operations</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5"/>
              </w:rPr>
              <w:t>Testing (*)</w:t>
            </w:r>
          </w:p>
        </w:tc>
        <w:tc>
          <w:tcPr>
            <w:tcW w:w="1480" w:type="dxa"/>
            <w:vAlign w:val="bottom"/>
          </w:tcPr>
          <w:p>
            <w:pPr>
              <w:jc w:val="center"/>
              <w:spacing w:after="0"/>
              <w:rPr>
                <w:sz w:val="20"/>
                <w:szCs w:val="20"/>
                <w:color w:val="auto"/>
              </w:rPr>
            </w:pPr>
            <w:r>
              <w:rPr>
                <w:rFonts w:ascii="Arial" w:cs="Arial" w:eastAsia="Arial" w:hAnsi="Arial"/>
                <w:sz w:val="14"/>
                <w:szCs w:val="14"/>
                <w:color w:val="auto"/>
                <w:w w:val="93"/>
              </w:rPr>
              <w:t>Operations</w:t>
            </w:r>
          </w:p>
        </w:tc>
      </w:tr>
      <w:tr>
        <w:trPr>
          <w:trHeight w:val="250"/>
        </w:trPr>
        <w:tc>
          <w:tcPr>
            <w:tcW w:w="3060" w:type="dxa"/>
            <w:vAlign w:val="bottom"/>
            <w:tcBorders>
              <w:top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35"/>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Net revenues, COGS, and</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w:t>
            </w:r>
          </w:p>
        </w:tc>
      </w:tr>
      <w:tr>
        <w:trPr>
          <w:trHeight w:val="237"/>
        </w:trPr>
        <w:tc>
          <w:tcPr>
            <w:tcW w:w="3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contracts, net of tax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2,011</w:t>
            </w:r>
          </w:p>
        </w:tc>
        <w:tc>
          <w:tcPr>
            <w:tcW w:w="1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SG&amp;A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 net</w:t>
            </w:r>
          </w:p>
        </w:tc>
      </w:tr>
      <w:tr>
        <w:trPr>
          <w:trHeight w:val="229"/>
        </w:trPr>
        <w:tc>
          <w:tcPr>
            <w:tcW w:w="3060" w:type="dxa"/>
            <w:vAlign w:val="bottom"/>
          </w:tcPr>
          <w:p>
            <w:pPr>
              <w:ind w:left="40"/>
              <w:spacing w:after="0"/>
              <w:rPr>
                <w:sz w:val="20"/>
                <w:szCs w:val="20"/>
                <w:color w:val="auto"/>
              </w:rPr>
            </w:pPr>
            <w:r>
              <w:rPr>
                <w:rFonts w:ascii="Arial" w:cs="Arial" w:eastAsia="Arial" w:hAnsi="Arial"/>
                <w:sz w:val="18"/>
                <w:szCs w:val="18"/>
                <w:color w:val="auto"/>
                <w:w w:val="94"/>
              </w:rPr>
              <w:t>Non-designated foreign currency hedge</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Other income</w:t>
            </w:r>
          </w:p>
        </w:tc>
      </w:tr>
      <w:tr>
        <w:trPr>
          <w:trHeight w:val="230"/>
        </w:trPr>
        <w:tc>
          <w:tcPr>
            <w:tcW w:w="3060" w:type="dxa"/>
            <w:vAlign w:val="bottom"/>
          </w:tcPr>
          <w:p>
            <w:pPr>
              <w:ind w:left="40"/>
              <w:spacing w:after="0"/>
              <w:rPr>
                <w:sz w:val="20"/>
                <w:szCs w:val="20"/>
                <w:color w:val="auto"/>
              </w:rPr>
            </w:pPr>
            <w:r>
              <w:rPr>
                <w:rFonts w:ascii="Arial" w:cs="Arial" w:eastAsia="Arial" w:hAnsi="Arial"/>
                <w:sz w:val="18"/>
                <w:szCs w:val="18"/>
                <w:color w:val="auto"/>
              </w:rPr>
              <w:t>contracts</w:t>
            </w:r>
          </w:p>
        </w:tc>
        <w:tc>
          <w:tcPr>
            <w:tcW w:w="200" w:type="dxa"/>
            <w:vAlign w:val="bottom"/>
          </w:tcPr>
          <w:p>
            <w:pPr>
              <w:spacing w:after="0"/>
              <w:rPr>
                <w:sz w:val="20"/>
                <w:szCs w:val="20"/>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(930)</w:t>
            </w:r>
          </w:p>
        </w:tc>
        <w:tc>
          <w:tcPr>
            <w:tcW w:w="100" w:type="dxa"/>
            <w:vAlign w:val="bottom"/>
          </w:tcPr>
          <w:p>
            <w:pPr>
              <w:spacing w:after="0"/>
              <w:rPr>
                <w:sz w:val="20"/>
                <w:szCs w:val="20"/>
                <w:color w:val="auto"/>
              </w:rPr>
            </w:pPr>
          </w:p>
        </w:tc>
        <w:tc>
          <w:tcPr>
            <w:tcW w:w="1480" w:type="dxa"/>
            <w:vAlign w:val="bottom"/>
          </w:tcPr>
          <w:p>
            <w:pPr>
              <w:ind w:left="40"/>
              <w:spacing w:after="0"/>
              <w:rPr>
                <w:sz w:val="20"/>
                <w:szCs w:val="20"/>
                <w:color w:val="auto"/>
              </w:rPr>
            </w:pPr>
            <w:r>
              <w:rPr>
                <w:rFonts w:ascii="Arial" w:cs="Arial" w:eastAsia="Arial" w:hAnsi="Arial"/>
                <w:sz w:val="18"/>
                <w:szCs w:val="18"/>
                <w:color w:val="auto"/>
              </w:rPr>
              <w:t>(expense)</w:t>
            </w:r>
          </w:p>
        </w:tc>
      </w:tr>
      <w:tr>
        <w:trPr>
          <w:trHeight w:val="27"/>
        </w:trPr>
        <w:tc>
          <w:tcPr>
            <w:tcW w:w="3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30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30"/>
        </w:trPr>
        <w:tc>
          <w:tcPr>
            <w:tcW w:w="3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Designated interest rate swaps, net of tax</w:t>
            </w: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576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(expense),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spacing w:after="0"/>
              <w:rPr>
                <w:sz w:val="20"/>
                <w:szCs w:val="20"/>
                <w:color w:val="auto"/>
              </w:rPr>
            </w:pPr>
          </w:p>
        </w:tc>
      </w:tr>
      <w:tr>
        <w:trPr>
          <w:trHeight w:val="27"/>
        </w:trPr>
        <w:tc>
          <w:tcPr>
            <w:tcW w:w="3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We exclude the difference between the spot rate and hedge forward rate from our effectiveness testing.</w:t>
      </w:r>
    </w:p>
    <w:p>
      <w:pPr>
        <w:spacing w:after="0" w:line="11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current interest rate curves, interest rate volatilities,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29, 2012,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December 29, 2012 by type of contract and whether it is a qualifying hedge under ASC Topic 815.</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Location in</w:t>
            </w:r>
          </w:p>
        </w:tc>
        <w:tc>
          <w:tcPr>
            <w:tcW w:w="6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538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Balance Sheet</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color w:val="auto"/>
                <w:w w:val="99"/>
              </w:rPr>
              <w:t>As of December 29, 2012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w w:val="97"/>
              </w:rPr>
              <w:t>As of March 31, 2012</w:t>
            </w: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 Assets:</w:t>
            </w:r>
          </w:p>
        </w:tc>
        <w:tc>
          <w:tcPr>
            <w:tcW w:w="2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660" w:type="dxa"/>
            <w:vAlign w:val="bottom"/>
          </w:tcPr>
          <w:p>
            <w:pPr>
              <w:jc w:val="right"/>
              <w:ind w:right="45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6,186</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Arial" w:cs="Arial" w:eastAsia="Arial" w:hAnsi="Arial"/>
                <w:sz w:val="18"/>
                <w:szCs w:val="18"/>
                <w:b w:val="1"/>
                <w:bCs w:val="1"/>
                <w:color w:val="auto"/>
              </w:rPr>
              <w:t>Derivative Liabilities:</w:t>
            </w: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00" w:type="dxa"/>
            <w:vAlign w:val="bottom"/>
            <w:gridSpan w:val="2"/>
            <w:vMerge w:val="continue"/>
          </w:tcPr>
          <w:p>
            <w:pPr>
              <w:spacing w:after="0"/>
              <w:rPr>
                <w:sz w:val="19"/>
                <w:szCs w:val="19"/>
                <w:color w:val="auto"/>
              </w:rPr>
            </w:pPr>
          </w:p>
        </w:tc>
        <w:tc>
          <w:tcPr>
            <w:tcW w:w="2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Designated foreign currency hedge contracts</w:t>
            </w:r>
          </w:p>
        </w:tc>
        <w:tc>
          <w:tcPr>
            <w:tcW w:w="2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Designated interest rate swaps</w:t>
            </w:r>
          </w:p>
        </w:tc>
        <w:tc>
          <w:tcPr>
            <w:tcW w:w="2400" w:type="dxa"/>
            <w:vAlign w:val="bottom"/>
            <w:gridSpan w:val="2"/>
          </w:tcPr>
          <w:p>
            <w:pPr>
              <w:ind w:left="40"/>
              <w:spacing w:after="0"/>
              <w:rPr>
                <w:sz w:val="20"/>
                <w:szCs w:val="20"/>
                <w:color w:val="auto"/>
              </w:rPr>
            </w:pPr>
            <w:r>
              <w:rPr>
                <w:rFonts w:ascii="Arial" w:cs="Arial" w:eastAsia="Arial" w:hAnsi="Arial"/>
                <w:sz w:val="18"/>
                <w:szCs w:val="18"/>
                <w:color w:val="auto"/>
              </w:rPr>
              <w:t>Other current liabilities</w:t>
            </w:r>
          </w:p>
        </w:tc>
        <w:tc>
          <w:tcPr>
            <w:tcW w:w="660" w:type="dxa"/>
            <w:vAlign w:val="bottom"/>
          </w:tcPr>
          <w:p>
            <w:pPr>
              <w:jc w:val="right"/>
              <w:ind w:right="45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defines fair value, establishes a framework for measuring fair 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three and nine months ended December 29, 2012,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8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a recurring basis, we measure certain financial assets and financial liabilities at fair value, including our money market funds, foreign currency hedge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6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ind w:left="660" w:right="24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Our money market funds carried at fair value are classified within Level 1 of the fair value hierarchy because they are valued using quoted market prices.</w:t>
      </w:r>
    </w:p>
    <w:p>
      <w:pPr>
        <w:spacing w:after="0" w:line="14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 xml:space="preserve">We recognize all derivative financial instruments in our consolidated financial statements at fair value in accordance with ASC Topic 815, </w:t>
      </w:r>
      <w:r>
        <w:rPr>
          <w:rFonts w:ascii="Arial" w:cs="Arial" w:eastAsia="Arial" w:hAnsi="Arial"/>
          <w:sz w:val="17"/>
          <w:szCs w:val="17"/>
          <w:i w:val="1"/>
          <w:iCs w:val="1"/>
          <w:color w:val="auto"/>
        </w:rPr>
        <w:t>Derivatives and</w:t>
      </w:r>
      <w:r>
        <w:rPr>
          <w:rFonts w:ascii="Arial" w:cs="Arial" w:eastAsia="Arial" w:hAnsi="Arial"/>
          <w:sz w:val="17"/>
          <w:szCs w:val="17"/>
          <w:color w:val="auto"/>
        </w:rPr>
        <w:t xml:space="preserve"> </w:t>
      </w:r>
      <w:r>
        <w:rPr>
          <w:rFonts w:ascii="Arial" w:cs="Arial" w:eastAsia="Arial" w:hAnsi="Arial"/>
          <w:sz w:val="17"/>
          <w:szCs w:val="17"/>
          <w:i w:val="1"/>
          <w:iCs w:val="1"/>
          <w:color w:val="auto"/>
        </w:rPr>
        <w:t>Hedging</w:t>
      </w:r>
      <w:r>
        <w:rPr>
          <w:rFonts w:ascii="Arial" w:cs="Arial" w:eastAsia="Arial" w:hAnsi="Arial"/>
          <w:sz w:val="17"/>
          <w:szCs w:val="17"/>
          <w:color w:val="auto"/>
        </w:rPr>
        <w:t>. We determine the fair value of these instruments using the framework prescribed by ASC Topic 820 by considering the estimated amount we would</w:t>
      </w:r>
      <w:r>
        <w:rPr>
          <w:rFonts w:ascii="Arial" w:cs="Arial" w:eastAsia="Arial" w:hAnsi="Arial"/>
          <w:sz w:val="17"/>
          <w:szCs w:val="17"/>
          <w:i w:val="1"/>
          <w:iCs w:val="1"/>
          <w:color w:val="auto"/>
        </w:rPr>
        <w:t xml:space="preserve"> </w:t>
      </w:r>
      <w:r>
        <w:rPr>
          <w:rFonts w:ascii="Arial" w:cs="Arial" w:eastAsia="Arial" w:hAnsi="Arial"/>
          <w:sz w:val="17"/>
          <w:szCs w:val="17"/>
          <w:color w:val="auto"/>
        </w:rPr>
        <w:t>receive or pay to terminate these agreements at the reporting date and by taking into account current spot rates, current interest rates, current interest rate curves, interest rate volatilities, the creditworthiness of the counterparty for assets, and our creditworthiness for liabilities. We have classified our foreign currency hedge contracts and interest rate swaps within Level 2 of the fair value hierarchy because these observable inputs are available for substantially the full term of our derivative instruments. The fair value of our foreign currency hedge contracts is the estimated amount that the Company would receive or pay upon liquidation of the contracts, taking into account the change in currency exchange rates. The fair value of our interest rate swaps is determined using widely accepted valuation techniques, using observable market-based inputs, including interest rate curves and interest rate volatility and reflects the contractual terms of these instruments, including the period to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December 29, 2012:</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9"/>
              </w:rPr>
              <w:t>Significant</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Quoted Market</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1"/>
              </w:rPr>
              <w:t>Other</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9"/>
              </w:rPr>
              <w:t>Significant</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Prices for</w:t>
            </w:r>
          </w:p>
        </w:tc>
        <w:tc>
          <w:tcPr>
            <w:tcW w:w="28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2"/>
              </w:rPr>
              <w:t>Observable</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2"/>
              </w:rPr>
              <w:t>Unobservable</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4"/>
              </w:rPr>
              <w:t>Inputs</w:t>
            </w:r>
          </w:p>
        </w:tc>
        <w:tc>
          <w:tcPr>
            <w:tcW w:w="2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4"/>
              </w:rPr>
              <w:t>Inputs</w:t>
            </w:r>
          </w:p>
        </w:tc>
        <w:tc>
          <w:tcPr>
            <w:tcW w:w="360" w:type="dxa"/>
            <w:vAlign w:val="bottom"/>
          </w:tcPr>
          <w:p>
            <w:pPr>
              <w:spacing w:after="0"/>
              <w:rPr>
                <w:sz w:val="12"/>
                <w:szCs w:val="12"/>
                <w:color w:val="auto"/>
              </w:rPr>
            </w:pPr>
          </w:p>
        </w:tc>
        <w:tc>
          <w:tcPr>
            <w:tcW w:w="1120" w:type="dxa"/>
            <w:vAlign w:val="bottom"/>
          </w:tcPr>
          <w:p>
            <w:pPr>
              <w:spacing w:after="0"/>
              <w:rPr>
                <w:sz w:val="12"/>
                <w:szCs w:val="12"/>
                <w:color w:val="auto"/>
              </w:rPr>
            </w:pPr>
          </w:p>
        </w:tc>
      </w:tr>
      <w:tr>
        <w:trPr>
          <w:trHeight w:val="188"/>
        </w:trPr>
        <w:tc>
          <w:tcPr>
            <w:tcW w:w="516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color w:val="auto"/>
                <w:w w:val="99"/>
              </w:rPr>
              <w:t>(Level 1)</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w w:val="95"/>
              </w:rPr>
              <w:t>(Level 2)</w:t>
            </w:r>
          </w:p>
        </w:tc>
        <w:tc>
          <w:tcPr>
            <w:tcW w:w="240" w:type="dxa"/>
            <w:vAlign w:val="bottom"/>
          </w:tcPr>
          <w:p>
            <w:pPr>
              <w:spacing w:after="0"/>
              <w:rPr>
                <w:sz w:val="16"/>
                <w:szCs w:val="16"/>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color w:val="auto"/>
                <w:w w:val="95"/>
              </w:rPr>
              <w:t>(Level 3)</w:t>
            </w:r>
          </w:p>
        </w:tc>
        <w:tc>
          <w:tcPr>
            <w:tcW w:w="360" w:type="dxa"/>
            <w:vAlign w:val="bottom"/>
          </w:tcPr>
          <w:p>
            <w:pPr>
              <w:spacing w:after="0"/>
              <w:rPr>
                <w:sz w:val="16"/>
                <w:szCs w:val="16"/>
                <w:color w:val="auto"/>
              </w:rPr>
            </w:pPr>
          </w:p>
        </w:tc>
        <w:tc>
          <w:tcPr>
            <w:tcW w:w="1120" w:type="dxa"/>
            <w:vAlign w:val="bottom"/>
          </w:tcPr>
          <w:p>
            <w:pPr>
              <w:jc w:val="right"/>
              <w:ind w:right="493"/>
              <w:spacing w:after="0"/>
              <w:rPr>
                <w:sz w:val="20"/>
                <w:szCs w:val="20"/>
                <w:color w:val="auto"/>
              </w:rPr>
            </w:pPr>
            <w:r>
              <w:rPr>
                <w:rFonts w:ascii="Arial" w:cs="Arial" w:eastAsia="Arial" w:hAnsi="Arial"/>
                <w:sz w:val="14"/>
                <w:szCs w:val="14"/>
                <w:color w:val="auto"/>
              </w:rPr>
              <w:t>Total</w:t>
            </w: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142,919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142,919</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3,904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3,904</w:t>
            </w:r>
          </w:p>
        </w:tc>
      </w:tr>
      <w:tr>
        <w:trPr>
          <w:trHeight w:val="237"/>
        </w:trPr>
        <w:tc>
          <w:tcPr>
            <w:tcW w:w="5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142,919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3,904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146,823</w:t>
            </w:r>
          </w:p>
        </w:tc>
      </w:tr>
      <w:tr>
        <w:trPr>
          <w:trHeight w:val="67"/>
        </w:trPr>
        <w:tc>
          <w:tcPr>
            <w:tcW w:w="516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Foreign currency hedge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1,343</w:t>
            </w: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w:t>
            </w:r>
          </w:p>
        </w:tc>
        <w:tc>
          <w:tcPr>
            <w:tcW w:w="2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927</w:t>
            </w:r>
          </w:p>
        </w:tc>
      </w:tr>
      <w:tr>
        <w:trPr>
          <w:trHeight w:val="237"/>
        </w:trPr>
        <w:tc>
          <w:tcPr>
            <w:tcW w:w="5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2,270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2,270</w:t>
            </w:r>
          </w:p>
        </w:tc>
      </w:tr>
      <w:tr>
        <w:trPr>
          <w:trHeight w:val="27"/>
        </w:trPr>
        <w:tc>
          <w:tcPr>
            <w:tcW w:w="5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Release of Neoteric Contingent Consideration</w:t>
      </w:r>
    </w:p>
    <w:p>
      <w:pPr>
        <w:spacing w:after="0" w:line="117"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 xml:space="preserve">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we established a liability for payments to former shareholders of Neoteric which were contingent on the performance of the Blood Track business in the first three years post-acquisition, beginning with fiscal 2010. We have reviewed the expected performance versus the performance thresholds for payment. Because the expected performance thresholds will not be achieved, we recorded an adjustment to the fair value of the contingent consideration liability. This appears as contingent consideration income of $1.6 million in the accompanying consolidated statements of income and comprehensive income for the nine months ended December 31, 2011.</w:t>
      </w:r>
    </w:p>
    <w:p>
      <w:pPr>
        <w:spacing w:after="0" w:line="64"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In September 2011, we entered into an agreement to release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has recorded the associated expense in the selling, general and administrative line item in the accompanying consolidated statements of income and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of our real estate mortgage obligation was $2.3 million and $3.1 million at December 29, 2012 and March 31, 2012, respectively. This liability is a Level 2 financial instrument and the fair value has been determined using a net present value calculation of the future mortgage payments due, discounted by a rate derived from corresponding U.S. Treasury rates. The $475.0 million term loan is carried at amortized cost and accounts receivable and accounts payable are also reported at their cost which approximates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reported tax rate was 25.0% and 25.5% for the three and nine months ended December 29, 2012, respectively. Our reported tax rate is lower than the federal statutory tax rate in both periods reported primarily due to lower foreign tax rates, including tax benefits associated with our operations in Switzerland.</w:t>
      </w:r>
    </w:p>
    <w:p>
      <w:pPr>
        <w:spacing w:after="0" w:line="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conduct business globally and, as a result, file consolidated federal, consolidated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3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During the third quarter of fiscal 2013, we issued a field action letter to blood center customers requesting visual inspection of a component of certain whole blood collection sets, due to the potential for a leak to occur at a very low frequency.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component, referred to as a Y connector, was supplied by a contract manufacturer. We recorded inventory reserves of $6.1 million in cost of goods sold within the consolidated statement of income for the three months ended December 29, 2012 for removal of affected whole blood collection sets from inventory for destruction or rework. We will pursue all available means of financial recovery related to this inventory loss. However, no salvage or recovery value from these efforts was recorded as we cannot currently conclude whether a favorable outcome will result.</w:t>
      </w:r>
    </w:p>
    <w:p>
      <w:pPr>
        <w:spacing w:after="0" w:line="13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During the first quarter of fiscal 2012, we received customer complaints in Europe regarding a quality issue with our High Separation Core Bowl (“HS Core”), a plasma disposable product used primarily to collect plasma for transfusion. Certain of these customers also made subsequent claims regarding financial losses alleged to have been incurred as a result of this matter. Certain of these claims were recoverable under our product liability insurance policy. To date, we have recognized a $10.3 million liability offset by insurance receivables of $8.2 million and an expense of $2.1 million. As of December 29, 2012, all liabilities incurred as a result of the HS Core issue have been paid and receivables from our insurers have been collected. We do not expect to record additional material claims or insurance recoveries related to this matter.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225"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blood management solutions. Our chief operating decision-maker uses consolidated results to make operating and strategic decisions. Manufacturing processes, as well as the regulatory environment in which we operate, are largely the same for all product lines.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Enterprise-Wide Disclosures about Product and Services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four global product families: plasma, blood center, hospital, and software solutions. Beginning August 1, 2012, we integrated the whole blood business as part of the blood center product family.</w:t>
      </w:r>
    </w:p>
    <w:p>
      <w:pPr>
        <w:spacing w:after="0" w:line="62"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Our products include manual blood collection kits, devices and the disposable single-use sterile kits used with these devices. Disposables include the plasma, blood center, and hospital product families. Plasma consists of the disposables used to perform apheresis for the separation of whole blood components and subsequent collection of plasma to be used as a raw material for biologically derived pharmaceuticals (also known as source plasma). Blood center consists of manual collection kits and disposables which separate whole blood for the subsequent collection of platelets, plasma, red cells, or a combination of these components for transfusion to patients. Hospital consists of surgical disposables (principally the Cell Saver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Cell Saver Elite </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autologous blood recovery systems targeted toward procedures that involve rapid, high volume blood loss such as cardiovascular surgeries and the cardioPAT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cardiovascular perioperative autotransfusion system designed to remain with the patient following cardiovascular surgery to recover blood and the patient’s red cells to prepare them for reinfusion), the OrthoPAT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orthopedic perioperative autotransfusion system designed to operate both during and after orthopedic surgery to recover and wash the patient’s red cells to prepare them for reinfusion, and diagnostics products (principally the TEG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Thrombelastograph</w:t>
      </w:r>
      <w:r>
        <w:rPr>
          <w:rFonts w:ascii="Arial" w:cs="Arial" w:eastAsia="Arial" w:hAnsi="Arial"/>
          <w:sz w:val="22"/>
          <w:szCs w:val="22"/>
          <w:color w:val="auto"/>
          <w:vertAlign w:val="superscript"/>
        </w:rPr>
        <w:t>®</w:t>
      </w:r>
      <w:r>
        <w:rPr>
          <w:rFonts w:ascii="Arial" w:cs="Arial" w:eastAsia="Arial" w:hAnsi="Arial"/>
          <w:sz w:val="16"/>
          <w:szCs w:val="16"/>
          <w:color w:val="auto"/>
        </w:rPr>
        <w:t xml:space="preserve"> hemostasis analyzer used to help assess a surgical patient’s blood clotting ability before, during and after surgery). Software solutions include information technology platforms that assist blood centers, plasma centers, and hospitals to more effectively manage regulatory compliance and operational efficiency.</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from External Customers: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color w:val="auto"/>
              </w:rPr>
              <w:t>Three Months Ended</w:t>
            </w:r>
          </w:p>
        </w:tc>
      </w:tr>
      <w:tr>
        <w:trPr>
          <w:trHeight w:val="156"/>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December 29,</w:t>
            </w:r>
          </w:p>
        </w:tc>
        <w:tc>
          <w:tcPr>
            <w:tcW w:w="220" w:type="dxa"/>
            <w:vAlign w:val="bottom"/>
          </w:tcPr>
          <w:p>
            <w:pPr>
              <w:spacing w:after="0"/>
              <w:rPr>
                <w:sz w:val="13"/>
                <w:szCs w:val="13"/>
                <w:color w:val="auto"/>
              </w:rPr>
            </w:pPr>
          </w:p>
        </w:tc>
        <w:tc>
          <w:tcPr>
            <w:tcW w:w="1260" w:type="dxa"/>
            <w:vAlign w:val="bottom"/>
          </w:tcPr>
          <w:p>
            <w:pPr>
              <w:jc w:val="center"/>
              <w:ind w:right="172"/>
              <w:spacing w:after="0" w:line="157" w:lineRule="exact"/>
              <w:rPr>
                <w:sz w:val="20"/>
                <w:szCs w:val="20"/>
                <w:color w:val="auto"/>
              </w:rPr>
            </w:pPr>
            <w:r>
              <w:rPr>
                <w:rFonts w:ascii="Arial" w:cs="Arial" w:eastAsia="Arial" w:hAnsi="Arial"/>
                <w:sz w:val="14"/>
                <w:szCs w:val="14"/>
                <w:color w:val="auto"/>
                <w:w w:val="90"/>
              </w:rPr>
              <w:t>December 31,</w:t>
            </w:r>
          </w:p>
        </w:tc>
      </w:tr>
      <w:tr>
        <w:trPr>
          <w:trHeight w:val="18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6"/>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89"/>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68,102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69,040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600"/>
              <w:spacing w:after="0"/>
              <w:rPr>
                <w:sz w:val="20"/>
                <w:szCs w:val="20"/>
                <w:color w:val="auto"/>
              </w:rPr>
            </w:pPr>
            <w:r>
              <w:rPr>
                <w:rFonts w:ascii="Arial" w:cs="Arial" w:eastAsia="Arial" w:hAnsi="Arial"/>
                <w:sz w:val="18"/>
                <w:szCs w:val="18"/>
                <w:color w:val="auto"/>
              </w:rPr>
              <w:t>Platelet</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45,139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44,383</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Red cell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12,162</w:t>
            </w:r>
          </w:p>
        </w:tc>
      </w:tr>
      <w:tr>
        <w:trPr>
          <w:trHeight w:val="243"/>
        </w:trPr>
        <w:tc>
          <w:tcPr>
            <w:tcW w:w="8340" w:type="dxa"/>
            <w:vAlign w:val="bottom"/>
          </w:tcPr>
          <w:p>
            <w:pPr>
              <w:ind w:left="580"/>
              <w:spacing w:after="0"/>
              <w:rPr>
                <w:sz w:val="20"/>
                <w:szCs w:val="20"/>
                <w:color w:val="auto"/>
              </w:rPr>
            </w:pPr>
            <w:r>
              <w:rPr>
                <w:rFonts w:ascii="Arial" w:cs="Arial" w:eastAsia="Arial" w:hAnsi="Arial"/>
                <w:sz w:val="18"/>
                <w:szCs w:val="18"/>
                <w:color w:val="auto"/>
              </w:rPr>
              <w:t>Whole blood</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54,894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111,785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56,545</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Hospital disposables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Surgical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17,333</w:t>
            </w:r>
          </w:p>
        </w:tc>
      </w:tr>
      <w:tr>
        <w:trPr>
          <w:trHeight w:val="243"/>
        </w:trPr>
        <w:tc>
          <w:tcPr>
            <w:tcW w:w="8340" w:type="dxa"/>
            <w:vAlign w:val="bottom"/>
          </w:tcPr>
          <w:p>
            <w:pPr>
              <w:ind w:left="600"/>
              <w:spacing w:after="0"/>
              <w:rPr>
                <w:sz w:val="20"/>
                <w:szCs w:val="20"/>
                <w:color w:val="auto"/>
              </w:rPr>
            </w:pPr>
            <w:r>
              <w:rPr>
                <w:rFonts w:ascii="Arial" w:cs="Arial" w:eastAsia="Arial" w:hAnsi="Arial"/>
                <w:sz w:val="18"/>
                <w:szCs w:val="18"/>
                <w:color w:val="auto"/>
              </w:rPr>
              <w:t>OrthoPAT</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7,090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7,755</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Diagnostics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6,761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5,681</w:t>
            </w:r>
          </w:p>
        </w:tc>
      </w:tr>
      <w:tr>
        <w:trPr>
          <w:trHeight w:val="237"/>
        </w:trPr>
        <w:tc>
          <w:tcPr>
            <w:tcW w:w="8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32,751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30,769</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Disposables revenue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212,638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156,354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Software solutions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16,008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15,849</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Equipment &amp;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18,749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18,957</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247,395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191,160</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535"/>
        </w:trPr>
        <w:tc>
          <w:tcPr>
            <w:tcW w:w="8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color w:val="auto"/>
              </w:rPr>
              <w:t>Nine Months Ended</w:t>
            </w:r>
          </w:p>
        </w:tc>
      </w:tr>
      <w:tr>
        <w:trPr>
          <w:trHeight w:val="156"/>
        </w:trPr>
        <w:tc>
          <w:tcPr>
            <w:tcW w:w="8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gridSpan w:val="2"/>
          </w:tcPr>
          <w:p>
            <w:pPr>
              <w:jc w:val="center"/>
              <w:ind w:right="360"/>
              <w:spacing w:after="0" w:line="157" w:lineRule="exact"/>
              <w:rPr>
                <w:sz w:val="20"/>
                <w:szCs w:val="20"/>
                <w:color w:val="auto"/>
              </w:rPr>
            </w:pPr>
            <w:r>
              <w:rPr>
                <w:rFonts w:ascii="Arial" w:cs="Arial" w:eastAsia="Arial" w:hAnsi="Arial"/>
                <w:sz w:val="14"/>
                <w:szCs w:val="14"/>
                <w:color w:val="auto"/>
                <w:w w:val="93"/>
              </w:rPr>
              <w:t>December 29,</w:t>
            </w:r>
          </w:p>
        </w:tc>
        <w:tc>
          <w:tcPr>
            <w:tcW w:w="220" w:type="dxa"/>
            <w:vAlign w:val="bottom"/>
          </w:tcPr>
          <w:p>
            <w:pPr>
              <w:spacing w:after="0"/>
              <w:rPr>
                <w:sz w:val="13"/>
                <w:szCs w:val="13"/>
                <w:color w:val="auto"/>
              </w:rPr>
            </w:pPr>
          </w:p>
        </w:tc>
        <w:tc>
          <w:tcPr>
            <w:tcW w:w="1260" w:type="dxa"/>
            <w:vAlign w:val="bottom"/>
          </w:tcPr>
          <w:p>
            <w:pPr>
              <w:jc w:val="center"/>
              <w:ind w:right="172"/>
              <w:spacing w:after="0" w:line="157" w:lineRule="exact"/>
              <w:rPr>
                <w:sz w:val="20"/>
                <w:szCs w:val="20"/>
                <w:color w:val="auto"/>
              </w:rPr>
            </w:pPr>
            <w:r>
              <w:rPr>
                <w:rFonts w:ascii="Arial" w:cs="Arial" w:eastAsia="Arial" w:hAnsi="Arial"/>
                <w:sz w:val="14"/>
                <w:szCs w:val="14"/>
                <w:color w:val="auto"/>
                <w:w w:val="90"/>
              </w:rPr>
              <w:t>December 31,</w:t>
            </w:r>
          </w:p>
        </w:tc>
      </w:tr>
      <w:tr>
        <w:trPr>
          <w:trHeight w:val="188"/>
        </w:trPr>
        <w:tc>
          <w:tcPr>
            <w:tcW w:w="8340" w:type="dxa"/>
            <w:vAlign w:val="bottom"/>
            <w:tcBorders>
              <w:bottom w:val="single" w:sz="8" w:color="auto"/>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6"/>
              </w:rPr>
              <w:t>2012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89"/>
              </w:rPr>
              <w:t>2011</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 revenues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180"/>
              <w:spacing w:after="0"/>
              <w:rPr>
                <w:sz w:val="20"/>
                <w:szCs w:val="20"/>
                <w:color w:val="auto"/>
              </w:rPr>
            </w:pPr>
            <w:r>
              <w:rPr>
                <w:rFonts w:ascii="Arial" w:cs="Arial" w:eastAsia="Arial" w:hAnsi="Arial"/>
                <w:sz w:val="18"/>
                <w:szCs w:val="18"/>
                <w:color w:val="auto"/>
              </w:rPr>
              <w:t>Plasma disposables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200,657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196,206</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Blood center disposables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Platelet</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125,579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123,888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 cell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35,738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35,676</w:t>
            </w: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Whole blood</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83,514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244,831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159,564</w:t>
            </w:r>
          </w:p>
        </w:tc>
      </w:tr>
      <w:tr>
        <w:trPr>
          <w:trHeight w:val="237"/>
        </w:trPr>
        <w:tc>
          <w:tcPr>
            <w:tcW w:w="8340" w:type="dxa"/>
            <w:vAlign w:val="bottom"/>
          </w:tcPr>
          <w:p>
            <w:pPr>
              <w:ind w:left="180"/>
              <w:spacing w:after="0"/>
              <w:rPr>
                <w:sz w:val="20"/>
                <w:szCs w:val="20"/>
                <w:color w:val="auto"/>
              </w:rPr>
            </w:pPr>
            <w:r>
              <w:rPr>
                <w:rFonts w:ascii="Arial" w:cs="Arial" w:eastAsia="Arial" w:hAnsi="Arial"/>
                <w:sz w:val="18"/>
                <w:szCs w:val="18"/>
                <w:b w:val="1"/>
                <w:bCs w:val="1"/>
                <w:color w:val="auto"/>
              </w:rPr>
              <w:t>Hospital disposables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Surgical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55,965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49,281</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OrthoPAT</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22,276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22,804</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Diagnostics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20,196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16,955</w:t>
            </w:r>
          </w:p>
        </w:tc>
      </w:tr>
      <w:tr>
        <w:trPr>
          <w:trHeight w:val="237"/>
        </w:trPr>
        <w:tc>
          <w:tcPr>
            <w:tcW w:w="8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98,437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89,040</w:t>
            </w:r>
          </w:p>
        </w:tc>
      </w:tr>
      <w:tr>
        <w:trPr>
          <w:trHeight w:val="27"/>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Disposables revenue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543,925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444,810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Software solutions</w:t>
            </w:r>
          </w:p>
        </w:tc>
        <w:tc>
          <w:tcPr>
            <w:tcW w:w="22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51,354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51,208</w:t>
            </w:r>
          </w:p>
        </w:tc>
      </w:tr>
      <w:tr>
        <w:trPr>
          <w:trHeight w:val="27"/>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Equipment &amp;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46,769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45,156</w:t>
            </w: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Net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642,048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541,174</w:t>
            </w:r>
          </w:p>
        </w:tc>
      </w:tr>
      <w:tr>
        <w:trPr>
          <w:trHeight w:val="20"/>
        </w:trPr>
        <w:tc>
          <w:tcPr>
            <w:tcW w:w="8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RESTRUCTURING</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nine months ended December 29, 2012, our restructuring activities primarily consisted of reorganizations within our research and development, manufacturing and software operations. Employee-related costs primarily consist of employee severance and benefits. Facility-related costs primarily consist of charges associated with closing facilities, related lease obligations, and other related costs.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the three and nine months ended December 29, 2012, we incurred $2.9 million and $5.2 million of restructuring charges. Restructuring expenses have been primarily included as a component of selling, general and administrative expense in the accompanying statements of income. We anticipate that we will incur additional restructuring charges related to these initiatives over the remaining three months of fiscal 2013.</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restructuring activity for the nine months ended December 29, 2012 and December 31, 2011,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Nine Months Ended December 29, 2012</w:t>
            </w: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56"/>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9"/>
              <w:spacing w:after="0" w:line="157" w:lineRule="exact"/>
              <w:rPr>
                <w:sz w:val="20"/>
                <w:szCs w:val="20"/>
                <w:color w:val="auto"/>
              </w:rPr>
            </w:pPr>
            <w:r>
              <w:rPr>
                <w:rFonts w:ascii="Arial" w:cs="Arial" w:eastAsia="Arial" w:hAnsi="Arial"/>
                <w:sz w:val="14"/>
                <w:szCs w:val="14"/>
                <w:color w:val="auto"/>
                <w:w w:val="94"/>
              </w:rPr>
              <w:t>Restructuring Accrual</w:t>
            </w: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92"/>
              </w:rPr>
              <w:t>Balance at December 29,</w:t>
            </w:r>
          </w:p>
        </w:tc>
      </w:tr>
      <w:tr>
        <w:trPr>
          <w:trHeight w:val="188"/>
        </w:trPr>
        <w:tc>
          <w:tcPr>
            <w:tcW w:w="42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60" w:type="dxa"/>
            <w:vAlign w:val="bottom"/>
            <w:gridSpan w:val="3"/>
          </w:tcPr>
          <w:p>
            <w:pPr>
              <w:jc w:val="center"/>
              <w:ind w:right="140"/>
              <w:spacing w:after="0"/>
              <w:rPr>
                <w:sz w:val="20"/>
                <w:szCs w:val="20"/>
                <w:color w:val="auto"/>
              </w:rPr>
            </w:pPr>
            <w:r>
              <w:rPr>
                <w:rFonts w:ascii="Arial" w:cs="Arial" w:eastAsia="Arial" w:hAnsi="Arial"/>
                <w:sz w:val="14"/>
                <w:szCs w:val="14"/>
                <w:color w:val="auto"/>
                <w:w w:val="93"/>
              </w:rPr>
              <w:t>Balance at March 31, 2012</w:t>
            </w:r>
          </w:p>
        </w:tc>
        <w:tc>
          <w:tcPr>
            <w:tcW w:w="28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Cost Incurred</w:t>
            </w:r>
          </w:p>
        </w:tc>
        <w:tc>
          <w:tcPr>
            <w:tcW w:w="36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color w:val="auto"/>
              </w:rPr>
              <w:t>Payments</w:t>
            </w: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4"/>
                <w:szCs w:val="14"/>
                <w:color w:val="auto"/>
                <w:w w:val="96"/>
              </w:rPr>
              <w:t>2012</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2,586</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Facility-related costs</w:t>
            </w:r>
          </w:p>
        </w:tc>
        <w:tc>
          <w:tcPr>
            <w:tcW w:w="1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(741)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210</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1,994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(4,423)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2,796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312"/>
        </w:trPr>
        <w:tc>
          <w:tcPr>
            <w:tcW w:w="4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color w:val="auto"/>
              </w:rPr>
              <w:t>Nine Months Ended December 31, 2011</w:t>
            </w:r>
          </w:p>
        </w:tc>
        <w:tc>
          <w:tcPr>
            <w:tcW w:w="1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156"/>
        </w:trPr>
        <w:tc>
          <w:tcPr>
            <w:tcW w:w="4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jc w:val="center"/>
              <w:ind w:right="39"/>
              <w:spacing w:after="0" w:line="157" w:lineRule="exact"/>
              <w:rPr>
                <w:sz w:val="20"/>
                <w:szCs w:val="20"/>
                <w:color w:val="auto"/>
              </w:rPr>
            </w:pPr>
            <w:r>
              <w:rPr>
                <w:rFonts w:ascii="Arial" w:cs="Arial" w:eastAsia="Arial" w:hAnsi="Arial"/>
                <w:sz w:val="14"/>
                <w:szCs w:val="14"/>
                <w:color w:val="auto"/>
                <w:w w:val="94"/>
              </w:rPr>
              <w:t>Restructuring Accrual</w:t>
            </w:r>
          </w:p>
        </w:tc>
      </w:tr>
      <w:tr>
        <w:trPr>
          <w:trHeight w:val="149"/>
        </w:trPr>
        <w:tc>
          <w:tcPr>
            <w:tcW w:w="4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center"/>
              <w:ind w:right="39"/>
              <w:spacing w:after="0" w:line="149" w:lineRule="exact"/>
              <w:rPr>
                <w:sz w:val="20"/>
                <w:szCs w:val="20"/>
                <w:color w:val="auto"/>
              </w:rPr>
            </w:pPr>
            <w:r>
              <w:rPr>
                <w:rFonts w:ascii="Arial" w:cs="Arial" w:eastAsia="Arial" w:hAnsi="Arial"/>
                <w:sz w:val="14"/>
                <w:szCs w:val="14"/>
                <w:color w:val="auto"/>
                <w:w w:val="92"/>
              </w:rPr>
              <w:t>Balance at December 31,</w:t>
            </w:r>
          </w:p>
        </w:tc>
      </w:tr>
      <w:tr>
        <w:trPr>
          <w:trHeight w:val="188"/>
        </w:trPr>
        <w:tc>
          <w:tcPr>
            <w:tcW w:w="42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color w:val="auto"/>
                <w:w w:val="94"/>
              </w:rPr>
              <w:t>Balance at April 2, 2011</w:t>
            </w:r>
          </w:p>
        </w:tc>
        <w:tc>
          <w:tcPr>
            <w:tcW w:w="280" w:type="dxa"/>
            <w:vAlign w:val="bottom"/>
          </w:tcPr>
          <w:p>
            <w:pPr>
              <w:spacing w:after="0"/>
              <w:rPr>
                <w:sz w:val="16"/>
                <w:szCs w:val="16"/>
                <w:color w:val="auto"/>
              </w:rPr>
            </w:pPr>
          </w:p>
        </w:tc>
        <w:tc>
          <w:tcPr>
            <w:tcW w:w="1520" w:type="dxa"/>
            <w:vAlign w:val="bottom"/>
            <w:gridSpan w:val="2"/>
          </w:tcPr>
          <w:p>
            <w:pPr>
              <w:ind w:left="180"/>
              <w:spacing w:after="0"/>
              <w:rPr>
                <w:sz w:val="20"/>
                <w:szCs w:val="20"/>
                <w:color w:val="auto"/>
              </w:rPr>
            </w:pPr>
            <w:r>
              <w:rPr>
                <w:rFonts w:ascii="Arial" w:cs="Arial" w:eastAsia="Arial" w:hAnsi="Arial"/>
                <w:sz w:val="14"/>
                <w:szCs w:val="14"/>
                <w:color w:val="auto"/>
              </w:rPr>
              <w:t>Cost Incurred</w:t>
            </w:r>
          </w:p>
        </w:tc>
        <w:tc>
          <w:tcPr>
            <w:tcW w:w="360" w:type="dxa"/>
            <w:vAlign w:val="bottom"/>
          </w:tcPr>
          <w:p>
            <w:pPr>
              <w:spacing w:after="0"/>
              <w:rPr>
                <w:sz w:val="16"/>
                <w:szCs w:val="16"/>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color w:val="auto"/>
              </w:rPr>
              <w:t>Payments</w:t>
            </w:r>
          </w:p>
        </w:tc>
        <w:tc>
          <w:tcPr>
            <w:tcW w:w="120" w:type="dxa"/>
            <w:vAlign w:val="bottom"/>
          </w:tcPr>
          <w:p>
            <w:pPr>
              <w:spacing w:after="0"/>
              <w:rPr>
                <w:sz w:val="16"/>
                <w:szCs w:val="16"/>
                <w:color w:val="auto"/>
              </w:rPr>
            </w:pPr>
          </w:p>
        </w:tc>
        <w:tc>
          <w:tcPr>
            <w:tcW w:w="1580" w:type="dxa"/>
            <w:vAlign w:val="bottom"/>
          </w:tcPr>
          <w:p>
            <w:pPr>
              <w:jc w:val="center"/>
              <w:ind w:right="39"/>
              <w:spacing w:after="0"/>
              <w:rPr>
                <w:sz w:val="20"/>
                <w:szCs w:val="20"/>
                <w:color w:val="auto"/>
              </w:rPr>
            </w:pPr>
            <w:r>
              <w:rPr>
                <w:rFonts w:ascii="Arial" w:cs="Arial" w:eastAsia="Arial" w:hAnsi="Arial"/>
                <w:sz w:val="14"/>
                <w:szCs w:val="14"/>
                <w:color w:val="auto"/>
                <w:w w:val="96"/>
              </w:rPr>
              <w:t>2011</w:t>
            </w:r>
          </w:p>
        </w:tc>
      </w:tr>
      <w:tr>
        <w:trPr>
          <w:trHeight w:val="250"/>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Employee-related costs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2,615</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Facility-related costs</w:t>
            </w:r>
          </w:p>
        </w:tc>
        <w:tc>
          <w:tcPr>
            <w:tcW w:w="140" w:type="dxa"/>
            <w:vAlign w:val="bottom"/>
          </w:tcPr>
          <w:p>
            <w:pPr>
              <w:spacing w:after="0"/>
              <w:rPr>
                <w:sz w:val="21"/>
                <w:szCs w:val="21"/>
                <w:color w:val="auto"/>
              </w:rPr>
            </w:pPr>
          </w:p>
        </w:tc>
        <w:tc>
          <w:tcPr>
            <w:tcW w:w="1600" w:type="dxa"/>
            <w:vAlign w:val="bottom"/>
          </w:tcPr>
          <w:p>
            <w:pPr>
              <w:jc w:val="right"/>
              <w:ind w:right="33"/>
              <w:spacing w:after="0"/>
              <w:rPr>
                <w:sz w:val="20"/>
                <w:szCs w:val="20"/>
                <w:color w:val="auto"/>
              </w:rPr>
            </w:pPr>
            <w:r>
              <w:rPr>
                <w:rFonts w:ascii="Arial" w:cs="Arial" w:eastAsia="Arial" w:hAnsi="Arial"/>
                <w:sz w:val="18"/>
                <w:szCs w:val="18"/>
                <w:color w:val="auto"/>
              </w:rPr>
              <w:t>889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7"/>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jc w:val="right"/>
              <w:ind w:right="19"/>
              <w:spacing w:after="0"/>
              <w:rPr>
                <w:sz w:val="20"/>
                <w:szCs w:val="20"/>
                <w:color w:val="auto"/>
              </w:rPr>
            </w:pPr>
            <w:r>
              <w:rPr>
                <w:rFonts w:ascii="Arial" w:cs="Arial" w:eastAsia="Arial" w:hAnsi="Arial"/>
                <w:sz w:val="18"/>
                <w:szCs w:val="18"/>
                <w:color w:val="auto"/>
              </w:rPr>
              <w:t>747</w:t>
            </w:r>
          </w:p>
        </w:tc>
      </w:tr>
      <w:tr>
        <w:trPr>
          <w:trHeight w:val="27"/>
        </w:trPr>
        <w:tc>
          <w:tcPr>
            <w:tcW w:w="42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3,671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3,362</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CAPITALIZATION OF SOFTWARE DEVELOPMENT COSTS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 xml:space="preserve">For costs incurred related to the development of software to be sold, leased, or otherwise marketed, we apply the provisions of ASC Topic 985-20, </w:t>
      </w:r>
      <w:r>
        <w:rPr>
          <w:rFonts w:ascii="Arial" w:cs="Arial" w:eastAsia="Arial" w:hAnsi="Arial"/>
          <w:sz w:val="17"/>
          <w:szCs w:val="17"/>
          <w:i w:val="1"/>
          <w:iCs w:val="1"/>
          <w:color w:val="auto"/>
        </w:rPr>
        <w:t>Software -</w:t>
      </w:r>
      <w:r>
        <w:rPr>
          <w:rFonts w:ascii="Arial" w:cs="Arial" w:eastAsia="Arial" w:hAnsi="Arial"/>
          <w:sz w:val="17"/>
          <w:szCs w:val="17"/>
          <w:color w:val="auto"/>
        </w:rPr>
        <w:t xml:space="preserve"> </w:t>
      </w:r>
      <w:r>
        <w:rPr>
          <w:rFonts w:ascii="Arial" w:cs="Arial" w:eastAsia="Arial" w:hAnsi="Arial"/>
          <w:sz w:val="17"/>
          <w:szCs w:val="17"/>
          <w:i w:val="1"/>
          <w:iCs w:val="1"/>
          <w:color w:val="auto"/>
        </w:rPr>
        <w:t>Costs of Software to be Sold, Leased or Marketed</w:t>
      </w:r>
      <w:r>
        <w:rPr>
          <w:rFonts w:ascii="Arial" w:cs="Arial" w:eastAsia="Arial" w:hAnsi="Arial"/>
          <w:sz w:val="17"/>
          <w:szCs w:val="17"/>
          <w:color w:val="auto"/>
        </w:rPr>
        <w:t>, which specifies that costs incurred internally in researching and developing a computer software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should be charged to expense until technological feasibility has been established for the product. Once technological feasibility is established, all software costs should be capitalized until the product is available for general release to customers.</w:t>
      </w:r>
    </w:p>
    <w:p>
      <w:pPr>
        <w:spacing w:after="0" w:line="6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capitalized $4.7 million and $4.4 million in software development costs for ongoing initiatives during the nine month periods ended December 29, 2012 and December 31, 2011, respectively. At December 29, 2012 and March 31, 2012, we have a total of $18.4 million and $15.4 million, respectively, of costs capitalized related to in-process software development initiatives. During the first quarter of fiscal 2013, $1.7 million of capitalized costs related to one project were placed into service. The costs capitalized for each project are included in intangible assets in the consolidated financial statements.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14. DEBT</w:t>
            </w:r>
          </w:p>
        </w:tc>
        <w:tc>
          <w:tcPr>
            <w:tcW w:w="2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Our debt as of December 29, 2012 and March 31, 2012 consists of the following:</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99"/>
        </w:trPr>
        <w:tc>
          <w:tcPr>
            <w:tcW w:w="7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6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color w:val="auto"/>
              </w:rPr>
              <w:t>December 29, 2012</w:t>
            </w:r>
          </w:p>
        </w:tc>
        <w:tc>
          <w:tcPr>
            <w:tcW w:w="40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March 31, 2012</w:t>
            </w:r>
          </w:p>
        </w:tc>
      </w:tr>
      <w:tr>
        <w:trPr>
          <w:trHeight w:val="250"/>
        </w:trPr>
        <w:tc>
          <w:tcPr>
            <w:tcW w:w="74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Mortgage</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3,771</w:t>
            </w: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Bank loan</w:t>
            </w: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(14,197)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(894)</w:t>
            </w:r>
          </w:p>
        </w:tc>
      </w:tr>
      <w:tr>
        <w:trPr>
          <w:trHeight w:val="27"/>
        </w:trPr>
        <w:tc>
          <w:tcPr>
            <w:tcW w:w="7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57"/>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 term debt less current portion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468,250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2,877</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On August 1, 2012 in connection with the acquisition of the whole blood business, we entered into a credit agreement ("Credit Agreement") with the banks listed below (together, “Lenders”) which provided for a $475.0 million term loan and a $50.0 million revolving loan (the “Revolving Credit Facility,” and together with the Term Loan, (the “Credit Facilities”). The Credit Facilities have a term of five years and mature on August 1, 2017.</w:t>
      </w:r>
    </w:p>
    <w:p>
      <w:pPr>
        <w:spacing w:after="0" w:line="16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1% (“Adjusted LIBOR”). The terms of the Credit</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Agreement also allow the Company to borrow in multiple tranches. While the Company currently borrows in a single tranche, in the future, it may choose to borrow in multiple tranches.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At closing, we borrowed the Term Loan and used the proceeds to pay Pall for the acquisition of the assets described in Note 3. The $475.0 million Term Loan bears interest at variable rates determined by Adjusted LIBOR plus a range of 1.125% to 1.500% depending on the achievement of certain leverage ratios. The Revolving Credit Facility bears interest at variable rates similar to the Term Loan. The current margin of the Term Loan is 1.375% over Adjusted LIBOR and our effective interest rate inclusive of prepaid financing costs and other fees was 2.0%.</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Revolving loans may be borrowed, repaid and re-borrowed to fund our working capital needs and for other general corporate purposes. No amounts were outstanding under the Revolving Credit Facility at December 29, 2012. The Term Loan or portions thereof may be prepaid at any time, or from time to time without penalty. Once repaid, such amount may not be re-borrowed. The principal amount of the term loan is repayable quarterly over five years and amortizes as follows:</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0% during the first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7.5% during the second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12.5% during the third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17.5% during the fourth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62.5% during the fifth year.</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EBITDA divided by Consolidated Interest Expense while the Consolidated Total Leverage Ratio is calculated as Consolidated Total Debt divided by Consolidated EBITDA. Consolidated EBITDA includes EBITDA adjusted by non-recurring and unusual transactions specifically as defined in the Credit Facilities.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Credit Facilities also contain usual and customary non-financial affirmative and negative covenants which include certain restrictions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Any failure to comply with the financial and operating covenants of the Credit Facilities would prevent us from being able to borrow additional funds and would constitute a default, which could result in, among other things, the amounts outstanding including all accrued interest and unpaid fees, becoming immediately due and payable. In addition, the Credit Facilities include customary events of default, in certain cases subject to customary cure periods. As of December 29, 2012, we were in compliance with the covenants.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 fee</w:t>
      </w:r>
    </w:p>
    <w:p>
      <w:pPr>
        <w:spacing w:after="0" w:line="27" w:lineRule="exact"/>
        <w:rPr>
          <w:sz w:val="20"/>
          <w:szCs w:val="20"/>
          <w:color w:val="auto"/>
        </w:rPr>
      </w:pPr>
    </w:p>
    <w:p>
      <w:pPr>
        <w:jc w:val="both"/>
        <w:ind w:right="40"/>
        <w:spacing w:after="0" w:line="277" w:lineRule="auto"/>
        <w:rPr>
          <w:sz w:val="20"/>
          <w:szCs w:val="20"/>
          <w:color w:val="auto"/>
        </w:rPr>
      </w:pPr>
      <w:r>
        <w:rPr>
          <w:rFonts w:ascii="Arial" w:cs="Arial" w:eastAsia="Arial" w:hAnsi="Arial"/>
          <w:sz w:val="17"/>
          <w:szCs w:val="17"/>
          <w:color w:val="auto"/>
        </w:rPr>
        <w:t>Pursuant to the Credit Agreement we are required to pay the Lenders, on the last day of each calendar quarter, a commitment fee on the unused portion of the Revolving Credit Facility. The commitment fee is subject to a pricing grid based on our Consolidated Total Leverage Ratio. The commitment fee ranges from 0.175% to 0.300%. The current commitment fee on the undrawn portion of the Revolving Credit Facility is 0.250%.</w:t>
      </w:r>
    </w:p>
    <w:p>
      <w:pPr>
        <w:spacing w:after="0" w:line="17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may elect to increase the size of the Revolving Credit Facility from $50.0 million to $100.0 million. Alternatively, we may elect to enter into additional term loans up to a $100.0 million combined limit with the Revolving Credit Facility. These elections are subject to the approval of the Administrative Agent and the identification of additional Lenders or current Lenders willing to increase their loan amounts per the terms and conditions contained in the Credit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 and interest</w:t>
      </w:r>
    </w:p>
    <w:p>
      <w:pPr>
        <w:spacing w:after="0" w:line="27"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color w:val="auto"/>
        </w:rPr>
        <w:t>Expenses associated with the issuance of the Term Loan were capitalized and are amortized over the five years using the effective interest method. In connection with the Term Loans, we recorded deferred financing costs of $5.5 million.</w:t>
      </w:r>
    </w:p>
    <w:p>
      <w:pPr>
        <w:spacing w:after="0" w:line="197"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Interest expense was $2.3 million and $4.0 million for the three and nine months ended December 29, 2012, respectively. Accrued interest associated with our outstanding debt is included as a component of accrued expenses and other current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liabilities in the accompanying condensed consolidated balance sheets. As of December 29, 2012, accrued interest totaled $0.7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to the credit facilities</w:t>
      </w:r>
    </w:p>
    <w:p>
      <w:pPr>
        <w:spacing w:after="0" w:line="2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The Lenders party to the Credit Agreement are JP Morgan Chase Bank, N.A., as Administrative Agent, Citibank, N.A. as Syndication Agent, J P Morgan Securities LLC and Citibank, N.A. as Joint Lead Arrangers and Joint Bookrunners, Bank of America, N.A., RBS Citizens, N.A., HSBC Bank USA, N.A., Wells Fargo Bank, N.A., Sumitomo Mitsui Banking Corporation, TD Bank, N.A. and US Bank, N.A. as Co-Documentation Agents, Union Bank, N.A., PNC Bank, National Association and Sovereign Bank, N.A. as Senior Managing Agents and the syndicate lenders that are parties thereto.</w:t>
      </w:r>
    </w:p>
    <w:p>
      <w:pPr>
        <w:spacing w:after="0" w:line="17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other debt as of December 29, 2012 includes the real estate mortgage loan of $3.1 million described in our annual financial statements and short term bank borrowings of $4.3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2012 Annual Report on Form 10-K filed with the Securities and Exchange Commission (the “SEC”) on May 22, 2012. The following discussion may contain forward-looking statements and should be read in conjunction with the “Cautionary Statement Regarding Forward-Looking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Haemonetics is a blood management solutions company. Anchored by our medical device systems, we also provide information technology platforms and value added services to provide customers with business solutions which support improved clinical outcomes for patients and efficiency in the blood supply chain. On August 1, 2012 we completed the acquisition of the business assets of the blood collection, filtration and processing product lines of Pall Corporation. At the closing of the transaction, we paid $535.1 million in cash consideration subject to typical post-closing adjustments to reflect certain cost allocations, assets and liabilities. The acquisition was funded utilizing $475.0 million of loans and the remainder from cash on hand. The blood processing systems and equipment acquired are for use in transfusion medicine and include Pall's manufacturing facilities in Covina, California; Tijuana, Mexico; Ascoli, Italy and a portion of Pall's assets in Fajardo, Puerto Rico. Approximately 1,300 employees transferred to Haemonetics. We anticipate paying an additional $15.0 million upon the replication and delivery of certain manufacturing assets of Pall's filter media business to Haemonetics by 2016. Until that time, Pall will manufacture and sell filter media to Haemonetics under a supply agreement. We refer to this newly acquired business as the whole blood business.</w:t>
      </w:r>
    </w:p>
    <w:p>
      <w:pPr>
        <w:spacing w:after="0" w:line="166"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April 2012, we announced the planned acquisition of the business assets of Hemerus Medical, LLC, a Minnesota-based company that develops innovative technologies for the collection of whole blood and processing and storage of blood components. Under the terms of the agreement, we paid $1.0 million and we will pay up to $26.0 million contingent on certain regulatory approvals. Additionally, royalty payments on Hemerus products will apply for the next 10 years or until a maximum cumulative royalty amount of $14.0 million has been paid. We currently expect the required regulatory approvals in the first quarter of fiscal 2014. Because our acquisition agreement expires on April 30, 2013, accordingly, negotiations of an extension to the agreement may be required.</w:t>
      </w:r>
    </w:p>
    <w:p>
      <w:pPr>
        <w:spacing w:after="0" w:line="158" w:lineRule="exact"/>
        <w:rPr>
          <w:sz w:val="20"/>
          <w:szCs w:val="20"/>
          <w:color w:val="auto"/>
        </w:rPr>
      </w:pPr>
    </w:p>
    <w:p>
      <w:pPr>
        <w:ind w:right="240"/>
        <w:spacing w:after="0" w:line="270" w:lineRule="auto"/>
        <w:rPr>
          <w:sz w:val="20"/>
          <w:szCs w:val="20"/>
          <w:color w:val="auto"/>
        </w:rPr>
      </w:pPr>
      <w:r>
        <w:rPr>
          <w:rFonts w:ascii="Arial" w:cs="Arial" w:eastAsia="Arial" w:hAnsi="Arial"/>
          <w:sz w:val="17"/>
          <w:szCs w:val="17"/>
          <w:color w:val="auto"/>
        </w:rPr>
        <w:t>Our medical device systems provide both automated and manual collection and processing of donated blood, assess likelihood for blood loss, salvage and process blood from surgery patients, and dispense and track blood inventory in the hospital. These systems include devices and single-use, proprietary disposable sets (“disposables”) some of which only operate with our specialized devices. Specifically, our plasma and blood center systems allow users to collect and process only the blood component(s) they target - plasma, platelets, or red blood cells - increasing donor and patient safety as well as collection efficiencies. Our blood diagnostics system assesses hemostasis (a patient's clotting ability) to aid clinicians in assessing the cause of bleeding, resulting in overall reductions in blood product usage. Our surgical blood salvage systems allow surgeons to collect the blood lost by a patient in surgery, cleanse the blood, and make it available for transfusion back to the patient. Our blood tracking systems automate the distribution of blood products in the hospital. Our manual blood collection and filtration systems enable the manual collection of all blood components while detecting bacteria, thus reducing the risks of infection through transfusion.</w:t>
      </w:r>
    </w:p>
    <w:p>
      <w:pPr>
        <w:spacing w:after="0" w:line="1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When placed devices remain our property, the customer has the right to use these for a period of time as long as the customer meets certain conditions we have established, which, among other things, generally include one or more of the following: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 and consumption of a minimum level of disposables products;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Payment of monthly rental fees;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21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Our disposables revenue stream includes the sales of manual collection and filtration systems, device disposables and fees for the use of our equipment, which accounted for approximately 84.7% and 82.2% of our total revenues for the nine months ended December 29, 2012 and December 31, 2011,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Summary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40" w:type="dxa"/>
            <w:vAlign w:val="bottom"/>
            <w:gridSpan w:val="5"/>
          </w:tcPr>
          <w:p>
            <w:pPr>
              <w:ind w:left="600"/>
              <w:spacing w:after="0"/>
              <w:rPr>
                <w:sz w:val="20"/>
                <w:szCs w:val="20"/>
                <w:color w:val="auto"/>
              </w:rPr>
            </w:pPr>
            <w:r>
              <w:rPr>
                <w:rFonts w:ascii="Arial" w:cs="Arial" w:eastAsia="Arial" w:hAnsi="Arial"/>
                <w:sz w:val="16"/>
                <w:szCs w:val="16"/>
                <w:color w:val="auto"/>
              </w:rPr>
              <w:t>Three Months Ended</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80" w:type="dxa"/>
            <w:vAlign w:val="bottom"/>
            <w:gridSpan w:val="5"/>
          </w:tcPr>
          <w:p>
            <w:pPr>
              <w:ind w:left="660"/>
              <w:spacing w:after="0"/>
              <w:rPr>
                <w:sz w:val="20"/>
                <w:szCs w:val="20"/>
                <w:color w:val="auto"/>
              </w:rPr>
            </w:pPr>
            <w:r>
              <w:rPr>
                <w:rFonts w:ascii="Arial" w:cs="Arial" w:eastAsia="Arial" w:hAnsi="Arial"/>
                <w:sz w:val="16"/>
                <w:szCs w:val="16"/>
                <w:color w:val="auto"/>
              </w:rPr>
              <w:t>Nine Months Ended</w:t>
            </w: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4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40"/>
              <w:spacing w:after="0"/>
              <w:rPr>
                <w:sz w:val="20"/>
                <w:szCs w:val="20"/>
                <w:color w:val="auto"/>
              </w:rPr>
            </w:pPr>
            <w:r>
              <w:rPr>
                <w:rFonts w:ascii="Arial" w:cs="Arial" w:eastAsia="Arial" w:hAnsi="Arial"/>
                <w:sz w:val="16"/>
                <w:szCs w:val="16"/>
                <w:color w:val="auto"/>
              </w:rPr>
              <w:t>December 29,</w:t>
            </w:r>
          </w:p>
        </w:tc>
        <w:tc>
          <w:tcPr>
            <w:tcW w:w="16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color w:val="auto"/>
              </w:rPr>
              <w:t>December 31,</w:t>
            </w: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1"/>
              </w:rPr>
              <w:t>% Increase/</w:t>
            </w:r>
          </w:p>
        </w:tc>
        <w:tc>
          <w:tcPr>
            <w:tcW w:w="180" w:type="dxa"/>
            <w:vAlign w:val="bottom"/>
          </w:tcPr>
          <w:p>
            <w:pPr>
              <w:spacing w:after="0"/>
              <w:rPr>
                <w:sz w:val="18"/>
                <w:szCs w:val="18"/>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color w:val="auto"/>
              </w:rPr>
              <w:t>December 29,</w:t>
            </w: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color w:val="auto"/>
              </w:rPr>
              <w:t>December 31,</w:t>
            </w:r>
          </w:p>
        </w:tc>
        <w:tc>
          <w:tcPr>
            <w:tcW w:w="1420" w:type="dxa"/>
            <w:vAlign w:val="bottom"/>
            <w:vMerge w:val="restart"/>
          </w:tcPr>
          <w:p>
            <w:pPr>
              <w:jc w:val="right"/>
              <w:ind w:right="294"/>
              <w:spacing w:after="0"/>
              <w:rPr>
                <w:sz w:val="20"/>
                <w:szCs w:val="20"/>
                <w:color w:val="auto"/>
              </w:rPr>
            </w:pPr>
            <w:r>
              <w:rPr>
                <w:rFonts w:ascii="Arial" w:cs="Arial" w:eastAsia="Arial" w:hAnsi="Arial"/>
                <w:sz w:val="14"/>
                <w:szCs w:val="14"/>
                <w:color w:val="auto"/>
              </w:rPr>
              <w:t>% Increase/</w:t>
            </w:r>
          </w:p>
        </w:tc>
        <w:tc>
          <w:tcPr>
            <w:tcW w:w="0" w:type="dxa"/>
            <w:vAlign w:val="bottom"/>
          </w:tcPr>
          <w:p>
            <w:pPr>
              <w:spacing w:after="0"/>
              <w:rPr>
                <w:sz w:val="1"/>
                <w:szCs w:val="1"/>
                <w:color w:val="auto"/>
              </w:rPr>
            </w:pPr>
          </w:p>
        </w:tc>
      </w:tr>
      <w:tr>
        <w:trPr>
          <w:trHeight w:val="45"/>
        </w:trPr>
        <w:tc>
          <w:tcPr>
            <w:tcW w:w="2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vMerge w:val="restart"/>
          </w:tcPr>
          <w:p>
            <w:pPr>
              <w:jc w:val="right"/>
              <w:ind w:right="452"/>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vMerge w:val="restart"/>
          </w:tcPr>
          <w:p>
            <w:pPr>
              <w:jc w:val="right"/>
              <w:ind w:right="451"/>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3"/>
                <w:szCs w:val="3"/>
                <w:color w:val="auto"/>
              </w:rPr>
            </w:pPr>
          </w:p>
        </w:tc>
        <w:tc>
          <w:tcPr>
            <w:tcW w:w="152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vMerge w:val="restart"/>
          </w:tcPr>
          <w:p>
            <w:pPr>
              <w:jc w:val="right"/>
              <w:ind w:right="452"/>
              <w:spacing w:after="0"/>
              <w:rPr>
                <w:sz w:val="20"/>
                <w:szCs w:val="20"/>
                <w:color w:val="auto"/>
              </w:rPr>
            </w:pPr>
            <w:r>
              <w:rPr>
                <w:rFonts w:ascii="Arial" w:cs="Arial" w:eastAsia="Arial" w:hAnsi="Arial"/>
                <w:sz w:val="16"/>
                <w:szCs w:val="16"/>
                <w:color w:val="auto"/>
              </w:rPr>
              <w:t>2012</w:t>
            </w: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vMerge w:val="restart"/>
          </w:tcPr>
          <w:p>
            <w:pPr>
              <w:jc w:val="right"/>
              <w:ind w:right="471"/>
              <w:spacing w:after="0"/>
              <w:rPr>
                <w:sz w:val="20"/>
                <w:szCs w:val="20"/>
                <w:color w:val="auto"/>
              </w:rPr>
            </w:pPr>
            <w:r>
              <w:rPr>
                <w:rFonts w:ascii="Arial" w:cs="Arial" w:eastAsia="Arial" w:hAnsi="Arial"/>
                <w:sz w:val="16"/>
                <w:szCs w:val="16"/>
                <w:color w:val="auto"/>
              </w:rPr>
              <w:t>2011</w:t>
            </w:r>
          </w:p>
        </w:tc>
        <w:tc>
          <w:tcPr>
            <w:tcW w:w="100" w:type="dxa"/>
            <w:vAlign w:val="bottom"/>
          </w:tcPr>
          <w:p>
            <w:pPr>
              <w:spacing w:after="0"/>
              <w:rPr>
                <w:sz w:val="3"/>
                <w:szCs w:val="3"/>
                <w:color w:val="auto"/>
              </w:rPr>
            </w:pPr>
          </w:p>
        </w:tc>
        <w:tc>
          <w:tcPr>
            <w:tcW w:w="14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400" w:type="dxa"/>
            <w:vAlign w:val="bottom"/>
          </w:tcPr>
          <w:p>
            <w:pPr>
              <w:ind w:left="40"/>
              <w:spacing w:after="0"/>
              <w:rPr>
                <w:sz w:val="20"/>
                <w:szCs w:val="20"/>
                <w:color w:val="auto"/>
              </w:rPr>
            </w:pPr>
            <w:r>
              <w:rPr>
                <w:rFonts w:ascii="Arial" w:cs="Arial" w:eastAsia="Arial" w:hAnsi="Arial"/>
                <w:sz w:val="14"/>
                <w:szCs w:val="14"/>
                <w:i w:val="1"/>
                <w:iCs w:val="1"/>
                <w:color w:val="auto"/>
              </w:rPr>
              <w:t>(in thousands, except per share data)</w:t>
            </w:r>
          </w:p>
        </w:tc>
        <w:tc>
          <w:tcPr>
            <w:tcW w:w="1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(Decrease)</w:t>
            </w: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314"/>
              <w:spacing w:after="0"/>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250"/>
        </w:trPr>
        <w:tc>
          <w:tcPr>
            <w:tcW w:w="2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247,395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191,160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642,048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541,174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113,115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95,931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304,990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274,629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50.7%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97,368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70,608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37.9 %</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266,261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206,831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15,747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25,323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38,729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67,798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43"/>
        </w:trPr>
        <w:tc>
          <w:tcPr>
            <w:tcW w:w="24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13.2%</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12.5%</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92"/>
              <w:spacing w:after="0"/>
              <w:rPr>
                <w:sz w:val="20"/>
                <w:szCs w:val="20"/>
                <w:color w:val="auto"/>
              </w:rPr>
            </w:pPr>
            <w:r>
              <w:rPr>
                <w:rFonts w:ascii="Arial" w:cs="Arial" w:eastAsia="Arial" w:hAnsi="Arial"/>
                <w:sz w:val="18"/>
                <w:szCs w:val="18"/>
                <w:color w:val="auto"/>
              </w:rPr>
              <w:t>13,205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25,463</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35,211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68,168</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3,301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7,211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8,972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19,088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43"/>
        </w:trPr>
        <w:tc>
          <w:tcPr>
            <w:tcW w:w="2400" w:type="dxa"/>
            <w:vAlign w:val="bottom"/>
          </w:tcPr>
          <w:p>
            <w:pPr>
              <w:ind w:left="180"/>
              <w:spacing w:after="0"/>
              <w:rPr>
                <w:sz w:val="20"/>
                <w:szCs w:val="20"/>
                <w:color w:val="auto"/>
              </w:rPr>
            </w:pPr>
            <w:r>
              <w:rPr>
                <w:rFonts w:ascii="Arial" w:cs="Arial" w:eastAsia="Arial" w:hAnsi="Arial"/>
                <w:sz w:val="18"/>
                <w:szCs w:val="18"/>
                <w:i w:val="1"/>
                <w:iCs w:val="1"/>
                <w:color w:val="auto"/>
              </w:rPr>
              <w:t>% of pre-tax income</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25.0%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28.3%</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28.0%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9,904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18,252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26,239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49,080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43"/>
        </w:trPr>
        <w:tc>
          <w:tcPr>
            <w:tcW w:w="2400" w:type="dxa"/>
            <w:vAlign w:val="bottom"/>
          </w:tcPr>
          <w:p>
            <w:pPr>
              <w:ind w:left="180"/>
              <w:spacing w:after="0"/>
              <w:rPr>
                <w:sz w:val="20"/>
                <w:szCs w:val="20"/>
                <w:color w:val="auto"/>
              </w:rPr>
            </w:pPr>
            <w:r>
              <w:rPr>
                <w:rFonts w:ascii="Arial" w:cs="Arial" w:eastAsia="Arial" w:hAnsi="Arial"/>
                <w:sz w:val="18"/>
                <w:szCs w:val="18"/>
                <w:i w:val="1"/>
                <w:iCs w:val="1"/>
                <w:color w:val="auto"/>
              </w:rPr>
              <w:t>% of net revenues</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i w:val="1"/>
                <w:iCs w:val="1"/>
                <w:color w:val="auto"/>
              </w:rPr>
              <w:t>4.0%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9.5%</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4.1%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i w:val="1"/>
                <w:iCs w:val="1"/>
                <w:color w:val="auto"/>
              </w:rPr>
              <w:t>9.1%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Earnings per share-diluted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0.36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0.50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0.95</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7"/>
        </w:trPr>
        <w:tc>
          <w:tcPr>
            <w:tcW w:w="2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Net revenues increased 29.4% and 18.6% for the three and nine months ended December 29, 2012, respectively, as compared to the same periods of fiscal 2012. Without the effects of foreign exchange, net revenues increased 28.7% and 17.8% for the three and nine months ended December 29, 2012, respectively, as compared to the same periods of fiscal 2012. This increase includes sales from the recently acquired whole blood business of $54.9 million and $83.5 million for the three and nine months ended December 29, 2012, respectively. The remaining increase for the three months ended December 29, 2012 is primarily due to revenue growth from our surgical and diagnostics businesses. The increase for the nine months ended December 29, 2012 also included growth in our plasma business. Fiscal 2012 revenue benefited from purchases by the Japan Red Cross (“JRC”) in March 2012 to avoid future supply disruptions in anticipation of an internal business system conversion, negatively impacting the nine months ended December 29, 2012.</w:t>
      </w:r>
    </w:p>
    <w:p>
      <w:pPr>
        <w:spacing w:after="0" w:line="5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Operating income decreased 37.8% and 42.9% for the three and nine months ended December 29, 2012, respectively, as compared to the same periods of fiscal 2012. Without the effects of foreign exchange, operating income decreased 34.2% and 51.9% for the three and nine months ended December 29, 2012, respectively, as compared to the same periods of fiscal 2012 as increased gross profit due to revenue growth was more than offset by higher costs of goods sold due to a $2.8 million and $11.1 million acquisition-related step-up in the value of acquired inventory respectively, higher operating expenses including significant acquisition and integration costs totaling $11.7 million and $29.1 million, respectively and a $6.1 million inventory reserve for a quality matter with a component of our whole blood disposable inventory which occurred in the three months ended December 29, 2012. This matter is discussed in the gross profit section below.</w:t>
      </w:r>
    </w:p>
    <w:p>
      <w:pPr>
        <w:spacing w:after="0" w:line="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income decreased 45.7% and 46.5% for the three and nine months ended December 29, 2012, respectively, as compared to the same periods of fiscal 2012. Without the effects of foreign exchange, net income decreased 43.5% and 56.1% for the three and nine months ended December 29, 2012, respectively, as compared to the same periods of fiscal 2012. The decrease in net income was attributable to the decrease in operating income described above and additional interest expense.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17"/>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56"/>
        </w:trPr>
        <w:tc>
          <w:tcPr>
            <w:tcW w:w="2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3"/>
                <w:szCs w:val="13"/>
                <w:color w:val="auto"/>
              </w:rPr>
            </w:pPr>
          </w:p>
        </w:tc>
        <w:tc>
          <w:tcPr>
            <w:tcW w:w="12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154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 Increase/</w:t>
            </w:r>
          </w:p>
        </w:tc>
        <w:tc>
          <w:tcPr>
            <w:tcW w:w="200" w:type="dxa"/>
            <w:vAlign w:val="bottom"/>
          </w:tcPr>
          <w:p>
            <w:pPr>
              <w:spacing w:after="0"/>
              <w:rPr>
                <w:sz w:val="13"/>
                <w:szCs w:val="13"/>
                <w:color w:val="auto"/>
              </w:rPr>
            </w:pPr>
          </w:p>
        </w:tc>
        <w:tc>
          <w:tcPr>
            <w:tcW w:w="12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December 29,</w:t>
            </w:r>
          </w:p>
        </w:tc>
        <w:tc>
          <w:tcPr>
            <w:tcW w:w="180" w:type="dxa"/>
            <w:vAlign w:val="bottom"/>
          </w:tcPr>
          <w:p>
            <w:pPr>
              <w:spacing w:after="0"/>
              <w:rPr>
                <w:sz w:val="13"/>
                <w:szCs w:val="13"/>
                <w:color w:val="auto"/>
              </w:rPr>
            </w:pPr>
          </w:p>
        </w:tc>
        <w:tc>
          <w:tcPr>
            <w:tcW w:w="128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1440" w:type="dxa"/>
            <w:vAlign w:val="bottom"/>
          </w:tcPr>
          <w:p>
            <w:pPr>
              <w:jc w:val="right"/>
              <w:ind w:right="297"/>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58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18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(Decrease)</w:t>
            </w:r>
          </w:p>
        </w:tc>
        <w:tc>
          <w:tcPr>
            <w:tcW w:w="200" w:type="dxa"/>
            <w:vAlign w:val="bottom"/>
          </w:tcPr>
          <w:p>
            <w:pPr>
              <w:spacing w:after="0"/>
              <w:rPr>
                <w:sz w:val="16"/>
                <w:szCs w:val="16"/>
                <w:color w:val="auto"/>
              </w:rPr>
            </w:pPr>
          </w:p>
        </w:tc>
        <w:tc>
          <w:tcPr>
            <w:tcW w:w="1160" w:type="dxa"/>
            <w:vAlign w:val="bottom"/>
          </w:tcPr>
          <w:p>
            <w:pPr>
              <w:jc w:val="right"/>
              <w:ind w:right="439"/>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7"/>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40" w:type="dxa"/>
            <w:vAlign w:val="bottom"/>
          </w:tcPr>
          <w:p>
            <w:pPr>
              <w:jc w:val="right"/>
              <w:ind w:right="317"/>
              <w:spacing w:after="0"/>
              <w:rPr>
                <w:sz w:val="20"/>
                <w:szCs w:val="20"/>
                <w:color w:val="auto"/>
              </w:rPr>
            </w:pPr>
            <w:r>
              <w:rPr>
                <w:rFonts w:ascii="Arial" w:cs="Arial" w:eastAsia="Arial" w:hAnsi="Arial"/>
                <w:sz w:val="14"/>
                <w:szCs w:val="14"/>
                <w:color w:val="auto"/>
              </w:rPr>
              <w:t>(Decrease)</w:t>
            </w:r>
          </w:p>
        </w:tc>
      </w:tr>
      <w:tr>
        <w:trPr>
          <w:trHeight w:val="250"/>
        </w:trPr>
        <w:tc>
          <w:tcPr>
            <w:tcW w:w="2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125,362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92,123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324,755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264,857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122,033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99,037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color w:val="auto"/>
              </w:rPr>
              <w:t>317,293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276,317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7"/>
        </w:trPr>
        <w:tc>
          <w:tcPr>
            <w:tcW w:w="2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247,395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191,160</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642,048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541,174</w:t>
            </w:r>
          </w:p>
        </w:tc>
        <w:tc>
          <w:tcPr>
            <w:tcW w:w="1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97 countries around the world through a combination of our direct sales force and independent distributors and agents.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revenues generated outside the U.S. approximated 49.4% and 51.1% of total net revenues for the nine months ended December 29, 2012 and December 31, 2011, respectively. International sales are generally conducted in local currencies, primarily the Japanese Yen and the Euro. Our revenues are impacted by changes in the value of the Yen and the Euro relative to the U.S. Dollar.</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Revenues by Product Type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7"/>
          </w:tcPr>
          <w:p>
            <w:pPr>
              <w:ind w:left="600"/>
              <w:spacing w:after="0"/>
              <w:rPr>
                <w:sz w:val="20"/>
                <w:szCs w:val="20"/>
                <w:color w:val="auto"/>
              </w:rPr>
            </w:pPr>
            <w:r>
              <w:rPr>
                <w:rFonts w:ascii="Arial" w:cs="Arial" w:eastAsia="Arial" w:hAnsi="Arial"/>
                <w:sz w:val="14"/>
                <w:szCs w:val="14"/>
                <w:color w:val="auto"/>
              </w:rPr>
              <w:t>Three Months Ended</w:t>
            </w:r>
          </w:p>
        </w:tc>
        <w:tc>
          <w:tcPr>
            <w:tcW w:w="120" w:type="dxa"/>
            <w:vAlign w:val="bottom"/>
            <w:gridSpan w:val="2"/>
          </w:tcPr>
          <w:p>
            <w:pPr>
              <w:spacing w:after="0"/>
              <w:rPr>
                <w:sz w:val="16"/>
                <w:szCs w:val="16"/>
                <w:color w:val="auto"/>
              </w:rPr>
            </w:pPr>
          </w:p>
        </w:tc>
        <w:tc>
          <w:tcPr>
            <w:tcW w:w="1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color w:val="auto"/>
              </w:rPr>
              <w:t>Nine Months Ended</w:t>
            </w:r>
          </w:p>
        </w:tc>
        <w:tc>
          <w:tcPr>
            <w:tcW w:w="100" w:type="dxa"/>
            <w:vAlign w:val="bottom"/>
            <w:gridSpan w:val="2"/>
          </w:tcPr>
          <w:p>
            <w:pPr>
              <w:spacing w:after="0"/>
              <w:rPr>
                <w:sz w:val="16"/>
                <w:szCs w:val="16"/>
                <w:color w:val="auto"/>
              </w:rPr>
            </w:pPr>
          </w:p>
        </w:tc>
        <w:tc>
          <w:tcPr>
            <w:tcW w:w="1420" w:type="dxa"/>
            <w:vAlign w:val="bottom"/>
          </w:tcPr>
          <w:p>
            <w:pPr>
              <w:spacing w:after="0"/>
              <w:rPr>
                <w:sz w:val="16"/>
                <w:szCs w:val="16"/>
                <w:color w:val="auto"/>
              </w:rPr>
            </w:pPr>
          </w:p>
        </w:tc>
      </w:tr>
      <w:tr>
        <w:trPr>
          <w:trHeight w:val="156"/>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jc w:val="center"/>
              <w:ind w:right="260"/>
              <w:spacing w:after="0" w:line="157" w:lineRule="exact"/>
              <w:rPr>
                <w:sz w:val="20"/>
                <w:szCs w:val="20"/>
                <w:color w:val="auto"/>
              </w:rPr>
            </w:pPr>
            <w:r>
              <w:rPr>
                <w:rFonts w:ascii="Arial" w:cs="Arial" w:eastAsia="Arial" w:hAnsi="Arial"/>
                <w:sz w:val="14"/>
                <w:szCs w:val="14"/>
                <w:color w:val="auto"/>
                <w:w w:val="90"/>
              </w:rPr>
              <w:t>December 29,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4"/>
          </w:tcPr>
          <w:p>
            <w:pPr>
              <w:jc w:val="center"/>
              <w:ind w:right="320"/>
              <w:spacing w:after="0" w:line="157" w:lineRule="exact"/>
              <w:rPr>
                <w:sz w:val="20"/>
                <w:szCs w:val="20"/>
                <w:color w:val="auto"/>
              </w:rPr>
            </w:pPr>
            <w:r>
              <w:rPr>
                <w:rFonts w:ascii="Arial" w:cs="Arial" w:eastAsia="Arial" w:hAnsi="Arial"/>
                <w:sz w:val="14"/>
                <w:szCs w:val="14"/>
                <w:color w:val="auto"/>
                <w:w w:val="90"/>
              </w:rPr>
              <w:t>December 31,</w:t>
            </w:r>
          </w:p>
        </w:tc>
        <w:tc>
          <w:tcPr>
            <w:tcW w:w="1580" w:type="dxa"/>
            <w:vAlign w:val="bottom"/>
            <w:gridSpan w:val="4"/>
          </w:tcPr>
          <w:p>
            <w:pPr>
              <w:ind w:left="400"/>
              <w:spacing w:after="0" w:line="157" w:lineRule="exact"/>
              <w:rPr>
                <w:sz w:val="20"/>
                <w:szCs w:val="20"/>
                <w:color w:val="auto"/>
              </w:rPr>
            </w:pPr>
            <w:r>
              <w:rPr>
                <w:rFonts w:ascii="Arial" w:cs="Arial" w:eastAsia="Arial" w:hAnsi="Arial"/>
                <w:sz w:val="14"/>
                <w:szCs w:val="14"/>
                <w:color w:val="auto"/>
              </w:rPr>
              <w:t>% Increase/</w:t>
            </w:r>
          </w:p>
        </w:tc>
        <w:tc>
          <w:tcPr>
            <w:tcW w:w="160" w:type="dxa"/>
            <w:vAlign w:val="bottom"/>
          </w:tcPr>
          <w:p>
            <w:pPr>
              <w:spacing w:after="0"/>
              <w:rPr>
                <w:sz w:val="13"/>
                <w:szCs w:val="13"/>
                <w:color w:val="auto"/>
              </w:rPr>
            </w:pPr>
          </w:p>
        </w:tc>
        <w:tc>
          <w:tcPr>
            <w:tcW w:w="1200" w:type="dxa"/>
            <w:vAlign w:val="bottom"/>
            <w:gridSpan w:val="2"/>
          </w:tcPr>
          <w:p>
            <w:pPr>
              <w:jc w:val="center"/>
              <w:ind w:right="200"/>
              <w:spacing w:after="0" w:line="157" w:lineRule="exact"/>
              <w:rPr>
                <w:sz w:val="20"/>
                <w:szCs w:val="20"/>
                <w:color w:val="auto"/>
              </w:rPr>
            </w:pPr>
            <w:r>
              <w:rPr>
                <w:rFonts w:ascii="Arial" w:cs="Arial" w:eastAsia="Arial" w:hAnsi="Arial"/>
                <w:sz w:val="14"/>
                <w:szCs w:val="14"/>
                <w:color w:val="auto"/>
                <w:w w:val="90"/>
              </w:rPr>
              <w:t>December 29,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4"/>
          </w:tcPr>
          <w:p>
            <w:pPr>
              <w:ind w:left="100"/>
              <w:spacing w:after="0" w:line="157" w:lineRule="exact"/>
              <w:rPr>
                <w:sz w:val="20"/>
                <w:szCs w:val="20"/>
                <w:color w:val="auto"/>
              </w:rPr>
            </w:pPr>
            <w:r>
              <w:rPr>
                <w:rFonts w:ascii="Arial" w:cs="Arial" w:eastAsia="Arial" w:hAnsi="Arial"/>
                <w:sz w:val="14"/>
                <w:szCs w:val="14"/>
                <w:color w:val="auto"/>
              </w:rPr>
              <w:t>December 31,</w:t>
            </w:r>
          </w:p>
        </w:tc>
        <w:tc>
          <w:tcPr>
            <w:tcW w:w="1420" w:type="dxa"/>
            <w:vAlign w:val="bottom"/>
          </w:tcPr>
          <w:p>
            <w:pPr>
              <w:ind w:left="380"/>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56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w w:val="89"/>
              </w:rPr>
              <w:t>2012</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color w:val="auto"/>
                <w:w w:val="89"/>
              </w:rPr>
              <w:t>2011</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color w:val="auto"/>
              </w:rPr>
              <w:t>(Decrease)</w:t>
            </w:r>
          </w:p>
        </w:tc>
        <w:tc>
          <w:tcPr>
            <w:tcW w:w="120" w:type="dxa"/>
            <w:vAlign w:val="bottom"/>
            <w:tcBorders>
              <w:bottom w:val="single" w:sz="8" w:color="CCEEFF"/>
            </w:tcBorders>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color w:val="auto"/>
                <w:w w:val="89"/>
              </w:rPr>
              <w:t>2012</w:t>
            </w: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color w:val="auto"/>
              </w:rPr>
              <w:t>(Decrease)</w:t>
            </w:r>
          </w:p>
        </w:tc>
      </w:tr>
      <w:tr>
        <w:trPr>
          <w:trHeight w:val="25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Disposables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212,638</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156,354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543,925</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444,810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Software solutions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16,008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51,354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51,208</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Equipment &amp; other</w:t>
            </w: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18,749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18,957</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46,769</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57"/>
        </w:trPr>
        <w:tc>
          <w:tcPr>
            <w:tcW w:w="2560" w:type="dxa"/>
            <w:vAlign w:val="bottom"/>
            <w:gridSpan w:val="2"/>
          </w:tcPr>
          <w:p>
            <w:pPr>
              <w:ind w:left="40"/>
              <w:spacing w:after="0"/>
              <w:rPr>
                <w:sz w:val="20"/>
                <w:szCs w:val="20"/>
                <w:color w:val="auto"/>
              </w:rPr>
            </w:pPr>
            <w:r>
              <w:rPr>
                <w:rFonts w:ascii="Arial" w:cs="Arial" w:eastAsia="Arial" w:hAnsi="Arial"/>
                <w:sz w:val="18"/>
                <w:szCs w:val="18"/>
                <w:color w:val="auto"/>
              </w:rPr>
              <w:t>Net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247,395</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191,160</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29.4 %</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642,048</w:t>
            </w: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gridSpan w:val="2"/>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541,174</w:t>
            </w:r>
          </w:p>
        </w:tc>
        <w:tc>
          <w:tcPr>
            <w:tcW w:w="60" w:type="dxa"/>
            <w:vAlign w:val="bottom"/>
            <w:tcBorders>
              <w:top w:val="single" w:sz="8" w:color="auto"/>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w:t>
            </w:r>
          </w:p>
        </w:tc>
      </w:tr>
      <w:tr>
        <w:trPr>
          <w:trHeight w:val="20"/>
        </w:trPr>
        <w:tc>
          <w:tcPr>
            <w:tcW w:w="2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1"/>
        </w:trPr>
        <w:tc>
          <w:tcPr>
            <w:tcW w:w="2780" w:type="dxa"/>
            <w:vAlign w:val="bottom"/>
            <w:gridSpan w:val="4"/>
          </w:tcPr>
          <w:p>
            <w:pPr>
              <w:spacing w:after="0"/>
              <w:rPr>
                <w:sz w:val="20"/>
                <w:szCs w:val="20"/>
                <w:color w:val="auto"/>
              </w:rPr>
            </w:pPr>
            <w:r>
              <w:rPr>
                <w:rFonts w:ascii="Arial" w:cs="Arial" w:eastAsia="Arial" w:hAnsi="Arial"/>
                <w:sz w:val="18"/>
                <w:szCs w:val="18"/>
                <w:i w:val="1"/>
                <w:iCs w:val="1"/>
                <w:color w:val="auto"/>
                <w:w w:val="88"/>
              </w:rPr>
              <w:t>Disposable Revenues by Product Type</w:t>
            </w:r>
          </w:p>
        </w:tc>
        <w:tc>
          <w:tcPr>
            <w:tcW w:w="1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420"/>
        </w:trPr>
        <w:tc>
          <w:tcPr>
            <w:tcW w:w="2540" w:type="dxa"/>
            <w:vAlign w:val="bottom"/>
            <w:tcBorders>
              <w:top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jc w:val="right"/>
              <w:ind w:right="694"/>
              <w:spacing w:after="0"/>
              <w:rPr>
                <w:sz w:val="20"/>
                <w:szCs w:val="20"/>
                <w:color w:val="auto"/>
              </w:rPr>
            </w:pPr>
            <w:r>
              <w:rPr>
                <w:rFonts w:ascii="Arial" w:cs="Arial" w:eastAsia="Arial" w:hAnsi="Arial"/>
                <w:sz w:val="14"/>
                <w:szCs w:val="14"/>
                <w:color w:val="auto"/>
              </w:rPr>
              <w:t>Three Months Ended</w:t>
            </w:r>
          </w:p>
        </w:tc>
        <w:tc>
          <w:tcPr>
            <w:tcW w:w="140" w:type="dxa"/>
            <w:vAlign w:val="bottom"/>
            <w:gridSpan w:val="3"/>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6"/>
          </w:tcPr>
          <w:p>
            <w:pPr>
              <w:jc w:val="right"/>
              <w:ind w:right="734"/>
              <w:spacing w:after="0"/>
              <w:rPr>
                <w:sz w:val="20"/>
                <w:szCs w:val="20"/>
                <w:color w:val="auto"/>
              </w:rPr>
            </w:pPr>
            <w:r>
              <w:rPr>
                <w:rFonts w:ascii="Arial" w:cs="Arial" w:eastAsia="Arial" w:hAnsi="Arial"/>
                <w:sz w:val="14"/>
                <w:szCs w:val="14"/>
                <w:color w:val="auto"/>
              </w:rPr>
              <w:t>Nine Months Ended</w:t>
            </w:r>
          </w:p>
        </w:tc>
        <w:tc>
          <w:tcPr>
            <w:tcW w:w="160" w:type="dxa"/>
            <w:vAlign w:val="bottom"/>
            <w:gridSpan w:val="3"/>
          </w:tcPr>
          <w:p>
            <w:pPr>
              <w:spacing w:after="0"/>
              <w:rPr>
                <w:sz w:val="24"/>
                <w:szCs w:val="24"/>
                <w:color w:val="auto"/>
              </w:rPr>
            </w:pPr>
          </w:p>
        </w:tc>
        <w:tc>
          <w:tcPr>
            <w:tcW w:w="1420" w:type="dxa"/>
            <w:vAlign w:val="bottom"/>
          </w:tcPr>
          <w:p>
            <w:pPr>
              <w:spacing w:after="0"/>
              <w:rPr>
                <w:sz w:val="24"/>
                <w:szCs w:val="24"/>
                <w:color w:val="auto"/>
              </w:rPr>
            </w:pPr>
          </w:p>
        </w:tc>
      </w:tr>
      <w:tr>
        <w:trPr>
          <w:trHeight w:val="156"/>
        </w:trPr>
        <w:tc>
          <w:tcPr>
            <w:tcW w:w="2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spacing w:after="0" w:line="157" w:lineRule="exact"/>
              <w:rPr>
                <w:sz w:val="20"/>
                <w:szCs w:val="20"/>
                <w:color w:val="auto"/>
              </w:rPr>
            </w:pPr>
            <w:r>
              <w:rPr>
                <w:rFonts w:ascii="Arial" w:cs="Arial" w:eastAsia="Arial" w:hAnsi="Arial"/>
                <w:sz w:val="14"/>
                <w:szCs w:val="14"/>
                <w:color w:val="auto"/>
              </w:rPr>
              <w:t>December 29,</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December 31,</w:t>
            </w:r>
          </w:p>
        </w:tc>
        <w:tc>
          <w:tcPr>
            <w:tcW w:w="1580" w:type="dxa"/>
            <w:vAlign w:val="bottom"/>
            <w:gridSpan w:val="4"/>
          </w:tcPr>
          <w:p>
            <w:pPr>
              <w:jc w:val="right"/>
              <w:ind w:right="540"/>
              <w:spacing w:after="0" w:line="157" w:lineRule="exact"/>
              <w:rPr>
                <w:sz w:val="20"/>
                <w:szCs w:val="20"/>
                <w:color w:val="auto"/>
              </w:rPr>
            </w:pPr>
            <w:r>
              <w:rPr>
                <w:rFonts w:ascii="Arial" w:cs="Arial" w:eastAsia="Arial" w:hAnsi="Arial"/>
                <w:sz w:val="14"/>
                <w:szCs w:val="14"/>
                <w:color w:val="auto"/>
              </w:rPr>
              <w:t>% Increase/</w:t>
            </w:r>
          </w:p>
        </w:tc>
        <w:tc>
          <w:tcPr>
            <w:tcW w:w="160" w:type="dxa"/>
            <w:vAlign w:val="bottom"/>
          </w:tcPr>
          <w:p>
            <w:pPr>
              <w:spacing w:after="0"/>
              <w:rPr>
                <w:sz w:val="13"/>
                <w:szCs w:val="13"/>
                <w:color w:val="auto"/>
              </w:rPr>
            </w:pPr>
          </w:p>
        </w:tc>
        <w:tc>
          <w:tcPr>
            <w:tcW w:w="120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December 29,</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4"/>
          </w:tcPr>
          <w:p>
            <w:pPr>
              <w:ind w:left="40"/>
              <w:spacing w:after="0" w:line="157" w:lineRule="exact"/>
              <w:rPr>
                <w:sz w:val="20"/>
                <w:szCs w:val="20"/>
                <w:color w:val="auto"/>
              </w:rPr>
            </w:pPr>
            <w:r>
              <w:rPr>
                <w:rFonts w:ascii="Arial" w:cs="Arial" w:eastAsia="Arial" w:hAnsi="Arial"/>
                <w:sz w:val="14"/>
                <w:szCs w:val="14"/>
                <w:color w:val="auto"/>
              </w:rPr>
              <w:t>December 31,</w:t>
            </w:r>
          </w:p>
        </w:tc>
        <w:tc>
          <w:tcPr>
            <w:tcW w:w="1420" w:type="dxa"/>
            <w:vAlign w:val="bottom"/>
          </w:tcPr>
          <w:p>
            <w:pPr>
              <w:jc w:val="right"/>
              <w:ind w:right="314"/>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5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color w:val="auto"/>
                <w:w w:val="96"/>
              </w:rPr>
              <w:t>2012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89"/>
              </w:rPr>
              <w:t>2011</w:t>
            </w: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(Decrease)</w:t>
            </w:r>
          </w:p>
        </w:tc>
        <w:tc>
          <w:tcPr>
            <w:tcW w:w="12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color w:val="auto"/>
                <w:w w:val="96"/>
              </w:rPr>
              <w:t>2012</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(Decrease)</w:t>
            </w:r>
          </w:p>
        </w:tc>
      </w:tr>
      <w:tr>
        <w:trPr>
          <w:trHeight w:val="27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Plasma disposables</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68,102</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69,040</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200,657</w:t>
            </w:r>
          </w:p>
        </w:tc>
        <w:tc>
          <w:tcPr>
            <w:tcW w:w="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196,206</w:t>
            </w: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37"/>
        </w:trPr>
        <w:tc>
          <w:tcPr>
            <w:tcW w:w="2540" w:type="dxa"/>
            <w:vAlign w:val="bottom"/>
          </w:tcPr>
          <w:p>
            <w:pPr>
              <w:ind w:left="40"/>
              <w:spacing w:after="0"/>
              <w:rPr>
                <w:sz w:val="20"/>
                <w:szCs w:val="20"/>
                <w:color w:val="auto"/>
              </w:rPr>
            </w:pPr>
            <w:r>
              <w:rPr>
                <w:rFonts w:ascii="Arial" w:cs="Arial" w:eastAsia="Arial" w:hAnsi="Arial"/>
                <w:sz w:val="18"/>
                <w:szCs w:val="18"/>
                <w:color w:val="auto"/>
              </w:rPr>
              <w:t>Blood center disposables</w:t>
            </w: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Platelet</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45,139</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44,383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125,579</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123,888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Red cell</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11,752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12,162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35,738</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35,676</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2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Whole blood</w:t>
            </w: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54,894</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83,514</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7"/>
        </w:trPr>
        <w:tc>
          <w:tcPr>
            <w:tcW w:w="254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111,785</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56,545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97.7 %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244,831</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159,564</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53.4 %</w:t>
            </w:r>
          </w:p>
        </w:tc>
      </w:tr>
      <w:tr>
        <w:trPr>
          <w:trHeight w:val="27"/>
        </w:trPr>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44"/>
        </w:trPr>
        <w:tc>
          <w:tcPr>
            <w:tcW w:w="25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Hospital disposables</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r>
      <w:tr>
        <w:trPr>
          <w:trHeight w:val="243"/>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Surgical</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18,900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17,333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55,965</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49,281</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7"/>
        </w:trPr>
        <w:tc>
          <w:tcPr>
            <w:tcW w:w="25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OrthoPAT</w:t>
            </w:r>
          </w:p>
        </w:tc>
        <w:tc>
          <w:tcPr>
            <w:tcW w:w="2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7,090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22,276</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22,804</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2560" w:type="dxa"/>
            <w:vAlign w:val="bottom"/>
            <w:gridSpan w:val="2"/>
          </w:tcPr>
          <w:p>
            <w:pPr>
              <w:ind w:left="180"/>
              <w:spacing w:after="0"/>
              <w:rPr>
                <w:sz w:val="20"/>
                <w:szCs w:val="20"/>
                <w:color w:val="auto"/>
              </w:rPr>
            </w:pPr>
            <w:r>
              <w:rPr>
                <w:rFonts w:ascii="Arial" w:cs="Arial" w:eastAsia="Arial" w:hAnsi="Arial"/>
                <w:sz w:val="18"/>
                <w:szCs w:val="18"/>
                <w:color w:val="auto"/>
              </w:rPr>
              <w:t>Diagnostics</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6,761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5,681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19.0 %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20,196</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16,955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19.1 %</w:t>
            </w:r>
          </w:p>
        </w:tc>
      </w:tr>
      <w:tr>
        <w:trPr>
          <w:trHeight w:val="27"/>
        </w:trPr>
        <w:tc>
          <w:tcPr>
            <w:tcW w:w="25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r>
      <w:tr>
        <w:trPr>
          <w:trHeight w:val="264"/>
        </w:trPr>
        <w:tc>
          <w:tcPr>
            <w:tcW w:w="25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32,751</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30,769</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98,437</w:t>
            </w:r>
          </w:p>
        </w:tc>
        <w:tc>
          <w:tcPr>
            <w:tcW w:w="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89,040</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10.6 %</w:t>
            </w:r>
          </w:p>
        </w:tc>
      </w:tr>
      <w:tr>
        <w:trPr>
          <w:trHeight w:val="257"/>
        </w:trPr>
        <w:tc>
          <w:tcPr>
            <w:tcW w:w="2540" w:type="dxa"/>
            <w:vAlign w:val="bottom"/>
          </w:tcPr>
          <w:p>
            <w:pPr>
              <w:ind w:left="40"/>
              <w:spacing w:after="0"/>
              <w:rPr>
                <w:sz w:val="20"/>
                <w:szCs w:val="20"/>
                <w:color w:val="auto"/>
              </w:rPr>
            </w:pPr>
            <w:r>
              <w:rPr>
                <w:rFonts w:ascii="Arial" w:cs="Arial" w:eastAsia="Arial" w:hAnsi="Arial"/>
                <w:sz w:val="18"/>
                <w:szCs w:val="18"/>
                <w:color w:val="auto"/>
              </w:rPr>
              <w:t>Total disposables revenue</w:t>
            </w:r>
          </w:p>
        </w:tc>
        <w:tc>
          <w:tcPr>
            <w:tcW w:w="2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212,638</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156,354</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36.0 %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543,925</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444,810</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22.3 %</w:t>
            </w:r>
          </w:p>
        </w:tc>
      </w:tr>
      <w:tr>
        <w:trPr>
          <w:trHeight w:val="20"/>
        </w:trPr>
        <w:tc>
          <w:tcPr>
            <w:tcW w:w="25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Disposables revenue increased 36.0% and 22.3% for the three and nine months ended December 29, 2012, respectively, as compared to the same periods of fiscal 2012. Without the effect of foreign exchange, disposables revenue increased 35.2% and 21.2% for the three and nine months ended December 29, 2012, respectively, as compared to the same periods of fiscal 2012,</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560"/>
        <w:spacing w:after="0" w:line="375" w:lineRule="auto"/>
        <w:rPr>
          <w:sz w:val="20"/>
          <w:szCs w:val="20"/>
          <w:color w:val="auto"/>
        </w:rPr>
      </w:pPr>
      <w:r>
        <w:rPr>
          <w:rFonts w:ascii="Arial" w:cs="Arial" w:eastAsia="Arial" w:hAnsi="Arial"/>
          <w:sz w:val="18"/>
          <w:szCs w:val="18"/>
          <w:color w:val="auto"/>
        </w:rPr>
        <w:t xml:space="preserve">driven primarily by revenue from the acquired whole blood business and growth in sales in the surgical and diagnostics businesses as discussed below. </w:t>
      </w:r>
      <w:r>
        <w:rPr>
          <w:rFonts w:ascii="Arial" w:cs="Arial" w:eastAsia="Arial" w:hAnsi="Arial"/>
          <w:sz w:val="18"/>
          <w:szCs w:val="18"/>
          <w:i w:val="1"/>
          <w:iCs w:val="1"/>
          <w:u w:val="single" w:color="auto"/>
          <w:color w:val="auto"/>
        </w:rPr>
        <w:t>Plasma</w:t>
      </w:r>
    </w:p>
    <w:p>
      <w:pPr>
        <w:spacing w:after="0" w:line="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Plasma disposables revenue decreased 1.4% and increased 2.3% for the three and nine months ended December 29, 2012, respectively, as compared to the same periods of fiscal 2012. Without the effect of foreign exchange, plasma revenue decreased 1.1% and increased 2.3% for the three and nine months ended December 29, 2012, respectively, as compared to the same periods of fiscal 2012. Plasma revenue increased for the nine months ended December 29, 2012 due primarily to higher revenue from commercial fractionation customers in North America, with increased collections more than offsetting price reductions in contract renewals completed in fiscal 2012. Plasma revenue declined for the three months ended December 29, 2012 as collection growth did not fully offset price reductions as collections in the prior fiscal year were more highly skewed to the third quarter.</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Center</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Blood center consists of disposables used to collect blood components platelets, red cells and whole blood. Platelet disposables revenue increased 1.7% and 1.4% for the three and nine months ended December 29, 2012, respectively, as compared to the same periods of fiscal 2012. Without the effect of foreign exchange, platelet disposable revenue increased 1.8% and 0.4% for the three and nine months ended December 29, 2012, respectively, as compared to the same periods of fiscal 2012 resulting from continued growth in emerging markets which more than offset declines in mature markets. Revenue in Japan was lower due to benefits from quality issues experienced with a competitor's device in the prior year, and for the nine months ended December 29, 2012 due to the negative impact of the JRC's purchases in March 2012 to avoid future supply disruptions in anticipation of internal system conversion.</w:t>
      </w:r>
    </w:p>
    <w:p>
      <w:pPr>
        <w:spacing w:after="0" w:line="5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Red cell disposables revenue decreased 3.4% in the three months and increased 0.2% in the nine months ended December 29, 2012 respectively, as compared to the same periods of fiscal 2012. Without the effect of foreign exchange, red cell disposables revenue decreased 2.8% and increased 0.6% for the three and nine months ended December 29, 2012, respectively, as compared to the same periods of fiscal 2012, due to reductions in surgical procedures and improved blood management. Recent data suggests improved blood management procedures in hospitals are reducing demand for red cells.</w:t>
      </w:r>
    </w:p>
    <w:p>
      <w:pPr>
        <w:spacing w:after="0" w:line="46"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Whole blood disposables revenue was $54.9 million and $83.5 million for the three and nine months ended December 29, 2012, representing sales of products from the Pall acquisition completed on August 1, 2012.</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Hospital consists of Surgical, OrthoPAT, and Diagnostics products. Surgical disposables revenue consists principally of the Cell Saver and CardioPAT products. Revenues from our surgical disposables increased 9.0% and 13.6% for the three and nine months ended December 29, 2012, respectively, as compared to the same periods of fiscal 2012. Without the effect of foreign exchange, surgical disposables revenue increased 7.8% and 10.5% for the three and nine months ended December 29, 2012, respectively, as compared to the same periods of fiscal 2012, due to continued growth from market acceptance of Cell Saver Elite in the U.S., Europe and Japan. Surgical revenue also benefited from market share gains due to limited product availability from our primary competitor during the majority of the nine months ended December 29, 2012 due to a now resolved supply chain disruption associated with a natural disaster in Europe.</w:t>
      </w:r>
    </w:p>
    <w:p>
      <w:pPr>
        <w:spacing w:after="0" w:line="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Revenues from our OrthoPAT disposables decreased 8.6% and 2.3% for the three and nine months ended December 29, 2012, respectively, as compared to the same periods of fiscal 2012. Without the effect of foreign exchange, OrthoPAT disposables revenue decreased by 9.4% and 3.5% for the three and nine months ended December 29, 2012, respectively, as compared to the same periods of fiscal 2012 primarily due to lower sales in the U.S. as device utilization by smaller hospitals has declined following the voluntary recall of the OrthoPAT device in fiscal 2012.</w:t>
      </w:r>
    </w:p>
    <w:p>
      <w:pPr>
        <w:spacing w:after="0" w:line="6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Diagnostics product revenue consists principally of the consumable reagents used with the TEG analyzer. Revenues from our diagnostics products increased 19.0% and 19.1% for the three and nine months ended December 29, 2012, respectively, as compared to the same periods of fiscal 2012. Without the effect of foreign exchange, diagnostics product revenues increased 17.3% and 17.5% for the three and nine months ended December 29, 2012 respectively, as compared to the same periods of fiscal 2012. The revenue increase is due to continued adoption of our TEG analyzer, principally in the U.S. and China.</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Our software solutions revenues include sales of our information technology software platforms and consulting services. Software revenues increased 1.0% and 0.3% for the three and nine months ended December 29, 2012, respectively, as compared to the same periods of fiscal 2012. Without the effect of foreign exchange, software revenues increased 1.8% and 1.7% for the three and nine months ended December 29, 2012, respectively, as compared to the same periods of fiscal 2012. The increases were primarily due to hospital software sales and installed base growth, offset by declines in plasma software revenue.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Our equipment and other revenues include revenue from equipment sales, repairs performed under preventive maintenance contracts or emergency service visits, spare part sales, and various service and training programs. These revenues are primarily composed of equipment sales, which tend to vary from period to period more than our disposable business due to the timing of order patterns, particularly in our distribution markets. Equipment and other revenues decreased 1.1% and increased 3.6% for the three and nine months ended December 29, 2012, respectively, as compared to the same periods of fiscal 2012. Without the effect of foreign exchange, equipment and other revenues decreased 0.9% and increased 3.6% for the three and nine months ended December 29, 2012, respectively, as compared to the same periods of fiscal 2012. Year-to-date growth is primarily due to higher surgical equipment sales. The decline in revenue for the three months ended December 29, 2012 is due primarily to timing of tender awards in our distribution markets.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59"/>
              <w:spacing w:after="0"/>
              <w:rPr>
                <w:sz w:val="20"/>
                <w:szCs w:val="20"/>
                <w:color w:val="auto"/>
              </w:rPr>
            </w:pPr>
            <w:r>
              <w:rPr>
                <w:rFonts w:ascii="Arial" w:cs="Arial" w:eastAsia="Arial" w:hAnsi="Arial"/>
                <w:sz w:val="14"/>
                <w:szCs w:val="14"/>
                <w:color w:val="auto"/>
              </w:rPr>
              <w:t>Three Months Ended</w:t>
            </w: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99"/>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56"/>
        </w:trPr>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29,</w:t>
            </w:r>
          </w:p>
        </w:tc>
        <w:tc>
          <w:tcPr>
            <w:tcW w:w="200" w:type="dxa"/>
            <w:vAlign w:val="bottom"/>
          </w:tcPr>
          <w:p>
            <w:pPr>
              <w:spacing w:after="0"/>
              <w:rPr>
                <w:sz w:val="13"/>
                <w:szCs w:val="13"/>
                <w:color w:val="auto"/>
              </w:rPr>
            </w:pPr>
          </w:p>
        </w:tc>
        <w:tc>
          <w:tcPr>
            <w:tcW w:w="1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1700" w:type="dxa"/>
            <w:vAlign w:val="bottom"/>
            <w:gridSpan w:val="3"/>
          </w:tcPr>
          <w:p>
            <w:pPr>
              <w:jc w:val="center"/>
              <w:ind w:right="300"/>
              <w:spacing w:after="0" w:line="157" w:lineRule="exact"/>
              <w:rPr>
                <w:sz w:val="20"/>
                <w:szCs w:val="20"/>
                <w:color w:val="auto"/>
              </w:rPr>
            </w:pPr>
            <w:r>
              <w:rPr>
                <w:rFonts w:ascii="Arial" w:cs="Arial" w:eastAsia="Arial" w:hAnsi="Arial"/>
                <w:sz w:val="14"/>
                <w:szCs w:val="14"/>
                <w:color w:val="auto"/>
                <w:w w:val="91"/>
              </w:rPr>
              <w:t>% Increase/</w:t>
            </w: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29,</w:t>
            </w:r>
          </w:p>
        </w:tc>
        <w:tc>
          <w:tcPr>
            <w:tcW w:w="200" w:type="dxa"/>
            <w:vAlign w:val="bottom"/>
          </w:tcPr>
          <w:p>
            <w:pPr>
              <w:spacing w:after="0"/>
              <w:rPr>
                <w:sz w:val="13"/>
                <w:szCs w:val="13"/>
                <w:color w:val="auto"/>
              </w:rPr>
            </w:pPr>
          </w:p>
        </w:tc>
        <w:tc>
          <w:tcPr>
            <w:tcW w:w="1320" w:type="dxa"/>
            <w:vAlign w:val="bottom"/>
            <w:gridSpan w:val="2"/>
          </w:tcPr>
          <w:p>
            <w:pPr>
              <w:ind w:left="100"/>
              <w:spacing w:after="0" w:line="157" w:lineRule="exact"/>
              <w:rPr>
                <w:sz w:val="20"/>
                <w:szCs w:val="20"/>
                <w:color w:val="auto"/>
              </w:rPr>
            </w:pPr>
            <w:r>
              <w:rPr>
                <w:rFonts w:ascii="Arial" w:cs="Arial" w:eastAsia="Arial" w:hAnsi="Arial"/>
                <w:sz w:val="14"/>
                <w:szCs w:val="14"/>
                <w:color w:val="auto"/>
              </w:rPr>
              <w:t>December 31,</w:t>
            </w:r>
          </w:p>
        </w:tc>
        <w:tc>
          <w:tcPr>
            <w:tcW w:w="1400" w:type="dxa"/>
            <w:vAlign w:val="bottom"/>
          </w:tcPr>
          <w:p>
            <w:pPr>
              <w:jc w:val="center"/>
              <w:spacing w:after="0" w:line="157" w:lineRule="exact"/>
              <w:rPr>
                <w:sz w:val="20"/>
                <w:szCs w:val="20"/>
                <w:color w:val="auto"/>
              </w:rPr>
            </w:pPr>
            <w:r>
              <w:rPr>
                <w:rFonts w:ascii="Arial" w:cs="Arial" w:eastAsia="Arial" w:hAnsi="Arial"/>
                <w:sz w:val="14"/>
                <w:szCs w:val="14"/>
                <w:color w:val="auto"/>
                <w:w w:val="91"/>
              </w:rPr>
              <w:t>% Increase/</w:t>
            </w:r>
          </w:p>
        </w:tc>
      </w:tr>
      <w:tr>
        <w:trPr>
          <w:trHeight w:val="188"/>
        </w:trPr>
        <w:tc>
          <w:tcPr>
            <w:tcW w:w="244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color w:val="auto"/>
              </w:rPr>
              <w:t>2011</w:t>
            </w:r>
          </w:p>
        </w:tc>
        <w:tc>
          <w:tcPr>
            <w:tcW w:w="10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(Decrease)</w:t>
            </w: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113,115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95,931</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  $</w:t>
            </w:r>
          </w:p>
        </w:tc>
        <w:tc>
          <w:tcPr>
            <w:tcW w:w="120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304,990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274,629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r>
    </w:tbl>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Gross profit amounts increased 17.9% and 11.1% for the three and nine months ended December 29, 2012, respectively, as compared to the same periods of fiscal 2012. Without the effect of foreign exchange, gross profit increased 16.6% and 8.6% for the three and nine months ended December 29, 2012, respectively, as compared to the same periods of fiscal 2012. Our gross profit margin decreased by 446 and 324 basis points for the three and nine month periods ending December 29, 2012, respectively, as compared to the same periods of fiscal 2012.</w:t>
      </w:r>
    </w:p>
    <w:p>
      <w:pPr>
        <w:spacing w:after="0" w:line="18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decrease in gross profit margin for the three and nine month periods includes approximately $2.8 million and $11.1 million respectively of costs of goods sold related to the increase in fair value of acquisition-related whole blood inventory acquired from Pall as well as a $6.1 million inventory reserve recorded. This reserve related to the removal of affected whole blood collection sets from inventory for destruction or rework based on a quality matter detected during the third quarter of fiscal 2013. We issued a field action letter to blood center customers requesting visual inspection of a component of certain whole blood collection sets, due to the potential for a leak to occur at a very low frequency. The component, referred to as a Y connector, was supplied by a contract manufacturer. We will pursue all available means of financial recovery related to this inventory loss. However, no salvage or recovery value from these efforts was recorded as we cannot currently conclude whether a favorable outcome will result.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Additionally, the decrease in gross profit margin included the mix impact of whole blood disposable sales, as whole blood gross margins are lower than average gross margins for our complete product line. This was partially offset by reduced equipment depreciation expense as a result of a change in estimated useful lives implemented during the three months ended June 30, 2012. We expect this change in estimate will reduce fiscal year 2013 depreciation expense by approximately $4.5 million and increase income net of tax by approximately $3.3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4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56"/>
        </w:trPr>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29,</w:t>
            </w:r>
          </w:p>
        </w:tc>
        <w:tc>
          <w:tcPr>
            <w:tcW w:w="20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1480" w:type="dxa"/>
            <w:vAlign w:val="bottom"/>
            <w:gridSpan w:val="2"/>
          </w:tcPr>
          <w:p>
            <w:pPr>
              <w:jc w:val="center"/>
              <w:ind w:right="80"/>
              <w:spacing w:after="0" w:line="157" w:lineRule="exact"/>
              <w:rPr>
                <w:sz w:val="20"/>
                <w:szCs w:val="20"/>
                <w:color w:val="auto"/>
              </w:rPr>
            </w:pPr>
            <w:r>
              <w:rPr>
                <w:rFonts w:ascii="Arial" w:cs="Arial" w:eastAsia="Arial" w:hAnsi="Arial"/>
                <w:sz w:val="14"/>
                <w:szCs w:val="14"/>
                <w:color w:val="auto"/>
                <w:w w:val="91"/>
              </w:rPr>
              <w:t>% Increase/</w:t>
            </w:r>
          </w:p>
        </w:tc>
        <w:tc>
          <w:tcPr>
            <w:tcW w:w="20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29,</w:t>
            </w:r>
          </w:p>
        </w:tc>
        <w:tc>
          <w:tcPr>
            <w:tcW w:w="220" w:type="dxa"/>
            <w:vAlign w:val="bottom"/>
          </w:tcPr>
          <w:p>
            <w:pPr>
              <w:spacing w:after="0"/>
              <w:rPr>
                <w:sz w:val="13"/>
                <w:szCs w:val="13"/>
                <w:color w:val="auto"/>
              </w:rPr>
            </w:pPr>
          </w:p>
        </w:tc>
        <w:tc>
          <w:tcPr>
            <w:tcW w:w="134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31,</w:t>
            </w:r>
          </w:p>
        </w:tc>
        <w:tc>
          <w:tcPr>
            <w:tcW w:w="1420" w:type="dxa"/>
            <w:vAlign w:val="bottom"/>
          </w:tcPr>
          <w:p>
            <w:pPr>
              <w:jc w:val="right"/>
              <w:ind w:right="296"/>
              <w:spacing w:after="0" w:line="157" w:lineRule="exact"/>
              <w:rPr>
                <w:sz w:val="20"/>
                <w:szCs w:val="20"/>
                <w:color w:val="auto"/>
              </w:rPr>
            </w:pPr>
            <w:r>
              <w:rPr>
                <w:rFonts w:ascii="Arial" w:cs="Arial" w:eastAsia="Arial" w:hAnsi="Arial"/>
                <w:sz w:val="14"/>
                <w:szCs w:val="14"/>
                <w:color w:val="auto"/>
              </w:rPr>
              <w:t>% Increase/</w:t>
            </w:r>
          </w:p>
        </w:tc>
      </w:tr>
      <w:tr>
        <w:trPr>
          <w:trHeight w:val="188"/>
        </w:trPr>
        <w:tc>
          <w:tcPr>
            <w:tcW w:w="24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color w:val="auto"/>
              </w:rPr>
              <w:t>2012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color w:val="auto"/>
                <w:w w:val="89"/>
              </w:rPr>
              <w:t>(Decrease)</w:t>
            </w:r>
          </w:p>
        </w:tc>
        <w:tc>
          <w:tcPr>
            <w:tcW w:w="200" w:type="dxa"/>
            <w:vAlign w:val="bottom"/>
          </w:tcPr>
          <w:p>
            <w:pPr>
              <w:spacing w:after="0"/>
              <w:rPr>
                <w:sz w:val="16"/>
                <w:szCs w:val="16"/>
                <w:color w:val="auto"/>
              </w:rPr>
            </w:pPr>
          </w:p>
        </w:tc>
        <w:tc>
          <w:tcPr>
            <w:tcW w:w="1200" w:type="dxa"/>
            <w:vAlign w:val="bottom"/>
          </w:tcPr>
          <w:p>
            <w:pPr>
              <w:jc w:val="right"/>
              <w:ind w:right="475"/>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494"/>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20" w:type="dxa"/>
            <w:vAlign w:val="bottom"/>
          </w:tcPr>
          <w:p>
            <w:pPr>
              <w:jc w:val="right"/>
              <w:ind w:right="316"/>
              <w:spacing w:after="0"/>
              <w:rPr>
                <w:sz w:val="20"/>
                <w:szCs w:val="20"/>
                <w:color w:val="auto"/>
              </w:rPr>
            </w:pPr>
            <w:r>
              <w:rPr>
                <w:rFonts w:ascii="Arial" w:cs="Arial" w:eastAsia="Arial" w:hAnsi="Arial"/>
                <w:sz w:val="14"/>
                <w:szCs w:val="14"/>
                <w:color w:val="auto"/>
              </w:rPr>
              <w:t>(Decrease)</w:t>
            </w:r>
          </w:p>
        </w:tc>
      </w:tr>
      <w:tr>
        <w:trPr>
          <w:trHeight w:val="250"/>
        </w:trPr>
        <w:tc>
          <w:tcPr>
            <w:tcW w:w="2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10,588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9,232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30,823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28,190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9.3 %</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29"/>
        </w:trPr>
        <w:tc>
          <w:tcPr>
            <w:tcW w:w="2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7"/>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86,780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61,376</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235,438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180,221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30.6 %</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33.3 %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Contingent consideration</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(1,580)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3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2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2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97,368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70,608</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266,261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206,831</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28.7 %</w:t>
            </w:r>
          </w:p>
        </w:tc>
      </w:tr>
      <w:tr>
        <w:trPr>
          <w:trHeight w:val="243"/>
        </w:trPr>
        <w:tc>
          <w:tcPr>
            <w:tcW w:w="2440" w:type="dxa"/>
            <w:vAlign w:val="bottom"/>
          </w:tcPr>
          <w:p>
            <w:pPr>
              <w:ind w:left="180"/>
              <w:spacing w:after="0"/>
              <w:rPr>
                <w:sz w:val="20"/>
                <w:szCs w:val="20"/>
                <w:color w:val="auto"/>
              </w:rPr>
            </w:pPr>
            <w:r>
              <w:rPr>
                <w:rFonts w:ascii="Arial" w:cs="Arial" w:eastAsia="Arial" w:hAnsi="Arial"/>
                <w:sz w:val="18"/>
                <w:szCs w:val="18"/>
                <w:color w:val="auto"/>
              </w:rPr>
              <w:t>% of net revenues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918"/>
        </w:trPr>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jc w:val="right"/>
              <w:ind w:right="95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340"/>
        <w:spacing w:after="0" w:line="286" w:lineRule="auto"/>
        <w:rPr>
          <w:sz w:val="20"/>
          <w:szCs w:val="20"/>
          <w:color w:val="auto"/>
        </w:rPr>
      </w:pPr>
      <w:r>
        <w:rPr>
          <w:rFonts w:ascii="Arial" w:cs="Arial" w:eastAsia="Arial" w:hAnsi="Arial"/>
          <w:sz w:val="17"/>
          <w:szCs w:val="17"/>
          <w:color w:val="auto"/>
        </w:rPr>
        <w:t>Research and development expenses increased 14.7% and 9.3% for the three and nine months ended December 29, 2012, respectively, as compared to the same periods of fiscal 2012. These increases are primarily due to additional staff and program spending related to the whole blood acquisition and related product initiatives, as well as a general increase in development programs to support long-term product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and nine months ended December 29, 2012, selling, general and administrative expenses increased 41.4% and 30.6%, respectively, 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compared to the same periods of fiscal 2012. These increases include acquisition and integration expenses associated with the whole blood acquisition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$11.7 million and $29.1 million for the three and nine months ended December 29, 2012, respectively. We also incurred approximately $13.6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$22.0 million of incremental expense related to the whole blood business during the three and nine months ended December 29, 2012, respectively, following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August 1, 2012 acquisition. We also incurred higher incentive compensation this fiscal year as financial performance versus established financial targets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improved as compared to fiscal 2012.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Consideration Income</w:t>
      </w:r>
    </w:p>
    <w:p>
      <w:pPr>
        <w:spacing w:after="0" w:line="19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Under the accounting rules for business combinations (specifically, ASC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we established a liability for payments that we might make in the future to former shareholders of Neoteric that are tied to the performance of the Blood Track business for the first three years post acquisition, beginning with fiscal 2010. During fiscal 2012, we reviewed the expected performance versus the necessary thresholds of performance for the former shareholders to receive additional performance payments and we recorded an adjustment to the fair value of the contingent consideration as contingent consideration income of $1.6 million and $1.9 million for the nine months ended December 31, 2011 and January 1, 2011, respectively.</w:t>
      </w:r>
    </w:p>
    <w:p>
      <w:pPr>
        <w:spacing w:after="0" w:line="2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September 2011, we entered into an agreement which released the Company from the contingent consideration due to the former shareholders of Neoteric. Under the terms of the agreement, the former shareholders of Neoteric received $0.7 million in exchange for releasing the Company from any future claims for contingent consideration. The Company paid the $0.7 million settlement amount during September 2011 and recorded the associated expense in the selling, general and administrative line item in the accompanying consolidated statements of income for the nine months ended December 31, 2011.</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Net</w:t>
      </w:r>
    </w:p>
    <w:p>
      <w:pPr>
        <w:spacing w:after="0" w:line="27"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Other expense, net, increased for the three and nine months ended December 29, 2012 as compared to the same periods of fiscal 2012, primarily due to interest expense from the $475.0 million term loan.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3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2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color w:val="auto"/>
              </w:rPr>
              <w:t>Nine Months Ended</w:t>
            </w: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56"/>
        </w:trPr>
        <w:tc>
          <w:tcPr>
            <w:tcW w:w="2340" w:type="dxa"/>
            <w:vAlign w:val="bottom"/>
          </w:tcPr>
          <w:p>
            <w:pPr>
              <w:spacing w:after="0"/>
              <w:rPr>
                <w:sz w:val="13"/>
                <w:szCs w:val="13"/>
                <w:color w:val="auto"/>
              </w:rPr>
            </w:pPr>
          </w:p>
        </w:tc>
        <w:tc>
          <w:tcPr>
            <w:tcW w:w="144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3"/>
              </w:rPr>
              <w:t>December 29,</w:t>
            </w:r>
          </w:p>
        </w:tc>
        <w:tc>
          <w:tcPr>
            <w:tcW w:w="146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93"/>
              </w:rPr>
              <w:t>December 31,</w:t>
            </w:r>
          </w:p>
        </w:tc>
        <w:tc>
          <w:tcPr>
            <w:tcW w:w="1500" w:type="dxa"/>
            <w:vAlign w:val="bottom"/>
            <w:gridSpan w:val="2"/>
          </w:tcPr>
          <w:p>
            <w:pPr>
              <w:jc w:val="center"/>
              <w:ind w:right="100"/>
              <w:spacing w:after="0" w:line="157" w:lineRule="exact"/>
              <w:rPr>
                <w:sz w:val="20"/>
                <w:szCs w:val="20"/>
                <w:color w:val="auto"/>
              </w:rPr>
            </w:pPr>
            <w:r>
              <w:rPr>
                <w:rFonts w:ascii="Arial" w:cs="Arial" w:eastAsia="Arial" w:hAnsi="Arial"/>
                <w:sz w:val="14"/>
                <w:szCs w:val="14"/>
                <w:color w:val="auto"/>
                <w:w w:val="91"/>
              </w:rPr>
              <w:t>% Increase/</w:t>
            </w:r>
          </w:p>
        </w:tc>
        <w:tc>
          <w:tcPr>
            <w:tcW w:w="146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0"/>
              </w:rPr>
              <w:t>December 29,</w:t>
            </w:r>
          </w:p>
        </w:tc>
        <w:tc>
          <w:tcPr>
            <w:tcW w:w="146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90"/>
              </w:rPr>
              <w:t>December 31,</w:t>
            </w:r>
          </w:p>
        </w:tc>
        <w:tc>
          <w:tcPr>
            <w:tcW w:w="1400" w:type="dxa"/>
            <w:vAlign w:val="bottom"/>
          </w:tcPr>
          <w:p>
            <w:pPr>
              <w:jc w:val="center"/>
              <w:spacing w:after="0" w:line="157" w:lineRule="exact"/>
              <w:rPr>
                <w:sz w:val="20"/>
                <w:szCs w:val="20"/>
                <w:color w:val="auto"/>
              </w:rPr>
            </w:pPr>
            <w:r>
              <w:rPr>
                <w:rFonts w:ascii="Arial" w:cs="Arial" w:eastAsia="Arial" w:hAnsi="Arial"/>
                <w:sz w:val="14"/>
                <w:szCs w:val="14"/>
                <w:color w:val="auto"/>
                <w:w w:val="91"/>
              </w:rPr>
              <w:t>% Increase/</w:t>
            </w:r>
          </w:p>
        </w:tc>
      </w:tr>
      <w:tr>
        <w:trPr>
          <w:trHeight w:val="188"/>
        </w:trPr>
        <w:tc>
          <w:tcPr>
            <w:tcW w:w="2340" w:type="dxa"/>
            <w:vAlign w:val="bottom"/>
          </w:tcPr>
          <w:p>
            <w:pPr>
              <w:spacing w:after="0"/>
              <w:rPr>
                <w:sz w:val="16"/>
                <w:szCs w:val="16"/>
                <w:color w:val="auto"/>
              </w:rPr>
            </w:pPr>
          </w:p>
        </w:tc>
        <w:tc>
          <w:tcPr>
            <w:tcW w:w="1340" w:type="dxa"/>
            <w:vAlign w:val="bottom"/>
          </w:tcPr>
          <w:p>
            <w:pPr>
              <w:jc w:val="right"/>
              <w:ind w:right="444"/>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1360" w:type="dxa"/>
            <w:vAlign w:val="bottom"/>
          </w:tcPr>
          <w:p>
            <w:pPr>
              <w:jc w:val="right"/>
              <w:ind w:right="46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color w:val="auto"/>
                <w:w w:val="89"/>
              </w:rPr>
              <w:t>(Decrease)</w:t>
            </w:r>
          </w:p>
        </w:tc>
        <w:tc>
          <w:tcPr>
            <w:tcW w:w="1360" w:type="dxa"/>
            <w:vAlign w:val="bottom"/>
          </w:tcPr>
          <w:p>
            <w:pPr>
              <w:jc w:val="right"/>
              <w:ind w:right="464"/>
              <w:spacing w:after="0"/>
              <w:rPr>
                <w:sz w:val="20"/>
                <w:szCs w:val="20"/>
                <w:color w:val="auto"/>
              </w:rPr>
            </w:pPr>
            <w:r>
              <w:rPr>
                <w:rFonts w:ascii="Arial" w:cs="Arial" w:eastAsia="Arial" w:hAnsi="Arial"/>
                <w:sz w:val="14"/>
                <w:szCs w:val="14"/>
                <w:color w:val="auto"/>
              </w:rPr>
              <w:t>2012</w:t>
            </w:r>
          </w:p>
        </w:tc>
        <w:tc>
          <w:tcPr>
            <w:tcW w:w="100" w:type="dxa"/>
            <w:vAlign w:val="bottom"/>
          </w:tcPr>
          <w:p>
            <w:pPr>
              <w:spacing w:after="0"/>
              <w:rPr>
                <w:sz w:val="16"/>
                <w:szCs w:val="16"/>
                <w:color w:val="auto"/>
              </w:rPr>
            </w:pPr>
          </w:p>
        </w:tc>
        <w:tc>
          <w:tcPr>
            <w:tcW w:w="1360" w:type="dxa"/>
            <w:vAlign w:val="bottom"/>
          </w:tcPr>
          <w:p>
            <w:pPr>
              <w:jc w:val="right"/>
              <w:ind w:right="462"/>
              <w:spacing w:after="0"/>
              <w:rPr>
                <w:sz w:val="20"/>
                <w:szCs w:val="20"/>
                <w:color w:val="auto"/>
              </w:rPr>
            </w:pPr>
            <w:r>
              <w:rPr>
                <w:rFonts w:ascii="Arial" w:cs="Arial" w:eastAsia="Arial" w:hAnsi="Arial"/>
                <w:sz w:val="14"/>
                <w:szCs w:val="14"/>
                <w:color w:val="auto"/>
              </w:rPr>
              <w:t>2011</w:t>
            </w:r>
          </w:p>
        </w:tc>
        <w:tc>
          <w:tcPr>
            <w:tcW w:w="1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2"/>
              </w:rPr>
              <w:t>(Decrease)</w:t>
            </w:r>
          </w:p>
        </w:tc>
      </w:tr>
      <w:tr>
        <w:trPr>
          <w:trHeight w:val="243"/>
        </w:trPr>
        <w:tc>
          <w:tcPr>
            <w:tcW w:w="2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Reported income tax rate</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w w:val="93"/>
              </w:rPr>
              <w:t>25.5%</w:t>
            </w:r>
          </w:p>
        </w:tc>
        <w:tc>
          <w:tcPr>
            <w:tcW w:w="10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Borders>
              <w:top w:val="single" w:sz="8" w:color="CCEEFF"/>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23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Company’s reported tax rate was 25.0% and 25.5% for the three and nine months ended December 29, 2012, respectively. Our reported tax rate is lower than the federal statutory tax rate in both periods reported primarily due to lower foreign tax rates, including tax benefits associated with our operations in Switzerland and since the acquisition of the whole blood business, Puerto Rico.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color w:val="auto"/>
              </w:rPr>
              <w:t>December 29,</w:t>
            </w:r>
          </w:p>
        </w:tc>
        <w:tc>
          <w:tcPr>
            <w:tcW w:w="240" w:type="dxa"/>
            <w:vAlign w:val="bottom"/>
          </w:tcPr>
          <w:p>
            <w:pPr>
              <w:spacing w:after="0"/>
              <w:rPr>
                <w:sz w:val="14"/>
                <w:szCs w:val="14"/>
                <w:color w:val="auto"/>
              </w:rPr>
            </w:pPr>
          </w:p>
        </w:tc>
        <w:tc>
          <w:tcPr>
            <w:tcW w:w="1120" w:type="dxa"/>
            <w:vAlign w:val="bottom"/>
          </w:tcPr>
          <w:p>
            <w:pPr>
              <w:jc w:val="right"/>
              <w:ind w:right="314"/>
              <w:spacing w:after="0"/>
              <w:rPr>
                <w:sz w:val="20"/>
                <w:szCs w:val="20"/>
                <w:color w:val="auto"/>
              </w:rPr>
            </w:pPr>
            <w:r>
              <w:rPr>
                <w:rFonts w:ascii="Arial" w:cs="Arial" w:eastAsia="Arial" w:hAnsi="Arial"/>
                <w:sz w:val="14"/>
                <w:szCs w:val="14"/>
                <w:color w:val="auto"/>
              </w:rPr>
              <w:t>March 31,</w:t>
            </w:r>
          </w:p>
        </w:tc>
      </w:tr>
      <w:tr>
        <w:trPr>
          <w:trHeight w:val="188"/>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4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color w:val="auto"/>
              </w:rPr>
              <w:t>2012</w:t>
            </w: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&amp; cash equivalents</w:t>
            </w:r>
          </w:p>
        </w:tc>
        <w:tc>
          <w:tcPr>
            <w:tcW w:w="42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193,181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228,861</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4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421,272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396,385</w:t>
            </w:r>
          </w:p>
        </w:tc>
      </w:tr>
      <w:tr>
        <w:trPr>
          <w:trHeight w:val="27"/>
        </w:trPr>
        <w:tc>
          <w:tcPr>
            <w:tcW w:w="4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ratio</w:t>
            </w:r>
          </w:p>
        </w:tc>
        <w:tc>
          <w:tcPr>
            <w:tcW w:w="4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Net (debt)/cash position (1)</w:t>
            </w:r>
          </w:p>
        </w:tc>
        <w:tc>
          <w:tcPr>
            <w:tcW w:w="4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(289,266)</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225,090</w:t>
            </w:r>
          </w:p>
        </w:tc>
      </w:tr>
      <w:tr>
        <w:trPr>
          <w:trHeight w:val="27"/>
        </w:trPr>
        <w:tc>
          <w:tcPr>
            <w:tcW w:w="448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Days sales outstanding (DSO)</w:t>
            </w:r>
          </w:p>
        </w:tc>
        <w:tc>
          <w:tcPr>
            <w:tcW w:w="4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Disposable finished goods inventory turnover</w:t>
            </w:r>
          </w:p>
        </w:tc>
        <w:tc>
          <w:tcPr>
            <w:tcW w:w="4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5.7</w:t>
            </w:r>
          </w:p>
        </w:tc>
      </w:tr>
      <w:tr>
        <w:trPr>
          <w:trHeight w:val="486"/>
        </w:trPr>
        <w:tc>
          <w:tcPr>
            <w:tcW w:w="4480" w:type="dxa"/>
            <w:vAlign w:val="bottom"/>
          </w:tcPr>
          <w:p>
            <w:pPr>
              <w:spacing w:after="0"/>
              <w:rPr>
                <w:sz w:val="24"/>
                <w:szCs w:val="24"/>
                <w:color w:val="auto"/>
              </w:rPr>
            </w:pPr>
          </w:p>
        </w:tc>
        <w:tc>
          <w:tcPr>
            <w:tcW w:w="4100" w:type="dxa"/>
            <w:vAlign w:val="bottom"/>
          </w:tcPr>
          <w:p>
            <w:pPr>
              <w:jc w:val="right"/>
              <w:ind w:right="269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 Net (debt)/cash position is the sum of cash and cash equivalents less total debt.</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primary sources of liquidity are cash and cash equivalents, internally generated cash flow from operations and option exercises. On August 1, 2012, we entered into a loan agreement for $475.0 million which was used to finance the acquisition of certain assets of the blood collection, filtration and processing business of Pall Corporation. We also entered into a $50.0 million revolving loan on August 1, 2012 which we have not yet drawn down on. On December 21, 2012 we entered into an interest rate swap arrangement to minimize our exposure to changes in the benchmark rate, LIBOR. This swap agreement requires that we pay fixed sums of interest and in exchange receive variable amounts based on LIBOR. We believe these sources are sufficient to fund our cash requirements over the next twelve months, which are primarily capital expenditures, cash payments under the loan agreement, share repurchases under programs authorized by the Board of Directors at its discretion and investments including the contingent purchase of Hemerus described previously and other acquisitions.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color w:val="auto"/>
              </w:rPr>
              <w:t>Nine Months Ended</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56"/>
        </w:trPr>
        <w:tc>
          <w:tcPr>
            <w:tcW w:w="7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80"/>
              <w:spacing w:after="0" w:line="157" w:lineRule="exact"/>
              <w:rPr>
                <w:sz w:val="20"/>
                <w:szCs w:val="20"/>
                <w:color w:val="auto"/>
              </w:rPr>
            </w:pPr>
            <w:r>
              <w:rPr>
                <w:rFonts w:ascii="Arial" w:cs="Arial" w:eastAsia="Arial" w:hAnsi="Arial"/>
                <w:sz w:val="14"/>
                <w:szCs w:val="14"/>
                <w:color w:val="auto"/>
              </w:rPr>
              <w:t>December 29,</w:t>
            </w:r>
          </w:p>
        </w:tc>
        <w:tc>
          <w:tcPr>
            <w:tcW w:w="200" w:type="dxa"/>
            <w:vAlign w:val="bottom"/>
          </w:tcPr>
          <w:p>
            <w:pPr>
              <w:spacing w:after="0"/>
              <w:rPr>
                <w:sz w:val="13"/>
                <w:szCs w:val="13"/>
                <w:color w:val="auto"/>
              </w:rPr>
            </w:pPr>
          </w:p>
        </w:tc>
        <w:tc>
          <w:tcPr>
            <w:tcW w:w="1280" w:type="dxa"/>
            <w:vAlign w:val="bottom"/>
            <w:gridSpan w:val="2"/>
          </w:tcPr>
          <w:p>
            <w:pPr>
              <w:ind w:left="60"/>
              <w:spacing w:after="0" w:line="157" w:lineRule="exact"/>
              <w:rPr>
                <w:sz w:val="20"/>
                <w:szCs w:val="20"/>
                <w:color w:val="auto"/>
              </w:rPr>
            </w:pPr>
            <w:r>
              <w:rPr>
                <w:rFonts w:ascii="Arial" w:cs="Arial" w:eastAsia="Arial" w:hAnsi="Arial"/>
                <w:sz w:val="14"/>
                <w:szCs w:val="14"/>
                <w:color w:val="auto"/>
              </w:rPr>
              <w:t>December 31,</w:t>
            </w:r>
          </w:p>
        </w:tc>
        <w:tc>
          <w:tcPr>
            <w:tcW w:w="240" w:type="dxa"/>
            <w:vAlign w:val="bottom"/>
          </w:tcPr>
          <w:p>
            <w:pPr>
              <w:spacing w:after="0"/>
              <w:rPr>
                <w:sz w:val="13"/>
                <w:szCs w:val="13"/>
                <w:color w:val="auto"/>
              </w:rPr>
            </w:pPr>
          </w:p>
        </w:tc>
        <w:tc>
          <w:tcPr>
            <w:tcW w:w="1120" w:type="dxa"/>
            <w:vAlign w:val="bottom"/>
          </w:tcPr>
          <w:p>
            <w:pPr>
              <w:jc w:val="right"/>
              <w:ind w:right="335"/>
              <w:spacing w:after="0" w:line="157" w:lineRule="exact"/>
              <w:rPr>
                <w:sz w:val="20"/>
                <w:szCs w:val="20"/>
                <w:color w:val="auto"/>
              </w:rPr>
            </w:pPr>
            <w:r>
              <w:rPr>
                <w:rFonts w:ascii="Arial" w:cs="Arial" w:eastAsia="Arial" w:hAnsi="Arial"/>
                <w:sz w:val="14"/>
                <w:szCs w:val="14"/>
                <w:color w:val="auto"/>
              </w:rPr>
              <w:t>Increase/</w:t>
            </w:r>
          </w:p>
        </w:tc>
      </w:tr>
      <w:tr>
        <w:trPr>
          <w:trHeight w:val="188"/>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color w:val="auto"/>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color w:val="auto"/>
              </w:rPr>
              <w:t>(Decrease)</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57,532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81,343</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(23,811)</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(548,097)</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20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Arial" w:cs="Arial" w:eastAsia="Arial" w:hAnsi="Arial"/>
                <w:sz w:val="18"/>
                <w:szCs w:val="18"/>
                <w:color w:val="auto"/>
              </w:rPr>
              <w:t>491,038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(35,714)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526,752</w:t>
            </w: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 (1)</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289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811</w:t>
            </w:r>
          </w:p>
        </w:tc>
      </w:tr>
      <w:tr>
        <w:trPr>
          <w:trHeight w:val="250"/>
        </w:trPr>
        <w:tc>
          <w:tcPr>
            <w:tcW w:w="708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(35,680)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8,665</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8890</wp:posOffset>
            </wp:positionV>
            <wp:extent cx="27527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 w:lineRule="exact"/>
        <w:rPr>
          <w:sz w:val="20"/>
          <w:szCs w:val="20"/>
          <w:color w:val="auto"/>
        </w:rPr>
      </w:pPr>
    </w:p>
    <w:p>
      <w:pPr>
        <w:ind w:left="340" w:right="460" w:hanging="332"/>
        <w:spacing w:after="0" w:line="30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-317500</wp:posOffset>
            </wp:positionV>
            <wp:extent cx="27527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85"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On August 1, 2012 in connection with the acquisition of the whole blood business, we entered into a credit agreement (“Credit Agreement”) with the banks listed below (together, “Lenders”) which provided for a $475.0 million term loan (the “Term Loan”) and a $50.0 million revolving loan (the “Revolving Credit Facility,” and together with the Term Loan, the “Credit Facilities”). The Credit Facilities have a term of five years and mature on August 1, 2017.</w:t>
      </w:r>
    </w:p>
    <w:p>
      <w:pPr>
        <w:spacing w:after="0" w:line="106"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Under the terms of this Credit Agreement, the Company may borrow at a spread to an index, including the LIBOR index of 1-month, 3-months, 6-months, etc. From the date of the Credit Agreement, the Company has chosen to borrow against the 1-month USD-LIBOR-BBA rounded up, if necessary, to the nearest 1/16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1% (“Adjusted LIBOR”). The terms of the Credit Agreement also allow the Company to borrow in multiple tranches. While the Company currently borrows in a single tranche, in the future, it may choose to borrow in multiple tranches.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At closing, we borrowed the Term Loan and used the proceeds to pay Pall for the acquisition of the assets described in the Business section above. The</w:t>
      </w:r>
    </w:p>
    <w:p>
      <w:pPr>
        <w:spacing w:after="0" w:line="46"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$475.0 million term loan bears interest at variable rates determined by Adjusted LIBOR plus a range of 1.125% to 1.500% depending on the achievement of certain leverage ratios. The Revolving Credit Facility bears interest at variable rates similar to the Term Loan. The current margin of the Term Loan is 1.375% over Adjusted LIBOR and our effective interest rate inclusive of prepaid financing costs and other fees was 2.0%.</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Revolving loans may be borrowed, repaid and re-borrowed to fund our working capital needs and for other general corporate purposes. The Term Loan, or portions thereof, may be prepaid at any time or from time to time without penalty. Once repaid, such amount may not be re-borrowed. The principal amount of the Term Loan is repayable quarterly over five years and amortizes as follows:</w:t>
      </w:r>
    </w:p>
    <w:p>
      <w:pPr>
        <w:spacing w:after="0" w:line="18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0% during the first year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7.5% during the second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12.5% during the third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17.5% during the fourth year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62.5% during the fifth year.</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Under the Credit Facilities, we are required to maintain a Consolidated Total Leverage Ratio not to exceed 3.0:1.0 and a Consolidated Interest Coverage Ratio not to be less than 4.0:1.0 during periods when the Credit Facilities are outstanding. In addition, we are required to satisfy these covenants, on a pro forma basis, in connection with any new borrowings (including any letter of credit issuances) on the Revolving Credit Facility as of the time of such borrowings. The Consolidated Interest Coverage Ratio is calculated as the Consolidated EBIDTA divided by Consolidated Interest Expense while the Consolidated Total Leverage Ratio is calculated as Consolidated Total Debt divided by Consolidated EBIDTA. Consolidated EBITDA includes EBITDA adjusted by non-recurring and unusual transactions specifically as defined in the Credit Facilities.</w:t>
      </w:r>
    </w:p>
    <w:p>
      <w:pPr>
        <w:spacing w:after="0" w:line="13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Credit Facilities also contain usual and customary non-financial affirmative and negative covenants which include with respect to subsequent indebtedness, liens, loans and investments (including acquisitions), financial reporting obligations, mergers, consolidations, dissolutions or liquidation, asset sales, affiliate transactions, change of our business, capital expenditures, share repurchase and other restricted payments. These covenants are subject to important exceptions and qualifications set forth in the Credit Agreement. As of December 29, 2012, we were in compliance with the covenants.</w:t>
      </w:r>
    </w:p>
    <w:p>
      <w:pPr>
        <w:spacing w:after="0" w:line="114"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Any failure to comply with the financial and operating covenants of the Credit Facilities would prevent us from being able to borrow additional funds and would constitute a default, which could result in the amounts outstanding, including all accrued interest and unpaid fees, becoming immediately due and payable, among other things. In addition, the Credit Facilities include customary events of default, in certain cases subject to customary cure periods.</w:t>
      </w:r>
    </w:p>
    <w:p>
      <w:pPr>
        <w:spacing w:after="0" w:line="10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Pursuant to the Credit Facilities, we are required to pay the Lenders, on the last day of each calendar quarter, a commitment fee on the unused portion of the Revolving Credit Facility. The commitment fee is subject to a pricing grid based on our Consolidated Total Leverage Ratio. The spreads on the commitment fee range from 0.175% to 0.300%. The current commitment fee on the undrawn portion of the Revolving Credit Facility is 0.250%.</w:t>
      </w:r>
    </w:p>
    <w:p>
      <w:pPr>
        <w:spacing w:after="0" w:line="12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Any time during the five year term, we may elect to increase the size of the Revolving Credit Facility from $50 million to $100 million. Alternatively, we may elect to enter into additional term loans of up to a $100 million combined limit with the Revolving Credit Facility. These elections are subject to the approval of the Administrative Agent and the identification of additional lenders or current lenders willing to increase their loan amounts per the terms and conditions contained in the Credit Agreement.</w:t>
      </w:r>
    </w:p>
    <w:p>
      <w:pPr>
        <w:spacing w:after="0" w:line="14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Lenders party to the Credit Agreement are JP Morgan Chase Bank, N.A., as Administrative Agent, Citibank, N.A. as Syndication Agent, J P Morgan Securities LLC and Citibank, N.A. as Joint Lead Arrangers and Joint Bookrunners, Bank of America, N.A., RBS Citizens, N.A., HSBC Bank USA, N.A., Wells Fargo Bank, N.A., Sumitomo Mitsui Banking Corporation, TD Bank, N.A. and US Bank, N.A. as Co-Documentation Agents, Union Bank, N.A., PNC Bank, National Association and Sovereign Bank, N.A. as Senior Managing Agents and the syndicate lenders that are parties thereto.</w:t>
      </w:r>
    </w:p>
    <w:p>
      <w:pPr>
        <w:spacing w:after="0" w:line="131" w:lineRule="exact"/>
        <w:rPr>
          <w:sz w:val="20"/>
          <w:szCs w:val="20"/>
          <w:color w:val="auto"/>
        </w:rPr>
      </w:pPr>
    </w:p>
    <w:p>
      <w:pPr>
        <w:jc w:val="both"/>
        <w:ind w:right="140"/>
        <w:spacing w:after="0" w:line="302" w:lineRule="auto"/>
        <w:rPr>
          <w:sz w:val="20"/>
          <w:szCs w:val="20"/>
          <w:color w:val="auto"/>
        </w:rPr>
      </w:pPr>
      <w:r>
        <w:rPr>
          <w:rFonts w:ascii="Arial" w:cs="Arial" w:eastAsia="Arial" w:hAnsi="Arial"/>
          <w:sz w:val="16"/>
          <w:szCs w:val="16"/>
          <w:color w:val="auto"/>
        </w:rPr>
        <w:t>We are party to interest rate swap agreements, the effect of which is to limit the interest rate exposure on a portion of our indebtedness to a fixed rate versus the Adjusted LIBOR. The total notional amount of these swaps at December 29, 2012 was $250.0 million. The fair market value of the interest rate swaps is the estimated amount that we would receive or pay to terminate the agreements at the reporting date, taking into account current interest rates and the credit worthiness of the counterparty. We did not pay interest expense pursuant to swap agreements during the three months ended December 29, 2012,</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Net cash provided by operating activities decreased by $23.8 million during the nine months ended December 29, 2012 as compared to the nine months ended December 31, 2011 primarily due to higher payments of acquisition and integration related costs and working capital investments related to sales from the whole blood business, as accounts receivable were not included in the acquired assets.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Net cash used in investing activities increased by $548.1 million during the nine months ended December 29, 2012 as compared to the nine months ended December 31, 2011 due to the use of $535.1 million to acquire the whole blood business, of which $475.0 million was funded by term loan borrowings discussed above. The increase in net cash used in investing activities also included higher capital expenditures primarily related to the expansion of our installed equipment base with customers, particularly for plasma and hospital equipment.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provided by financing activities increased by $526.8 million during the nine months ended December 29, 2012, as compared to the nine months ended December 31, 2011 due primarily to a $475.0 million term loan used to finance the whole blood acquisition and $22.0 million of incremental proceeds from the exercise of share-based compensation. These were offset by lower cash payments to repurchase shares and $5.5 million of debt issuance costs paid related to the Term Loan closing.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Concentrations of credit risk with respect to trade accounts receivable are generally limited due to our large number of customers and their diversity across many geographic areas. A portion of our trade accounts receivable outside the United States, however, include sales to government-owned or supported healthcare systems in several countries, which are subject to payment delays. Payment is dependent upon the financial stability and creditworthiness of those countries' national economies.</w:t>
      </w:r>
    </w:p>
    <w:p>
      <w:pPr>
        <w:spacing w:after="0" w:line="187" w:lineRule="exact"/>
        <w:rPr>
          <w:sz w:val="20"/>
          <w:szCs w:val="20"/>
          <w:color w:val="auto"/>
        </w:rPr>
      </w:pPr>
    </w:p>
    <w:p>
      <w:pPr>
        <w:ind w:right="540"/>
        <w:spacing w:after="0" w:line="286" w:lineRule="auto"/>
        <w:rPr>
          <w:sz w:val="20"/>
          <w:szCs w:val="20"/>
          <w:color w:val="auto"/>
        </w:rPr>
      </w:pPr>
      <w:r>
        <w:rPr>
          <w:rFonts w:ascii="Arial" w:cs="Arial" w:eastAsia="Arial" w:hAnsi="Arial"/>
          <w:sz w:val="17"/>
          <w:szCs w:val="17"/>
          <w:color w:val="auto"/>
        </w:rPr>
        <w:t>We have not incurred significant losses on government receivables. We continually evaluate all government receivables for potential collection risks associated with the availability of government funding and reimbursement practices. If the financial condition of customers or the countries' healthcare systems deteriorate such that their ability to make payments is uncertain, allowances may be required in future periods.</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Deteriorating credit and economic conditions in parts of Western Europe, particularly in Italy, where our net accounts receivable is $22.4 million and $21.0 million as of December 29, 2012 and March 31, 2012, respectively, may increase the average length of time it takes us to collect accounts receivable in certain regions within these countries.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2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During the nine months ended December 29, 2012, approximately 49.4% of our sales were generated outside the U.S., generally in foreign currencies, yet our reporting currency is the U.S. Dollar. Our primary foreign currency exposures relate to sales denominated in the Euro and the Japanese Yen. We also have foreign currency exposure related to manufacturing and other operational costs denominated in the Swiss Franc, the British Pound, and the Canadian Dollar. The Yen and Euro sales exposure is partially mitigated by costs and expenses for foreign operations and sourcing products denominated in foreign currencies. Since our foreign currency denominated Yen and Euro sales exceed the foreign currency denominated costs, whenever the U.S. Dollar strengthens relative to the Yen or Euro, there is an adverse effect on our results of operations and, conversely, whenever the U.S. Dollar weakens relative to the Yen or Euro, there is a positive effect on our results of operations. For the Swiss Franc, the British Pound, and the Canadian Dollar, our primary cash flows relate to product costs or costs and expenses of local operations. Whenever the U.S. Dollar strengthens relative to these foreign currencies, there is a positive effect on our results of operations. Conversely, whenever the U.S. Dollar weakens relative to these currencies, there is an adverse effect on our results of operations.</w:t>
      </w:r>
    </w:p>
    <w:p>
      <w:pPr>
        <w:spacing w:after="0" w:line="59"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a lesser extent the Swiss Franc, British Pound,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Presented below are the spot rates for our Euro, Japanese Yen, Canadian Dollar, British Pound, and Swiss Franc cash flow hedges that settled during fiscal years 2010, 2011, 2012, and 2013 or are presently outstanding. These hedges cover our long foreign currency positions that result from our sales designated in Euro and the Japanese Yen. These hedges also include our short positions associated with costs incurred in Canadian Dollars, British Pounds, and Swiss Francs. The table also shows how the strengthening or weakening of the spot rates associated with those hedge contracts versus the spot rates in the contracts that settled in the prior comparable period affects our results favorably or unfavorably. The table assumes a consistent notional amount for hedge contracts in each period presented.</w:t>
      </w:r>
    </w:p>
    <w:p>
      <w:pPr>
        <w:spacing w:after="0" w:line="135" w:lineRule="exact"/>
        <w:rPr>
          <w:sz w:val="20"/>
          <w:szCs w:val="20"/>
          <w:color w:val="auto"/>
        </w:rPr>
      </w:pPr>
    </w:p>
    <w:p>
      <w:pPr>
        <w:ind w:left="2560"/>
        <w:spacing w:after="0"/>
        <w:tabs>
          <w:tab w:leader="none" w:pos="3540" w:val="left"/>
          <w:tab w:leader="none" w:pos="4800" w:val="left"/>
          <w:tab w:leader="none" w:pos="5880" w:val="left"/>
          <w:tab w:leader="none" w:pos="7180" w:val="left"/>
          <w:tab w:leader="none" w:pos="8220" w:val="left"/>
          <w:tab w:leader="none" w:pos="9500" w:val="left"/>
          <w:tab w:leader="none" w:pos="10540" w:val="left"/>
        </w:tabs>
        <w:rPr>
          <w:sz w:val="20"/>
          <w:szCs w:val="20"/>
          <w:color w:val="auto"/>
        </w:rPr>
      </w:pP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Favorable /</w:t>
      </w:r>
      <w:r>
        <w:rPr>
          <w:sz w:val="20"/>
          <w:szCs w:val="20"/>
          <w:color w:val="auto"/>
        </w:rPr>
        <w:tab/>
      </w:r>
      <w:r>
        <w:rPr>
          <w:rFonts w:ascii="Arial" w:cs="Arial" w:eastAsia="Arial" w:hAnsi="Arial"/>
          <w:sz w:val="13"/>
          <w:szCs w:val="13"/>
          <w:color w:val="auto"/>
        </w:rPr>
        <w:t>Second</w:t>
      </w:r>
      <w:r>
        <w:rPr>
          <w:sz w:val="20"/>
          <w:szCs w:val="20"/>
          <w:color w:val="auto"/>
        </w:rPr>
        <w:tab/>
      </w:r>
      <w:r>
        <w:rPr>
          <w:rFonts w:ascii="Arial" w:cs="Arial" w:eastAsia="Arial" w:hAnsi="Arial"/>
          <w:sz w:val="13"/>
          <w:szCs w:val="13"/>
          <w:color w:val="auto"/>
        </w:rPr>
        <w:t>Favorable /</w:t>
      </w:r>
      <w:r>
        <w:rPr>
          <w:sz w:val="20"/>
          <w:szCs w:val="20"/>
          <w:color w:val="auto"/>
        </w:rPr>
        <w:tab/>
      </w:r>
      <w:r>
        <w:rPr>
          <w:rFonts w:ascii="Arial" w:cs="Arial" w:eastAsia="Arial" w:hAnsi="Arial"/>
          <w:sz w:val="13"/>
          <w:szCs w:val="13"/>
          <w:color w:val="auto"/>
        </w:rPr>
        <w:t>Third</w:t>
      </w:r>
      <w:r>
        <w:rPr>
          <w:sz w:val="20"/>
          <w:szCs w:val="20"/>
          <w:color w:val="auto"/>
        </w:rPr>
        <w:tab/>
      </w:r>
      <w:r>
        <w:rPr>
          <w:rFonts w:ascii="Arial" w:cs="Arial" w:eastAsia="Arial" w:hAnsi="Arial"/>
          <w:sz w:val="13"/>
          <w:szCs w:val="13"/>
          <w:color w:val="auto"/>
        </w:rPr>
        <w:t>Favorable /</w:t>
      </w:r>
      <w:r>
        <w:rPr>
          <w:sz w:val="20"/>
          <w:szCs w:val="20"/>
          <w:color w:val="auto"/>
        </w:rPr>
        <w:tab/>
      </w:r>
      <w:r>
        <w:rPr>
          <w:rFonts w:ascii="Arial" w:cs="Arial" w:eastAsia="Arial" w:hAnsi="Arial"/>
          <w:sz w:val="13"/>
          <w:szCs w:val="13"/>
          <w:color w:val="auto"/>
        </w:rPr>
        <w:t>Fourth</w:t>
      </w:r>
      <w:r>
        <w:rPr>
          <w:sz w:val="20"/>
          <w:szCs w:val="20"/>
          <w:color w:val="auto"/>
        </w:rPr>
        <w:tab/>
      </w:r>
      <w:r>
        <w:rPr>
          <w:rFonts w:ascii="Arial" w:cs="Arial" w:eastAsia="Arial" w:hAnsi="Arial"/>
          <w:sz w:val="11"/>
          <w:szCs w:val="11"/>
          <w:color w:val="auto"/>
        </w:rPr>
        <w:t>Favorable /</w:t>
      </w:r>
    </w:p>
    <w:p>
      <w:pPr>
        <w:ind w:left="2480"/>
        <w:spacing w:after="0"/>
        <w:tabs>
          <w:tab w:leader="none" w:pos="3460" w:val="left"/>
          <w:tab w:leader="none" w:pos="4800" w:val="left"/>
          <w:tab w:leader="none" w:pos="5800" w:val="left"/>
          <w:tab w:leader="none" w:pos="7140" w:val="left"/>
          <w:tab w:leader="none" w:pos="8140" w:val="left"/>
          <w:tab w:leader="none" w:pos="9480" w:val="left"/>
          <w:tab w:leader="none" w:pos="10480" w:val="left"/>
        </w:tabs>
        <w:rPr>
          <w:sz w:val="20"/>
          <w:szCs w:val="20"/>
          <w:color w:val="auto"/>
        </w:rPr>
      </w:pPr>
      <w:r>
        <w:rPr>
          <w:rFonts w:ascii="Arial" w:cs="Arial" w:eastAsia="Arial" w:hAnsi="Arial"/>
          <w:sz w:val="13"/>
          <w:szCs w:val="13"/>
          <w:color w:val="auto"/>
        </w:rPr>
        <w:t>Quarter</w:t>
      </w:r>
      <w:r>
        <w:rPr>
          <w:sz w:val="20"/>
          <w:szCs w:val="20"/>
          <w:color w:val="auto"/>
        </w:rPr>
        <w:tab/>
      </w:r>
      <w:r>
        <w:rPr>
          <w:rFonts w:ascii="Arial" w:cs="Arial" w:eastAsia="Arial" w:hAnsi="Arial"/>
          <w:sz w:val="13"/>
          <w:szCs w:val="13"/>
          <w:color w:val="auto"/>
        </w:rPr>
        <w:t>(Unfavorable)</w:t>
      </w:r>
      <w:r>
        <w:rPr>
          <w:sz w:val="20"/>
          <w:szCs w:val="20"/>
          <w:color w:val="auto"/>
        </w:rPr>
        <w:tab/>
      </w:r>
      <w:r>
        <w:rPr>
          <w:rFonts w:ascii="Arial" w:cs="Arial" w:eastAsia="Arial" w:hAnsi="Arial"/>
          <w:sz w:val="13"/>
          <w:szCs w:val="13"/>
          <w:color w:val="auto"/>
        </w:rPr>
        <w:t>Quarter</w:t>
      </w:r>
      <w:r>
        <w:rPr>
          <w:sz w:val="20"/>
          <w:szCs w:val="20"/>
          <w:color w:val="auto"/>
        </w:rPr>
        <w:tab/>
      </w:r>
      <w:r>
        <w:rPr>
          <w:rFonts w:ascii="Arial" w:cs="Arial" w:eastAsia="Arial" w:hAnsi="Arial"/>
          <w:sz w:val="13"/>
          <w:szCs w:val="13"/>
          <w:color w:val="auto"/>
        </w:rPr>
        <w:t>(Unfavorable)</w:t>
      </w:r>
      <w:r>
        <w:rPr>
          <w:sz w:val="20"/>
          <w:szCs w:val="20"/>
          <w:color w:val="auto"/>
        </w:rPr>
        <w:tab/>
      </w:r>
      <w:r>
        <w:rPr>
          <w:rFonts w:ascii="Arial" w:cs="Arial" w:eastAsia="Arial" w:hAnsi="Arial"/>
          <w:sz w:val="13"/>
          <w:szCs w:val="13"/>
          <w:color w:val="auto"/>
        </w:rPr>
        <w:t>Quarter</w:t>
      </w:r>
      <w:r>
        <w:rPr>
          <w:sz w:val="20"/>
          <w:szCs w:val="20"/>
          <w:color w:val="auto"/>
        </w:rPr>
        <w:tab/>
      </w:r>
      <w:r>
        <w:rPr>
          <w:rFonts w:ascii="Arial" w:cs="Arial" w:eastAsia="Arial" w:hAnsi="Arial"/>
          <w:sz w:val="13"/>
          <w:szCs w:val="13"/>
          <w:color w:val="auto"/>
        </w:rPr>
        <w:t>(Unfavorable)</w:t>
      </w:r>
      <w:r>
        <w:rPr>
          <w:sz w:val="20"/>
          <w:szCs w:val="20"/>
          <w:color w:val="auto"/>
        </w:rPr>
        <w:tab/>
      </w:r>
      <w:r>
        <w:rPr>
          <w:rFonts w:ascii="Arial" w:cs="Arial" w:eastAsia="Arial" w:hAnsi="Arial"/>
          <w:sz w:val="13"/>
          <w:szCs w:val="13"/>
          <w:color w:val="auto"/>
        </w:rPr>
        <w:t>Quarter</w:t>
      </w:r>
      <w:r>
        <w:rPr>
          <w:sz w:val="20"/>
          <w:szCs w:val="20"/>
          <w:color w:val="auto"/>
        </w:rPr>
        <w:tab/>
      </w:r>
      <w:r>
        <w:rPr>
          <w:rFonts w:ascii="Arial" w:cs="Arial" w:eastAsia="Arial" w:hAnsi="Arial"/>
          <w:sz w:val="11"/>
          <w:szCs w:val="11"/>
          <w:color w:val="auto"/>
        </w:rPr>
        <w:t>(Unfavorable)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Euro - Hedge Spot Rate (US$ per Euro)</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FY10</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1.57</w:t>
            </w:r>
          </w:p>
        </w:tc>
        <w:tc>
          <w:tcPr>
            <w:tcW w:w="12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1.49</w:t>
            </w:r>
          </w:p>
        </w:tc>
        <w:tc>
          <w:tcPr>
            <w:tcW w:w="122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1.32</w:t>
            </w:r>
          </w:p>
        </w:tc>
        <w:tc>
          <w:tcPr>
            <w:tcW w:w="1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1.28</w:t>
            </w:r>
          </w:p>
        </w:tc>
        <w:tc>
          <w:tcPr>
            <w:tcW w:w="8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1.36</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(13)%</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1.41</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1.43</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1.35</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1.24</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(9)%</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1.30</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(8)%</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1.37</w:t>
            </w:r>
          </w:p>
        </w:tc>
        <w:tc>
          <w:tcPr>
            <w:tcW w:w="8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1.43</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15 %</w:t>
            </w: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1.42</w:t>
            </w:r>
          </w:p>
        </w:tc>
        <w:tc>
          <w:tcPr>
            <w:tcW w:w="12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9 %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1.36</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1.32</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1.27</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(11)%</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1.25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1.27</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Japanese Yen - Hedge Spot Rate (JPY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rPr>
              <w:t>FY10</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105.28</w:t>
            </w:r>
          </w:p>
        </w:tc>
        <w:tc>
          <w:tcPr>
            <w:tcW w:w="1140" w:type="dxa"/>
            <w:vAlign w:val="bottom"/>
          </w:tcPr>
          <w:p>
            <w:pPr>
              <w:spacing w:after="0"/>
              <w:rPr>
                <w:sz w:val="20"/>
                <w:szCs w:val="20"/>
                <w:color w:val="auto"/>
              </w:rPr>
            </w:pP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105.11</w:t>
            </w:r>
          </w:p>
        </w:tc>
        <w:tc>
          <w:tcPr>
            <w:tcW w:w="118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96.38</w:t>
            </w:r>
          </w:p>
        </w:tc>
        <w:tc>
          <w:tcPr>
            <w:tcW w:w="114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93.50</w:t>
            </w:r>
          </w:p>
        </w:tc>
        <w:tc>
          <w:tcPr>
            <w:tcW w:w="880" w:type="dxa"/>
            <w:vAlign w:val="bottom"/>
          </w:tcPr>
          <w:p>
            <w:pPr>
              <w:spacing w:after="0"/>
              <w:rPr>
                <w:sz w:val="20"/>
                <w:szCs w:val="20"/>
                <w:color w:val="auto"/>
              </w:rPr>
            </w:pP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98.17</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(7)%</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94.91</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89.13</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(8)%</w:t>
            </w:r>
          </w:p>
        </w:tc>
        <w:tc>
          <w:tcPr>
            <w:tcW w:w="1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89.78</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FY12</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88.99</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(9)%</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85.65</w:t>
            </w:r>
          </w:p>
        </w:tc>
        <w:tc>
          <w:tcPr>
            <w:tcW w:w="118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81.73</w:t>
            </w:r>
          </w:p>
        </w:tc>
        <w:tc>
          <w:tcPr>
            <w:tcW w:w="1140" w:type="dxa"/>
            <w:vAlign w:val="bottom"/>
          </w:tcPr>
          <w:p>
            <w:pPr>
              <w:jc w:val="right"/>
              <w:ind w:right="210"/>
              <w:spacing w:after="0"/>
              <w:rPr>
                <w:sz w:val="20"/>
                <w:szCs w:val="20"/>
                <w:color w:val="auto"/>
              </w:rPr>
            </w:pPr>
            <w:r>
              <w:rPr>
                <w:rFonts w:ascii="Arial" w:cs="Arial" w:eastAsia="Arial" w:hAnsi="Arial"/>
                <w:sz w:val="18"/>
                <w:szCs w:val="18"/>
                <w:color w:val="auto"/>
              </w:rPr>
              <w:t>(8)%</w:t>
            </w:r>
          </w:p>
        </w:tc>
        <w:tc>
          <w:tcPr>
            <w:tcW w:w="1180" w:type="dxa"/>
            <w:vAlign w:val="bottom"/>
          </w:tcPr>
          <w:p>
            <w:pPr>
              <w:jc w:val="right"/>
              <w:ind w:right="390"/>
              <w:spacing w:after="0"/>
              <w:rPr>
                <w:sz w:val="20"/>
                <w:szCs w:val="20"/>
                <w:color w:val="auto"/>
              </w:rPr>
            </w:pPr>
            <w:r>
              <w:rPr>
                <w:rFonts w:ascii="Arial" w:cs="Arial" w:eastAsia="Arial" w:hAnsi="Arial"/>
                <w:sz w:val="18"/>
                <w:szCs w:val="18"/>
                <w:color w:val="auto"/>
              </w:rPr>
              <w:t>82.45</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5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20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79.40</w:t>
            </w:r>
          </w:p>
        </w:tc>
        <w:tc>
          <w:tcPr>
            <w:tcW w:w="11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76.65</w:t>
            </w:r>
          </w:p>
        </w:tc>
        <w:tc>
          <w:tcPr>
            <w:tcW w:w="118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77.58</w:t>
            </w:r>
          </w:p>
        </w:tc>
        <w:tc>
          <w:tcPr>
            <w:tcW w:w="11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w:t>
            </w:r>
          </w:p>
        </w:tc>
        <w:tc>
          <w:tcPr>
            <w:tcW w:w="11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78.69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FY14</w:t>
            </w:r>
          </w:p>
        </w:tc>
        <w:tc>
          <w:tcPr>
            <w:tcW w:w="2000" w:type="dxa"/>
            <w:vAlign w:val="bottom"/>
          </w:tcPr>
          <w:p>
            <w:pPr>
              <w:jc w:val="right"/>
              <w:ind w:right="350"/>
              <w:spacing w:after="0"/>
              <w:rPr>
                <w:sz w:val="20"/>
                <w:szCs w:val="20"/>
                <w:color w:val="auto"/>
              </w:rPr>
            </w:pPr>
            <w:r>
              <w:rPr>
                <w:rFonts w:ascii="Arial" w:cs="Arial" w:eastAsia="Arial" w:hAnsi="Arial"/>
                <w:sz w:val="18"/>
                <w:szCs w:val="18"/>
                <w:color w:val="auto"/>
              </w:rPr>
              <w:t>79.85</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0.1 %</w:t>
            </w:r>
          </w:p>
        </w:tc>
        <w:tc>
          <w:tcPr>
            <w:tcW w:w="1200" w:type="dxa"/>
            <w:vAlign w:val="bottom"/>
          </w:tcPr>
          <w:p>
            <w:pPr>
              <w:jc w:val="right"/>
              <w:ind w:right="350"/>
              <w:spacing w:after="0"/>
              <w:rPr>
                <w:sz w:val="20"/>
                <w:szCs w:val="20"/>
                <w:color w:val="auto"/>
              </w:rPr>
            </w:pPr>
            <w:r>
              <w:rPr>
                <w:rFonts w:ascii="Arial" w:cs="Arial" w:eastAsia="Arial" w:hAnsi="Arial"/>
                <w:sz w:val="18"/>
                <w:szCs w:val="18"/>
                <w:color w:val="auto"/>
              </w:rPr>
              <w:t>79.68</w:t>
            </w:r>
          </w:p>
        </w:tc>
        <w:tc>
          <w:tcPr>
            <w:tcW w:w="1180" w:type="dxa"/>
            <w:vAlign w:val="bottom"/>
          </w:tcPr>
          <w:p>
            <w:pPr>
              <w:jc w:val="right"/>
              <w:ind w:right="230"/>
              <w:spacing w:after="0"/>
              <w:rPr>
                <w:sz w:val="20"/>
                <w:szCs w:val="20"/>
                <w:color w:val="auto"/>
              </w:rPr>
            </w:pPr>
            <w:r>
              <w:rPr>
                <w:rFonts w:ascii="Arial" w:cs="Arial" w:eastAsia="Arial" w:hAnsi="Arial"/>
                <w:sz w:val="18"/>
                <w:szCs w:val="18"/>
                <w:color w:val="auto"/>
              </w:rPr>
              <w:t>3 %</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79.58</w:t>
            </w: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3 %</w:t>
            </w: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Canadian Dollar - Hedge Spot Rate (CAD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FY10</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1.14</w:t>
            </w:r>
          </w:p>
        </w:tc>
        <w:tc>
          <w:tcPr>
            <w:tcW w:w="1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1.12</w:t>
            </w:r>
          </w:p>
        </w:tc>
        <w:tc>
          <w:tcPr>
            <w:tcW w:w="1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1.11</w:t>
            </w:r>
          </w:p>
        </w:tc>
        <w:tc>
          <w:tcPr>
            <w:tcW w:w="118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1.09</w:t>
            </w:r>
          </w:p>
        </w:tc>
        <w:tc>
          <w:tcPr>
            <w:tcW w:w="8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1.10</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1.09</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1.07</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1.03</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1.05</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1.03</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(6)%</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0.99</w:t>
            </w: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0.98</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0.99</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(5)%</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1.01</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1.01</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3 %</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1.00</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1 %</w:t>
            </w: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British Pound - Hedge Spot Rate (US$ per GBP)</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FY10</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1.45</w:t>
            </w:r>
          </w:p>
        </w:tc>
        <w:tc>
          <w:tcPr>
            <w:tcW w:w="118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1.44</w:t>
            </w:r>
          </w:p>
        </w:tc>
        <w:tc>
          <w:tcPr>
            <w:tcW w:w="1200" w:type="dxa"/>
            <w:vAlign w:val="bottom"/>
          </w:tcPr>
          <w:p>
            <w:pPr>
              <w:spacing w:after="0"/>
              <w:rPr>
                <w:sz w:val="20"/>
                <w:szCs w:val="20"/>
                <w:color w:val="auto"/>
              </w:rPr>
            </w:pP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1.42</w:t>
            </w:r>
          </w:p>
        </w:tc>
        <w:tc>
          <w:tcPr>
            <w:tcW w:w="1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1.40</w:t>
            </w:r>
          </w:p>
        </w:tc>
        <w:tc>
          <w:tcPr>
            <w:tcW w:w="88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FY11</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1.47</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1.65</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1.63</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15 %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1.59</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14 %</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FY12</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1.50</w:t>
            </w: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1.54</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1.58</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6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FY13</w:t>
            </w:r>
          </w:p>
        </w:tc>
        <w:tc>
          <w:tcPr>
            <w:tcW w:w="19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1.62</w:t>
            </w:r>
          </w:p>
        </w:tc>
        <w:tc>
          <w:tcPr>
            <w:tcW w:w="11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1.63</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6 %</w:t>
            </w:r>
          </w:p>
        </w:tc>
        <w:tc>
          <w:tcPr>
            <w:tcW w:w="114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rPr>
              <w:t>1.60</w:t>
            </w:r>
          </w:p>
        </w:tc>
        <w:tc>
          <w:tcPr>
            <w:tcW w:w="120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2 %</w:t>
            </w:r>
          </w:p>
        </w:tc>
        <w:tc>
          <w:tcPr>
            <w:tcW w:w="114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1.57</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FY14</w:t>
            </w:r>
          </w:p>
        </w:tc>
        <w:tc>
          <w:tcPr>
            <w:tcW w:w="1940" w:type="dxa"/>
            <w:vAlign w:val="bottom"/>
          </w:tcPr>
          <w:p>
            <w:pPr>
              <w:jc w:val="right"/>
              <w:ind w:right="390"/>
              <w:spacing w:after="0"/>
              <w:rPr>
                <w:sz w:val="20"/>
                <w:szCs w:val="20"/>
                <w:color w:val="auto"/>
              </w:rPr>
            </w:pPr>
            <w:r>
              <w:rPr>
                <w:rFonts w:ascii="Arial" w:cs="Arial" w:eastAsia="Arial" w:hAnsi="Arial"/>
                <w:sz w:val="18"/>
                <w:szCs w:val="18"/>
                <w:color w:val="auto"/>
              </w:rPr>
              <w:t>1.59</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(2)%</w:t>
            </w:r>
          </w:p>
        </w:tc>
        <w:tc>
          <w:tcPr>
            <w:tcW w:w="1140" w:type="dxa"/>
            <w:vAlign w:val="bottom"/>
          </w:tcPr>
          <w:p>
            <w:pPr>
              <w:jc w:val="right"/>
              <w:ind w:right="370"/>
              <w:spacing w:after="0"/>
              <w:rPr>
                <w:sz w:val="20"/>
                <w:szCs w:val="20"/>
                <w:color w:val="auto"/>
              </w:rPr>
            </w:pPr>
            <w:r>
              <w:rPr>
                <w:rFonts w:ascii="Arial" w:cs="Arial" w:eastAsia="Arial" w:hAnsi="Arial"/>
                <w:sz w:val="18"/>
                <w:szCs w:val="18"/>
                <w:color w:val="auto"/>
              </w:rPr>
              <w:t>1.57</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Swiss Franc - Hedge Spot Rate (CHF per US$)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0" w:type="dxa"/>
            <w:vAlign w:val="bottom"/>
          </w:tcPr>
          <w:p>
            <w:pPr>
              <w:ind w:left="40"/>
              <w:spacing w:after="0"/>
              <w:rPr>
                <w:sz w:val="20"/>
                <w:szCs w:val="20"/>
                <w:color w:val="auto"/>
              </w:rPr>
            </w:pPr>
            <w:r>
              <w:rPr>
                <w:rFonts w:ascii="Arial" w:cs="Arial" w:eastAsia="Arial" w:hAnsi="Arial"/>
                <w:sz w:val="18"/>
                <w:szCs w:val="18"/>
                <w:color w:val="auto"/>
              </w:rPr>
              <w:t>FY11</w:t>
            </w:r>
          </w:p>
        </w:tc>
        <w:tc>
          <w:tcPr>
            <w:tcW w:w="1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1.04</w:t>
            </w:r>
          </w:p>
        </w:tc>
        <w:tc>
          <w:tcPr>
            <w:tcW w:w="1180" w:type="dxa"/>
            <w:vAlign w:val="bottom"/>
          </w:tcPr>
          <w:p>
            <w:pPr>
              <w:spacing w:after="0"/>
              <w:rPr>
                <w:sz w:val="20"/>
                <w:szCs w:val="20"/>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1.05</w:t>
            </w:r>
          </w:p>
        </w:tc>
        <w:tc>
          <w:tcPr>
            <w:tcW w:w="920" w:type="dxa"/>
            <w:vAlign w:val="bottom"/>
          </w:tcPr>
          <w:p>
            <w:pPr>
              <w:spacing w:after="0"/>
              <w:rPr>
                <w:sz w:val="20"/>
                <w:szCs w:val="20"/>
                <w:color w:val="auto"/>
              </w:rPr>
            </w:pP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1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FY12</w:t>
            </w:r>
          </w:p>
        </w:tc>
        <w:tc>
          <w:tcPr>
            <w:tcW w:w="19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1.05</w:t>
            </w:r>
          </w:p>
        </w:tc>
        <w:tc>
          <w:tcPr>
            <w:tcW w:w="1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1.01</w:t>
            </w:r>
          </w:p>
        </w:tc>
        <w:tc>
          <w:tcPr>
            <w:tcW w:w="12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(4)%</w:t>
            </w:r>
          </w:p>
        </w:tc>
        <w:tc>
          <w:tcPr>
            <w:tcW w:w="116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0.96</w:t>
            </w:r>
          </w:p>
        </w:tc>
        <w:tc>
          <w:tcPr>
            <w:tcW w:w="118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(8)%</w:t>
            </w:r>
          </w:p>
        </w:tc>
        <w:tc>
          <w:tcPr>
            <w:tcW w:w="110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0.92</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600" w:type="dxa"/>
            <w:vAlign w:val="bottom"/>
          </w:tcPr>
          <w:p>
            <w:pPr>
              <w:ind w:left="40"/>
              <w:spacing w:after="0"/>
              <w:rPr>
                <w:sz w:val="20"/>
                <w:szCs w:val="20"/>
                <w:color w:val="auto"/>
              </w:rPr>
            </w:pPr>
            <w:r>
              <w:rPr>
                <w:rFonts w:ascii="Arial" w:cs="Arial" w:eastAsia="Arial" w:hAnsi="Arial"/>
                <w:sz w:val="18"/>
                <w:szCs w:val="18"/>
                <w:color w:val="auto"/>
              </w:rPr>
              <w:t>FY13</w:t>
            </w:r>
          </w:p>
        </w:tc>
        <w:tc>
          <w:tcPr>
            <w:tcW w:w="1900" w:type="dxa"/>
            <w:vAlign w:val="bottom"/>
          </w:tcPr>
          <w:p>
            <w:pPr>
              <w:jc w:val="right"/>
              <w:ind w:right="350"/>
              <w:spacing w:after="0"/>
              <w:rPr>
                <w:sz w:val="20"/>
                <w:szCs w:val="20"/>
                <w:color w:val="auto"/>
              </w:rPr>
            </w:pPr>
            <w:r>
              <w:rPr>
                <w:rFonts w:ascii="Arial" w:cs="Arial" w:eastAsia="Arial" w:hAnsi="Arial"/>
                <w:sz w:val="18"/>
                <w:szCs w:val="18"/>
                <w:color w:val="auto"/>
              </w:rPr>
              <w:t>0.82</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1120" w:type="dxa"/>
            <w:vAlign w:val="bottom"/>
          </w:tcPr>
          <w:p>
            <w:pPr>
              <w:jc w:val="right"/>
              <w:ind w:right="350"/>
              <w:spacing w:after="0"/>
              <w:rPr>
                <w:sz w:val="20"/>
                <w:szCs w:val="20"/>
                <w:color w:val="auto"/>
              </w:rPr>
            </w:pPr>
            <w:r>
              <w:rPr>
                <w:rFonts w:ascii="Arial" w:cs="Arial" w:eastAsia="Arial" w:hAnsi="Arial"/>
                <w:sz w:val="18"/>
                <w:szCs w:val="18"/>
                <w:color w:val="auto"/>
              </w:rPr>
              <w:t>0.85</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(21)%</w:t>
            </w:r>
          </w:p>
        </w:tc>
        <w:tc>
          <w:tcPr>
            <w:tcW w:w="1160" w:type="dxa"/>
            <w:vAlign w:val="bottom"/>
          </w:tcPr>
          <w:p>
            <w:pPr>
              <w:jc w:val="right"/>
              <w:ind w:right="390"/>
              <w:spacing w:after="0"/>
              <w:rPr>
                <w:sz w:val="20"/>
                <w:szCs w:val="20"/>
                <w:color w:val="auto"/>
              </w:rPr>
            </w:pPr>
            <w:r>
              <w:rPr>
                <w:rFonts w:ascii="Arial" w:cs="Arial" w:eastAsia="Arial" w:hAnsi="Arial"/>
                <w:sz w:val="18"/>
                <w:szCs w:val="18"/>
                <w:color w:val="auto"/>
              </w:rPr>
              <w:t>0.92</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(4)%</w:t>
            </w:r>
          </w:p>
        </w:tc>
        <w:tc>
          <w:tcPr>
            <w:tcW w:w="1100" w:type="dxa"/>
            <w:vAlign w:val="bottom"/>
          </w:tcPr>
          <w:p>
            <w:pPr>
              <w:jc w:val="right"/>
              <w:ind w:right="350"/>
              <w:spacing w:after="0"/>
              <w:rPr>
                <w:sz w:val="20"/>
                <w:szCs w:val="20"/>
                <w:color w:val="auto"/>
              </w:rPr>
            </w:pPr>
            <w:r>
              <w:rPr>
                <w:rFonts w:ascii="Arial" w:cs="Arial" w:eastAsia="Arial" w:hAnsi="Arial"/>
                <w:sz w:val="18"/>
                <w:szCs w:val="18"/>
                <w:color w:val="auto"/>
              </w:rPr>
              <w:t>.92</w:t>
            </w:r>
          </w:p>
        </w:tc>
        <w:tc>
          <w:tcPr>
            <w:tcW w:w="92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6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1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FY14</w:t>
            </w:r>
          </w:p>
        </w:tc>
        <w:tc>
          <w:tcPr>
            <w:tcW w:w="19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0.96</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15 %</w:t>
            </w:r>
          </w:p>
        </w:tc>
        <w:tc>
          <w:tcPr>
            <w:tcW w:w="11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0.95</w:t>
            </w:r>
          </w:p>
        </w:tc>
        <w:tc>
          <w:tcPr>
            <w:tcW w:w="12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14 %</w:t>
            </w:r>
          </w:p>
        </w:tc>
        <w:tc>
          <w:tcPr>
            <w:tcW w:w="11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0.95</w:t>
            </w:r>
          </w:p>
        </w:tc>
        <w:tc>
          <w:tcPr>
            <w:tcW w:w="11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3 %</w:t>
            </w:r>
          </w:p>
        </w:tc>
        <w:tc>
          <w:tcPr>
            <w:tcW w:w="1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7"/>
        </w:trPr>
        <w:tc>
          <w:tcPr>
            <w:tcW w:w="160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620" w:hanging="585"/>
        <w:spacing w:after="0"/>
        <w:tabs>
          <w:tab w:leader="none" w:pos="62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w:t>
      </w:r>
    </w:p>
    <w:p>
      <w:pPr>
        <w:spacing w:after="0" w:line="3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New pronouncements issued but not effective until after December 29, 2012 are not expected to have a material impact on financial position, results of operation or liquidity.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Standards Implemented</w:t>
      </w:r>
    </w:p>
    <w:p>
      <w:pPr>
        <w:spacing w:after="0" w:line="17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In June 2011, the Financial Accounting Standards Board ("FASB") issued Accounting Standards Update ("ASU") No. 2011-05,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w:t>
      </w:r>
      <w:r>
        <w:rPr>
          <w:rFonts w:ascii="Arial" w:cs="Arial" w:eastAsia="Arial" w:hAnsi="Arial"/>
          <w:sz w:val="17"/>
          <w:szCs w:val="17"/>
          <w:i w:val="1"/>
          <w:iCs w:val="1"/>
          <w:color w:val="auto"/>
        </w:rPr>
        <w:t>(Topic 220): Presentation of Comprehensive Income</w:t>
      </w:r>
      <w:r>
        <w:rPr>
          <w:rFonts w:ascii="Arial" w:cs="Arial" w:eastAsia="Arial" w:hAnsi="Arial"/>
          <w:sz w:val="17"/>
          <w:szCs w:val="17"/>
          <w:color w:val="auto"/>
        </w:rPr>
        <w:t>. Update No. 2011-05 updates the disclosure requirements for comprehensive income to include total</w:t>
      </w:r>
      <w:r>
        <w:rPr>
          <w:rFonts w:ascii="Arial" w:cs="Arial" w:eastAsia="Arial" w:hAnsi="Arial"/>
          <w:sz w:val="17"/>
          <w:szCs w:val="17"/>
          <w:i w:val="1"/>
          <w:iCs w:val="1"/>
          <w:color w:val="auto"/>
        </w:rPr>
        <w:t xml:space="preserve"> </w:t>
      </w:r>
      <w:r>
        <w:rPr>
          <w:rFonts w:ascii="Arial" w:cs="Arial" w:eastAsia="Arial" w:hAnsi="Arial"/>
          <w:sz w:val="17"/>
          <w:szCs w:val="17"/>
          <w:color w:val="auto"/>
        </w:rPr>
        <w:t>comprehensive income, the components of net income, and the components of other comprehensive income either in a single continuous statement of comprehensive income or in two separate but consecutive statements. The updated guidance does not affect how earnings per share is calculated or presented. The updated guidance is effective for fiscal years, and interim periods within those years, beginning after December 15, 2011,</w:t>
      </w:r>
    </w:p>
    <w:p>
      <w:pPr>
        <w:sectPr>
          <w:pgSz w:w="11900" w:h="16838" w:orient="portrait"/>
          <w:cols w:equalWidth="0" w:num="1">
            <w:col w:w="11420"/>
          </w:cols>
          <w:pgMar w:left="240" w:top="125" w:right="239" w:bottom="1440" w:gutter="0" w:footer="0" w:header="0"/>
        </w:sect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5"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3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and should be applied retrospectively. Early adoption is permitted and amendments do not require any transition disclosures. We adopted this standard in the first quarter of fiscal 2013 using the single continuous statement approach.</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Forthcoming Guidance</w:t>
      </w:r>
    </w:p>
    <w:p>
      <w:pPr>
        <w:spacing w:after="0" w:line="13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 xml:space="preserve">In October 2012, the FASB issued ASU 2012-04, </w:t>
      </w:r>
      <w:r>
        <w:rPr>
          <w:rFonts w:ascii="Arial" w:cs="Arial" w:eastAsia="Arial" w:hAnsi="Arial"/>
          <w:sz w:val="16"/>
          <w:szCs w:val="16"/>
          <w:i w:val="1"/>
          <w:iCs w:val="1"/>
          <w:color w:val="auto"/>
        </w:rPr>
        <w:t>Technical Corrections and Improvements.</w:t>
      </w:r>
      <w:r>
        <w:rPr>
          <w:rFonts w:ascii="Arial" w:cs="Arial" w:eastAsia="Arial" w:hAnsi="Arial"/>
          <w:sz w:val="16"/>
          <w:szCs w:val="16"/>
          <w:color w:val="auto"/>
        </w:rPr>
        <w:t xml:space="preserve"> The amendments in this update cover a wide range of Topics in the Accounting Standards Codification. These amendments include technical corrections and improvements to the Accounting Standards Codification and conforming amendments related to fair value measurements. The amendments in this update will be effective for fiscal periods beginning after December 15, 2012. The adoption of ASU 2012-04 is not expected to have a material impact on our financial position or results of operations.</w:t>
      </w:r>
    </w:p>
    <w:p>
      <w:pPr>
        <w:spacing w:after="0" w:line="1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July 2012, the FASB issued ASU No. 2012-02, </w:t>
      </w:r>
      <w:r>
        <w:rPr>
          <w:rFonts w:ascii="Arial" w:cs="Arial" w:eastAsia="Arial" w:hAnsi="Arial"/>
          <w:sz w:val="18"/>
          <w:szCs w:val="18"/>
          <w:i w:val="1"/>
          <w:iCs w:val="1"/>
          <w:color w:val="auto"/>
        </w:rPr>
        <w:t>Intangibles-Goodwill and Other (Topic 350): Testing Indefinite-Lived Intangible Assets for Impairment.</w:t>
      </w:r>
      <w:r>
        <w:rPr>
          <w:rFonts w:ascii="Arial" w:cs="Arial" w:eastAsia="Arial" w:hAnsi="Arial"/>
          <w:sz w:val="18"/>
          <w:szCs w:val="18"/>
          <w:color w:val="auto"/>
        </w:rPr>
        <w:t xml:space="preserve"> This standard, which amends the guidance on testing indefinite-lived intangible assets for impairment</w:t>
      </w:r>
      <w:r>
        <w:rPr>
          <w:rFonts w:ascii="Arial" w:cs="Arial" w:eastAsia="Arial" w:hAnsi="Arial"/>
          <w:sz w:val="18"/>
          <w:szCs w:val="18"/>
          <w:i w:val="1"/>
          <w:iCs w:val="1"/>
          <w:color w:val="auto"/>
        </w:rPr>
        <w:t>,</w:t>
      </w:r>
      <w:r>
        <w:rPr>
          <w:rFonts w:ascii="Arial" w:cs="Arial" w:eastAsia="Arial" w:hAnsi="Arial"/>
          <w:sz w:val="18"/>
          <w:szCs w:val="18"/>
          <w:color w:val="auto"/>
        </w:rPr>
        <w:t xml:space="preserve"> other than goodwill, provides companies with the option to first perform a qualitative assessment before performing the two-step quantitative impairment test. If the company determines, on the basis of qualitative factors, that the fair value of the indefinite-lived intangible asset is more likely than not to exceed its carrying amount, then the company would not need to perform the two-step quantitative impairment test. This standard does not revise the requirement to test indefinite-lived intangible assets annually for impairment. This standard becomes effective for annual and interim impairment tests performed for fiscal years beginning after September 15, 2012, with early adoption allowed. The Company does not expect the adoption of this standard will have a material effect on its financial condition or results of operations.</w:t>
      </w:r>
    </w:p>
    <w:p>
      <w:pPr>
        <w:spacing w:after="0" w:line="1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In December 2011, the FASB issued ASU No. 2011-11 </w:t>
      </w:r>
      <w:r>
        <w:rPr>
          <w:rFonts w:ascii="Arial" w:cs="Arial" w:eastAsia="Arial" w:hAnsi="Arial"/>
          <w:sz w:val="17"/>
          <w:szCs w:val="17"/>
          <w:i w:val="1"/>
          <w:iCs w:val="1"/>
          <w:color w:val="auto"/>
        </w:rPr>
        <w:t>Balance Sheet: Disclosures about Offsetting Assets and Liabilities</w:t>
      </w:r>
      <w:r>
        <w:rPr>
          <w:rFonts w:ascii="Arial" w:cs="Arial" w:eastAsia="Arial" w:hAnsi="Arial"/>
          <w:sz w:val="17"/>
          <w:szCs w:val="17"/>
          <w:color w:val="auto"/>
        </w:rPr>
        <w:t>. This Update requires an entity to disclose information about offsetting and related arrangements to enable users of its financial statements to understand the effect of those arrangements on its financial position. The objective of this disclosure is to facilitate comparison between those entities that prepare their financial statements on the basis of U.S. GAAP and those entities that prepare their financial statements on the basis of IFRS. The amended guidance is effective for annual reporting periods beginning on or after January 1, 2013, and interim periods within those annual periods. The Company is currently evaluating the impact, if any, that the adoption of this pronouncement may have on its results of operations or financial position.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 See the “Risk Factors” and “Management’s Discussion and Analysis of Financial Condition and Results of Operations” sections contained elsewhere in this report, as well as our Annual Report on Form 10-K for the fiscal year ended March 31,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125" w:right="2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$11.1 million increase in the fair value of the forward contracts; whereas a 10% weakening of the US Dollar would result in a $11.8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exposure to changes in interest rates is associated with borrowings on our credit facility, all of which is variable rate debt. All other long-term debt is at fixed rates. Total outstanding debt under our credit facility as of December 29, 2012 was $475.0 million with an interest rate of 1.625% based on prevailing LIBOR rates. An increase of 100 basis points in LIBOR rates would result in additional annual interest expense of $4.8 million; the hedge reduces, but does not eliminate the exposure. On December 21, 2012, we entered into interest rate swap agreements to effectively convert $250.0 million of borrowings from a variable rate to a fixed rate. The interest rate swaps qualify for hedge accounting treatment as cash flow hedges. The major risks from interest rate swaps include changes in the interest rates affecting the fair value of such instruments, potential increases in interest expense due to market increases in floating interest rates and the creditworthiness of the counterparties in such transactions. We continuously monitor the creditworthiness of our counterparties.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an evaluation, as of December 29, 2012,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under the Securities Exchange Act of 1934 (the “Exchange Act”). Based upon that evaluation, the Chief Executive Officer and Chief Financial Officer concluded that our disclosure controls and procedures are effective as of December 29, 2012. There has been no change in our internal control over financial reporting during the quarter ended December 29, 2012 that has materially affected, or is reasonably likely to materially affect, our internal control over financial reporting.</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acquired Pall Corporation's transfusion medicine business on August 1, 2012. We have extended our oversight and monitoring processes that support our internal control over financial reporting to include the acquired operations. We are continuing to integrate the acquired operations into our overall internal control over financial reporting process. We will assess the effectiveness of internal control over financial reporting for the acquired whole blood business in fiscal 2014.</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Fenwal Patent Litigation</w:t>
      </w:r>
    </w:p>
    <w:p>
      <w:pPr>
        <w:spacing w:after="0" w:line="225"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For the past five years, we have pursued a patent infringement lawsuit against Fenwal, the details of which are summarized in our Form 10-K for the fiscal year ended March 31, 2012. In January 2010, we were awarded damages and an injunction against Fenwal in connection with this lawsuit.</w:t>
      </w:r>
    </w:p>
    <w:p>
      <w:pPr>
        <w:spacing w:after="0" w:line="147"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On June 2, 2010, the United States Court of Appeals reversed the trial court's claim construction and accordingly, vacated the injunction and damages previously awarded to Haemonetics and remanded the case to the trial court for further proceedings. On September 15, 2011, the trial court granted a summary judgment motion which essentially ended the U.S. case in Fenwal's favor.</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continue to pursue a patent infringement action in Germany against Fenwal and its European and German subsidiary, for Fenwal's infringement of Haemonetics' corresponding European patent to the Haemonetics patent at issue in the United States litigation. Further details related to these proceedings have been disclosed in our Form 10-K for the fiscal year ended March 31, 2012. There has been no material developments related to these proceedings during the current fiscal year.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addition to the other information set forth in this report, careful consideration should be given to the factors discussed in Part 1, “Item 1A. Risk Factors” in the Company's Annual Report on Form 10-K for the year ended March 31, 2012, which could materially affect the Company's business, financial condition or future results. The risks described in the Company's Annual Report on Form 10-K are not the only risks facing the Company. Our hedging strategies may be ineffective and result in fluctuations in interest expense and foreign exchange charges. We hedge both interest rate and exchange rate risk through hedging strategies that utilize derivatives. Should these hedging strategies become ineffective, our net income may fluctuate as a result of changes in the debt and foreign currency markets. Additional risks and uncertainties not currently known to the Company or that it currently deems to be immaterial also may materially adversely affect its business, financial condition and/or operating results.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ind w:right="60"/>
        <w:spacing w:after="0" w:line="327" w:lineRule="auto"/>
        <w:rPr>
          <w:sz w:val="20"/>
          <w:szCs w:val="20"/>
          <w:color w:val="auto"/>
        </w:rPr>
      </w:pPr>
      <w:r>
        <w:rPr>
          <w:rFonts w:ascii="Arial" w:cs="Arial" w:eastAsia="Arial" w:hAnsi="Arial"/>
          <w:sz w:val="15"/>
          <w:szCs w:val="15"/>
          <w:color w:val="auto"/>
        </w:rPr>
        <w:t>In the August 1, 2012 press release, the Company announced that its Board of Directors approved the repurchase of up to $50.0 million worth of Company shares during fiscal year 2013. During the three months ended December 29, 2012, the Company repurchased 393,064 shares of its common stock for an aggregate purchase price of $15.8 million. We reflect stock repurchases in our financial statements on a trade date basis and as Authorized Unissued. Haemonetics is a Massachusetts company and under Massachusetts law repurchased shares are treated as authorized but unissued, rather than treasury shares.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All purchases were made in the open market.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jc w:val="center"/>
              <w:ind w:right="160"/>
              <w:spacing w:after="0"/>
              <w:rPr>
                <w:sz w:val="20"/>
                <w:szCs w:val="20"/>
                <w:color w:val="auto"/>
              </w:rPr>
            </w:pPr>
            <w:r>
              <w:rPr>
                <w:rFonts w:ascii="Arial" w:cs="Arial" w:eastAsia="Arial" w:hAnsi="Arial"/>
                <w:sz w:val="14"/>
                <w:szCs w:val="14"/>
                <w:color w:val="auto"/>
                <w:w w:val="95"/>
              </w:rPr>
              <w:t>Total Dollar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color w:val="auto"/>
              </w:rPr>
              <w:t>Maximum Dollar</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0"/>
              </w:rPr>
              <w:t>Average Price</w:t>
            </w:r>
          </w:p>
        </w:tc>
        <w:tc>
          <w:tcPr>
            <w:tcW w:w="220" w:type="dxa"/>
            <w:vAlign w:val="bottom"/>
          </w:tcPr>
          <w:p>
            <w:pPr>
              <w:spacing w:after="0"/>
              <w:rPr>
                <w:sz w:val="12"/>
                <w:szCs w:val="12"/>
                <w:color w:val="auto"/>
              </w:rPr>
            </w:pPr>
          </w:p>
        </w:tc>
        <w:tc>
          <w:tcPr>
            <w:tcW w:w="1620" w:type="dxa"/>
            <w:vAlign w:val="bottom"/>
          </w:tcPr>
          <w:p>
            <w:pPr>
              <w:jc w:val="center"/>
              <w:ind w:right="140"/>
              <w:spacing w:after="0" w:line="149" w:lineRule="exact"/>
              <w:rPr>
                <w:sz w:val="20"/>
                <w:szCs w:val="20"/>
                <w:color w:val="auto"/>
              </w:rPr>
            </w:pPr>
            <w:r>
              <w:rPr>
                <w:rFonts w:ascii="Arial" w:cs="Arial" w:eastAsia="Arial" w:hAnsi="Arial"/>
                <w:sz w:val="14"/>
                <w:szCs w:val="14"/>
                <w:color w:val="auto"/>
                <w:w w:val="88"/>
              </w:rPr>
              <w:t>of Shares Purchased</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89"/>
              </w:rPr>
              <w:t>Value of Shares that</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4"/>
              </w:rPr>
              <w:t>Total Number</w:t>
            </w:r>
          </w:p>
        </w:tc>
        <w:tc>
          <w:tcPr>
            <w:tcW w:w="260" w:type="dxa"/>
            <w:vAlign w:val="bottom"/>
          </w:tcPr>
          <w:p>
            <w:pPr>
              <w:spacing w:after="0"/>
              <w:rPr>
                <w:sz w:val="12"/>
                <w:szCs w:val="12"/>
                <w:color w:val="auto"/>
              </w:rPr>
            </w:pPr>
          </w:p>
        </w:tc>
        <w:tc>
          <w:tcPr>
            <w:tcW w:w="144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9"/>
              </w:rPr>
              <w:t>Paid per Share</w:t>
            </w:r>
          </w:p>
        </w:tc>
        <w:tc>
          <w:tcPr>
            <w:tcW w:w="220" w:type="dxa"/>
            <w:vAlign w:val="bottom"/>
          </w:tcPr>
          <w:p>
            <w:pPr>
              <w:spacing w:after="0"/>
              <w:rPr>
                <w:sz w:val="12"/>
                <w:szCs w:val="12"/>
                <w:color w:val="auto"/>
              </w:rPr>
            </w:pPr>
          </w:p>
        </w:tc>
        <w:tc>
          <w:tcPr>
            <w:tcW w:w="1620" w:type="dxa"/>
            <w:vAlign w:val="bottom"/>
          </w:tcPr>
          <w:p>
            <w:pPr>
              <w:jc w:val="center"/>
              <w:ind w:right="160"/>
              <w:spacing w:after="0" w:line="149" w:lineRule="exact"/>
              <w:rPr>
                <w:sz w:val="20"/>
                <w:szCs w:val="20"/>
                <w:color w:val="auto"/>
              </w:rPr>
            </w:pPr>
            <w:r>
              <w:rPr>
                <w:rFonts w:ascii="Arial" w:cs="Arial" w:eastAsia="Arial" w:hAnsi="Arial"/>
                <w:sz w:val="14"/>
                <w:szCs w:val="14"/>
                <w:color w:val="auto"/>
                <w:w w:val="94"/>
              </w:rPr>
              <w:t>as Part of Publicly</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01"/>
              <w:spacing w:after="0" w:line="149" w:lineRule="exact"/>
              <w:rPr>
                <w:sz w:val="20"/>
                <w:szCs w:val="20"/>
                <w:color w:val="auto"/>
              </w:rPr>
            </w:pPr>
            <w:r>
              <w:rPr>
                <w:rFonts w:ascii="Arial" w:cs="Arial" w:eastAsia="Arial" w:hAnsi="Arial"/>
                <w:sz w:val="14"/>
                <w:szCs w:val="14"/>
                <w:color w:val="auto"/>
                <w:w w:val="93"/>
              </w:rPr>
              <w:t>May Yet be</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of Shares</w:t>
            </w:r>
          </w:p>
        </w:tc>
        <w:tc>
          <w:tcPr>
            <w:tcW w:w="260" w:type="dxa"/>
            <w:vAlign w:val="bottom"/>
          </w:tcPr>
          <w:p>
            <w:pPr>
              <w:spacing w:after="0"/>
              <w:rPr>
                <w:sz w:val="12"/>
                <w:szCs w:val="12"/>
                <w:color w:val="auto"/>
              </w:rPr>
            </w:pPr>
          </w:p>
        </w:tc>
        <w:tc>
          <w:tcPr>
            <w:tcW w:w="144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7"/>
              </w:rPr>
              <w:t>including</w:t>
            </w:r>
          </w:p>
        </w:tc>
        <w:tc>
          <w:tcPr>
            <w:tcW w:w="220" w:type="dxa"/>
            <w:vAlign w:val="bottom"/>
          </w:tcPr>
          <w:p>
            <w:pPr>
              <w:spacing w:after="0"/>
              <w:rPr>
                <w:sz w:val="12"/>
                <w:szCs w:val="12"/>
                <w:color w:val="auto"/>
              </w:rPr>
            </w:pPr>
          </w:p>
        </w:tc>
        <w:tc>
          <w:tcPr>
            <w:tcW w:w="1620" w:type="dxa"/>
            <w:vAlign w:val="bottom"/>
          </w:tcPr>
          <w:p>
            <w:pPr>
              <w:jc w:val="center"/>
              <w:ind w:right="140"/>
              <w:spacing w:after="0" w:line="149" w:lineRule="exact"/>
              <w:rPr>
                <w:sz w:val="20"/>
                <w:szCs w:val="20"/>
                <w:color w:val="auto"/>
              </w:rPr>
            </w:pPr>
            <w:r>
              <w:rPr>
                <w:rFonts w:ascii="Arial" w:cs="Arial" w:eastAsia="Arial" w:hAnsi="Arial"/>
                <w:sz w:val="14"/>
                <w:szCs w:val="14"/>
                <w:color w:val="auto"/>
                <w:w w:val="91"/>
              </w:rPr>
              <w:t>Announced Plans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tcPr>
          <w:p>
            <w:pPr>
              <w:jc w:val="center"/>
              <w:ind w:right="121"/>
              <w:spacing w:after="0" w:line="149" w:lineRule="exact"/>
              <w:rPr>
                <w:sz w:val="20"/>
                <w:szCs w:val="20"/>
                <w:color w:val="auto"/>
              </w:rPr>
            </w:pPr>
            <w:r>
              <w:rPr>
                <w:rFonts w:ascii="Arial" w:cs="Arial" w:eastAsia="Arial" w:hAnsi="Arial"/>
                <w:sz w:val="14"/>
                <w:szCs w:val="14"/>
                <w:color w:val="auto"/>
                <w:w w:val="90"/>
              </w:rPr>
              <w:t>Purchased Under the</w:t>
            </w:r>
          </w:p>
        </w:tc>
        <w:tc>
          <w:tcPr>
            <w:tcW w:w="0" w:type="dxa"/>
            <w:vAlign w:val="bottom"/>
          </w:tcPr>
          <w:p>
            <w:pPr>
              <w:spacing w:after="0"/>
              <w:rPr>
                <w:sz w:val="1"/>
                <w:szCs w:val="1"/>
                <w:color w:val="auto"/>
              </w:rPr>
            </w:pPr>
          </w:p>
        </w:tc>
      </w:tr>
      <w:tr>
        <w:trPr>
          <w:trHeight w:val="188"/>
        </w:trPr>
        <w:tc>
          <w:tcPr>
            <w:tcW w:w="4360" w:type="dxa"/>
            <w:vAlign w:val="bottom"/>
            <w:gridSpan w:val="3"/>
          </w:tcPr>
          <w:p>
            <w:pPr>
              <w:ind w:left="40"/>
              <w:spacing w:after="0"/>
              <w:rPr>
                <w:sz w:val="20"/>
                <w:szCs w:val="20"/>
                <w:color w:val="auto"/>
              </w:rPr>
            </w:pPr>
            <w:r>
              <w:rPr>
                <w:rFonts w:ascii="Arial" w:cs="Arial" w:eastAsia="Arial" w:hAnsi="Arial"/>
                <w:sz w:val="14"/>
                <w:szCs w:val="14"/>
                <w:color w:val="auto"/>
              </w:rPr>
              <w:t>Period</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Repurchased</w:t>
            </w:r>
          </w:p>
        </w:tc>
        <w:tc>
          <w:tcPr>
            <w:tcW w:w="26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color w:val="auto"/>
                <w:w w:val="92"/>
              </w:rPr>
              <w:t>Commissions</w:t>
            </w:r>
          </w:p>
        </w:tc>
        <w:tc>
          <w:tcPr>
            <w:tcW w:w="220" w:type="dxa"/>
            <w:vAlign w:val="bottom"/>
          </w:tcPr>
          <w:p>
            <w:pPr>
              <w:spacing w:after="0"/>
              <w:rPr>
                <w:sz w:val="16"/>
                <w:szCs w:val="16"/>
                <w:color w:val="auto"/>
              </w:rPr>
            </w:pPr>
          </w:p>
        </w:tc>
        <w:tc>
          <w:tcPr>
            <w:tcW w:w="1620" w:type="dxa"/>
            <w:vAlign w:val="bottom"/>
          </w:tcPr>
          <w:p>
            <w:pPr>
              <w:jc w:val="center"/>
              <w:ind w:right="140"/>
              <w:spacing w:after="0"/>
              <w:rPr>
                <w:sz w:val="20"/>
                <w:szCs w:val="20"/>
                <w:color w:val="auto"/>
              </w:rPr>
            </w:pPr>
            <w:r>
              <w:rPr>
                <w:rFonts w:ascii="Arial" w:cs="Arial" w:eastAsia="Arial" w:hAnsi="Arial"/>
                <w:sz w:val="14"/>
                <w:szCs w:val="14"/>
                <w:color w:val="auto"/>
                <w:w w:val="93"/>
              </w:rPr>
              <w:t>or Programs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color w:val="auto"/>
                <w:w w:val="91"/>
              </w:rPr>
              <w:t>Plans or Programs</w:t>
            </w:r>
          </w:p>
        </w:tc>
        <w:tc>
          <w:tcPr>
            <w:tcW w:w="0" w:type="dxa"/>
            <w:vAlign w:val="bottom"/>
          </w:tcPr>
          <w:p>
            <w:pPr>
              <w:spacing w:after="0"/>
              <w:rPr>
                <w:sz w:val="1"/>
                <w:szCs w:val="1"/>
                <w:color w:val="auto"/>
              </w:rPr>
            </w:pPr>
          </w:p>
        </w:tc>
      </w:tr>
      <w:tr>
        <w:trPr>
          <w:trHeight w:val="256"/>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9/30/2012-10/27/2012</w:t>
            </w:r>
          </w:p>
        </w:tc>
        <w:tc>
          <w:tcPr>
            <w:tcW w:w="15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44,657,022</w:t>
            </w:r>
          </w:p>
        </w:tc>
        <w:tc>
          <w:tcPr>
            <w:tcW w:w="0" w:type="dxa"/>
            <w:vAlign w:val="bottom"/>
          </w:tcPr>
          <w:p>
            <w:pPr>
              <w:spacing w:after="0"/>
              <w:rPr>
                <w:sz w:val="1"/>
                <w:szCs w:val="1"/>
                <w:color w:val="auto"/>
              </w:rPr>
            </w:pPr>
          </w:p>
        </w:tc>
      </w:tr>
      <w:tr>
        <w:trPr>
          <w:trHeight w:val="243"/>
        </w:trPr>
        <w:tc>
          <w:tcPr>
            <w:tcW w:w="2840" w:type="dxa"/>
            <w:vAlign w:val="bottom"/>
            <w:gridSpan w:val="2"/>
          </w:tcPr>
          <w:p>
            <w:pPr>
              <w:ind w:left="40"/>
              <w:spacing w:after="0"/>
              <w:rPr>
                <w:sz w:val="20"/>
                <w:szCs w:val="20"/>
                <w:color w:val="auto"/>
              </w:rPr>
            </w:pPr>
            <w:r>
              <w:rPr>
                <w:rFonts w:ascii="Arial" w:cs="Arial" w:eastAsia="Arial" w:hAnsi="Arial"/>
                <w:sz w:val="18"/>
                <w:szCs w:val="18"/>
                <w:color w:val="auto"/>
              </w:rPr>
              <w:t>10/28/2012-11/24/2012</w:t>
            </w:r>
          </w:p>
        </w:tc>
        <w:tc>
          <w:tcPr>
            <w:tcW w:w="1520" w:type="dxa"/>
            <w:vAlign w:val="bottom"/>
          </w:tcPr>
          <w:p>
            <w:pPr>
              <w:spacing w:after="0"/>
              <w:rPr>
                <w:sz w:val="21"/>
                <w:szCs w:val="21"/>
                <w:color w:val="auto"/>
              </w:rPr>
            </w:pP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92,826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39.81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40"/>
              <w:spacing w:after="0"/>
              <w:rPr>
                <w:sz w:val="20"/>
                <w:szCs w:val="20"/>
                <w:color w:val="auto"/>
              </w:rPr>
            </w:pPr>
            <w:r>
              <w:rPr>
                <w:rFonts w:ascii="Arial" w:cs="Arial" w:eastAsia="Arial" w:hAnsi="Arial"/>
                <w:sz w:val="18"/>
                <w:szCs w:val="18"/>
                <w:color w:val="auto"/>
              </w:rPr>
              <w:t>3,695,807</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40,961,215</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11/25/2012-12/29/2012</w:t>
            </w:r>
          </w:p>
        </w:tc>
        <w:tc>
          <w:tcPr>
            <w:tcW w:w="15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300,238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12,123,033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28,838,182</w:t>
            </w:r>
          </w:p>
        </w:tc>
        <w:tc>
          <w:tcPr>
            <w:tcW w:w="0" w:type="dxa"/>
            <w:vAlign w:val="bottom"/>
          </w:tcPr>
          <w:p>
            <w:pPr>
              <w:spacing w:after="0"/>
              <w:rPr>
                <w:sz w:val="1"/>
                <w:szCs w:val="1"/>
                <w:color w:val="auto"/>
              </w:rPr>
            </w:pPr>
          </w:p>
        </w:tc>
      </w:tr>
      <w:tr>
        <w:trPr>
          <w:trHeight w:val="257"/>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16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393,064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40.24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8"/>
                <w:szCs w:val="18"/>
                <w:color w:val="auto"/>
              </w:rPr>
              <w:t>15,818,840</w:t>
            </w: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5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Item 3. Defaults upon Senior Securities</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4360" w:type="dxa"/>
            <w:vAlign w:val="bottom"/>
            <w:gridSpan w:val="3"/>
            <w:vMerge w:val="continue"/>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360" w:type="dxa"/>
            <w:vAlign w:val="bottom"/>
            <w:gridSpan w:val="3"/>
          </w:tcPr>
          <w:p>
            <w:pPr>
              <w:spacing w:after="0"/>
              <w:rPr>
                <w:sz w:val="20"/>
                <w:szCs w:val="20"/>
                <w:color w:val="auto"/>
              </w:rPr>
            </w:pPr>
            <w:r>
              <w:rPr>
                <w:rFonts w:ascii="Arial" w:cs="Arial" w:eastAsia="Arial" w:hAnsi="Arial"/>
                <w:sz w:val="18"/>
                <w:szCs w:val="18"/>
                <w:color w:val="auto"/>
              </w:rPr>
              <w:t>Not applicable.</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Item 4. [Removed and Reserved]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360" w:type="dxa"/>
            <w:vAlign w:val="bottom"/>
            <w:gridSpan w:val="3"/>
          </w:tcPr>
          <w:p>
            <w:pPr>
              <w:spacing w:after="0"/>
              <w:rPr>
                <w:sz w:val="20"/>
                <w:szCs w:val="20"/>
                <w:color w:val="auto"/>
              </w:rPr>
            </w:pPr>
            <w:r>
              <w:rPr>
                <w:rFonts w:ascii="Arial" w:cs="Arial" w:eastAsia="Arial" w:hAnsi="Arial"/>
                <w:sz w:val="18"/>
                <w:szCs w:val="18"/>
                <w:color w:val="auto"/>
              </w:rPr>
              <w:t>Item 5. [Removed and Reserved]</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00" w:type="dxa"/>
            <w:vAlign w:val="bottom"/>
          </w:tcPr>
          <w:p>
            <w:pPr>
              <w:jc w:val="right"/>
              <w:ind w:right="77"/>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FF"/>
            </w:tcBorders>
            <w:gridSpan w:val="3"/>
          </w:tcPr>
          <w:p>
            <w:pPr>
              <w:spacing w:after="0"/>
              <w:rPr>
                <w:rFonts w:ascii="Arial" w:cs="Arial" w:eastAsia="Arial" w:hAnsi="Arial"/>
                <w:sz w:val="18"/>
                <w:szCs w:val="18"/>
                <w:color w:val="0000FF"/>
                <w:w w:val="88"/>
              </w:rPr>
            </w:pPr>
            <w:hyperlink w:anchor="page1">
              <w:r>
                <w:rPr>
                  <w:rFonts w:ascii="Arial" w:cs="Arial" w:eastAsia="Arial" w:hAnsi="Arial"/>
                  <w:sz w:val="18"/>
                  <w:szCs w:val="18"/>
                  <w:color w:val="0000FF"/>
                  <w:w w:val="88"/>
                </w:rPr>
                <w:t>Table of Contents</w:t>
              </w:r>
            </w:hyperlink>
          </w:p>
        </w:tc>
        <w:tc>
          <w:tcPr>
            <w:tcW w:w="9900" w:type="dxa"/>
            <w:vAlign w:val="bottom"/>
          </w:tcPr>
          <w:p>
            <w:pPr>
              <w:spacing w:after="0"/>
              <w:rPr>
                <w:sz w:val="17"/>
                <w:szCs w:val="17"/>
                <w:color w:val="auto"/>
              </w:rPr>
            </w:pPr>
          </w:p>
        </w:tc>
      </w:tr>
      <w:tr>
        <w:trPr>
          <w:trHeight w:val="655"/>
        </w:trPr>
        <w:tc>
          <w:tcPr>
            <w:tcW w:w="1280" w:type="dxa"/>
            <w:vAlign w:val="bottom"/>
            <w:gridSpan w:val="3"/>
          </w:tcPr>
          <w:p>
            <w:pPr>
              <w:spacing w:after="0"/>
              <w:rPr>
                <w:sz w:val="20"/>
                <w:szCs w:val="20"/>
                <w:color w:val="auto"/>
              </w:rPr>
            </w:pPr>
            <w:r>
              <w:rPr>
                <w:rFonts w:ascii="Arial" w:cs="Arial" w:eastAsia="Arial" w:hAnsi="Arial"/>
                <w:sz w:val="18"/>
                <w:szCs w:val="18"/>
                <w:color w:val="auto"/>
              </w:rPr>
              <w:t>Item 6. Exhibits</w:t>
            </w:r>
          </w:p>
        </w:tc>
        <w:tc>
          <w:tcPr>
            <w:tcW w:w="9900" w:type="dxa"/>
            <w:vAlign w:val="bottom"/>
          </w:tcPr>
          <w:p>
            <w:pPr>
              <w:spacing w:after="0"/>
              <w:rPr>
                <w:sz w:val="24"/>
                <w:szCs w:val="24"/>
                <w:color w:val="auto"/>
              </w:rPr>
            </w:pPr>
          </w:p>
        </w:tc>
      </w:tr>
      <w:tr>
        <w:trPr>
          <w:trHeight w:val="399"/>
        </w:trPr>
        <w:tc>
          <w:tcPr>
            <w:tcW w:w="560" w:type="dxa"/>
            <w:vAlign w:val="bottom"/>
          </w:tcPr>
          <w:p>
            <w:pPr>
              <w:ind w:left="40"/>
              <w:spacing w:after="0"/>
              <w:rPr>
                <w:sz w:val="20"/>
                <w:szCs w:val="20"/>
                <w:color w:val="auto"/>
              </w:rPr>
            </w:pPr>
            <w:r>
              <w:rPr>
                <w:rFonts w:ascii="Arial" w:cs="Arial" w:eastAsia="Arial" w:hAnsi="Arial"/>
                <w:sz w:val="18"/>
                <w:szCs w:val="18"/>
                <w:color w:val="auto"/>
              </w:rPr>
              <w:t>3.1</w:t>
            </w: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Pro Forma Amended and Restated Articles of Organization of Haemonetics Corporation</w:t>
            </w:r>
          </w:p>
        </w:tc>
      </w:tr>
      <w:tr>
        <w:trPr>
          <w:trHeight w:val="580"/>
        </w:trPr>
        <w:tc>
          <w:tcPr>
            <w:tcW w:w="560" w:type="dxa"/>
            <w:vAlign w:val="bottom"/>
          </w:tcPr>
          <w:p>
            <w:pPr>
              <w:ind w:left="40"/>
              <w:spacing w:after="0"/>
              <w:rPr>
                <w:sz w:val="20"/>
                <w:szCs w:val="20"/>
                <w:color w:val="auto"/>
              </w:rPr>
            </w:pPr>
            <w:r>
              <w:rPr>
                <w:rFonts w:ascii="Arial" w:cs="Arial" w:eastAsia="Arial" w:hAnsi="Arial"/>
                <w:sz w:val="18"/>
                <w:szCs w:val="18"/>
                <w:color w:val="auto"/>
              </w:rPr>
              <w:t>31.1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2"/>
              </w:rPr>
              <w:t>Certification pursuant to Section 302 of Sarbanes-Oxley Act of 2002, of Brian Concannon, President and Chief Executive Officer of the</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Company</w:t>
            </w:r>
          </w:p>
        </w:tc>
      </w:tr>
      <w:tr>
        <w:trPr>
          <w:trHeight w:val="526"/>
        </w:trPr>
        <w:tc>
          <w:tcPr>
            <w:tcW w:w="560" w:type="dxa"/>
            <w:vAlign w:val="bottom"/>
          </w:tcPr>
          <w:p>
            <w:pPr>
              <w:ind w:left="40"/>
              <w:spacing w:after="0"/>
              <w:rPr>
                <w:sz w:val="20"/>
                <w:szCs w:val="20"/>
                <w:color w:val="auto"/>
              </w:rPr>
            </w:pPr>
            <w:r>
              <w:rPr>
                <w:rFonts w:ascii="Arial" w:cs="Arial" w:eastAsia="Arial" w:hAnsi="Arial"/>
                <w:sz w:val="18"/>
                <w:szCs w:val="18"/>
                <w:color w:val="auto"/>
              </w:rPr>
              <w:t>31.2</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5"/>
              </w:rPr>
              <w:t>Certification pursuant to Section 302 of Sarbanes-Oxley of 2002, of Christopher Lindop, Chief Financial Officer and Vice President</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Business Development of the Company</w:t>
            </w:r>
          </w:p>
        </w:tc>
      </w:tr>
      <w:tr>
        <w:trPr>
          <w:trHeight w:val="526"/>
        </w:trPr>
        <w:tc>
          <w:tcPr>
            <w:tcW w:w="560" w:type="dxa"/>
            <w:vAlign w:val="bottom"/>
          </w:tcPr>
          <w:p>
            <w:pPr>
              <w:ind w:left="40"/>
              <w:spacing w:after="0"/>
              <w:rPr>
                <w:sz w:val="20"/>
                <w:szCs w:val="20"/>
                <w:color w:val="auto"/>
              </w:rPr>
            </w:pPr>
            <w:r>
              <w:rPr>
                <w:rFonts w:ascii="Arial" w:cs="Arial" w:eastAsia="Arial" w:hAnsi="Arial"/>
                <w:sz w:val="18"/>
                <w:szCs w:val="18"/>
                <w:color w:val="auto"/>
              </w:rPr>
              <w:t>32.1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0"/>
              </w:rPr>
              <w:t>Certification Pursuant to 18 United States Code Section 1350, as adopted Pursuant to Section 906 of the Sarbanes-Oxley Act of 2002, of</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Brian Concannon, President and Chief Executive Officer of the Company</w:t>
            </w:r>
          </w:p>
        </w:tc>
      </w:tr>
      <w:tr>
        <w:trPr>
          <w:trHeight w:val="526"/>
        </w:trPr>
        <w:tc>
          <w:tcPr>
            <w:tcW w:w="560" w:type="dxa"/>
            <w:vAlign w:val="bottom"/>
          </w:tcPr>
          <w:p>
            <w:pPr>
              <w:ind w:left="40"/>
              <w:spacing w:after="0"/>
              <w:rPr>
                <w:sz w:val="20"/>
                <w:szCs w:val="20"/>
                <w:color w:val="auto"/>
              </w:rPr>
            </w:pPr>
            <w:r>
              <w:rPr>
                <w:rFonts w:ascii="Arial" w:cs="Arial" w:eastAsia="Arial" w:hAnsi="Arial"/>
                <w:sz w:val="18"/>
                <w:szCs w:val="18"/>
                <w:color w:val="auto"/>
              </w:rPr>
              <w:t>32.2</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0"/>
              </w:rPr>
              <w:t>Certification Pursuant to 18 United States Code Section 1350, as adopted Pursuant to Section 906 of the Sarbanes-Oxley Act of 2002, of</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Christopher Lindop, Chief Financial Officer and Vice President Business Development of the Company</w:t>
            </w:r>
          </w:p>
        </w:tc>
      </w:tr>
      <w:tr>
        <w:trPr>
          <w:trHeight w:val="526"/>
        </w:trPr>
        <w:tc>
          <w:tcPr>
            <w:tcW w:w="560" w:type="dxa"/>
            <w:vAlign w:val="bottom"/>
          </w:tcPr>
          <w:p>
            <w:pPr>
              <w:ind w:left="40"/>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1"/>
              </w:rPr>
              <w:t>The following materials from Haemonetics Corporation on Form 10-Q for the quarter ended December 29, 2012, formatted in Extensible</w:t>
            </w:r>
          </w:p>
        </w:tc>
      </w:tr>
      <w:tr>
        <w:trPr>
          <w:trHeight w:val="216"/>
        </w:trPr>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w w:val="92"/>
              </w:rPr>
              <w:t>Business Reporting Language (XBRL); (i) Consolidated Statements of Income and Comprehensive Income, (ii) Consolidated Balance</w:t>
            </w:r>
          </w:p>
        </w:tc>
      </w:tr>
      <w:tr>
        <w:trPr>
          <w:trHeight w:val="230"/>
        </w:trPr>
        <w:tc>
          <w:tcPr>
            <w:tcW w:w="5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900" w:type="dxa"/>
            <w:vAlign w:val="bottom"/>
          </w:tcPr>
          <w:p>
            <w:pPr>
              <w:ind w:left="20"/>
              <w:spacing w:after="0"/>
              <w:rPr>
                <w:sz w:val="20"/>
                <w:szCs w:val="20"/>
                <w:color w:val="auto"/>
              </w:rPr>
            </w:pPr>
            <w:r>
              <w:rPr>
                <w:rFonts w:ascii="Arial" w:cs="Arial" w:eastAsia="Arial" w:hAnsi="Arial"/>
                <w:sz w:val="18"/>
                <w:szCs w:val="18"/>
                <w:color w:val="auto"/>
              </w:rPr>
              <w:t>Sheets, (iii) Consolidated Statements of Cash Flows, and (iv) Notes to Consolidated Financial Statements.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71" w:lineRule="exact"/>
        <w:rPr>
          <w:sz w:val="20"/>
          <w:szCs w:val="20"/>
          <w:color w:val="auto"/>
        </w:rPr>
      </w:pPr>
    </w:p>
    <w:p>
      <w:pPr>
        <w:ind w:left="720" w:hanging="685"/>
        <w:spacing w:after="0" w:line="264" w:lineRule="auto"/>
        <w:tabs>
          <w:tab w:leader="none" w:pos="7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accordance with Rule 406T of Regulation S-T, the XBRL-related information in Exhibit 101 to this Form 10-Q is deemed not filed or part of a registration statement or prospectus for purposes of sections 11 or 12 of the Securities Act, is deemed not filed for the purposes of section 18 of the Exchange Act, and otherwise is not subject to liability under these sections.</w:t>
      </w: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108"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HAEMONETICS CORPORATION</w:t>
      </w:r>
    </w:p>
    <w:p>
      <w:pPr>
        <w:spacing w:after="0" w:line="63"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February 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Brian Concannon, President and</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Executive Officer)</w:t>
      </w:r>
    </w:p>
    <w:p>
      <w:pPr>
        <w:spacing w:after="0" w:line="387" w:lineRule="exact"/>
        <w:rPr>
          <w:sz w:val="20"/>
          <w:szCs w:val="20"/>
          <w:color w:val="auto"/>
        </w:rPr>
      </w:pPr>
    </w:p>
    <w:p>
      <w:pPr>
        <w:ind w:left="40"/>
        <w:spacing w:after="0"/>
        <w:tabs>
          <w:tab w:leader="none" w:pos="4360" w:val="left"/>
          <w:tab w:leader="none" w:pos="4940" w:val="left"/>
        </w:tabs>
        <w:rPr>
          <w:sz w:val="20"/>
          <w:szCs w:val="20"/>
          <w:color w:val="auto"/>
        </w:rPr>
      </w:pPr>
      <w:r>
        <w:rPr>
          <w:rFonts w:ascii="Arial" w:cs="Arial" w:eastAsia="Arial" w:hAnsi="Arial"/>
          <w:sz w:val="18"/>
          <w:szCs w:val="18"/>
          <w:color w:val="auto"/>
        </w:rPr>
        <w:t>February 1,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31750</wp:posOffset>
            </wp:positionV>
            <wp:extent cx="29673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Christopher Lindop, Chief Financial</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Officer and Vice President Business Development</w:t>
      </w:r>
    </w:p>
    <w:p>
      <w:pPr>
        <w:spacing w:after="0" w:line="4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80"/>
          </w:cols>
          <w:pgMar w:left="240" w:top="125" w:right="379" w:bottom="1440" w:gutter="0" w:footer="0" w:header="0"/>
        </w:sectPr>
      </w:pPr>
    </w:p>
    <w:bookmarkStart w:id="33" w:name="page34"/>
    <w:bookmarkEnd w:id="33"/>
    <w:p>
      <w:pPr>
        <w:ind w:right="180"/>
        <w:spacing w:after="0" w:line="267" w:lineRule="auto"/>
        <w:rPr>
          <w:sz w:val="20"/>
          <w:szCs w:val="20"/>
          <w:color w:val="auto"/>
        </w:rPr>
      </w:pPr>
      <w:r>
        <w:rPr>
          <w:rFonts w:ascii="Arial" w:cs="Arial" w:eastAsia="Arial" w:hAnsi="Arial"/>
          <w:sz w:val="20"/>
          <w:szCs w:val="20"/>
          <w:b w:val="1"/>
          <w:bCs w:val="1"/>
          <w:color w:val="auto"/>
        </w:rPr>
        <w:t>Pro Forma Amended and Restated Articles of Organization reflecting Articles of Amendment dated August 23, 1993 and August 21,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203835</wp:posOffset>
            </wp:positionV>
            <wp:extent cx="2169795" cy="3689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69795" cy="368935"/>
                    </a:xfrm>
                    <a:prstGeom prst="rect">
                      <a:avLst/>
                    </a:prstGeom>
                    <a:noFill/>
                  </pic:spPr>
                </pic:pic>
              </a:graphicData>
            </a:graphic>
          </wp:anchor>
        </w:drawing>
      </w:r>
    </w:p>
    <w:p>
      <w:pPr>
        <w:spacing w:after="0" w:line="32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Federal Identification No.</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04-2882273</w:t>
      </w:r>
    </w:p>
    <w:p>
      <w:pPr>
        <w:spacing w:after="0" w:line="44" w:lineRule="exact"/>
        <w:rPr>
          <w:sz w:val="20"/>
          <w:szCs w:val="20"/>
          <w:color w:val="auto"/>
        </w:rPr>
      </w:pPr>
    </w:p>
    <w:p>
      <w:pPr>
        <w:jc w:val="center"/>
        <w:ind w:right="-99"/>
        <w:spacing w:after="0"/>
        <w:rPr>
          <w:sz w:val="20"/>
          <w:szCs w:val="20"/>
          <w:color w:val="auto"/>
        </w:rPr>
      </w:pPr>
      <w:r>
        <w:rPr>
          <w:rFonts w:ascii="Arial" w:cs="Arial" w:eastAsia="Arial" w:hAnsi="Arial"/>
          <w:sz w:val="32"/>
          <w:szCs w:val="32"/>
          <w:color w:val="auto"/>
        </w:rPr>
        <w:t>The Commonwealth of Massachusetts</w:t>
      </w:r>
    </w:p>
    <w:p>
      <w:pPr>
        <w:spacing w:after="0" w:line="4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Michael Joseph Connolly</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Secretary of the State</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One Ashburton Place, Boston, Massachusetts 02108</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RESTATED ARTICLES OF ORGANIZATION</w:t>
      </w:r>
    </w:p>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(General Laws, Chapter 156B, Section 74)</w:t>
      </w:r>
    </w:p>
    <w:p>
      <w:pPr>
        <w:spacing w:after="0" w:line="194" w:lineRule="exact"/>
        <w:rPr>
          <w:sz w:val="20"/>
          <w:szCs w:val="20"/>
          <w:color w:val="auto"/>
        </w:rPr>
      </w:pPr>
    </w:p>
    <w:p>
      <w:pPr>
        <w:jc w:val="center"/>
        <w:ind w:left="380"/>
        <w:spacing w:after="0" w:line="253" w:lineRule="auto"/>
        <w:rPr>
          <w:sz w:val="20"/>
          <w:szCs w:val="20"/>
          <w:color w:val="auto"/>
        </w:rPr>
      </w:pPr>
      <w:r>
        <w:rPr>
          <w:rFonts w:ascii="Arial" w:cs="Arial" w:eastAsia="Arial" w:hAnsi="Arial"/>
          <w:sz w:val="20"/>
          <w:szCs w:val="20"/>
          <w:b w:val="1"/>
          <w:bCs w:val="1"/>
          <w:color w:val="auto"/>
        </w:rPr>
        <w:t>This certificate must be submitted to the Secretary of the Commonwealth within sixty days after the date of the vote of stockholders adopting the restated articles of organization. The fee for filing this certificate is prescribed by General Laws, Chapter 156B, Section 114. Make check payable to the Commonwealth of Massachusetts.</w:t>
      </w:r>
    </w:p>
    <w:p>
      <w:pPr>
        <w:sectPr>
          <w:pgSz w:w="11900" w:h="16838" w:orient="portrait"/>
          <w:cols w:equalWidth="0" w:num="1">
            <w:col w:w="11340"/>
          </w:cols>
          <w:pgMar w:left="240" w:top="576" w:right="319" w:bottom="1440" w:gutter="0" w:footer="0" w:header="0"/>
        </w:sectPr>
      </w:pPr>
    </w:p>
    <w:p>
      <w:pPr>
        <w:spacing w:after="0" w:line="39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John F. Whites,</w:t>
      </w:r>
    </w:p>
    <w:p>
      <w:pPr>
        <w:spacing w:after="0" w:line="3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Alicia R. Lopez,</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President and</w:t>
      </w:r>
    </w:p>
    <w:p>
      <w:pPr>
        <w:spacing w:after="0" w:line="68" w:lineRule="exact"/>
        <w:rPr>
          <w:sz w:val="20"/>
          <w:szCs w:val="20"/>
          <w:color w:val="auto"/>
        </w:rPr>
      </w:pPr>
    </w:p>
    <w:p>
      <w:pPr>
        <w:ind w:left="140"/>
        <w:spacing w:after="0"/>
        <w:rPr>
          <w:sz w:val="20"/>
          <w:szCs w:val="20"/>
          <w:color w:val="auto"/>
        </w:rPr>
      </w:pPr>
      <w:r>
        <w:rPr>
          <w:rFonts w:ascii="Arial" w:cs="Arial" w:eastAsia="Arial" w:hAnsi="Arial"/>
          <w:sz w:val="20"/>
          <w:szCs w:val="20"/>
          <w:b w:val="1"/>
          <w:bCs w:val="1"/>
          <w:color w:val="auto"/>
        </w:rPr>
        <w:t>Clerk of</w:t>
      </w:r>
    </w:p>
    <w:p>
      <w:pPr>
        <w:spacing w:after="0" w:line="194" w:lineRule="exact"/>
        <w:rPr>
          <w:sz w:val="20"/>
          <w:szCs w:val="20"/>
          <w:color w:val="auto"/>
        </w:rPr>
      </w:pPr>
    </w:p>
    <w:p>
      <w:pPr>
        <w:sectPr>
          <w:pgSz w:w="11900" w:h="16838" w:orient="portrait"/>
          <w:cols w:equalWidth="0" w:num="3">
            <w:col w:w="340" w:space="220"/>
            <w:col w:w="1900" w:space="720"/>
            <w:col w:w="8160"/>
          </w:cols>
          <w:pgMar w:left="240" w:top="576" w:right="319" w:bottom="1440" w:gutter="0" w:footer="0" w:header="0"/>
          <w:type w:val="continuous"/>
        </w:sectPr>
      </w:pPr>
    </w:p>
    <w:p>
      <w:pPr>
        <w:jc w:val="center"/>
        <w:ind w:right="-79"/>
        <w:spacing w:after="0"/>
        <w:rPr>
          <w:sz w:val="20"/>
          <w:szCs w:val="20"/>
          <w:color w:val="auto"/>
        </w:rPr>
      </w:pPr>
      <w:r>
        <w:rPr>
          <w:rFonts w:ascii="Arial" w:cs="Arial" w:eastAsia="Arial" w:hAnsi="Arial"/>
          <w:sz w:val="20"/>
          <w:szCs w:val="20"/>
          <w:b w:val="1"/>
          <w:bCs w:val="1"/>
          <w:color w:val="auto"/>
        </w:rPr>
        <w:t>Haemonetics Corporation</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Located at 400 Wood Road, Braintree, Massachusetts 02184</w:t>
      </w:r>
    </w:p>
    <w:p>
      <w:pPr>
        <w:sectPr>
          <w:pgSz w:w="11900" w:h="16838" w:orient="portrait"/>
          <w:cols w:equalWidth="0" w:num="1">
            <w:col w:w="11340"/>
          </w:cols>
          <w:pgMar w:left="240" w:top="576" w:right="319" w:bottom="1440" w:gutter="0" w:footer="0" w:header="0"/>
          <w:type w:val="continuous"/>
        </w:sectPr>
      </w:pPr>
    </w:p>
    <w:p>
      <w:pPr>
        <w:spacing w:after="0" w:line="240" w:lineRule="exact"/>
        <w:rPr>
          <w:sz w:val="20"/>
          <w:szCs w:val="20"/>
          <w:color w:val="auto"/>
        </w:rPr>
      </w:pPr>
    </w:p>
    <w:p>
      <w:pPr>
        <w:ind w:right="420"/>
        <w:spacing w:after="0" w:line="267" w:lineRule="auto"/>
        <w:rPr>
          <w:sz w:val="20"/>
          <w:szCs w:val="20"/>
          <w:color w:val="auto"/>
        </w:rPr>
      </w:pPr>
      <w:r>
        <w:rPr>
          <w:rFonts w:ascii="Arial" w:cs="Arial" w:eastAsia="Arial" w:hAnsi="Arial"/>
          <w:sz w:val="20"/>
          <w:szCs w:val="20"/>
          <w:b w:val="1"/>
          <w:bCs w:val="1"/>
          <w:color w:val="auto"/>
        </w:rPr>
        <w:t>Do hereby certify that the following restatement of the articles of organization of the corporation was duly adopted by unanimous written consent of all stockholders dated , 1991.</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The name by which the corporation shall be known is:</w:t>
      </w:r>
    </w:p>
    <w:p>
      <w:pPr>
        <w:spacing w:after="0" w:line="216" w:lineRule="exact"/>
        <w:rPr>
          <w:sz w:val="20"/>
          <w:szCs w:val="20"/>
          <w:color w:val="auto"/>
        </w:rPr>
      </w:pPr>
    </w:p>
    <w:p>
      <w:pPr>
        <w:ind w:left="4620"/>
        <w:spacing w:after="0"/>
        <w:rPr>
          <w:sz w:val="20"/>
          <w:szCs w:val="20"/>
          <w:color w:val="auto"/>
        </w:rPr>
      </w:pPr>
      <w:r>
        <w:rPr>
          <w:rFonts w:ascii="Arial" w:cs="Arial" w:eastAsia="Arial" w:hAnsi="Arial"/>
          <w:sz w:val="20"/>
          <w:szCs w:val="20"/>
          <w:b w:val="1"/>
          <w:bCs w:val="1"/>
          <w:color w:val="auto"/>
        </w:rPr>
        <w:t>Haemonetics Corporation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The purposes for which the corporation is formed are as follows:</w:t>
      </w:r>
    </w:p>
    <w:p>
      <w:pPr>
        <w:spacing w:after="0" w:line="216" w:lineRule="exact"/>
        <w:rPr>
          <w:sz w:val="20"/>
          <w:szCs w:val="20"/>
          <w:color w:val="auto"/>
        </w:rPr>
      </w:pPr>
    </w:p>
    <w:p>
      <w:pPr>
        <w:jc w:val="both"/>
        <w:ind w:left="1300"/>
        <w:spacing w:after="0" w:line="253" w:lineRule="auto"/>
        <w:rPr>
          <w:sz w:val="20"/>
          <w:szCs w:val="20"/>
          <w:color w:val="auto"/>
        </w:rPr>
      </w:pPr>
      <w:r>
        <w:rPr>
          <w:rFonts w:ascii="Arial" w:cs="Arial" w:eastAsia="Arial" w:hAnsi="Arial"/>
          <w:sz w:val="20"/>
          <w:szCs w:val="20"/>
          <w:b w:val="1"/>
          <w:bCs w:val="1"/>
          <w:color w:val="auto"/>
        </w:rPr>
        <w:t>To carry on any manufacturing, mercantile, selling, management, service or other business, operation or activity which may be lawfully carried on by a corporation organized under the Business Corporation Law of The Commonwealth of Massachusetts.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The total number of shares and the par value, if any, of each class of stock which the corporation is authorized to issue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w w:val="90"/>
              </w:rPr>
              <w:t>Without par value</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20"/>
                <w:szCs w:val="20"/>
                <w:b w:val="1"/>
                <w:bCs w:val="1"/>
                <w:color w:val="auto"/>
                <w:w w:val="92"/>
              </w:rPr>
              <w:t>With par value</w:t>
            </w:r>
          </w:p>
        </w:tc>
        <w:tc>
          <w:tcPr>
            <w:tcW w:w="320" w:type="dxa"/>
            <w:vAlign w:val="bottom"/>
          </w:tcPr>
          <w:p>
            <w:pPr>
              <w:spacing w:after="0"/>
              <w:rPr>
                <w:sz w:val="19"/>
                <w:szCs w:val="19"/>
                <w:color w:val="auto"/>
              </w:rPr>
            </w:pPr>
          </w:p>
        </w:tc>
      </w:tr>
      <w:tr>
        <w:trPr>
          <w:trHeight w:val="426"/>
        </w:trPr>
        <w:tc>
          <w:tcPr>
            <w:tcW w:w="1200" w:type="dxa"/>
            <w:vAlign w:val="bottom"/>
          </w:tcPr>
          <w:p>
            <w:pPr>
              <w:spacing w:after="0"/>
              <w:rPr>
                <w:sz w:val="20"/>
                <w:szCs w:val="20"/>
                <w:color w:val="auto"/>
              </w:rPr>
            </w:pPr>
            <w:r>
              <w:rPr>
                <w:rFonts w:ascii="Arial" w:cs="Arial" w:eastAsia="Arial" w:hAnsi="Arial"/>
                <w:sz w:val="20"/>
                <w:szCs w:val="20"/>
                <w:b w:val="1"/>
                <w:bCs w:val="1"/>
                <w:color w:val="auto"/>
                <w:w w:val="85"/>
              </w:rPr>
              <w:t>Class of Stock</w:t>
            </w:r>
          </w:p>
        </w:tc>
        <w:tc>
          <w:tcPr>
            <w:tcW w:w="60" w:type="dxa"/>
            <w:vAlign w:val="bottom"/>
          </w:tcPr>
          <w:p>
            <w:pPr>
              <w:spacing w:after="0"/>
              <w:rPr>
                <w:sz w:val="24"/>
                <w:szCs w:val="24"/>
                <w:color w:val="auto"/>
              </w:rPr>
            </w:pPr>
          </w:p>
        </w:tc>
        <w:tc>
          <w:tcPr>
            <w:tcW w:w="4380" w:type="dxa"/>
            <w:vAlign w:val="bottom"/>
            <w:gridSpan w:val="11"/>
          </w:tcPr>
          <w:p>
            <w:pPr>
              <w:ind w:left="120"/>
              <w:spacing w:after="0"/>
              <w:rPr>
                <w:sz w:val="20"/>
                <w:szCs w:val="20"/>
                <w:color w:val="auto"/>
              </w:rPr>
            </w:pPr>
            <w:r>
              <w:rPr>
                <w:rFonts w:ascii="Arial" w:cs="Arial" w:eastAsia="Arial" w:hAnsi="Arial"/>
                <w:sz w:val="20"/>
                <w:szCs w:val="20"/>
                <w:b w:val="1"/>
                <w:bCs w:val="1"/>
                <w:color w:val="auto"/>
                <w:w w:val="92"/>
              </w:rPr>
              <w:t>Number of Shares  Number of Shares  Par Value</w:t>
            </w:r>
          </w:p>
        </w:tc>
      </w:tr>
      <w:tr>
        <w:trPr>
          <w:trHeight w:val="20"/>
        </w:trPr>
        <w:tc>
          <w:tcPr>
            <w:tcW w:w="1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r>
      <w:tr>
        <w:trPr>
          <w:trHeight w:val="470"/>
        </w:trPr>
        <w:tc>
          <w:tcPr>
            <w:tcW w:w="1200" w:type="dxa"/>
            <w:vAlign w:val="bottom"/>
          </w:tcPr>
          <w:p>
            <w:pPr>
              <w:spacing w:after="0"/>
              <w:rPr>
                <w:sz w:val="20"/>
                <w:szCs w:val="20"/>
                <w:color w:val="auto"/>
              </w:rPr>
            </w:pPr>
            <w:r>
              <w:rPr>
                <w:rFonts w:ascii="Arial" w:cs="Arial" w:eastAsia="Arial" w:hAnsi="Arial"/>
                <w:sz w:val="20"/>
                <w:szCs w:val="20"/>
                <w:b w:val="1"/>
                <w:bCs w:val="1"/>
                <w:color w:val="auto"/>
              </w:rPr>
              <w:t>Preferred</w:t>
            </w:r>
          </w:p>
        </w:tc>
        <w:tc>
          <w:tcPr>
            <w:tcW w:w="60" w:type="dxa"/>
            <w:vAlign w:val="bottom"/>
          </w:tcPr>
          <w:p>
            <w:pPr>
              <w:spacing w:after="0"/>
              <w:rPr>
                <w:sz w:val="24"/>
                <w:szCs w:val="24"/>
                <w:color w:val="auto"/>
              </w:rPr>
            </w:pPr>
          </w:p>
        </w:tc>
        <w:tc>
          <w:tcPr>
            <w:tcW w:w="700" w:type="dxa"/>
            <w:vAlign w:val="bottom"/>
            <w:gridSpan w:val="2"/>
          </w:tcPr>
          <w:p>
            <w:pPr>
              <w:ind w:left="100"/>
              <w:spacing w:after="0"/>
              <w:rPr>
                <w:sz w:val="20"/>
                <w:szCs w:val="20"/>
                <w:color w:val="auto"/>
              </w:rPr>
            </w:pPr>
            <w:r>
              <w:rPr>
                <w:rFonts w:ascii="Arial" w:cs="Arial" w:eastAsia="Arial" w:hAnsi="Arial"/>
                <w:sz w:val="20"/>
                <w:szCs w:val="20"/>
                <w:b w:val="1"/>
                <w:bCs w:val="1"/>
                <w:color w:val="auto"/>
              </w:rPr>
              <w:t>None</w:t>
            </w:r>
          </w:p>
        </w:tc>
        <w:tc>
          <w:tcPr>
            <w:tcW w:w="1540" w:type="dxa"/>
            <w:vAlign w:val="bottom"/>
            <w:gridSpan w:val="3"/>
          </w:tcPr>
          <w:p>
            <w:pPr>
              <w:ind w:left="740"/>
              <w:spacing w:after="0"/>
              <w:rPr>
                <w:sz w:val="20"/>
                <w:szCs w:val="20"/>
                <w:color w:val="auto"/>
              </w:rPr>
            </w:pPr>
            <w:r>
              <w:rPr>
                <w:rFonts w:ascii="Arial" w:cs="Arial" w:eastAsia="Arial" w:hAnsi="Arial"/>
                <w:sz w:val="20"/>
                <w:szCs w:val="20"/>
                <w:b w:val="1"/>
                <w:bCs w:val="1"/>
                <w:color w:val="auto"/>
              </w:rPr>
              <w:t>None</w:t>
            </w:r>
          </w:p>
        </w:tc>
        <w:tc>
          <w:tcPr>
            <w:tcW w:w="420" w:type="dxa"/>
            <w:vAlign w:val="bottom"/>
          </w:tcPr>
          <w:p>
            <w:pPr>
              <w:jc w:val="right"/>
              <w:spacing w:after="0"/>
              <w:rPr>
                <w:sz w:val="20"/>
                <w:szCs w:val="20"/>
                <w:color w:val="auto"/>
              </w:rPr>
            </w:pPr>
            <w:r>
              <w:rPr>
                <w:rFonts w:ascii="Arial" w:cs="Arial" w:eastAsia="Arial" w:hAnsi="Arial"/>
                <w:sz w:val="20"/>
                <w:szCs w:val="20"/>
                <w:b w:val="1"/>
                <w:bCs w:val="1"/>
                <w:color w:val="auto"/>
                <w:w w:val="92"/>
              </w:rPr>
              <w:t>N/A</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46"/>
        </w:trPr>
        <w:tc>
          <w:tcPr>
            <w:tcW w:w="1260" w:type="dxa"/>
            <w:vAlign w:val="bottom"/>
            <w:gridSpan w:val="2"/>
          </w:tcPr>
          <w:p>
            <w:pPr>
              <w:spacing w:after="0"/>
              <w:rPr>
                <w:sz w:val="20"/>
                <w:szCs w:val="20"/>
                <w:color w:val="auto"/>
              </w:rPr>
            </w:pPr>
            <w:r>
              <w:rPr>
                <w:rFonts w:ascii="Arial" w:cs="Arial" w:eastAsia="Arial" w:hAnsi="Arial"/>
                <w:sz w:val="20"/>
                <w:szCs w:val="20"/>
                <w:b w:val="1"/>
                <w:bCs w:val="1"/>
                <w:color w:val="auto"/>
              </w:rPr>
              <w:t>Common</w:t>
            </w:r>
          </w:p>
        </w:tc>
        <w:tc>
          <w:tcPr>
            <w:tcW w:w="700" w:type="dxa"/>
            <w:vAlign w:val="bottom"/>
            <w:gridSpan w:val="2"/>
          </w:tcPr>
          <w:p>
            <w:pPr>
              <w:ind w:left="60"/>
              <w:spacing w:after="0"/>
              <w:rPr>
                <w:sz w:val="20"/>
                <w:szCs w:val="20"/>
                <w:color w:val="auto"/>
              </w:rPr>
            </w:pPr>
            <w:r>
              <w:rPr>
                <w:rFonts w:ascii="Arial" w:cs="Arial" w:eastAsia="Arial" w:hAnsi="Arial"/>
                <w:sz w:val="20"/>
                <w:szCs w:val="20"/>
                <w:b w:val="1"/>
                <w:bCs w:val="1"/>
                <w:color w:val="auto"/>
              </w:rPr>
              <w:t>None</w:t>
            </w:r>
          </w:p>
        </w:tc>
        <w:tc>
          <w:tcPr>
            <w:tcW w:w="1960" w:type="dxa"/>
            <w:vAlign w:val="bottom"/>
            <w:gridSpan w:val="4"/>
          </w:tcPr>
          <w:p>
            <w:pPr>
              <w:jc w:val="right"/>
              <w:ind w:right="201"/>
              <w:spacing w:after="0"/>
              <w:rPr>
                <w:sz w:val="20"/>
                <w:szCs w:val="20"/>
                <w:color w:val="auto"/>
              </w:rPr>
            </w:pPr>
            <w:r>
              <w:rPr>
                <w:rFonts w:ascii="Arial" w:cs="Arial" w:eastAsia="Arial" w:hAnsi="Arial"/>
                <w:sz w:val="20"/>
                <w:szCs w:val="20"/>
                <w:b w:val="1"/>
                <w:bCs w:val="1"/>
                <w:color w:val="auto"/>
              </w:rPr>
              <w:t>150,000,000*</w:t>
            </w:r>
          </w:p>
        </w:tc>
        <w:tc>
          <w:tcPr>
            <w:tcW w:w="700" w:type="dxa"/>
            <w:vAlign w:val="bottom"/>
            <w:gridSpan w:val="2"/>
          </w:tcPr>
          <w:p>
            <w:pPr>
              <w:jc w:val="right"/>
              <w:ind w:right="181"/>
              <w:spacing w:after="0"/>
              <w:rPr>
                <w:sz w:val="20"/>
                <w:szCs w:val="20"/>
                <w:color w:val="auto"/>
              </w:rPr>
            </w:pPr>
            <w:r>
              <w:rPr>
                <w:rFonts w:ascii="Arial" w:cs="Arial" w:eastAsia="Arial" w:hAnsi="Arial"/>
                <w:sz w:val="20"/>
                <w:szCs w:val="20"/>
                <w:b w:val="1"/>
                <w:bCs w:val="1"/>
                <w:color w:val="auto"/>
              </w:rPr>
              <w:t>$.01</w:t>
            </w: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*Amended from 40,000,000 to 80,000,000 on July 23, 1993. Amended from 80,000,000 to 150,000,000 on August 9, 2006.</w:t>
      </w:r>
    </w:p>
    <w:p>
      <w:pPr>
        <w:sectPr>
          <w:pgSz w:w="11900" w:h="16838" w:orient="portrait"/>
          <w:cols w:equalWidth="0" w:num="1">
            <w:col w:w="11340"/>
          </w:cols>
          <w:pgMar w:left="240" w:top="576" w:right="319" w:bottom="1440" w:gutter="0" w:footer="0" w:header="0"/>
          <w:type w:val="continuous"/>
        </w:sectPr>
      </w:pPr>
    </w:p>
    <w:bookmarkStart w:id="34" w:name="page35"/>
    <w:bookmarkEnd w:id="34"/>
    <w:p>
      <w:pPr>
        <w:ind w:right="260"/>
        <w:spacing w:after="0" w:line="267" w:lineRule="auto"/>
        <w:rPr>
          <w:sz w:val="20"/>
          <w:szCs w:val="20"/>
          <w:color w:val="auto"/>
        </w:rPr>
      </w:pPr>
      <w:r>
        <w:rPr>
          <w:rFonts w:ascii="Arial" w:cs="Arial" w:eastAsia="Arial" w:hAnsi="Arial"/>
          <w:sz w:val="20"/>
          <w:szCs w:val="20"/>
          <w:b w:val="1"/>
          <w:bCs w:val="1"/>
          <w:color w:val="auto"/>
        </w:rPr>
        <w:t>Pro Forma Amended and Restated Articles of Organization reflecting Articles of Amendment dated August 23, 1993 and August 21, 2006.</w:t>
      </w:r>
    </w:p>
    <w:p>
      <w:pPr>
        <w:spacing w:after="0" w:line="177" w:lineRule="exact"/>
        <w:rPr>
          <w:sz w:val="20"/>
          <w:szCs w:val="20"/>
          <w:color w:val="auto"/>
        </w:rPr>
      </w:pPr>
    </w:p>
    <w:p>
      <w:pPr>
        <w:ind w:right="40" w:firstLine="8"/>
        <w:spacing w:after="0" w:line="293" w:lineRule="auto"/>
        <w:tabs>
          <w:tab w:leader="none" w:pos="198" w:val="left"/>
        </w:tabs>
        <w:numPr>
          <w:ilvl w:val="0"/>
          <w:numId w:val="10"/>
        </w:numPr>
        <w:rPr>
          <w:rFonts w:ascii="Arial" w:cs="Arial" w:eastAsia="Arial" w:hAnsi="Arial"/>
          <w:sz w:val="19"/>
          <w:szCs w:val="19"/>
          <w:b w:val="1"/>
          <w:bCs w:val="1"/>
          <w:color w:val="auto"/>
        </w:rPr>
      </w:pPr>
      <w:r>
        <w:rPr>
          <w:rFonts w:ascii="Arial" w:cs="Arial" w:eastAsia="Arial" w:hAnsi="Arial"/>
          <w:sz w:val="19"/>
          <w:szCs w:val="19"/>
          <w:b w:val="1"/>
          <w:bCs w:val="1"/>
          <w:color w:val="auto"/>
        </w:rPr>
        <w:t>If more than one class is authorized, a description of each of the different classes of stock with, if any, the preferences, voting powers, qualifications, special or relative rights or privileges as to each class thereof and any series now established:</w:t>
      </w:r>
    </w:p>
    <w:p>
      <w:pPr>
        <w:spacing w:after="0" w:line="142" w:lineRule="exact"/>
        <w:rPr>
          <w:sz w:val="20"/>
          <w:szCs w:val="20"/>
          <w:color w:val="auto"/>
        </w:rPr>
      </w:pPr>
    </w:p>
    <w:p>
      <w:pPr>
        <w:ind w:left="1300"/>
        <w:spacing w:after="0"/>
        <w:rPr>
          <w:sz w:val="20"/>
          <w:szCs w:val="20"/>
          <w:color w:val="auto"/>
        </w:rPr>
      </w:pPr>
      <w:r>
        <w:rPr>
          <w:rFonts w:ascii="Arial" w:cs="Arial" w:eastAsia="Arial" w:hAnsi="Arial"/>
          <w:sz w:val="20"/>
          <w:szCs w:val="20"/>
          <w:b w:val="1"/>
          <w:bCs w:val="1"/>
          <w:color w:val="auto"/>
        </w:rPr>
        <w:t>Not Applicable</w:t>
      </w:r>
    </w:p>
    <w:p>
      <w:pPr>
        <w:spacing w:after="0" w:line="216" w:lineRule="exact"/>
        <w:rPr>
          <w:sz w:val="20"/>
          <w:szCs w:val="20"/>
          <w:color w:val="auto"/>
        </w:rPr>
      </w:pPr>
    </w:p>
    <w:p>
      <w:pPr>
        <w:ind w:left="1300" w:right="640" w:hanging="1292"/>
        <w:spacing w:after="0" w:line="267" w:lineRule="auto"/>
        <w:tabs>
          <w:tab w:leader="none" w:pos="201"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The restrictions, if any, imposed by the articles of organization upon the transfer of shares of stock of any class are as follows: None</w:t>
      </w:r>
    </w:p>
    <w:p>
      <w:pPr>
        <w:spacing w:after="0" w:line="163" w:lineRule="exact"/>
        <w:rPr>
          <w:rFonts w:ascii="Arial" w:cs="Arial" w:eastAsia="Arial" w:hAnsi="Arial"/>
          <w:sz w:val="20"/>
          <w:szCs w:val="20"/>
          <w:b w:val="1"/>
          <w:bCs w:val="1"/>
          <w:color w:val="auto"/>
        </w:rPr>
      </w:pPr>
    </w:p>
    <w:p>
      <w:pPr>
        <w:ind w:right="240" w:firstLine="8"/>
        <w:spacing w:after="0" w:line="253" w:lineRule="auto"/>
        <w:tabs>
          <w:tab w:leader="none" w:pos="198" w:val="left"/>
        </w:tabs>
        <w:numPr>
          <w:ilvl w:val="0"/>
          <w:numId w:val="11"/>
        </w:numPr>
        <w:rPr>
          <w:rFonts w:ascii="Arial" w:cs="Arial" w:eastAsia="Arial" w:hAnsi="Arial"/>
          <w:sz w:val="20"/>
          <w:szCs w:val="20"/>
          <w:b w:val="1"/>
          <w:bCs w:val="1"/>
          <w:color w:val="auto"/>
        </w:rPr>
      </w:pPr>
      <w:r>
        <w:rPr>
          <w:rFonts w:ascii="Arial" w:cs="Arial" w:eastAsia="Arial" w:hAnsi="Arial"/>
          <w:sz w:val="20"/>
          <w:szCs w:val="20"/>
          <w:b w:val="1"/>
          <w:bCs w:val="1"/>
          <w:color w:val="auto"/>
        </w:rPr>
        <w:t>Other lawful provisions, if any, for the conduct and regulation of the business and affairs of the corporation, for its voluntary dissolution, or for limiting, defining, or regulating the powers of the corporation, or of its directors or stockholders, or of any class of stockholders: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See Continuation Sheet Attached as pages 6-1 through 6-15</w:t>
      </w:r>
    </w:p>
    <w:p>
      <w:pPr>
        <w:spacing w:after="0" w:line="216" w:lineRule="exact"/>
        <w:rPr>
          <w:sz w:val="20"/>
          <w:szCs w:val="20"/>
          <w:color w:val="auto"/>
        </w:rPr>
      </w:pPr>
    </w:p>
    <w:p>
      <w:pPr>
        <w:ind w:right="660"/>
        <w:spacing w:after="0" w:line="267" w:lineRule="auto"/>
        <w:rPr>
          <w:sz w:val="20"/>
          <w:szCs w:val="20"/>
          <w:color w:val="auto"/>
        </w:rPr>
      </w:pPr>
      <w:r>
        <w:rPr>
          <w:rFonts w:ascii="Arial" w:cs="Arial" w:eastAsia="Arial" w:hAnsi="Arial"/>
          <w:sz w:val="20"/>
          <w:szCs w:val="20"/>
          <w:b w:val="1"/>
          <w:bCs w:val="1"/>
          <w:color w:val="auto"/>
        </w:rPr>
        <w:t>We further certify that the foregoing restated articles of organization effect no amendments to the articles of organization of the corporation as heretofore amended, except amendments to the following articles: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Article 3, Article 4 and Article 6</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Briefly describe the amendments in space below:</w:t>
      </w:r>
    </w:p>
    <w:p>
      <w:pPr>
        <w:spacing w:after="0" w:line="22"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To Article 3</w:t>
      </w:r>
    </w:p>
    <w:p>
      <w:pPr>
        <w:spacing w:after="0" w:line="194" w:lineRule="exact"/>
        <w:rPr>
          <w:sz w:val="20"/>
          <w:szCs w:val="20"/>
          <w:color w:val="auto"/>
        </w:rPr>
      </w:pPr>
    </w:p>
    <w:p>
      <w:pPr>
        <w:ind w:right="460" w:firstLine="8"/>
        <w:spacing w:after="0" w:line="323" w:lineRule="auto"/>
        <w:tabs>
          <w:tab w:leader="none" w:pos="198"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Deleted the Corporation's Convertible Preferred Stock, following which the only capital stock which the Corporation shall have authority to issue shall be 150,000,000* shares of a single class of Common Stock having a par value of $.01 per share.</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To Article 4</w:t>
      </w:r>
    </w:p>
    <w:p>
      <w:pPr>
        <w:spacing w:after="0" w:line="216" w:lineRule="exact"/>
        <w:rPr>
          <w:sz w:val="20"/>
          <w:szCs w:val="20"/>
          <w:color w:val="auto"/>
        </w:rPr>
      </w:pPr>
    </w:p>
    <w:p>
      <w:pPr>
        <w:ind w:right="5020" w:firstLine="8"/>
        <w:spacing w:after="0" w:line="465" w:lineRule="auto"/>
        <w:tabs>
          <w:tab w:leader="none" w:pos="198"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Deleted the description of the Corporation's Convertible Preferred Stock. </w:t>
      </w:r>
      <w:r>
        <w:rPr>
          <w:rFonts w:ascii="Arial" w:cs="Arial" w:eastAsia="Arial" w:hAnsi="Arial"/>
          <w:sz w:val="20"/>
          <w:szCs w:val="20"/>
          <w:b w:val="1"/>
          <w:bCs w:val="1"/>
          <w:u w:val="single" w:color="auto"/>
          <w:color w:val="auto"/>
        </w:rPr>
        <w:t>To Article 6</w:t>
      </w:r>
    </w:p>
    <w:p>
      <w:pPr>
        <w:ind w:left="200" w:hanging="192"/>
        <w:spacing w:after="0"/>
        <w:tabs>
          <w:tab w:leader="none" w:pos="2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Modified provisions regarding indemnification of officers, directors and others;</w:t>
      </w:r>
    </w:p>
    <w:p>
      <w:pPr>
        <w:spacing w:after="0" w:line="21" w:lineRule="exact"/>
        <w:rPr>
          <w:rFonts w:ascii="Arial" w:cs="Arial" w:eastAsia="Arial" w:hAnsi="Arial"/>
          <w:sz w:val="20"/>
          <w:szCs w:val="20"/>
          <w:b w:val="1"/>
          <w:bCs w:val="1"/>
          <w:color w:val="auto"/>
        </w:rPr>
      </w:pPr>
    </w:p>
    <w:p>
      <w:pPr>
        <w:ind w:left="200" w:hanging="192"/>
        <w:spacing w:after="0"/>
        <w:tabs>
          <w:tab w:leader="none" w:pos="2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Adopted fair price amendment;</w:t>
      </w:r>
    </w:p>
    <w:p>
      <w:pPr>
        <w:ind w:left="200" w:hanging="192"/>
        <w:spacing w:after="0"/>
        <w:tabs>
          <w:tab w:leader="none" w:pos="2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Created classified Board of Directors;</w:t>
      </w:r>
    </w:p>
    <w:p>
      <w:pPr>
        <w:ind w:left="200" w:hanging="192"/>
        <w:spacing w:after="0"/>
        <w:tabs>
          <w:tab w:leader="none" w:pos="200" w:val="left"/>
        </w:tabs>
        <w:numPr>
          <w:ilvl w:val="0"/>
          <w:numId w:val="14"/>
        </w:numPr>
        <w:rPr>
          <w:rFonts w:ascii="Arial" w:cs="Arial" w:eastAsia="Arial" w:hAnsi="Arial"/>
          <w:sz w:val="19"/>
          <w:szCs w:val="19"/>
          <w:b w:val="1"/>
          <w:bCs w:val="1"/>
          <w:color w:val="auto"/>
        </w:rPr>
      </w:pPr>
      <w:r>
        <w:rPr>
          <w:rFonts w:ascii="Arial" w:cs="Arial" w:eastAsia="Arial" w:hAnsi="Arial"/>
          <w:sz w:val="19"/>
          <w:szCs w:val="19"/>
          <w:b w:val="1"/>
          <w:bCs w:val="1"/>
          <w:color w:val="auto"/>
        </w:rPr>
        <w:t>Adopted provision regarding the redemption by the Corporation of shares acquired in a control share acquisition; and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To Article 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Amend purposes.</w:t>
      </w:r>
    </w:p>
    <w:p>
      <w:pPr>
        <w:spacing w:after="0" w:line="216" w:lineRule="exact"/>
        <w:rPr>
          <w:sz w:val="20"/>
          <w:szCs w:val="20"/>
          <w:color w:val="auto"/>
        </w:rPr>
      </w:pPr>
    </w:p>
    <w:p>
      <w:pPr>
        <w:ind w:right="260"/>
        <w:spacing w:after="0" w:line="267" w:lineRule="auto"/>
        <w:rPr>
          <w:sz w:val="20"/>
          <w:szCs w:val="20"/>
          <w:color w:val="auto"/>
        </w:rPr>
      </w:pPr>
      <w:r>
        <w:rPr>
          <w:rFonts w:ascii="Arial" w:cs="Arial" w:eastAsia="Arial" w:hAnsi="Arial"/>
          <w:sz w:val="20"/>
          <w:szCs w:val="20"/>
          <w:b w:val="1"/>
          <w:bCs w:val="1"/>
          <w:color w:val="auto"/>
        </w:rPr>
        <w:t>IN WITNESS WHEREOF AND UNDER THE PENALTIES OF PERJURY, we have hereto signed our names this day of May in the year 1991.</w:t>
      </w: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John F. White,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left="7140"/>
        <w:spacing w:after="0"/>
        <w:rPr>
          <w:sz w:val="20"/>
          <w:szCs w:val="20"/>
          <w:color w:val="auto"/>
        </w:rPr>
      </w:pPr>
      <w:r>
        <w:rPr>
          <w:rFonts w:ascii="Arial" w:cs="Arial" w:eastAsia="Arial" w:hAnsi="Arial"/>
          <w:sz w:val="20"/>
          <w:szCs w:val="20"/>
          <w:b w:val="1"/>
          <w:bCs w:val="1"/>
          <w:color w:val="auto"/>
        </w:rPr>
        <w:t>Alicia R. Lopez, Clerk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-139700</wp:posOffset>
            </wp:positionV>
            <wp:extent cx="3542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Article 6</w:t>
      </w:r>
      <w:r>
        <w:rPr>
          <w:rFonts w:ascii="Arial" w:cs="Arial" w:eastAsia="Arial" w:hAnsi="Arial"/>
          <w:sz w:val="20"/>
          <w:szCs w:val="20"/>
          <w:color w:val="auto"/>
        </w:rPr>
        <w:t xml:space="preserve">: </w:t>
      </w:r>
      <w:r>
        <w:rPr>
          <w:rFonts w:ascii="Arial" w:cs="Arial" w:eastAsia="Arial" w:hAnsi="Arial"/>
          <w:sz w:val="20"/>
          <w:szCs w:val="20"/>
          <w:u w:val="single" w:color="auto"/>
          <w:color w:val="auto"/>
        </w:rPr>
        <w:t>Other Lawful Provisions</w:t>
      </w:r>
    </w:p>
    <w:p>
      <w:pPr>
        <w:spacing w:after="0" w:line="175" w:lineRule="exact"/>
        <w:rPr>
          <w:sz w:val="20"/>
          <w:szCs w:val="20"/>
          <w:color w:val="auto"/>
        </w:rPr>
      </w:pPr>
    </w:p>
    <w:p>
      <w:pPr>
        <w:ind w:right="220" w:firstLine="648"/>
        <w:spacing w:after="0" w:line="243" w:lineRule="auto"/>
        <w:rPr>
          <w:sz w:val="20"/>
          <w:szCs w:val="20"/>
          <w:color w:val="auto"/>
        </w:rPr>
      </w:pPr>
      <w:r>
        <w:rPr>
          <w:rFonts w:ascii="Arial" w:cs="Arial" w:eastAsia="Arial" w:hAnsi="Arial"/>
          <w:sz w:val="20"/>
          <w:szCs w:val="20"/>
          <w:color w:val="auto"/>
        </w:rPr>
        <w:t>The following additional provisions are hereby established for the management, conduct and regulation of the business and affairs of this corporation, and for creating, limiting, defining and regulating the powers of this corporation and of its directors and stockholders:</w:t>
      </w:r>
    </w:p>
    <w:p>
      <w:pPr>
        <w:spacing w:after="0" w:line="166" w:lineRule="exact"/>
        <w:rPr>
          <w:sz w:val="20"/>
          <w:szCs w:val="20"/>
          <w:color w:val="auto"/>
        </w:rPr>
      </w:pPr>
    </w:p>
    <w:p>
      <w:pPr>
        <w:ind w:left="300" w:hanging="292"/>
        <w:spacing w:after="0"/>
        <w:tabs>
          <w:tab w:leader="none" w:pos="300" w:val="left"/>
        </w:tabs>
        <w:numPr>
          <w:ilvl w:val="0"/>
          <w:numId w:val="15"/>
        </w:numPr>
        <w:rPr>
          <w:rFonts w:ascii="Arial" w:cs="Arial" w:eastAsia="Arial" w:hAnsi="Arial"/>
          <w:sz w:val="20"/>
          <w:szCs w:val="20"/>
          <w:color w:val="auto"/>
        </w:rPr>
      </w:pPr>
      <w:r>
        <w:rPr>
          <w:rFonts w:ascii="Arial" w:cs="Arial" w:eastAsia="Arial" w:hAnsi="Arial"/>
          <w:sz w:val="20"/>
          <w:szCs w:val="20"/>
          <w:u w:val="single" w:color="auto"/>
          <w:color w:val="auto"/>
        </w:rPr>
        <w:t>General Provisions</w:t>
      </w:r>
    </w:p>
    <w:p>
      <w:pPr>
        <w:spacing w:after="0" w:line="175" w:lineRule="exact"/>
        <w:rPr>
          <w:rFonts w:ascii="Arial" w:cs="Arial" w:eastAsia="Arial" w:hAnsi="Arial"/>
          <w:sz w:val="20"/>
          <w:szCs w:val="20"/>
          <w:color w:val="auto"/>
        </w:rPr>
      </w:pPr>
    </w:p>
    <w:p>
      <w:pPr>
        <w:jc w:val="both"/>
        <w:ind w:right="220" w:firstLine="656"/>
        <w:spacing w:after="0" w:line="243" w:lineRule="auto"/>
        <w:tabs>
          <w:tab w:leader="none" w:pos="868"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Board of Directors is authorized and empowered from time to time, in its discretion, to make, amend or repeal the by-laws, in part or in whole, except with respect to any provision thereof which by law, the Articles of Organization or the by-laws requires action by the stockholders.</w:t>
      </w:r>
    </w:p>
    <w:p>
      <w:pPr>
        <w:spacing w:after="0" w:line="206" w:lineRule="exact"/>
        <w:rPr>
          <w:rFonts w:ascii="Arial" w:cs="Arial" w:eastAsia="Arial" w:hAnsi="Arial"/>
          <w:sz w:val="20"/>
          <w:szCs w:val="20"/>
          <w:color w:val="auto"/>
        </w:rPr>
      </w:pPr>
    </w:p>
    <w:p>
      <w:pPr>
        <w:ind w:right="20" w:firstLine="656"/>
        <w:spacing w:after="0" w:line="243" w:lineRule="auto"/>
        <w:tabs>
          <w:tab w:leader="none" w:pos="868"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Board of Directors shall have full power and authority to determine the terms and manner of issue, including, but not limited to, the consideration therefor, (in a manner consistent with applicable law) and to issue or cause the issue of all shares of capital stock of the corporation now or from time to time hereafter authorized.</w:t>
      </w:r>
    </w:p>
    <w:p>
      <w:pPr>
        <w:spacing w:after="0" w:line="206" w:lineRule="exact"/>
        <w:rPr>
          <w:rFonts w:ascii="Arial" w:cs="Arial" w:eastAsia="Arial" w:hAnsi="Arial"/>
          <w:sz w:val="20"/>
          <w:szCs w:val="20"/>
          <w:color w:val="auto"/>
        </w:rPr>
      </w:pPr>
    </w:p>
    <w:p>
      <w:pPr>
        <w:ind w:right="140" w:firstLine="656"/>
        <w:spacing w:after="0" w:line="241" w:lineRule="auto"/>
        <w:tabs>
          <w:tab w:leader="none" w:pos="868" w:val="left"/>
        </w:tabs>
        <w:numPr>
          <w:ilvl w:val="1"/>
          <w:numId w:val="15"/>
        </w:numPr>
        <w:rPr>
          <w:rFonts w:ascii="Arial" w:cs="Arial" w:eastAsia="Arial" w:hAnsi="Arial"/>
          <w:sz w:val="20"/>
          <w:szCs w:val="20"/>
          <w:color w:val="auto"/>
        </w:rPr>
      </w:pPr>
      <w:r>
        <w:rPr>
          <w:rFonts w:ascii="Arial" w:cs="Arial" w:eastAsia="Arial" w:hAnsi="Arial"/>
          <w:sz w:val="20"/>
          <w:szCs w:val="20"/>
          <w:color w:val="auto"/>
        </w:rPr>
        <w:t>Meetings of stockholders may be held outside The Commonwealth of Massachusetts at such location within the United States as the Board of Directors may determine. The books of this corporation may be kept (subject to any provision contained in the statutes) at such place or places within The Commonwealth of Massachusetts as may be designated from time to time by the Board of Directors or in the by-laws of this corporation. Election of Directors need not be by ballot unless so requested by any stockholder entitled to vote thereon.</w:t>
      </w:r>
    </w:p>
    <w:p>
      <w:pPr>
        <w:spacing w:after="0" w:line="209" w:lineRule="exact"/>
        <w:rPr>
          <w:rFonts w:ascii="Arial" w:cs="Arial" w:eastAsia="Arial" w:hAnsi="Arial"/>
          <w:sz w:val="20"/>
          <w:szCs w:val="20"/>
          <w:color w:val="auto"/>
        </w:rPr>
      </w:pPr>
    </w:p>
    <w:p>
      <w:pPr>
        <w:ind w:right="60" w:firstLine="656"/>
        <w:spacing w:after="0" w:line="241" w:lineRule="auto"/>
        <w:tabs>
          <w:tab w:leader="none" w:pos="868" w:val="left"/>
        </w:tabs>
        <w:numPr>
          <w:ilvl w:val="1"/>
          <w:numId w:val="15"/>
        </w:numPr>
        <w:rPr>
          <w:rFonts w:ascii="Arial" w:cs="Arial" w:eastAsia="Arial" w:hAnsi="Arial"/>
          <w:sz w:val="20"/>
          <w:szCs w:val="20"/>
          <w:color w:val="auto"/>
        </w:rPr>
      </w:pPr>
      <w:r>
        <w:rPr>
          <w:rFonts w:ascii="Arial" w:cs="Arial" w:eastAsia="Arial" w:hAnsi="Arial"/>
          <w:sz w:val="20"/>
          <w:szCs w:val="20"/>
          <w:color w:val="auto"/>
        </w:rPr>
        <w:t>The Directors shall have the power to fix from time to time their compensation. No person shall be disqualified from holding any office by reason of any interest. In the absence of fraud, any Director, officer or stockholder of this corporation individually, or any individual having any interest in any concern which is a stockholder of this corporation, or any concern in which any of such Directors, officers, stockholders or individuals has any interest, may be a party to, or may be pecuniarily or otherwise interested in, any contract, transaction or other act of this corporation, and</w:t>
      </w:r>
    </w:p>
    <w:p>
      <w:pPr>
        <w:spacing w:after="0" w:line="209" w:lineRule="exact"/>
        <w:rPr>
          <w:rFonts w:ascii="Arial" w:cs="Arial" w:eastAsia="Arial" w:hAnsi="Arial"/>
          <w:sz w:val="20"/>
          <w:szCs w:val="20"/>
          <w:color w:val="auto"/>
        </w:rPr>
      </w:pPr>
    </w:p>
    <w:p>
      <w:pPr>
        <w:ind w:left="1600" w:hanging="295"/>
        <w:spacing w:after="0"/>
        <w:tabs>
          <w:tab w:leader="none" w:pos="1600" w:val="left"/>
        </w:tabs>
        <w:numPr>
          <w:ilvl w:val="2"/>
          <w:numId w:val="15"/>
        </w:numPr>
        <w:rPr>
          <w:rFonts w:ascii="Arial" w:cs="Arial" w:eastAsia="Arial" w:hAnsi="Arial"/>
          <w:sz w:val="20"/>
          <w:szCs w:val="20"/>
          <w:color w:val="auto"/>
        </w:rPr>
      </w:pPr>
      <w:r>
        <w:rPr>
          <w:rFonts w:ascii="Arial" w:cs="Arial" w:eastAsia="Arial" w:hAnsi="Arial"/>
          <w:sz w:val="20"/>
          <w:szCs w:val="20"/>
          <w:color w:val="auto"/>
        </w:rPr>
        <w:t>such contract, transaction or act shall not be in any way invalidated or otherwise affected by that 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w:t>
      </w:r>
    </w:p>
    <w:p>
      <w:pPr>
        <w:sectPr>
          <w:pgSz w:w="11900" w:h="16838" w:orient="portrait"/>
          <w:cols w:equalWidth="0" w:num="1">
            <w:col w:w="11420"/>
          </w:cols>
          <w:pgMar w:left="240" w:top="582"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59" w:lineRule="exact"/>
        <w:rPr>
          <w:sz w:val="20"/>
          <w:szCs w:val="20"/>
          <w:color w:val="auto"/>
        </w:rPr>
      </w:pPr>
    </w:p>
    <w:p>
      <w:pPr>
        <w:ind w:left="1300" w:right="280" w:firstLine="5"/>
        <w:spacing w:after="0" w:line="247" w:lineRule="auto"/>
        <w:tabs>
          <w:tab w:leader="none" w:pos="1597" w:val="left"/>
        </w:tabs>
        <w:numPr>
          <w:ilvl w:val="0"/>
          <w:numId w:val="16"/>
        </w:numPr>
        <w:rPr>
          <w:rFonts w:ascii="Arial" w:cs="Arial" w:eastAsia="Arial" w:hAnsi="Arial"/>
          <w:sz w:val="20"/>
          <w:szCs w:val="20"/>
          <w:color w:val="auto"/>
        </w:rPr>
      </w:pPr>
      <w:r>
        <w:rPr>
          <w:rFonts w:ascii="Arial" w:cs="Arial" w:eastAsia="Arial" w:hAnsi="Arial"/>
          <w:sz w:val="20"/>
          <w:szCs w:val="20"/>
          <w:color w:val="auto"/>
        </w:rPr>
        <w:t>no such Director, officer, stockholder or individual shall be liable to account to this corporation for any profit or benefit realized through any such contract, transaction or act; and</w:t>
      </w:r>
    </w:p>
    <w:p>
      <w:pPr>
        <w:spacing w:after="0" w:line="201" w:lineRule="exact"/>
        <w:rPr>
          <w:rFonts w:ascii="Arial" w:cs="Arial" w:eastAsia="Arial" w:hAnsi="Arial"/>
          <w:sz w:val="20"/>
          <w:szCs w:val="20"/>
          <w:color w:val="auto"/>
        </w:rPr>
      </w:pPr>
    </w:p>
    <w:p>
      <w:pPr>
        <w:ind w:left="1300" w:right="200" w:firstLine="5"/>
        <w:spacing w:after="0" w:line="243" w:lineRule="auto"/>
        <w:tabs>
          <w:tab w:leader="none" w:pos="1597" w:val="left"/>
        </w:tabs>
        <w:numPr>
          <w:ilvl w:val="0"/>
          <w:numId w:val="16"/>
        </w:numPr>
        <w:rPr>
          <w:rFonts w:ascii="Arial" w:cs="Arial" w:eastAsia="Arial" w:hAnsi="Arial"/>
          <w:sz w:val="20"/>
          <w:szCs w:val="20"/>
          <w:color w:val="auto"/>
        </w:rPr>
      </w:pPr>
      <w:r>
        <w:rPr>
          <w:rFonts w:ascii="Arial" w:cs="Arial" w:eastAsia="Arial" w:hAnsi="Arial"/>
          <w:sz w:val="20"/>
          <w:szCs w:val="20"/>
          <w:color w:val="auto"/>
        </w:rPr>
        <w:t>any such Director of this corporation may be counted in determining the existence of a quorum at any meeting of the directors or of any committee thereof which shall authorize any such contract, transaction or act, and may vote to authorize the same;</w:t>
      </w:r>
    </w:p>
    <w:p>
      <w:pPr>
        <w:spacing w:after="0" w:line="206"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provided, however, that any contract, transaction or act in which any director or officer of this corporation is so interested individually or as a director, officer, trustee or member of any concern which is not a subsidiary or affiliate of this corporation, or in which any Directors or officers are so interested as holders, collectively, of a majority of shares of capital stock or other beneficial interest at the time outstanding in any concern which is not a subsidiary or affiliate of this corporation, shall be duly authorized or ratified by a majority of the Directors who are not so interested, to whom the nature of such interest has been disclosed and who have made any findings required by law;</w:t>
      </w:r>
    </w:p>
    <w:p>
      <w:pPr>
        <w:spacing w:after="0" w:line="167" w:lineRule="exact"/>
        <w:rPr>
          <w:sz w:val="20"/>
          <w:szCs w:val="20"/>
          <w:color w:val="auto"/>
        </w:rPr>
      </w:pPr>
    </w:p>
    <w:p>
      <w:pPr>
        <w:ind w:left="660" w:right="760"/>
        <w:spacing w:after="0" w:line="247" w:lineRule="auto"/>
        <w:rPr>
          <w:sz w:val="20"/>
          <w:szCs w:val="20"/>
          <w:color w:val="auto"/>
        </w:rPr>
      </w:pPr>
      <w:r>
        <w:rPr>
          <w:rFonts w:ascii="Arial" w:cs="Arial" w:eastAsia="Arial" w:hAnsi="Arial"/>
          <w:sz w:val="20"/>
          <w:szCs w:val="20"/>
          <w:color w:val="auto"/>
        </w:rPr>
        <w:t>the term “interest” as used herein shall include any personal interest and interest as a Director, officer, stockholder, shareholder, trustee, member or beneficiary of any concern;</w:t>
      </w:r>
    </w:p>
    <w:p>
      <w:pPr>
        <w:spacing w:after="0" w:line="161" w:lineRule="exact"/>
        <w:rPr>
          <w:sz w:val="20"/>
          <w:szCs w:val="20"/>
          <w:color w:val="auto"/>
        </w:rPr>
      </w:pPr>
    </w:p>
    <w:p>
      <w:pPr>
        <w:ind w:left="660" w:right="240"/>
        <w:spacing w:after="0" w:line="247" w:lineRule="auto"/>
        <w:rPr>
          <w:sz w:val="20"/>
          <w:szCs w:val="20"/>
          <w:color w:val="auto"/>
        </w:rPr>
      </w:pPr>
      <w:r>
        <w:rPr>
          <w:rFonts w:ascii="Arial" w:cs="Arial" w:eastAsia="Arial" w:hAnsi="Arial"/>
          <w:sz w:val="20"/>
          <w:szCs w:val="20"/>
          <w:color w:val="auto"/>
        </w:rPr>
        <w:t>the term “concern” as used herein shall mean any corporation, association, trust, partnership, firm, person or other entity other than this corporation; and</w:t>
      </w:r>
    </w:p>
    <w:p>
      <w:pPr>
        <w:spacing w:after="0" w:line="161" w:lineRule="exact"/>
        <w:rPr>
          <w:sz w:val="20"/>
          <w:szCs w:val="20"/>
          <w:color w:val="auto"/>
        </w:rPr>
      </w:pPr>
    </w:p>
    <w:p>
      <w:pPr>
        <w:ind w:left="660" w:right="120"/>
        <w:spacing w:after="0" w:line="243" w:lineRule="auto"/>
        <w:rPr>
          <w:sz w:val="20"/>
          <w:szCs w:val="20"/>
          <w:color w:val="auto"/>
        </w:rPr>
      </w:pPr>
      <w:r>
        <w:rPr>
          <w:rFonts w:ascii="Arial" w:cs="Arial" w:eastAsia="Arial" w:hAnsi="Arial"/>
          <w:sz w:val="20"/>
          <w:szCs w:val="20"/>
          <w:color w:val="auto"/>
        </w:rPr>
        <w:t>the phrase “subsidiary or affiliate” as used herein shall mean a concern in which a majority of the Directors, trustees, partners or controlling persons is elected or appointed by the directors of this corporation, or is constituted of the Directors or officers of this corporation.</w:t>
      </w:r>
    </w:p>
    <w:p>
      <w:pPr>
        <w:spacing w:after="0" w:line="166"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To the extent permitted by law, the authorizing or ratifying vote of the holders of a majority of the shares of each class of the capital stock of this corporation outstanding and entitled to vote for Directors at any annual meeting or a special meeting duly called for the purpose (whether such vote is passed before or after judgment rendered in a suit with respect to such contract, transaction or act) shall validate any contract, transaction or act of this corporation, or of the Board of Directors or any committee thereof, with regard to all stockholders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6-2</w:t>
      </w:r>
    </w:p>
    <w:p>
      <w:pPr>
        <w:sectPr>
          <w:pgSz w:w="11900" w:h="16838" w:orient="portrait"/>
          <w:cols w:equalWidth="0" w:num="1">
            <w:col w:w="11420"/>
          </w:cols>
          <w:pgMar w:left="240" w:top="582"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ind w:right="640"/>
        <w:spacing w:after="0" w:line="247" w:lineRule="auto"/>
        <w:rPr>
          <w:sz w:val="20"/>
          <w:szCs w:val="20"/>
          <w:color w:val="auto"/>
        </w:rPr>
      </w:pPr>
      <w:r>
        <w:rPr>
          <w:rFonts w:ascii="Arial" w:cs="Arial" w:eastAsia="Arial" w:hAnsi="Arial"/>
          <w:sz w:val="20"/>
          <w:szCs w:val="20"/>
          <w:color w:val="auto"/>
        </w:rPr>
        <w:t>corporation, whether or not of record at the time of such vote, and with regard to all creditors and other claimants under this corporation; provided, however, that</w:t>
      </w:r>
    </w:p>
    <w:p>
      <w:pPr>
        <w:spacing w:after="0" w:line="161" w:lineRule="exact"/>
        <w:rPr>
          <w:sz w:val="20"/>
          <w:szCs w:val="20"/>
          <w:color w:val="auto"/>
        </w:rPr>
      </w:pPr>
    </w:p>
    <w:p>
      <w:pPr>
        <w:ind w:left="660" w:right="120"/>
        <w:spacing w:after="0" w:line="242" w:lineRule="auto"/>
        <w:rPr>
          <w:sz w:val="20"/>
          <w:szCs w:val="20"/>
          <w:color w:val="auto"/>
        </w:rPr>
      </w:pPr>
      <w:r>
        <w:rPr>
          <w:rFonts w:ascii="Arial" w:cs="Arial" w:eastAsia="Arial" w:hAnsi="Arial"/>
          <w:sz w:val="20"/>
          <w:szCs w:val="20"/>
          <w:color w:val="auto"/>
        </w:rPr>
        <w:t>A. with respect to the authorization or ratification of contracts, transactions or acts in which any of the Directors, officers or stockholders of this corporation have an interest, the nature of such contracts, transactions or acts and the interest of any Director, officer or stockholder therein shall be summarized in the notice of any such annual or special meeting, or in a statement or letter accompanying such notice, and shall be fully disclosed at any such meeting;</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B. the stockholders so voting shall have made any findings required by law;</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C. stockholders so interested may vote at any such meeting except to the extent otherwise provided by law; and</w:t>
      </w:r>
    </w:p>
    <w:p>
      <w:pPr>
        <w:spacing w:after="0" w:line="175" w:lineRule="exact"/>
        <w:rPr>
          <w:sz w:val="20"/>
          <w:szCs w:val="20"/>
          <w:color w:val="auto"/>
        </w:rPr>
      </w:pPr>
    </w:p>
    <w:p>
      <w:pPr>
        <w:ind w:left="660" w:right="160"/>
        <w:spacing w:after="0" w:line="243" w:lineRule="auto"/>
        <w:rPr>
          <w:sz w:val="20"/>
          <w:szCs w:val="20"/>
          <w:color w:val="auto"/>
        </w:rPr>
      </w:pPr>
      <w:r>
        <w:rPr>
          <w:rFonts w:ascii="Arial" w:cs="Arial" w:eastAsia="Arial" w:hAnsi="Arial"/>
          <w:sz w:val="20"/>
          <w:szCs w:val="20"/>
          <w:color w:val="auto"/>
        </w:rPr>
        <w:t>D. any failure of the stockholders to authorize or ratify such contract, transaction or act shall not be deemed in any way to invalidate the same or to deprive this corporation, its Directors, officers or employees of its or their right to proceed with such contract, transaction or act.</w:t>
      </w:r>
    </w:p>
    <w:p>
      <w:pPr>
        <w:spacing w:after="0" w:line="166" w:lineRule="exact"/>
        <w:rPr>
          <w:sz w:val="20"/>
          <w:szCs w:val="20"/>
          <w:color w:val="auto"/>
        </w:rPr>
      </w:pPr>
    </w:p>
    <w:p>
      <w:pPr>
        <w:ind w:right="260"/>
        <w:spacing w:after="0" w:line="247" w:lineRule="auto"/>
        <w:rPr>
          <w:sz w:val="20"/>
          <w:szCs w:val="20"/>
          <w:color w:val="auto"/>
        </w:rPr>
      </w:pPr>
      <w:r>
        <w:rPr>
          <w:rFonts w:ascii="Arial" w:cs="Arial" w:eastAsia="Arial" w:hAnsi="Arial"/>
          <w:sz w:val="20"/>
          <w:szCs w:val="20"/>
          <w:color w:val="auto"/>
        </w:rPr>
        <w:t>No contract, transaction or act shall be avoided by reason of any provision of this paragraph 4 which would be valid but for such provision or provisions.</w:t>
      </w:r>
    </w:p>
    <w:p>
      <w:pPr>
        <w:spacing w:after="0" w:line="161" w:lineRule="exact"/>
        <w:rPr>
          <w:sz w:val="20"/>
          <w:szCs w:val="20"/>
          <w:color w:val="auto"/>
        </w:rPr>
      </w:pPr>
    </w:p>
    <w:p>
      <w:pPr>
        <w:ind w:right="200" w:firstLine="656"/>
        <w:spacing w:after="0" w:line="242" w:lineRule="auto"/>
        <w:tabs>
          <w:tab w:leader="none" w:pos="868" w:val="left"/>
        </w:tabs>
        <w:numPr>
          <w:ilvl w:val="0"/>
          <w:numId w:val="17"/>
        </w:numPr>
        <w:rPr>
          <w:rFonts w:ascii="Arial" w:cs="Arial" w:eastAsia="Arial" w:hAnsi="Arial"/>
          <w:sz w:val="20"/>
          <w:szCs w:val="20"/>
          <w:color w:val="auto"/>
        </w:rPr>
      </w:pPr>
      <w:r>
        <w:rPr>
          <w:rFonts w:ascii="Arial" w:cs="Arial" w:eastAsia="Arial" w:hAnsi="Arial"/>
          <w:sz w:val="20"/>
          <w:szCs w:val="20"/>
          <w:color w:val="auto"/>
        </w:rPr>
        <w:t>Each Director or officer of the corporation shall, in the performance of his duties, be fully protected in relying in good faith upon the books of account of the corporation, reports made to the corporation by any of its officers or employees or by counsel, accountants, appraisers or other experts or consultants selected with reasonable care by the Directors or officers of the corporation or upon other records of the corporation.</w:t>
      </w:r>
    </w:p>
    <w:p>
      <w:pPr>
        <w:spacing w:after="0" w:line="166" w:lineRule="exact"/>
        <w:rPr>
          <w:rFonts w:ascii="Arial" w:cs="Arial" w:eastAsia="Arial" w:hAnsi="Arial"/>
          <w:sz w:val="20"/>
          <w:szCs w:val="20"/>
          <w:color w:val="auto"/>
        </w:rPr>
      </w:pPr>
    </w:p>
    <w:p>
      <w:pPr>
        <w:ind w:right="360" w:firstLine="656"/>
        <w:spacing w:after="0" w:line="243" w:lineRule="auto"/>
        <w:tabs>
          <w:tab w:leader="none" w:pos="868" w:val="left"/>
        </w:tabs>
        <w:numPr>
          <w:ilvl w:val="0"/>
          <w:numId w:val="17"/>
        </w:numPr>
        <w:rPr>
          <w:rFonts w:ascii="Arial" w:cs="Arial" w:eastAsia="Arial" w:hAnsi="Arial"/>
          <w:sz w:val="20"/>
          <w:szCs w:val="20"/>
          <w:color w:val="auto"/>
        </w:rPr>
      </w:pPr>
      <w:r>
        <w:rPr>
          <w:rFonts w:ascii="Arial" w:cs="Arial" w:eastAsia="Arial" w:hAnsi="Arial"/>
          <w:sz w:val="20"/>
          <w:szCs w:val="20"/>
          <w:color w:val="auto"/>
        </w:rPr>
        <w:t xml:space="preserve">In furtherance, and not in limitation, of the purposes enumerated in Article 2 hereof, the corporation shall have all the powers conferred by the laws of The Commonwealth of Massachusetts,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such power shall be exercised in a manner inconsistent with the Business Corporation Law or any other applicable provision of Massachusetts law.</w:t>
      </w:r>
    </w:p>
    <w:p>
      <w:pPr>
        <w:spacing w:after="0" w:line="165" w:lineRule="exact"/>
        <w:rPr>
          <w:rFonts w:ascii="Arial" w:cs="Arial" w:eastAsia="Arial" w:hAnsi="Arial"/>
          <w:sz w:val="20"/>
          <w:szCs w:val="20"/>
          <w:color w:val="auto"/>
        </w:rPr>
      </w:pPr>
    </w:p>
    <w:p>
      <w:pPr>
        <w:ind w:right="260" w:firstLine="656"/>
        <w:spacing w:after="0" w:line="247" w:lineRule="auto"/>
        <w:tabs>
          <w:tab w:leader="none" w:pos="868" w:val="left"/>
        </w:tabs>
        <w:numPr>
          <w:ilvl w:val="0"/>
          <w:numId w:val="17"/>
        </w:numPr>
        <w:rPr>
          <w:rFonts w:ascii="Arial" w:cs="Arial" w:eastAsia="Arial" w:hAnsi="Arial"/>
          <w:sz w:val="20"/>
          <w:szCs w:val="20"/>
          <w:color w:val="auto"/>
        </w:rPr>
      </w:pPr>
      <w:r>
        <w:rPr>
          <w:rFonts w:ascii="Arial" w:cs="Arial" w:eastAsia="Arial" w:hAnsi="Arial"/>
          <w:sz w:val="20"/>
          <w:szCs w:val="20"/>
          <w:color w:val="auto"/>
        </w:rPr>
        <w:t>Except as may be otherwise provided herein, this corporation reserves the right to amend, alter, change or repeal any provision contained in these Articles of Organization in the manner now or hereafter prescribed by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6-3</w:t>
      </w:r>
    </w:p>
    <w:p>
      <w:pPr>
        <w:sectPr>
          <w:pgSz w:w="11900" w:h="16838" w:orient="portrait"/>
          <w:cols w:equalWidth="0" w:num="1">
            <w:col w:w="11420"/>
          </w:cols>
          <w:pgMar w:left="240" w:top="582"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and all rights conferred upon stockholders herein are granted subject to this reservation.</w:t>
      </w:r>
    </w:p>
    <w:p>
      <w:pPr>
        <w:spacing w:after="0" w:line="175" w:lineRule="exact"/>
        <w:rPr>
          <w:sz w:val="20"/>
          <w:szCs w:val="20"/>
          <w:color w:val="auto"/>
        </w:rPr>
      </w:pPr>
    </w:p>
    <w:p>
      <w:pPr>
        <w:ind w:right="40" w:firstLine="656"/>
        <w:spacing w:after="0" w:line="241" w:lineRule="auto"/>
        <w:tabs>
          <w:tab w:leader="none" w:pos="868" w:val="left"/>
        </w:tabs>
        <w:numPr>
          <w:ilvl w:val="0"/>
          <w:numId w:val="18"/>
        </w:numPr>
        <w:rPr>
          <w:rFonts w:ascii="Arial" w:cs="Arial" w:eastAsia="Arial" w:hAnsi="Arial"/>
          <w:sz w:val="20"/>
          <w:szCs w:val="20"/>
          <w:color w:val="auto"/>
        </w:rPr>
      </w:pPr>
      <w:r>
        <w:rPr>
          <w:rFonts w:ascii="Arial" w:cs="Arial" w:eastAsia="Arial" w:hAnsi="Arial"/>
          <w:sz w:val="20"/>
          <w:szCs w:val="20"/>
          <w:color w:val="auto"/>
        </w:rPr>
        <w:t>No stockholder shall have any right to examine any property or any books, accounts or other writings of the corporation if there is reasonable ground for belief that such examination will for any reason be adverse to the interests of the corporation, and a vote of the directors refusing permission to make such examination and setting forth that in the opinion of the directors such examination would be adverse to the interests of the corporation shall be prima facie evidence that such examination would be adverse to the interest of the corporation. Every such examination shall be subject to such reasonable regulations as the directors may establish in regard thereto.</w:t>
      </w:r>
    </w:p>
    <w:p>
      <w:pPr>
        <w:spacing w:after="0" w:line="167" w:lineRule="exact"/>
        <w:rPr>
          <w:rFonts w:ascii="Arial" w:cs="Arial" w:eastAsia="Arial" w:hAnsi="Arial"/>
          <w:sz w:val="20"/>
          <w:szCs w:val="20"/>
          <w:color w:val="auto"/>
        </w:rPr>
      </w:pPr>
    </w:p>
    <w:p>
      <w:pPr>
        <w:ind w:right="60" w:firstLine="656"/>
        <w:spacing w:after="0"/>
        <w:tabs>
          <w:tab w:leader="none" w:pos="86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Directors may specify the manner in which the accounts of the corporation shall be kept and may determine what constitutes net earnings, profits and surplus, what amounts, if any, shall be reserved for any corporate purpose, and what amounts, if any, shall be declared as dividends. Unless the Board of Directors otherwise specifies, the excess of the consideration for any share of its capital stock with par value issued by it over such par value shall be paid-in surplus. The Board of Directors may allocate to capital stock less than all of the consideration for any share of its capital stock without par value issued by it, in which case the balance of such consideration shall be paid-in surplus. All surplus shall be available for any corporate purpose, including the payment of dividends.</w:t>
      </w:r>
    </w:p>
    <w:p>
      <w:pPr>
        <w:spacing w:after="0" w:line="172" w:lineRule="exact"/>
        <w:rPr>
          <w:rFonts w:ascii="Arial" w:cs="Arial" w:eastAsia="Arial" w:hAnsi="Arial"/>
          <w:sz w:val="20"/>
          <w:szCs w:val="20"/>
          <w:color w:val="auto"/>
        </w:rPr>
      </w:pPr>
    </w:p>
    <w:p>
      <w:pPr>
        <w:ind w:right="60" w:firstLine="656"/>
        <w:spacing w:after="0" w:line="242" w:lineRule="auto"/>
        <w:tabs>
          <w:tab w:leader="none" w:pos="97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purchase or other acquisition or retention by the corporation of shares of its own capital stock shall not be deemed a reduction of its capital stock. Upon any reduction of capital or capital stock, no stockholder shall have any right to demand any distribution from the corporation, except as and to the extent that the stockholders shall have provided at the time of authorizing such reduction.</w:t>
      </w:r>
    </w:p>
    <w:p>
      <w:pPr>
        <w:spacing w:after="0" w:line="166" w:lineRule="exact"/>
        <w:rPr>
          <w:rFonts w:ascii="Arial" w:cs="Arial" w:eastAsia="Arial" w:hAnsi="Arial"/>
          <w:sz w:val="20"/>
          <w:szCs w:val="20"/>
          <w:color w:val="auto"/>
        </w:rPr>
      </w:pPr>
    </w:p>
    <w:p>
      <w:pPr>
        <w:ind w:right="140" w:firstLine="656"/>
        <w:spacing w:after="0" w:line="247" w:lineRule="auto"/>
        <w:tabs>
          <w:tab w:leader="none" w:pos="978"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corporation may carry on business operation or activity through a wholly or partly owned subsidiary and may be a partner in any business enterprise which it would have power to conduct by itself.</w:t>
      </w:r>
    </w:p>
    <w:p>
      <w:pPr>
        <w:spacing w:after="0" w:line="161" w:lineRule="exact"/>
        <w:rPr>
          <w:rFonts w:ascii="Arial" w:cs="Arial" w:eastAsia="Arial" w:hAnsi="Arial"/>
          <w:sz w:val="20"/>
          <w:szCs w:val="20"/>
          <w:color w:val="auto"/>
        </w:rPr>
      </w:pPr>
    </w:p>
    <w:p>
      <w:pPr>
        <w:jc w:val="both"/>
        <w:ind w:right="100" w:firstLine="656"/>
        <w:spacing w:after="0" w:line="262" w:lineRule="auto"/>
        <w:tabs>
          <w:tab w:leader="none" w:pos="978" w:val="left"/>
        </w:tabs>
        <w:numPr>
          <w:ilvl w:val="0"/>
          <w:numId w:val="18"/>
        </w:numPr>
        <w:rPr>
          <w:rFonts w:ascii="Arial" w:cs="Arial" w:eastAsia="Arial" w:hAnsi="Arial"/>
          <w:sz w:val="19"/>
          <w:szCs w:val="19"/>
          <w:color w:val="auto"/>
        </w:rPr>
      </w:pPr>
      <w:r>
        <w:rPr>
          <w:rFonts w:ascii="Arial" w:cs="Arial" w:eastAsia="Arial" w:hAnsi="Arial"/>
          <w:sz w:val="19"/>
          <w:szCs w:val="19"/>
          <w:color w:val="auto"/>
        </w:rPr>
        <w:t>Except as otherwise provided in these Articles of Organization, the Articles of Organization of this Corporation may be amended at a meeting duly called for the purpose, by the vote of a majority of each class of stock outstanding and entitled to vote thereon provided that any provision added to or changes made in the Articles of Organization by such amendment could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6-4</w:t>
      </w:r>
    </w:p>
    <w:p>
      <w:pPr>
        <w:sectPr>
          <w:pgSz w:w="11900" w:h="16838" w:orient="portrait"/>
          <w:cols w:equalWidth="0" w:num="1">
            <w:col w:w="11420"/>
          </w:cols>
          <w:pgMar w:left="240" w:top="582"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ind w:right="80"/>
        <w:spacing w:after="0" w:line="247" w:lineRule="auto"/>
        <w:rPr>
          <w:sz w:val="20"/>
          <w:szCs w:val="20"/>
          <w:color w:val="auto"/>
        </w:rPr>
      </w:pPr>
      <w:r>
        <w:rPr>
          <w:rFonts w:ascii="Arial" w:cs="Arial" w:eastAsia="Arial" w:hAnsi="Arial"/>
          <w:sz w:val="20"/>
          <w:szCs w:val="20"/>
          <w:color w:val="auto"/>
        </w:rPr>
        <w:t>been included in, and any provision deleted thereby could have been omitted from, the original Articles of Organization filed at the time of such meeting.</w:t>
      </w:r>
    </w:p>
    <w:p>
      <w:pPr>
        <w:spacing w:after="0" w:line="161" w:lineRule="exact"/>
        <w:rPr>
          <w:sz w:val="20"/>
          <w:szCs w:val="20"/>
          <w:color w:val="auto"/>
        </w:rPr>
      </w:pPr>
    </w:p>
    <w:p>
      <w:pPr>
        <w:ind w:right="80" w:firstLine="656"/>
        <w:spacing w:after="0" w:line="252" w:lineRule="auto"/>
        <w:tabs>
          <w:tab w:leader="none" w:pos="978" w:val="left"/>
        </w:tabs>
        <w:numPr>
          <w:ilvl w:val="1"/>
          <w:numId w:val="19"/>
        </w:numPr>
        <w:rPr>
          <w:rFonts w:ascii="Arial" w:cs="Arial" w:eastAsia="Arial" w:hAnsi="Arial"/>
          <w:sz w:val="19"/>
          <w:szCs w:val="19"/>
          <w:color w:val="auto"/>
        </w:rPr>
      </w:pPr>
      <w:r>
        <w:rPr>
          <w:rFonts w:ascii="Arial" w:cs="Arial" w:eastAsia="Arial" w:hAnsi="Arial"/>
          <w:sz w:val="19"/>
          <w:szCs w:val="19"/>
          <w:color w:val="auto"/>
        </w:rPr>
        <w:t>No Director shall be personally liable to the corporation or its stockholders for monetary damages for breach of fiduciary duty as a Director notwithstanding any provision of law imposing such liability, except for any matter in respect of which such director shall be liable under Sections 61 or 62 of Chapter 156B of the Massachusetts General Laws or any amendment thereto or successor provision thereto or shall be liable by reason that, in addition to any and all other requirements for such liability, he (i) shall have breached his duty of loyalty to the corporation or its stockholders, (ii) shall not have acted in good faith or, in failing to act, shall not have acted in good faith, (iii) shall have acted in a manner involving intentional misconduct or a knowing violation of law or, in failing to act, shall have acted in a manner involving intentional misconduct or a knowing violation of law or</w:t>
      </w:r>
    </w:p>
    <w:p>
      <w:pPr>
        <w:spacing w:after="0" w:line="1" w:lineRule="exact"/>
        <w:rPr>
          <w:rFonts w:ascii="Arial" w:cs="Arial" w:eastAsia="Arial" w:hAnsi="Arial"/>
          <w:sz w:val="19"/>
          <w:szCs w:val="19"/>
          <w:color w:val="auto"/>
        </w:rPr>
      </w:pPr>
    </w:p>
    <w:p>
      <w:pPr>
        <w:ind w:right="160" w:firstLine="8"/>
        <w:spacing w:after="0" w:line="242" w:lineRule="auto"/>
        <w:tabs>
          <w:tab w:leader="none" w:pos="330" w:val="left"/>
        </w:tabs>
        <w:numPr>
          <w:ilvl w:val="0"/>
          <w:numId w:val="20"/>
        </w:numPr>
        <w:rPr>
          <w:rFonts w:ascii="Arial" w:cs="Arial" w:eastAsia="Arial" w:hAnsi="Arial"/>
          <w:sz w:val="20"/>
          <w:szCs w:val="20"/>
          <w:color w:val="auto"/>
        </w:rPr>
      </w:pPr>
      <w:r>
        <w:rPr>
          <w:rFonts w:ascii="Arial" w:cs="Arial" w:eastAsia="Arial" w:hAnsi="Arial"/>
          <w:sz w:val="20"/>
          <w:szCs w:val="20"/>
          <w:color w:val="auto"/>
        </w:rPr>
        <w:t>shall have derived an improper personal benefit. Neither the amendment nor repeal of this paragraph 13, nor the adoption of any provision of the Articles of Organization inconsistent with this paragraph 13, shall eliminate or reduce the effect of this paragraph 13 in respect of any matter occurring, or any cause of action, suit or claim that, but for this paragraph 13 would accrue or arise, prior to such amendment, repeal or adoption of an inconsistent provision.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Classified Board of Directors</w:t>
      </w:r>
    </w:p>
    <w:p>
      <w:pPr>
        <w:spacing w:after="0" w:line="175" w:lineRule="exact"/>
        <w:rPr>
          <w:rFonts w:ascii="Arial" w:cs="Arial" w:eastAsia="Arial" w:hAnsi="Arial"/>
          <w:sz w:val="20"/>
          <w:szCs w:val="20"/>
          <w:color w:val="auto"/>
        </w:rPr>
      </w:pPr>
    </w:p>
    <w:p>
      <w:pPr>
        <w:ind w:right="20" w:firstLine="656"/>
        <w:spacing w:after="0" w:line="254" w:lineRule="auto"/>
        <w:tabs>
          <w:tab w:leader="none" w:pos="868" w:val="left"/>
        </w:tabs>
        <w:numPr>
          <w:ilvl w:val="1"/>
          <w:numId w:val="21"/>
        </w:numPr>
        <w:rPr>
          <w:rFonts w:ascii="Arial" w:cs="Arial" w:eastAsia="Arial" w:hAnsi="Arial"/>
          <w:sz w:val="19"/>
          <w:szCs w:val="19"/>
          <w:color w:val="auto"/>
        </w:rPr>
      </w:pPr>
      <w:r>
        <w:rPr>
          <w:rFonts w:ascii="Arial" w:cs="Arial" w:eastAsia="Arial" w:hAnsi="Arial"/>
          <w:sz w:val="19"/>
          <w:szCs w:val="19"/>
          <w:color w:val="auto"/>
        </w:rPr>
        <w:t>The Directors of the Corporation shall be divided into three classes: Class I, Class II and Class III. Each class shall consist, as nearly as may be possible, of one-third of the whole number of the Board of Directors. If the number of Directors is not evenly divisible by three, the Board of Directors shall determine the number of Directors to be elected initially into each class. The initial members of Class I shall be Anthony J. Cardinal, Robert M. Reardon and George M. Berman, and they shall hold office for a term to expire at the annual meeting of the stockholders to be held in 1991; the initial members of Class II shall be Michel Garretta and Philip H. Chaffee, and they shall hold office for a term to expire at the annual meeting of the stockholders to be held in 1992; and the initial members of Class III shall be John F. White and James L. Peterson, and they shall hold office for a term to expire at the annual meeting of the stockholders to be held in 1993, and in the case of each class, until their respective successors are duly elected and qualified. At each annual election held commencing with the annual election in 1991, the Directors elected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6-5</w:t>
      </w:r>
    </w:p>
    <w:p>
      <w:pPr>
        <w:sectPr>
          <w:pgSz w:w="11900" w:h="16838" w:orient="portrait"/>
          <w:cols w:equalWidth="0" w:num="1">
            <w:col w:w="11420"/>
          </w:cols>
          <w:pgMar w:left="240" w:top="582"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ind w:right="60"/>
        <w:spacing w:after="0" w:line="241" w:lineRule="auto"/>
        <w:rPr>
          <w:sz w:val="20"/>
          <w:szCs w:val="20"/>
          <w:color w:val="auto"/>
        </w:rPr>
      </w:pPr>
      <w:r>
        <w:rPr>
          <w:rFonts w:ascii="Arial" w:cs="Arial" w:eastAsia="Arial" w:hAnsi="Arial"/>
          <w:sz w:val="20"/>
          <w:szCs w:val="20"/>
          <w:color w:val="auto"/>
        </w:rPr>
        <w:t>succeed those whose terms expire shall be identified as being of the same class as the Directors they succeed and shall be elected to hold office for a term to expire at the third annual meeting of the stockholders after their election, and until their respective successors are duly elected and qualified. If the number of Directors changes, any increase or decrease in Directors shall be apportioned among the classes so as to maintain all classes as equal in number as possible, and any additional Director elected to any class shall hold office for a term which shall coincide with the terms of the other Directors in such class and until his successor is duly elected and qualified.</w:t>
      </w:r>
    </w:p>
    <w:p>
      <w:pPr>
        <w:spacing w:after="0" w:line="167" w:lineRule="exact"/>
        <w:rPr>
          <w:sz w:val="20"/>
          <w:szCs w:val="20"/>
          <w:color w:val="auto"/>
        </w:rPr>
      </w:pPr>
    </w:p>
    <w:p>
      <w:pPr>
        <w:ind w:right="80" w:firstLine="656"/>
        <w:spacing w:after="0" w:line="241" w:lineRule="auto"/>
        <w:tabs>
          <w:tab w:leader="none" w:pos="868"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Notwithstanding any other provisions of these Articles of Organization or the By-Laws of the corporation or the fact that a lesser percentage may be specified by law, these Articles of Organization or the By-Laws of the corporation, the affirmative vote of the holders of at least eighty (80%) percent of the combined voting power of the outstanding stock of the corporation entitled to vote generally in the election of Directors, voting together as a single class, shall be required to amend, alter, adopt any provision inconsistent with or to repeal this Section II.</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ind w:left="660" w:right="7580" w:hanging="652"/>
        <w:spacing w:after="0" w:line="422" w:lineRule="auto"/>
        <w:tabs>
          <w:tab w:leader="none" w:pos="412"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Indemnification of Directors and Others Section 1.1 Definitions</w:t>
      </w:r>
    </w:p>
    <w:p>
      <w:pPr>
        <w:spacing w:after="0" w:line="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For purposes of these provisions pertaining to the indemnification of Directors and Others:</w:t>
      </w:r>
    </w:p>
    <w:p>
      <w:pPr>
        <w:spacing w:after="0" w:line="175" w:lineRule="exact"/>
        <w:rPr>
          <w:rFonts w:ascii="Arial" w:cs="Arial" w:eastAsia="Arial" w:hAnsi="Arial"/>
          <w:sz w:val="20"/>
          <w:szCs w:val="20"/>
          <w:color w:val="auto"/>
        </w:rPr>
      </w:pPr>
    </w:p>
    <w:p>
      <w:pPr>
        <w:jc w:val="both"/>
        <w:ind w:right="60" w:firstLine="656"/>
        <w:spacing w:after="0" w:line="241" w:lineRule="auto"/>
        <w:tabs>
          <w:tab w:leader="none" w:pos="945" w:val="left"/>
        </w:tabs>
        <w:numPr>
          <w:ilvl w:val="1"/>
          <w:numId w:val="23"/>
        </w:numPr>
        <w:rPr>
          <w:rFonts w:ascii="Arial" w:cs="Arial" w:eastAsia="Arial" w:hAnsi="Arial"/>
          <w:sz w:val="20"/>
          <w:szCs w:val="20"/>
          <w:color w:val="auto"/>
        </w:rPr>
      </w:pPr>
      <w:r>
        <w:rPr>
          <w:rFonts w:ascii="Arial" w:cs="Arial" w:eastAsia="Arial" w:hAnsi="Arial"/>
          <w:sz w:val="20"/>
          <w:szCs w:val="20"/>
          <w:color w:val="auto"/>
        </w:rPr>
        <w:t>“Director/officer” means any person who is serving or has served as a Director, officer or employee of the corporation appointed or elected by the Board of Directors or the stockholders of the corporation, or any Director, officer or employee of the corporation who is serving or has served at the request of the corporation as a Director, officer, trustee, principal, partner, member of a committee, employee or other agent of any other organization, or in any capacity with respect to any employee benefit plan of the corporation or any of its subsidiaries.</w:t>
      </w:r>
    </w:p>
    <w:p>
      <w:pPr>
        <w:spacing w:after="0" w:line="168" w:lineRule="exact"/>
        <w:rPr>
          <w:rFonts w:ascii="Arial" w:cs="Arial" w:eastAsia="Arial" w:hAnsi="Arial"/>
          <w:sz w:val="20"/>
          <w:szCs w:val="20"/>
          <w:color w:val="auto"/>
        </w:rPr>
      </w:pPr>
    </w:p>
    <w:p>
      <w:pPr>
        <w:ind w:right="200" w:firstLine="656"/>
        <w:spacing w:after="0" w:line="243" w:lineRule="auto"/>
        <w:tabs>
          <w:tab w:leader="none" w:pos="945" w:val="left"/>
        </w:tabs>
        <w:numPr>
          <w:ilvl w:val="1"/>
          <w:numId w:val="23"/>
        </w:numPr>
        <w:rPr>
          <w:rFonts w:ascii="Arial" w:cs="Arial" w:eastAsia="Arial" w:hAnsi="Arial"/>
          <w:sz w:val="20"/>
          <w:szCs w:val="20"/>
          <w:color w:val="auto"/>
        </w:rPr>
      </w:pPr>
      <w:r>
        <w:rPr>
          <w:rFonts w:ascii="Arial" w:cs="Arial" w:eastAsia="Arial" w:hAnsi="Arial"/>
          <w:sz w:val="20"/>
          <w:szCs w:val="20"/>
          <w:color w:val="auto"/>
        </w:rPr>
        <w:t>“Proceeding” means any action, suit or proceeding, whether civil, criminal, administrative or investigative, brought or threatened in or before any court, tribunal, administrative or legislative body or agency, and any claim which could be the subject of a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6-6</w:t>
      </w:r>
    </w:p>
    <w:p>
      <w:pPr>
        <w:sectPr>
          <w:pgSz w:w="11900" w:h="16838" w:orient="portrait"/>
          <w:cols w:equalWidth="0" w:num="1">
            <w:col w:w="11420"/>
          </w:cols>
          <w:pgMar w:left="240" w:top="582"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04" w:lineRule="exact"/>
        <w:rPr>
          <w:sz w:val="20"/>
          <w:szCs w:val="20"/>
          <w:color w:val="auto"/>
        </w:rPr>
      </w:pPr>
    </w:p>
    <w:p>
      <w:pPr>
        <w:jc w:val="both"/>
        <w:ind w:right="80" w:firstLine="656"/>
        <w:spacing w:after="0" w:line="242" w:lineRule="auto"/>
        <w:tabs>
          <w:tab w:leader="none" w:pos="934" w:val="left"/>
        </w:tabs>
        <w:numPr>
          <w:ilvl w:val="0"/>
          <w:numId w:val="24"/>
        </w:numPr>
        <w:rPr>
          <w:rFonts w:ascii="Arial" w:cs="Arial" w:eastAsia="Arial" w:hAnsi="Arial"/>
          <w:sz w:val="20"/>
          <w:szCs w:val="20"/>
          <w:color w:val="auto"/>
        </w:rPr>
      </w:pPr>
      <w:r>
        <w:rPr>
          <w:rFonts w:ascii="Arial" w:cs="Arial" w:eastAsia="Arial" w:hAnsi="Arial"/>
          <w:sz w:val="20"/>
          <w:szCs w:val="20"/>
          <w:color w:val="auto"/>
        </w:rPr>
        <w:t>“Expense” means any fine or penalty, and any liability fixed by a judgment, order, decree or award in a Proceeding, any amount reasonably paid in settlement of a Proceeding and any professional fees and other disbursements reasonably incurred in connection with a Proceeding. The term “Expense” shall include any taxes or penalties imposed on a Director/officer with respect to any employee benefit plan of the corporation or any of its subsidiaries.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1.2 Right to Indemnification</w:t>
      </w:r>
    </w:p>
    <w:p>
      <w:pPr>
        <w:spacing w:after="0" w:line="175" w:lineRule="exact"/>
        <w:rPr>
          <w:sz w:val="20"/>
          <w:szCs w:val="20"/>
          <w:color w:val="auto"/>
        </w:rPr>
      </w:pPr>
    </w:p>
    <w:p>
      <w:pPr>
        <w:ind w:right="80" w:firstLine="648"/>
        <w:spacing w:after="0" w:line="243" w:lineRule="auto"/>
        <w:rPr>
          <w:sz w:val="20"/>
          <w:szCs w:val="20"/>
          <w:color w:val="auto"/>
        </w:rPr>
      </w:pPr>
      <w:r>
        <w:rPr>
          <w:rFonts w:ascii="Arial" w:cs="Arial" w:eastAsia="Arial" w:hAnsi="Arial"/>
          <w:sz w:val="20"/>
          <w:szCs w:val="20"/>
          <w:color w:val="auto"/>
        </w:rPr>
        <w:t>Except as limited by law or as provided in Section 1.3 and 1.4 hereof, each Director/officer (and his heirs and personal representatives) shall be indemnified by the corporation against any Expense incurred by him in connection with each Proceeding in which he is involved as a result of his serving or having served as a Director/officer.</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1.3 Indemnification not Available</w:t>
      </w:r>
    </w:p>
    <w:p>
      <w:pPr>
        <w:spacing w:after="0" w:line="175" w:lineRule="exact"/>
        <w:rPr>
          <w:sz w:val="20"/>
          <w:szCs w:val="20"/>
          <w:color w:val="auto"/>
        </w:rPr>
      </w:pPr>
    </w:p>
    <w:p>
      <w:pPr>
        <w:ind w:right="40" w:firstLine="648"/>
        <w:spacing w:after="0" w:line="242" w:lineRule="auto"/>
        <w:rPr>
          <w:sz w:val="20"/>
          <w:szCs w:val="20"/>
          <w:color w:val="auto"/>
        </w:rPr>
      </w:pPr>
      <w:r>
        <w:rPr>
          <w:rFonts w:ascii="Arial" w:cs="Arial" w:eastAsia="Arial" w:hAnsi="Arial"/>
          <w:sz w:val="20"/>
          <w:szCs w:val="20"/>
          <w:color w:val="auto"/>
        </w:rPr>
        <w:t>No indemnification shall be provided to a Director/officer with respect to a Proceeding as to which it shall have been adjudicated that he did not act in good faith in the reasonable belief that his action was in the best interest of the corporation, or, to the extent that such Proceeding relates to service with respect to an employee benefit plan, in the best interests of the participants or beneficiaries of such employee benefit plan.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1.4 Compromise or Settlement</w:t>
      </w:r>
    </w:p>
    <w:p>
      <w:pPr>
        <w:spacing w:after="0" w:line="175" w:lineRule="exact"/>
        <w:rPr>
          <w:sz w:val="20"/>
          <w:szCs w:val="20"/>
          <w:color w:val="auto"/>
        </w:rPr>
      </w:pPr>
    </w:p>
    <w:p>
      <w:pPr>
        <w:ind w:right="40" w:firstLine="648"/>
        <w:spacing w:after="0" w:line="241" w:lineRule="auto"/>
        <w:rPr>
          <w:sz w:val="20"/>
          <w:szCs w:val="20"/>
          <w:color w:val="auto"/>
        </w:rPr>
      </w:pPr>
      <w:r>
        <w:rPr>
          <w:rFonts w:ascii="Arial" w:cs="Arial" w:eastAsia="Arial" w:hAnsi="Arial"/>
          <w:sz w:val="20"/>
          <w:szCs w:val="20"/>
          <w:color w:val="auto"/>
        </w:rPr>
        <w:t>In the event that a Proceeding is compromised or settled so as to impose any liability or obligation on a Director/officer or upon the corporation, no indemnification shall be provided as to said Director/officer with respect to such Proceeding if such Director/officer shall have been adjudicated not to have acted in good faith in the reasonable belief that his action was in the best interest of the corporation, or, to the extent that such Proceeding relates to service with respect to an employee benefit plan, in the best interests of the participants or beneficiaries of such employee benefit plan.</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1.5 Advances</w:t>
      </w:r>
    </w:p>
    <w:p>
      <w:pPr>
        <w:spacing w:after="0" w:line="175"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The corporation shall pay sums on account of indemnification in advance of a final disposition of a Proceeding upon receipt of an undertaking by the Director/officer to repay such sums if it is subsequently established that he is not entitled to indemnification pursuant to Sections 1.3 and 1.4 hereof,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6-7</w:t>
      </w:r>
    </w:p>
    <w:p>
      <w:pPr>
        <w:sectPr>
          <w:pgSz w:w="11900" w:h="16838" w:orient="portrait"/>
          <w:cols w:equalWidth="0" w:num="1">
            <w:col w:w="11420"/>
          </w:cols>
          <w:pgMar w:left="240" w:top="582"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undertaking may be accepted without reference to the financial ability of such person to make repayment.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1.6 Not Exclusive</w:t>
      </w:r>
    </w:p>
    <w:p>
      <w:pPr>
        <w:spacing w:after="0" w:line="175" w:lineRule="exact"/>
        <w:rPr>
          <w:sz w:val="20"/>
          <w:szCs w:val="20"/>
          <w:color w:val="auto"/>
        </w:rPr>
      </w:pPr>
    </w:p>
    <w:p>
      <w:pPr>
        <w:ind w:right="1120" w:firstLine="648"/>
        <w:spacing w:after="0" w:line="247" w:lineRule="auto"/>
        <w:rPr>
          <w:sz w:val="20"/>
          <w:szCs w:val="20"/>
          <w:color w:val="auto"/>
        </w:rPr>
      </w:pPr>
      <w:r>
        <w:rPr>
          <w:rFonts w:ascii="Arial" w:cs="Arial" w:eastAsia="Arial" w:hAnsi="Arial"/>
          <w:sz w:val="20"/>
          <w:szCs w:val="20"/>
          <w:color w:val="auto"/>
        </w:rPr>
        <w:t>Nothing in these provisions regarding the Indemnification of Directors and Others shall limit any lawful rights to indemnification existing independently of these provisions.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auto"/>
        </w:rPr>
        <w:t>Section 1.7 Insurance</w:t>
      </w:r>
    </w:p>
    <w:p>
      <w:pPr>
        <w:spacing w:after="0" w:line="175" w:lineRule="exact"/>
        <w:rPr>
          <w:sz w:val="20"/>
          <w:szCs w:val="20"/>
          <w:color w:val="auto"/>
        </w:rPr>
      </w:pPr>
    </w:p>
    <w:p>
      <w:pPr>
        <w:jc w:val="both"/>
        <w:ind w:right="180" w:firstLine="648"/>
        <w:spacing w:after="0" w:line="243" w:lineRule="auto"/>
        <w:rPr>
          <w:sz w:val="20"/>
          <w:szCs w:val="20"/>
          <w:color w:val="auto"/>
        </w:rPr>
      </w:pPr>
      <w:r>
        <w:rPr>
          <w:rFonts w:ascii="Arial" w:cs="Arial" w:eastAsia="Arial" w:hAnsi="Arial"/>
          <w:sz w:val="20"/>
          <w:szCs w:val="20"/>
          <w:color w:val="auto"/>
        </w:rPr>
        <w:t>The foregoing provisions shall not limit the power of the Board of Directors to authorize the purchase and maintenance of insurance on behalf of any Director/officer against any liability incurred by him in any such capacity, or arising out of his status as such, whether or not the Corporation would have the power to indemnify him against such liability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IV.</w:t>
      </w:r>
      <w:r>
        <w:rPr>
          <w:sz w:val="20"/>
          <w:szCs w:val="20"/>
          <w:color w:val="auto"/>
        </w:rPr>
        <w:tab/>
      </w:r>
      <w:r>
        <w:rPr>
          <w:rFonts w:ascii="Arial" w:cs="Arial" w:eastAsia="Arial" w:hAnsi="Arial"/>
          <w:sz w:val="19"/>
          <w:szCs w:val="19"/>
          <w:u w:val="single" w:color="auto"/>
          <w:color w:val="auto"/>
        </w:rPr>
        <w:t>Vote Required for Certain Business Combinations</w:t>
      </w:r>
    </w:p>
    <w:p>
      <w:pPr>
        <w:spacing w:after="0" w:line="175" w:lineRule="exact"/>
        <w:rPr>
          <w:sz w:val="20"/>
          <w:szCs w:val="20"/>
          <w:color w:val="auto"/>
        </w:rPr>
      </w:pPr>
    </w:p>
    <w:p>
      <w:pPr>
        <w:ind w:right="160" w:firstLine="656"/>
        <w:spacing w:after="0" w:line="247" w:lineRule="auto"/>
        <w:tabs>
          <w:tab w:leader="none" w:pos="967"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 addition to any affirmative vote required by law or these Articles of Organization, and except as otherwise expressly provided in Paragraph (B) of this Provision:</w:t>
      </w:r>
    </w:p>
    <w:p>
      <w:pPr>
        <w:spacing w:after="0" w:line="161" w:lineRule="exact"/>
        <w:rPr>
          <w:rFonts w:ascii="Arial" w:cs="Arial" w:eastAsia="Arial" w:hAnsi="Arial"/>
          <w:sz w:val="20"/>
          <w:szCs w:val="20"/>
          <w:color w:val="auto"/>
        </w:rPr>
      </w:pPr>
    </w:p>
    <w:p>
      <w:pPr>
        <w:ind w:right="100" w:firstLine="1305"/>
        <w:spacing w:after="0" w:line="243" w:lineRule="auto"/>
        <w:tabs>
          <w:tab w:leader="none" w:pos="1516"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 merger or consolidation of the corporation or any Subsidiary (as hereinafter defined) with (a) an Interested Stockholder (as hereinafter defined) or (b) any other corporation (whether or not itself an Interested Stockholder) which is, or after such merger or consolidation would be, an Affiliate (as such term is hereinafter defined) of an Interested Stockholder; or</w:t>
      </w:r>
    </w:p>
    <w:p>
      <w:pPr>
        <w:spacing w:after="0" w:line="165" w:lineRule="exact"/>
        <w:rPr>
          <w:rFonts w:ascii="Arial" w:cs="Arial" w:eastAsia="Arial" w:hAnsi="Arial"/>
          <w:sz w:val="20"/>
          <w:szCs w:val="20"/>
          <w:color w:val="auto"/>
        </w:rPr>
      </w:pPr>
    </w:p>
    <w:p>
      <w:pPr>
        <w:ind w:right="40" w:firstLine="1305"/>
        <w:spacing w:after="0" w:line="241" w:lineRule="auto"/>
        <w:tabs>
          <w:tab w:leader="none" w:pos="1516" w:val="left"/>
        </w:tabs>
        <w:numPr>
          <w:ilvl w:val="1"/>
          <w:numId w:val="25"/>
        </w:numPr>
        <w:rPr>
          <w:rFonts w:ascii="Arial" w:cs="Arial" w:eastAsia="Arial" w:hAnsi="Arial"/>
          <w:sz w:val="20"/>
          <w:szCs w:val="20"/>
          <w:color w:val="auto"/>
        </w:rPr>
      </w:pPr>
      <w:r>
        <w:rPr>
          <w:rFonts w:ascii="Arial" w:cs="Arial" w:eastAsia="Arial" w:hAnsi="Arial"/>
          <w:sz w:val="20"/>
          <w:szCs w:val="20"/>
          <w:color w:val="auto"/>
        </w:rPr>
        <w:t>any sale, lease, exchange, mortgage, pledge, grant of a security interest, transfer or other disposition (in one transaction or a series of transactions) to or with (a) an Interested Stockholder or (b) or any other person (whether or not itself an Interested Stockholder) which is, or after such sale, lease, exchange, mortgage, pledge, grant of security interest, transfer or other disposition would be, an Affiliate of an Interested Stockholder, directly or indirectly, of substantially all of the assets of the corporation (including, without limitation, any voting securities of a Subsidiary) or any Subsidiary;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6-8</w:t>
      </w:r>
    </w:p>
    <w:p>
      <w:pPr>
        <w:sectPr>
          <w:pgSz w:w="11900" w:h="16838" w:orient="portrait"/>
          <w:cols w:equalWidth="0" w:num="1">
            <w:col w:w="11420"/>
          </w:cols>
          <w:pgMar w:left="240" w:top="582"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jc w:val="both"/>
        <w:ind w:right="120" w:firstLine="1305"/>
        <w:spacing w:after="0" w:line="242" w:lineRule="auto"/>
        <w:tabs>
          <w:tab w:leader="none" w:pos="151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issuance or transfer by the corporation or any Subsidiary (in one transaction or a series of transactions) of any securities of the corporation or any Subsidiary, or both, to (a) an Interested Stockholder or (b) any other person (whether or not itself an Interested Stockholder) which is, or after such issuance or transfer would be, an Affiliate of an Interested Stockholder in exchange for cash, securities or other property (or a combination thereof); or</w:t>
      </w:r>
    </w:p>
    <w:p>
      <w:pPr>
        <w:spacing w:after="0" w:line="166" w:lineRule="exact"/>
        <w:rPr>
          <w:rFonts w:ascii="Arial" w:cs="Arial" w:eastAsia="Arial" w:hAnsi="Arial"/>
          <w:sz w:val="20"/>
          <w:szCs w:val="20"/>
          <w:color w:val="auto"/>
        </w:rPr>
      </w:pPr>
    </w:p>
    <w:p>
      <w:pPr>
        <w:ind w:right="120" w:firstLine="1305"/>
        <w:spacing w:after="0" w:line="247" w:lineRule="auto"/>
        <w:tabs>
          <w:tab w:leader="none" w:pos="1516"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adoption of any plan or proposal for the liquidation or dissolution of the corporation proposed by or on behalf of an Interested Stockholder or any Affiliate of an Interested Stockholder; or</w:t>
      </w:r>
    </w:p>
    <w:p>
      <w:pPr>
        <w:spacing w:after="0" w:line="161" w:lineRule="exact"/>
        <w:rPr>
          <w:rFonts w:ascii="Arial" w:cs="Arial" w:eastAsia="Arial" w:hAnsi="Arial"/>
          <w:sz w:val="20"/>
          <w:szCs w:val="20"/>
          <w:color w:val="auto"/>
        </w:rPr>
      </w:pPr>
    </w:p>
    <w:p>
      <w:pPr>
        <w:ind w:right="20" w:firstLine="1305"/>
        <w:spacing w:after="0"/>
        <w:tabs>
          <w:tab w:leader="none" w:pos="1516" w:val="left"/>
        </w:tabs>
        <w:numPr>
          <w:ilvl w:val="0"/>
          <w:numId w:val="26"/>
        </w:numPr>
        <w:rPr>
          <w:rFonts w:ascii="Arial" w:cs="Arial" w:eastAsia="Arial" w:hAnsi="Arial"/>
          <w:sz w:val="20"/>
          <w:szCs w:val="20"/>
          <w:color w:val="auto"/>
        </w:rPr>
      </w:pPr>
      <w:r>
        <w:rPr>
          <w:rFonts w:ascii="Arial" w:cs="Arial" w:eastAsia="Arial" w:hAnsi="Arial"/>
          <w:sz w:val="20"/>
          <w:szCs w:val="20"/>
          <w:color w:val="auto"/>
        </w:rPr>
        <w:t>any reclassification of securities (including any reverse stock split), or recapitalization of the corporation, or any merger or consolidation of the corporation with any of the Subsidiaries or any other transaction (whether or not with or into or otherwise involving an Interested Stockholder) which has the effect, directly or indirectly, of increasing the proportionate share of the outstanding shares of any class of equity or convertible securities of the corporation or any Subsidiary directly or indirectly beneficially owned by (a) an Interested Stockholder or (b) any other person (whether or not itself an Interested Stockholder) which is, or after such reclassification, recapitalization, merger or consolidation or other transaction would be, an Affiliate of an Interested Stockholder;</w:t>
      </w:r>
    </w:p>
    <w:p>
      <w:pPr>
        <w:spacing w:after="0" w:line="173" w:lineRule="exact"/>
        <w:rPr>
          <w:sz w:val="20"/>
          <w:szCs w:val="20"/>
          <w:color w:val="auto"/>
        </w:rPr>
      </w:pPr>
    </w:p>
    <w:p>
      <w:pPr>
        <w:ind w:firstLine="648"/>
        <w:spacing w:after="0" w:line="241" w:lineRule="auto"/>
        <w:rPr>
          <w:sz w:val="20"/>
          <w:szCs w:val="20"/>
          <w:color w:val="auto"/>
        </w:rPr>
      </w:pPr>
      <w:r>
        <w:rPr>
          <w:rFonts w:ascii="Arial" w:cs="Arial" w:eastAsia="Arial" w:hAnsi="Arial"/>
          <w:sz w:val="20"/>
          <w:szCs w:val="20"/>
          <w:color w:val="auto"/>
        </w:rPr>
        <w:t>shall not be consummated unless such consummation shall have been approved by the affirmative vote of the holders of at least eighty (80%) percent of the combined voting power of the then outstanding shares of Voting Stock (as hereinafter defined), voting together as a single class. Such affirmative vote shall be required notwithstanding the fact that no vote may be required, or that a lesser percentage may be specified, by law, in these Articles of Organization or in any agreement with any national securities exchange or otherwise.</w:t>
      </w:r>
    </w:p>
    <w:p>
      <w:pPr>
        <w:spacing w:after="0" w:line="169" w:lineRule="exact"/>
        <w:rPr>
          <w:sz w:val="20"/>
          <w:szCs w:val="20"/>
          <w:color w:val="auto"/>
        </w:rPr>
      </w:pPr>
    </w:p>
    <w:p>
      <w:pPr>
        <w:jc w:val="both"/>
        <w:ind w:right="140" w:firstLine="656"/>
        <w:spacing w:after="0" w:line="242" w:lineRule="auto"/>
        <w:tabs>
          <w:tab w:leader="none" w:pos="1092"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provisions of Paragraph (A) of this Provision shall not be applicable to any particular Business Combination (as hereinafter defined) and such Business Combination shall require only such affirmative vote as is required by law and any other provision of these Articles of Organization, if the Business Combination shall have been approved by a majority of the Continuing Directors (as hereinafter defined) or all of the following conditions shall have been met:</w:t>
      </w:r>
    </w:p>
    <w:p>
      <w:pPr>
        <w:spacing w:after="0" w:line="166" w:lineRule="exact"/>
        <w:rPr>
          <w:rFonts w:ascii="Arial" w:cs="Arial" w:eastAsia="Arial" w:hAnsi="Arial"/>
          <w:sz w:val="20"/>
          <w:szCs w:val="20"/>
          <w:color w:val="auto"/>
        </w:rPr>
      </w:pPr>
    </w:p>
    <w:p>
      <w:pPr>
        <w:ind w:right="460" w:firstLine="1305"/>
        <w:spacing w:after="0" w:line="247" w:lineRule="auto"/>
        <w:tabs>
          <w:tab w:leader="none" w:pos="1517" w:val="left"/>
        </w:tabs>
        <w:numPr>
          <w:ilvl w:val="1"/>
          <w:numId w:val="27"/>
        </w:numPr>
        <w:rPr>
          <w:rFonts w:ascii="Arial" w:cs="Arial" w:eastAsia="Arial" w:hAnsi="Arial"/>
          <w:sz w:val="20"/>
          <w:szCs w:val="20"/>
          <w:color w:val="auto"/>
        </w:rPr>
      </w:pPr>
      <w:r>
        <w:rPr>
          <w:rFonts w:ascii="Arial" w:cs="Arial" w:eastAsia="Arial" w:hAnsi="Arial"/>
          <w:sz w:val="20"/>
          <w:szCs w:val="20"/>
          <w:color w:val="auto"/>
        </w:rPr>
        <w:t>The transaction constituting the Business Combination shall provide for a consideration to be received by all holders of Common Stock in exchange for all their shares of Common Stock, and the aggregate amount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6-9</w:t>
      </w:r>
    </w:p>
    <w:p>
      <w:pPr>
        <w:sectPr>
          <w:pgSz w:w="11900" w:h="16838" w:orient="portrait"/>
          <w:cols w:equalWidth="0" w:num="1">
            <w:col w:w="11420"/>
          </w:cols>
          <w:pgMar w:left="240" w:top="58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cash and the Fair Market Value as of the date of the consummation of the Business Combination of consideration other than cash to be received per share by holders of Common Stock in such Business Combination shall be at least equal to the higher of the following:</w:t>
      </w:r>
    </w:p>
    <w:p>
      <w:pPr>
        <w:spacing w:after="0" w:line="166" w:lineRule="exact"/>
        <w:rPr>
          <w:sz w:val="20"/>
          <w:szCs w:val="20"/>
          <w:color w:val="auto"/>
        </w:rPr>
      </w:pPr>
    </w:p>
    <w:p>
      <w:pPr>
        <w:ind w:right="200" w:firstLine="1953"/>
        <w:spacing w:after="0" w:line="241" w:lineRule="auto"/>
        <w:tabs>
          <w:tab w:leader="none" w:pos="2242" w:val="left"/>
        </w:tabs>
        <w:numPr>
          <w:ilvl w:val="1"/>
          <w:numId w:val="28"/>
        </w:numPr>
        <w:rPr>
          <w:rFonts w:ascii="Arial" w:cs="Arial" w:eastAsia="Arial" w:hAnsi="Arial"/>
          <w:sz w:val="20"/>
          <w:szCs w:val="20"/>
          <w:color w:val="auto"/>
        </w:rPr>
      </w:pPr>
      <w:r>
        <w:rPr>
          <w:rFonts w:ascii="Arial" w:cs="Arial" w:eastAsia="Arial" w:hAnsi="Arial"/>
          <w:sz w:val="20"/>
          <w:szCs w:val="20"/>
          <w:color w:val="auto"/>
        </w:rPr>
        <w:t>(if applicable) the highest per-share price (including any brokerage commissions, transfer taxes and soliciting dealers' fees) paid in order to acquire any shares of Common Stock beneficially owned by an Interested Stockholder (i) within the two-year period immediately prior to the Announcement Date (as hereinafter defined), (ii) within the two-year period immediately prior to the Determination Date (as hereinafter defined) or (iii) in the transaction in which it became an Interested Stockholder, whichever is highest; or</w:t>
      </w:r>
    </w:p>
    <w:p>
      <w:pPr>
        <w:spacing w:after="0" w:line="168" w:lineRule="exact"/>
        <w:rPr>
          <w:rFonts w:ascii="Arial" w:cs="Arial" w:eastAsia="Arial" w:hAnsi="Arial"/>
          <w:sz w:val="20"/>
          <w:szCs w:val="20"/>
          <w:color w:val="auto"/>
        </w:rPr>
      </w:pPr>
    </w:p>
    <w:p>
      <w:pPr>
        <w:ind w:right="180" w:firstLine="1953"/>
        <w:spacing w:after="0" w:line="247" w:lineRule="auto"/>
        <w:tabs>
          <w:tab w:leader="none" w:pos="2242" w:val="left"/>
        </w:tabs>
        <w:numPr>
          <w:ilvl w:val="1"/>
          <w:numId w:val="28"/>
        </w:numPr>
        <w:rPr>
          <w:rFonts w:ascii="Arial" w:cs="Arial" w:eastAsia="Arial" w:hAnsi="Arial"/>
          <w:sz w:val="20"/>
          <w:szCs w:val="20"/>
          <w:color w:val="auto"/>
        </w:rPr>
      </w:pPr>
      <w:r>
        <w:rPr>
          <w:rFonts w:ascii="Arial" w:cs="Arial" w:eastAsia="Arial" w:hAnsi="Arial"/>
          <w:sz w:val="20"/>
          <w:szCs w:val="20"/>
          <w:color w:val="auto"/>
        </w:rPr>
        <w:t>the Fair Market Value per share of Common Stock on the Announcement Date or on the Determination Date, whichever is higher;</w:t>
      </w:r>
    </w:p>
    <w:p>
      <w:pPr>
        <w:spacing w:after="0" w:line="161" w:lineRule="exact"/>
        <w:rPr>
          <w:rFonts w:ascii="Arial" w:cs="Arial" w:eastAsia="Arial" w:hAnsi="Arial"/>
          <w:sz w:val="20"/>
          <w:szCs w:val="20"/>
          <w:color w:val="auto"/>
        </w:rPr>
      </w:pPr>
    </w:p>
    <w:p>
      <w:pPr>
        <w:ind w:right="60" w:firstLine="1305"/>
        <w:spacing w:after="0"/>
        <w:tabs>
          <w:tab w:leader="none" w:pos="1517" w:val="left"/>
        </w:tabs>
        <w:numPr>
          <w:ilvl w:val="0"/>
          <w:numId w:val="29"/>
        </w:numPr>
        <w:rPr>
          <w:rFonts w:ascii="Arial" w:cs="Arial" w:eastAsia="Arial" w:hAnsi="Arial"/>
          <w:sz w:val="20"/>
          <w:szCs w:val="20"/>
          <w:color w:val="auto"/>
        </w:rPr>
      </w:pPr>
      <w:r>
        <w:rPr>
          <w:rFonts w:ascii="Arial" w:cs="Arial" w:eastAsia="Arial" w:hAnsi="Arial"/>
          <w:sz w:val="20"/>
          <w:szCs w:val="20"/>
          <w:color w:val="auto"/>
        </w:rPr>
        <w:t>If the transaction constituting the Business Combination shall provide for a consideration to be received by holders of any class or series of outstanding Voting Stock other than Common Stock, the aggregate amount of the cash and the Fair Market Value as of the date of the consummation of the Business Combination of consideration other than cash to be received per share by holders of shares of such class or series of Voting Stock shall be at least equal to the highest of the following (it being intended that the requirements of this subparagraph 2 shall be required to be met with respect to every class or series of outstanding Voting Stock, whether or not as an Interested Stockholder has previously acquired any shares of a particular class of Voting Stock):</w:t>
      </w:r>
    </w:p>
    <w:p>
      <w:pPr>
        <w:spacing w:after="0" w:line="172" w:lineRule="exact"/>
        <w:rPr>
          <w:rFonts w:ascii="Arial" w:cs="Arial" w:eastAsia="Arial" w:hAnsi="Arial"/>
          <w:sz w:val="20"/>
          <w:szCs w:val="20"/>
          <w:color w:val="auto"/>
        </w:rPr>
      </w:pPr>
    </w:p>
    <w:p>
      <w:pPr>
        <w:ind w:right="40" w:firstLine="1953"/>
        <w:spacing w:after="0" w:line="259" w:lineRule="auto"/>
        <w:tabs>
          <w:tab w:leader="none" w:pos="2242" w:val="left"/>
        </w:tabs>
        <w:numPr>
          <w:ilvl w:val="1"/>
          <w:numId w:val="29"/>
        </w:numPr>
        <w:rPr>
          <w:rFonts w:ascii="Arial" w:cs="Arial" w:eastAsia="Arial" w:hAnsi="Arial"/>
          <w:sz w:val="19"/>
          <w:szCs w:val="19"/>
          <w:color w:val="auto"/>
        </w:rPr>
      </w:pPr>
      <w:r>
        <w:rPr>
          <w:rFonts w:ascii="Arial" w:cs="Arial" w:eastAsia="Arial" w:hAnsi="Arial"/>
          <w:sz w:val="19"/>
          <w:szCs w:val="19"/>
          <w:color w:val="auto"/>
        </w:rPr>
        <w:t>(if applicable) the highest per share price (including brokerage commissions, transfer taxes and soliciting dealers' fees) paid in order to acquire any shares of such class or series of Voting Stock beneficially owned by an Interested Stockholder (i) within the two-year period immediately prior to the Announcement Date, (ii) within the two-year period immediately prior to the Determination Date, or (iii) in the transaction in which it became an Interested Stockholder, whichever is highest; or</w:t>
      </w:r>
    </w:p>
    <w:p>
      <w:pPr>
        <w:spacing w:after="0" w:line="150" w:lineRule="exact"/>
        <w:rPr>
          <w:rFonts w:ascii="Arial" w:cs="Arial" w:eastAsia="Arial" w:hAnsi="Arial"/>
          <w:sz w:val="19"/>
          <w:szCs w:val="19"/>
          <w:color w:val="auto"/>
        </w:rPr>
      </w:pPr>
    </w:p>
    <w:p>
      <w:pPr>
        <w:ind w:right="320" w:firstLine="1953"/>
        <w:spacing w:after="0" w:line="247" w:lineRule="auto"/>
        <w:tabs>
          <w:tab w:leader="none" w:pos="2242" w:val="left"/>
        </w:tabs>
        <w:numPr>
          <w:ilvl w:val="1"/>
          <w:numId w:val="29"/>
        </w:numPr>
        <w:rPr>
          <w:rFonts w:ascii="Arial" w:cs="Arial" w:eastAsia="Arial" w:hAnsi="Arial"/>
          <w:sz w:val="20"/>
          <w:szCs w:val="20"/>
          <w:color w:val="auto"/>
        </w:rPr>
      </w:pPr>
      <w:r>
        <w:rPr>
          <w:rFonts w:ascii="Arial" w:cs="Arial" w:eastAsia="Arial" w:hAnsi="Arial"/>
          <w:sz w:val="20"/>
          <w:szCs w:val="20"/>
          <w:color w:val="auto"/>
        </w:rPr>
        <w:t>the Fair Market Value per share of such class or series of Voting Stock on the Announcement Date or the Determination Date, whichever is higher; or</w:t>
      </w:r>
    </w:p>
    <w:p>
      <w:pPr>
        <w:spacing w:after="0" w:line="161" w:lineRule="exact"/>
        <w:rPr>
          <w:rFonts w:ascii="Arial" w:cs="Arial" w:eastAsia="Arial" w:hAnsi="Arial"/>
          <w:sz w:val="20"/>
          <w:szCs w:val="20"/>
          <w:color w:val="auto"/>
        </w:rPr>
      </w:pPr>
    </w:p>
    <w:p>
      <w:pPr>
        <w:ind w:right="540" w:firstLine="1953"/>
        <w:spacing w:after="0" w:line="247" w:lineRule="auto"/>
        <w:tabs>
          <w:tab w:leader="none" w:pos="2231" w:val="left"/>
        </w:tabs>
        <w:numPr>
          <w:ilvl w:val="1"/>
          <w:numId w:val="29"/>
        </w:numPr>
        <w:rPr>
          <w:rFonts w:ascii="Arial" w:cs="Arial" w:eastAsia="Arial" w:hAnsi="Arial"/>
          <w:sz w:val="20"/>
          <w:szCs w:val="20"/>
          <w:color w:val="auto"/>
        </w:rPr>
      </w:pPr>
      <w:r>
        <w:rPr>
          <w:rFonts w:ascii="Arial" w:cs="Arial" w:eastAsia="Arial" w:hAnsi="Arial"/>
          <w:sz w:val="20"/>
          <w:szCs w:val="20"/>
          <w:color w:val="auto"/>
        </w:rPr>
        <w:t>(if applicable) the highest preferential amount per share to which holders of shares of such class or series of Voting Stock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6-10</w:t>
      </w:r>
    </w:p>
    <w:p>
      <w:pPr>
        <w:sectPr>
          <w:pgSz w:w="11900" w:h="16838" w:orient="portrait"/>
          <w:cols w:equalWidth="0" w:num="1">
            <w:col w:w="11420"/>
          </w:cols>
          <w:pgMar w:left="240" w:top="58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entitled in the event of any voluntary or involuntary liquidation, dissolution or winding up of the corporation;</w:t>
      </w:r>
    </w:p>
    <w:p>
      <w:pPr>
        <w:spacing w:after="0" w:line="175" w:lineRule="exact"/>
        <w:rPr>
          <w:sz w:val="20"/>
          <w:szCs w:val="20"/>
          <w:color w:val="auto"/>
        </w:rPr>
      </w:pPr>
    </w:p>
    <w:p>
      <w:pPr>
        <w:ind w:firstLine="1305"/>
        <w:spacing w:after="0"/>
        <w:tabs>
          <w:tab w:leader="none" w:pos="1516"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consideration to be received by holders of a particular class or series of outstanding Voting Stock (including Common Stock) will be in cash or in the same form as was previously paid in order to acquire shares of such class or series of Voting Stock which are beneficially owned by an Interested Stockholder and, if an Interested Stockholder beneficially owns shares of any class or series of Voting Stock which were acquired with varying forms of consideration, the form of consideration for such class or series of Voting Stock shall be either cash or the form used to acquire the largest number of shares of such class or series of Voting Stock beneficially owned by it. The price determination in accordance with subparagraphs 1 and 2 of the Paragraph (B) shall be subject to appropriate adjustment in the event of any recapitalization, stock dividend, stock split, combination of shares or similar event;</w:t>
      </w:r>
    </w:p>
    <w:p>
      <w:pPr>
        <w:spacing w:after="0" w:line="172" w:lineRule="exact"/>
        <w:rPr>
          <w:rFonts w:ascii="Arial" w:cs="Arial" w:eastAsia="Arial" w:hAnsi="Arial"/>
          <w:sz w:val="20"/>
          <w:szCs w:val="20"/>
          <w:color w:val="auto"/>
        </w:rPr>
      </w:pPr>
    </w:p>
    <w:p>
      <w:pPr>
        <w:ind w:right="100" w:firstLine="1305"/>
        <w:spacing w:after="0" w:line="247" w:lineRule="auto"/>
        <w:tabs>
          <w:tab w:leader="none" w:pos="151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After such Interested Stockholder has become an Interested Stockholder and prior to the consummation of such Business Combination:</w:t>
      </w:r>
    </w:p>
    <w:p>
      <w:pPr>
        <w:spacing w:after="0" w:line="161" w:lineRule="exact"/>
        <w:rPr>
          <w:rFonts w:ascii="Arial" w:cs="Arial" w:eastAsia="Arial" w:hAnsi="Arial"/>
          <w:sz w:val="20"/>
          <w:szCs w:val="20"/>
          <w:color w:val="auto"/>
        </w:rPr>
      </w:pPr>
    </w:p>
    <w:p>
      <w:pPr>
        <w:ind w:right="80" w:firstLine="1953"/>
        <w:spacing w:after="0" w:line="243" w:lineRule="auto"/>
        <w:tabs>
          <w:tab w:leader="none" w:pos="2242" w:val="left"/>
        </w:tabs>
        <w:numPr>
          <w:ilvl w:val="1"/>
          <w:numId w:val="30"/>
        </w:numPr>
        <w:rPr>
          <w:rFonts w:ascii="Arial" w:cs="Arial" w:eastAsia="Arial" w:hAnsi="Arial"/>
          <w:sz w:val="20"/>
          <w:szCs w:val="20"/>
          <w:color w:val="auto"/>
        </w:rPr>
      </w:pPr>
      <w:r>
        <w:rPr>
          <w:rFonts w:ascii="Arial" w:cs="Arial" w:eastAsia="Arial" w:hAnsi="Arial"/>
          <w:sz w:val="20"/>
          <w:szCs w:val="20"/>
          <w:color w:val="auto"/>
        </w:rPr>
        <w:t>except as approved by a majority of the Continuing Directors, there shall have been no failure to declare and pay at the regular date therefor the full amount of any dividends (whether or not cumulative) payable on any outstanding preferred stock;</w:t>
      </w:r>
    </w:p>
    <w:p>
      <w:pPr>
        <w:spacing w:after="0" w:line="165" w:lineRule="exact"/>
        <w:rPr>
          <w:rFonts w:ascii="Arial" w:cs="Arial" w:eastAsia="Arial" w:hAnsi="Arial"/>
          <w:sz w:val="20"/>
          <w:szCs w:val="20"/>
          <w:color w:val="auto"/>
        </w:rPr>
      </w:pPr>
    </w:p>
    <w:p>
      <w:pPr>
        <w:ind w:right="60" w:firstLine="1953"/>
        <w:spacing w:after="0" w:line="241" w:lineRule="auto"/>
        <w:tabs>
          <w:tab w:leader="none" w:pos="2242"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there shall have been (i) no reduction in the annual rate of dividends paid on the Common Stock (except as necessary to reflect any subdivision of the Common Stock) other than as approved by a majority of the Continuing Directors and (ii) an increase in such annual rate of dividends as necessary to prevent any such reduction in the event of any reclassification (including any reverse stock split), recapitalization, reorganization or any similar transaction which has the effect of reducing the number of outstanding shares of the Common Stock, unless the failure so to increase such annual rate is approved by a majority of the Continuing Directors; and</w:t>
      </w:r>
    </w:p>
    <w:p>
      <w:pPr>
        <w:spacing w:after="0" w:line="167" w:lineRule="exact"/>
        <w:rPr>
          <w:rFonts w:ascii="Arial" w:cs="Arial" w:eastAsia="Arial" w:hAnsi="Arial"/>
          <w:sz w:val="20"/>
          <w:szCs w:val="20"/>
          <w:color w:val="auto"/>
        </w:rPr>
      </w:pPr>
    </w:p>
    <w:p>
      <w:pPr>
        <w:ind w:right="520" w:firstLine="1953"/>
        <w:spacing w:after="0" w:line="247" w:lineRule="auto"/>
        <w:tabs>
          <w:tab w:leader="none" w:pos="2231" w:val="left"/>
        </w:tabs>
        <w:numPr>
          <w:ilvl w:val="1"/>
          <w:numId w:val="30"/>
        </w:numPr>
        <w:rPr>
          <w:rFonts w:ascii="Arial" w:cs="Arial" w:eastAsia="Arial" w:hAnsi="Arial"/>
          <w:sz w:val="20"/>
          <w:szCs w:val="20"/>
          <w:color w:val="auto"/>
        </w:rPr>
      </w:pPr>
      <w:r>
        <w:rPr>
          <w:rFonts w:ascii="Arial" w:cs="Arial" w:eastAsia="Arial" w:hAnsi="Arial"/>
          <w:sz w:val="20"/>
          <w:szCs w:val="20"/>
          <w:color w:val="auto"/>
        </w:rPr>
        <w:t>such Interested Stockholder shall not have become the beneficial owner of any additional shares of Voting Stock at a price lower than that paid in the transaction in which it became an Interested Stockholder.</w:t>
      </w:r>
    </w:p>
    <w:p>
      <w:pPr>
        <w:spacing w:after="0" w:line="161" w:lineRule="exact"/>
        <w:rPr>
          <w:rFonts w:ascii="Arial" w:cs="Arial" w:eastAsia="Arial" w:hAnsi="Arial"/>
          <w:sz w:val="20"/>
          <w:szCs w:val="20"/>
          <w:color w:val="auto"/>
        </w:rPr>
      </w:pPr>
    </w:p>
    <w:p>
      <w:pPr>
        <w:ind w:right="180" w:firstLine="1305"/>
        <w:spacing w:after="0" w:line="243" w:lineRule="auto"/>
        <w:tabs>
          <w:tab w:leader="none" w:pos="1516" w:val="left"/>
        </w:tabs>
        <w:numPr>
          <w:ilvl w:val="0"/>
          <w:numId w:val="30"/>
        </w:numPr>
        <w:rPr>
          <w:rFonts w:ascii="Arial" w:cs="Arial" w:eastAsia="Arial" w:hAnsi="Arial"/>
          <w:sz w:val="20"/>
          <w:szCs w:val="20"/>
          <w:color w:val="auto"/>
        </w:rPr>
      </w:pPr>
      <w:r>
        <w:rPr>
          <w:rFonts w:ascii="Arial" w:cs="Arial" w:eastAsia="Arial" w:hAnsi="Arial"/>
          <w:sz w:val="20"/>
          <w:szCs w:val="20"/>
          <w:color w:val="auto"/>
        </w:rPr>
        <w:t>After such Interested Stockholder has become an Interested Stockholder, such Interested Stockholder shall not have received the benefit, directly or indirectly (except proportionately as a stockholder), of any loans, advances, guarantees, pledges or other financial assistance or any tax credits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6-11</w:t>
      </w:r>
    </w:p>
    <w:p>
      <w:pPr>
        <w:sectPr>
          <w:pgSz w:w="11900" w:h="16838" w:orient="portrait"/>
          <w:cols w:equalWidth="0" w:num="1">
            <w:col w:w="11420"/>
          </w:cols>
          <w:pgMar w:left="240" w:top="582"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ind w:right="480"/>
        <w:spacing w:after="0" w:line="247" w:lineRule="auto"/>
        <w:rPr>
          <w:sz w:val="20"/>
          <w:szCs w:val="20"/>
          <w:color w:val="auto"/>
        </w:rPr>
      </w:pPr>
      <w:r>
        <w:rPr>
          <w:rFonts w:ascii="Arial" w:cs="Arial" w:eastAsia="Arial" w:hAnsi="Arial"/>
          <w:sz w:val="20"/>
          <w:szCs w:val="20"/>
          <w:color w:val="auto"/>
        </w:rPr>
        <w:t>other tax advantages provided the corporation, whether in anticipation of or in connection with such Business Combination or otherwise; and</w:t>
      </w:r>
    </w:p>
    <w:p>
      <w:pPr>
        <w:spacing w:after="0" w:line="161" w:lineRule="exact"/>
        <w:rPr>
          <w:sz w:val="20"/>
          <w:szCs w:val="20"/>
          <w:color w:val="auto"/>
        </w:rPr>
      </w:pPr>
    </w:p>
    <w:p>
      <w:pPr>
        <w:ind w:firstLine="1305"/>
        <w:spacing w:after="0"/>
        <w:tabs>
          <w:tab w:leader="none" w:pos="1516" w:val="left"/>
        </w:tabs>
        <w:numPr>
          <w:ilvl w:val="1"/>
          <w:numId w:val="31"/>
        </w:numPr>
        <w:rPr>
          <w:rFonts w:ascii="Arial" w:cs="Arial" w:eastAsia="Arial" w:hAnsi="Arial"/>
          <w:sz w:val="20"/>
          <w:szCs w:val="20"/>
          <w:color w:val="auto"/>
        </w:rPr>
      </w:pPr>
      <w:r>
        <w:rPr>
          <w:rFonts w:ascii="Arial" w:cs="Arial" w:eastAsia="Arial" w:hAnsi="Arial"/>
          <w:sz w:val="20"/>
          <w:szCs w:val="20"/>
          <w:color w:val="auto"/>
        </w:rPr>
        <w:t>A proxy or information statement describing the proposed Business Combination and complying with the requirements of the Securities Exchange Act of 1934, as amended, and the rules and regulations thereunder (or any subsequent provisions replacing such act, rules or regulations) shall be mailed to the stockholders of the corporation, no later than the earlier of (a) thirty (30) days prior to any vote on the proposed Business Combination or (b) if no vote on such Business Combination is required, sixty (60) days prior to the consummation of such Business Combination (whether or not such proxy or information statement is required to be mailed pursuant to such Act or subsequent provisions). Such proxy statement shall contain at the front thereof, in a prominent place, any recommendations as to the advisability (or inadvisability) of the Business Combination which the Continuing Directors, or any of them, may have furnished in writing and, if deemed advisable by a majority of the Continuing Directors, an opinion of a reputable investment banking firm as to the fairness (or lack of fairness) of the terms of such Business Combination, from the point of view of the holder of Voting Stock other than an Interested Stockholder (such investment banking firm to be selected by a majority of the Continuing Directors, to be furnished with all information it reasonably requests and to be paid a reasonable fee for its services upon receipt by the corporation of such opinion)</w:t>
      </w:r>
    </w:p>
    <w:p>
      <w:pPr>
        <w:spacing w:after="0" w:line="170" w:lineRule="exact"/>
        <w:rPr>
          <w:rFonts w:ascii="Arial" w:cs="Arial" w:eastAsia="Arial" w:hAnsi="Arial"/>
          <w:sz w:val="20"/>
          <w:szCs w:val="20"/>
          <w:color w:val="auto"/>
        </w:rPr>
      </w:pPr>
    </w:p>
    <w:p>
      <w:pPr>
        <w:ind w:left="1120" w:hanging="464"/>
        <w:spacing w:after="0"/>
        <w:tabs>
          <w:tab w:leader="none" w:pos="1120" w:val="left"/>
        </w:tabs>
        <w:numPr>
          <w:ilvl w:val="0"/>
          <w:numId w:val="32"/>
        </w:numPr>
        <w:rPr>
          <w:rFonts w:ascii="Arial" w:cs="Arial" w:eastAsia="Arial" w:hAnsi="Arial"/>
          <w:sz w:val="20"/>
          <w:szCs w:val="20"/>
          <w:color w:val="auto"/>
        </w:rPr>
      </w:pPr>
      <w:r>
        <w:rPr>
          <w:rFonts w:ascii="Arial" w:cs="Arial" w:eastAsia="Arial" w:hAnsi="Arial"/>
          <w:sz w:val="20"/>
          <w:szCs w:val="20"/>
          <w:color w:val="auto"/>
        </w:rPr>
        <w:t>For the purposes of this Provision:</w:t>
      </w:r>
    </w:p>
    <w:p>
      <w:pPr>
        <w:spacing w:after="0" w:line="175" w:lineRule="exact"/>
        <w:rPr>
          <w:rFonts w:ascii="Arial" w:cs="Arial" w:eastAsia="Arial" w:hAnsi="Arial"/>
          <w:sz w:val="20"/>
          <w:szCs w:val="20"/>
          <w:color w:val="auto"/>
        </w:rPr>
      </w:pPr>
    </w:p>
    <w:p>
      <w:pPr>
        <w:ind w:right="200" w:firstLine="1305"/>
        <w:spacing w:after="0" w:line="247" w:lineRule="auto"/>
        <w:tabs>
          <w:tab w:leader="none" w:pos="1517" w:val="left"/>
        </w:tabs>
        <w:numPr>
          <w:ilvl w:val="1"/>
          <w:numId w:val="32"/>
        </w:numPr>
        <w:rPr>
          <w:rFonts w:ascii="Arial" w:cs="Arial" w:eastAsia="Arial" w:hAnsi="Arial"/>
          <w:sz w:val="20"/>
          <w:szCs w:val="20"/>
          <w:color w:val="auto"/>
        </w:rPr>
      </w:pPr>
      <w:r>
        <w:rPr>
          <w:rFonts w:ascii="Arial" w:cs="Arial" w:eastAsia="Arial" w:hAnsi="Arial"/>
          <w:sz w:val="20"/>
          <w:szCs w:val="20"/>
          <w:color w:val="auto"/>
        </w:rPr>
        <w:t>“Business Combination” shall mean any transaction which is referred to in any one or more of subparagraphs 1 through 5 of Paragraph (A) of this Provision.</w:t>
      </w:r>
    </w:p>
    <w:p>
      <w:pPr>
        <w:spacing w:after="0" w:line="161" w:lineRule="exact"/>
        <w:rPr>
          <w:rFonts w:ascii="Arial" w:cs="Arial" w:eastAsia="Arial" w:hAnsi="Arial"/>
          <w:sz w:val="20"/>
          <w:szCs w:val="20"/>
          <w:color w:val="auto"/>
        </w:rPr>
      </w:pPr>
    </w:p>
    <w:p>
      <w:pPr>
        <w:ind w:right="640" w:firstLine="1305"/>
        <w:spacing w:after="0" w:line="247" w:lineRule="auto"/>
        <w:tabs>
          <w:tab w:leader="none" w:pos="1516" w:val="left"/>
        </w:tabs>
        <w:numPr>
          <w:ilvl w:val="1"/>
          <w:numId w:val="32"/>
        </w:numPr>
        <w:rPr>
          <w:rFonts w:ascii="Arial" w:cs="Arial" w:eastAsia="Arial" w:hAnsi="Arial"/>
          <w:sz w:val="20"/>
          <w:szCs w:val="20"/>
          <w:color w:val="auto"/>
        </w:rPr>
      </w:pPr>
      <w:r>
        <w:rPr>
          <w:rFonts w:ascii="Arial" w:cs="Arial" w:eastAsia="Arial" w:hAnsi="Arial"/>
          <w:sz w:val="20"/>
          <w:szCs w:val="20"/>
          <w:color w:val="auto"/>
        </w:rPr>
        <w:t>“Voting Stock” shall mean stock of all classes and series of the corporation entitled to vote generally in the election of Directors.</w:t>
      </w:r>
    </w:p>
    <w:p>
      <w:pPr>
        <w:spacing w:after="0" w:line="161" w:lineRule="exact"/>
        <w:rPr>
          <w:rFonts w:ascii="Arial" w:cs="Arial" w:eastAsia="Arial" w:hAnsi="Arial"/>
          <w:sz w:val="20"/>
          <w:szCs w:val="20"/>
          <w:color w:val="auto"/>
        </w:rPr>
      </w:pPr>
    </w:p>
    <w:p>
      <w:pPr>
        <w:ind w:left="1520" w:hanging="215"/>
        <w:spacing w:after="0"/>
        <w:tabs>
          <w:tab w:leader="none" w:pos="15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“Person” shall mean any individual, firm, trust, partnership, association, corporation or other entity;</w:t>
      </w:r>
    </w:p>
    <w:p>
      <w:pPr>
        <w:spacing w:after="0" w:line="175" w:lineRule="exact"/>
        <w:rPr>
          <w:rFonts w:ascii="Arial" w:cs="Arial" w:eastAsia="Arial" w:hAnsi="Arial"/>
          <w:sz w:val="20"/>
          <w:szCs w:val="20"/>
          <w:color w:val="auto"/>
        </w:rPr>
      </w:pPr>
    </w:p>
    <w:p>
      <w:pPr>
        <w:ind w:right="80" w:firstLine="1305"/>
        <w:spacing w:after="0" w:line="247" w:lineRule="auto"/>
        <w:tabs>
          <w:tab w:leader="none" w:pos="1516" w:val="left"/>
        </w:tabs>
        <w:numPr>
          <w:ilvl w:val="1"/>
          <w:numId w:val="32"/>
        </w:numPr>
        <w:rPr>
          <w:rFonts w:ascii="Arial" w:cs="Arial" w:eastAsia="Arial" w:hAnsi="Arial"/>
          <w:sz w:val="20"/>
          <w:szCs w:val="20"/>
          <w:color w:val="auto"/>
        </w:rPr>
      </w:pPr>
      <w:r>
        <w:rPr>
          <w:rFonts w:ascii="Arial" w:cs="Arial" w:eastAsia="Arial" w:hAnsi="Arial"/>
          <w:sz w:val="20"/>
          <w:szCs w:val="20"/>
          <w:color w:val="auto"/>
        </w:rPr>
        <w:t>“Interested Stockholder” shall mean any person (other than the corporation or any Subsidiary or any person who was a holder of common stock of the corporation on December 12, 1985) who or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6-12</w:t>
      </w:r>
    </w:p>
    <w:p>
      <w:pPr>
        <w:sectPr>
          <w:pgSz w:w="11900" w:h="16838" w:orient="portrait"/>
          <w:cols w:equalWidth="0" w:num="1">
            <w:col w:w="11420"/>
          </w:cols>
          <w:pgMar w:left="240" w:top="582"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04" w:lineRule="exact"/>
        <w:rPr>
          <w:sz w:val="20"/>
          <w:szCs w:val="20"/>
          <w:color w:val="auto"/>
        </w:rPr>
      </w:pPr>
    </w:p>
    <w:p>
      <w:pPr>
        <w:ind w:right="540" w:firstLine="1953"/>
        <w:spacing w:after="0" w:line="247" w:lineRule="auto"/>
        <w:tabs>
          <w:tab w:leader="none" w:pos="2242" w:val="left"/>
        </w:tabs>
        <w:numPr>
          <w:ilvl w:val="0"/>
          <w:numId w:val="33"/>
        </w:numPr>
        <w:rPr>
          <w:rFonts w:ascii="Arial" w:cs="Arial" w:eastAsia="Arial" w:hAnsi="Arial"/>
          <w:sz w:val="20"/>
          <w:szCs w:val="20"/>
          <w:color w:val="auto"/>
        </w:rPr>
      </w:pPr>
      <w:r>
        <w:rPr>
          <w:rFonts w:ascii="Arial" w:cs="Arial" w:eastAsia="Arial" w:hAnsi="Arial"/>
          <w:sz w:val="20"/>
          <w:szCs w:val="20"/>
          <w:color w:val="auto"/>
        </w:rPr>
        <w:t>is the beneficial owner, directly or indirectly, of more than ten (10%) percent of the combined voting power of the then outstanding Voting Stock; or</w:t>
      </w:r>
    </w:p>
    <w:p>
      <w:pPr>
        <w:spacing w:after="0" w:line="161" w:lineRule="exact"/>
        <w:rPr>
          <w:rFonts w:ascii="Arial" w:cs="Arial" w:eastAsia="Arial" w:hAnsi="Arial"/>
          <w:sz w:val="20"/>
          <w:szCs w:val="20"/>
          <w:color w:val="auto"/>
        </w:rPr>
      </w:pPr>
    </w:p>
    <w:p>
      <w:pPr>
        <w:ind w:right="20" w:firstLine="1953"/>
        <w:spacing w:after="0" w:line="243" w:lineRule="auto"/>
        <w:tabs>
          <w:tab w:leader="none" w:pos="2242" w:val="left"/>
        </w:tabs>
        <w:numPr>
          <w:ilvl w:val="0"/>
          <w:numId w:val="33"/>
        </w:numPr>
        <w:rPr>
          <w:rFonts w:ascii="Arial" w:cs="Arial" w:eastAsia="Arial" w:hAnsi="Arial"/>
          <w:sz w:val="20"/>
          <w:szCs w:val="20"/>
          <w:color w:val="auto"/>
        </w:rPr>
      </w:pPr>
      <w:r>
        <w:rPr>
          <w:rFonts w:ascii="Arial" w:cs="Arial" w:eastAsia="Arial" w:hAnsi="Arial"/>
          <w:sz w:val="20"/>
          <w:szCs w:val="20"/>
          <w:color w:val="auto"/>
        </w:rPr>
        <w:t>is an Affiliate of the corporation and at any time within the two-year period immediately prior to the date in question was the beneficial owner, directly or indirectly of more than ten (10%) percent of the combined voting power of the then outstanding Voting Stock; or</w:t>
      </w:r>
    </w:p>
    <w:p>
      <w:pPr>
        <w:spacing w:after="0" w:line="165" w:lineRule="exact"/>
        <w:rPr>
          <w:rFonts w:ascii="Arial" w:cs="Arial" w:eastAsia="Arial" w:hAnsi="Arial"/>
          <w:sz w:val="20"/>
          <w:szCs w:val="20"/>
          <w:color w:val="auto"/>
        </w:rPr>
      </w:pPr>
    </w:p>
    <w:p>
      <w:pPr>
        <w:ind w:right="140" w:firstLine="1953"/>
        <w:spacing w:after="0" w:line="242" w:lineRule="auto"/>
        <w:tabs>
          <w:tab w:leader="none" w:pos="2231" w:val="left"/>
        </w:tabs>
        <w:numPr>
          <w:ilvl w:val="0"/>
          <w:numId w:val="33"/>
        </w:numPr>
        <w:rPr>
          <w:rFonts w:ascii="Arial" w:cs="Arial" w:eastAsia="Arial" w:hAnsi="Arial"/>
          <w:sz w:val="20"/>
          <w:szCs w:val="20"/>
          <w:color w:val="auto"/>
        </w:rPr>
      </w:pPr>
      <w:r>
        <w:rPr>
          <w:rFonts w:ascii="Arial" w:cs="Arial" w:eastAsia="Arial" w:hAnsi="Arial"/>
          <w:sz w:val="20"/>
          <w:szCs w:val="20"/>
          <w:color w:val="auto"/>
        </w:rPr>
        <w:t>is an assignee of or has otherwise succeeded to the beneficial ownership of any shares of voting stock which were at any time within the two-year period immediately prior to the date in question beneficially owned by an Interested Stockholder, unless such assignment or succession shall have occurred pursuant to a Public Transaction (as hereinafter defined) or any series of transactions involving a Public Transaction.</w:t>
      </w:r>
    </w:p>
    <w:p>
      <w:pPr>
        <w:spacing w:after="0" w:line="166" w:lineRule="exact"/>
        <w:rPr>
          <w:sz w:val="20"/>
          <w:szCs w:val="20"/>
          <w:color w:val="auto"/>
        </w:rPr>
      </w:pPr>
    </w:p>
    <w:p>
      <w:pPr>
        <w:ind w:right="160" w:firstLine="648"/>
        <w:spacing w:after="0" w:line="242" w:lineRule="auto"/>
        <w:rPr>
          <w:sz w:val="20"/>
          <w:szCs w:val="20"/>
          <w:color w:val="auto"/>
        </w:rPr>
      </w:pPr>
      <w:r>
        <w:rPr>
          <w:rFonts w:ascii="Arial" w:cs="Arial" w:eastAsia="Arial" w:hAnsi="Arial"/>
          <w:sz w:val="20"/>
          <w:szCs w:val="20"/>
          <w:color w:val="auto"/>
        </w:rPr>
        <w:t>For the purposes of determining whether a person is an Interested Stockholder, the number of shares of Voting Stock deemed to be outstanding shall include shares deemed owned through application of subparagraph 6 below but shall not include any other shares of Voting Stock which may be issuable pursuant to any agreement, arrangement or understanding, or upon exercise of conversion rights, warrants or option, or otherwise.</w:t>
      </w:r>
    </w:p>
    <w:p>
      <w:pPr>
        <w:spacing w:after="0" w:line="166" w:lineRule="exact"/>
        <w:rPr>
          <w:sz w:val="20"/>
          <w:szCs w:val="20"/>
          <w:color w:val="auto"/>
        </w:rPr>
      </w:pPr>
    </w:p>
    <w:p>
      <w:pPr>
        <w:ind w:right="280" w:firstLine="1305"/>
        <w:spacing w:after="0" w:line="242" w:lineRule="auto"/>
        <w:tabs>
          <w:tab w:leader="none" w:pos="1516" w:val="left"/>
        </w:tabs>
        <w:numPr>
          <w:ilvl w:val="0"/>
          <w:numId w:val="34"/>
        </w:numPr>
        <w:rPr>
          <w:rFonts w:ascii="Arial" w:cs="Arial" w:eastAsia="Arial" w:hAnsi="Arial"/>
          <w:sz w:val="20"/>
          <w:szCs w:val="20"/>
          <w:color w:val="auto"/>
        </w:rPr>
      </w:pPr>
      <w:r>
        <w:rPr>
          <w:rFonts w:ascii="Arial" w:cs="Arial" w:eastAsia="Arial" w:hAnsi="Arial"/>
          <w:sz w:val="20"/>
          <w:szCs w:val="20"/>
          <w:color w:val="auto"/>
        </w:rPr>
        <w:t>“Public Transaction” shall mean any (a) purchase of shares offered pursuant to an effective registration statement under the Securities Act of 1933 of (b) open-market purchase of shares on a national securities exchange if, in either such case, the price and other terms of sale are not negotiated by the purchaser and the seller of the beneficial interest in the shares.</w:t>
      </w:r>
    </w:p>
    <w:p>
      <w:pPr>
        <w:spacing w:after="0" w:line="166" w:lineRule="exact"/>
        <w:rPr>
          <w:rFonts w:ascii="Arial" w:cs="Arial" w:eastAsia="Arial" w:hAnsi="Arial"/>
          <w:sz w:val="20"/>
          <w:szCs w:val="20"/>
          <w:color w:val="auto"/>
        </w:rPr>
      </w:pPr>
    </w:p>
    <w:p>
      <w:pPr>
        <w:ind w:left="1520" w:hanging="215"/>
        <w:spacing w:after="0"/>
        <w:tabs>
          <w:tab w:leader="none" w:pos="1520" w:val="left"/>
        </w:tabs>
        <w:numPr>
          <w:ilvl w:val="0"/>
          <w:numId w:val="34"/>
        </w:numPr>
        <w:rPr>
          <w:rFonts w:ascii="Arial" w:cs="Arial" w:eastAsia="Arial" w:hAnsi="Arial"/>
          <w:sz w:val="20"/>
          <w:szCs w:val="20"/>
          <w:color w:val="auto"/>
        </w:rPr>
      </w:pPr>
      <w:r>
        <w:rPr>
          <w:rFonts w:ascii="Arial" w:cs="Arial" w:eastAsia="Arial" w:hAnsi="Arial"/>
          <w:sz w:val="20"/>
          <w:szCs w:val="20"/>
          <w:color w:val="auto"/>
        </w:rPr>
        <w:t>A person shall be a “beneficial owner” of any Voting Stock:</w:t>
      </w:r>
    </w:p>
    <w:p>
      <w:pPr>
        <w:spacing w:after="0" w:line="175" w:lineRule="exact"/>
        <w:rPr>
          <w:rFonts w:ascii="Arial" w:cs="Arial" w:eastAsia="Arial" w:hAnsi="Arial"/>
          <w:sz w:val="20"/>
          <w:szCs w:val="20"/>
          <w:color w:val="auto"/>
        </w:rPr>
      </w:pPr>
    </w:p>
    <w:p>
      <w:pPr>
        <w:ind w:left="2240" w:hanging="287"/>
        <w:spacing w:after="0"/>
        <w:tabs>
          <w:tab w:leader="none" w:pos="2240" w:val="left"/>
        </w:tabs>
        <w:numPr>
          <w:ilvl w:val="1"/>
          <w:numId w:val="34"/>
        </w:numPr>
        <w:rPr>
          <w:rFonts w:ascii="Arial" w:cs="Arial" w:eastAsia="Arial" w:hAnsi="Arial"/>
          <w:sz w:val="20"/>
          <w:szCs w:val="20"/>
          <w:color w:val="auto"/>
        </w:rPr>
      </w:pPr>
      <w:r>
        <w:rPr>
          <w:rFonts w:ascii="Arial" w:cs="Arial" w:eastAsia="Arial" w:hAnsi="Arial"/>
          <w:sz w:val="20"/>
          <w:szCs w:val="20"/>
          <w:color w:val="auto"/>
        </w:rPr>
        <w:t>which such person or any of its Affiliates beneficially owns, directly or indirectly; or</w:t>
      </w:r>
    </w:p>
    <w:p>
      <w:pPr>
        <w:spacing w:after="0" w:line="175" w:lineRule="exact"/>
        <w:rPr>
          <w:rFonts w:ascii="Arial" w:cs="Arial" w:eastAsia="Arial" w:hAnsi="Arial"/>
          <w:sz w:val="20"/>
          <w:szCs w:val="20"/>
          <w:color w:val="auto"/>
        </w:rPr>
      </w:pPr>
    </w:p>
    <w:p>
      <w:pPr>
        <w:ind w:right="100" w:firstLine="1953"/>
        <w:spacing w:after="0" w:line="242" w:lineRule="auto"/>
        <w:tabs>
          <w:tab w:leader="none" w:pos="2242" w:val="left"/>
        </w:tabs>
        <w:numPr>
          <w:ilvl w:val="1"/>
          <w:numId w:val="34"/>
        </w:numPr>
        <w:rPr>
          <w:rFonts w:ascii="Arial" w:cs="Arial" w:eastAsia="Arial" w:hAnsi="Arial"/>
          <w:sz w:val="20"/>
          <w:szCs w:val="20"/>
          <w:color w:val="auto"/>
        </w:rPr>
      </w:pPr>
      <w:r>
        <w:rPr>
          <w:rFonts w:ascii="Arial" w:cs="Arial" w:eastAsia="Arial" w:hAnsi="Arial"/>
          <w:sz w:val="20"/>
          <w:szCs w:val="20"/>
          <w:color w:val="auto"/>
        </w:rPr>
        <w:t>which such person or any of its Affiliates has (i) the right to acquire (whether such right is exercisable immediately or only after the passage of time) pursuant to any agreement, arrangement or understanding or upon the exercise of conversion rights, exchange rights, warrants or options, or otherwise or (ii) the right to vote or to direct the voting thereof pursuant to any agreement, arrangement or understanding;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6-13</w:t>
      </w:r>
    </w:p>
    <w:p>
      <w:pPr>
        <w:sectPr>
          <w:pgSz w:w="11900" w:h="16838" w:orient="portrait"/>
          <w:cols w:equalWidth="0" w:num="1">
            <w:col w:w="11420"/>
          </w:cols>
          <w:pgMar w:left="240" w:top="582"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ind w:right="220" w:firstLine="1953"/>
        <w:spacing w:after="0" w:line="243" w:lineRule="auto"/>
        <w:tabs>
          <w:tab w:leader="none" w:pos="2231" w:val="left"/>
        </w:tabs>
        <w:numPr>
          <w:ilvl w:val="1"/>
          <w:numId w:val="35"/>
        </w:numPr>
        <w:rPr>
          <w:rFonts w:ascii="Arial" w:cs="Arial" w:eastAsia="Arial" w:hAnsi="Arial"/>
          <w:sz w:val="20"/>
          <w:szCs w:val="20"/>
          <w:color w:val="auto"/>
        </w:rPr>
      </w:pPr>
      <w:r>
        <w:rPr>
          <w:rFonts w:ascii="Arial" w:cs="Arial" w:eastAsia="Arial" w:hAnsi="Arial"/>
          <w:sz w:val="20"/>
          <w:szCs w:val="20"/>
          <w:color w:val="auto"/>
        </w:rPr>
        <w:t>which is beneficially owned, directly or indirectly, by any other person with which such person or any of its Affiliates has any agreement, arrangement or understanding for the purpose of acquiring, holding, voting or disposing of any shares of Voting Stock.</w:t>
      </w:r>
    </w:p>
    <w:p>
      <w:pPr>
        <w:spacing w:after="0" w:line="165" w:lineRule="exact"/>
        <w:rPr>
          <w:rFonts w:ascii="Arial" w:cs="Arial" w:eastAsia="Arial" w:hAnsi="Arial"/>
          <w:sz w:val="20"/>
          <w:szCs w:val="20"/>
          <w:color w:val="auto"/>
        </w:rPr>
      </w:pPr>
    </w:p>
    <w:p>
      <w:pPr>
        <w:ind w:right="240" w:firstLine="656"/>
        <w:spacing w:after="0" w:line="247" w:lineRule="auto"/>
        <w:tabs>
          <w:tab w:leader="none" w:pos="868" w:val="left"/>
        </w:tabs>
        <w:numPr>
          <w:ilvl w:val="0"/>
          <w:numId w:val="36"/>
        </w:numPr>
        <w:rPr>
          <w:rFonts w:ascii="Arial" w:cs="Arial" w:eastAsia="Arial" w:hAnsi="Arial"/>
          <w:sz w:val="20"/>
          <w:szCs w:val="20"/>
          <w:color w:val="auto"/>
        </w:rPr>
      </w:pPr>
      <w:r>
        <w:rPr>
          <w:rFonts w:ascii="Arial" w:cs="Arial" w:eastAsia="Arial" w:hAnsi="Arial"/>
          <w:sz w:val="20"/>
          <w:szCs w:val="20"/>
          <w:color w:val="auto"/>
        </w:rPr>
        <w:t>“Affiliate” shall have the meaning ascribed to such term in Rule 12b-2 of the General Rules and Regulations under the Securities Exchange Act of 1934, as in effect on August 10, 1990.</w:t>
      </w:r>
    </w:p>
    <w:p>
      <w:pPr>
        <w:spacing w:after="0" w:line="161" w:lineRule="exact"/>
        <w:rPr>
          <w:rFonts w:ascii="Arial" w:cs="Arial" w:eastAsia="Arial" w:hAnsi="Arial"/>
          <w:sz w:val="20"/>
          <w:szCs w:val="20"/>
          <w:color w:val="auto"/>
        </w:rPr>
      </w:pPr>
    </w:p>
    <w:p>
      <w:pPr>
        <w:ind w:right="40" w:firstLine="656"/>
        <w:spacing w:after="0" w:line="241" w:lineRule="auto"/>
        <w:tabs>
          <w:tab w:leader="none" w:pos="868" w:val="left"/>
        </w:tabs>
        <w:numPr>
          <w:ilvl w:val="0"/>
          <w:numId w:val="36"/>
        </w:numPr>
        <w:rPr>
          <w:rFonts w:ascii="Arial" w:cs="Arial" w:eastAsia="Arial" w:hAnsi="Arial"/>
          <w:sz w:val="20"/>
          <w:szCs w:val="20"/>
          <w:color w:val="auto"/>
        </w:rPr>
      </w:pPr>
      <w:r>
        <w:rPr>
          <w:rFonts w:ascii="Arial" w:cs="Arial" w:eastAsia="Arial" w:hAnsi="Arial"/>
          <w:sz w:val="20"/>
          <w:szCs w:val="20"/>
          <w:color w:val="auto"/>
        </w:rPr>
        <w:t>“Subsidiary” shall mean any corporation of which a majority of any class of equity security (as defined in Rule 3a11.1 of the General Rules and Regulations under the Securities Exchange Act of 1934, as in effect on August 10, 1990) is owned, directly or indirectly, by the corporation; provided, however, that for the purposes of the definition of Interested Stockholder set forth in subparagraph 4, the term “Subsidiary” shall mean only a corporation of which a majority of each class of equity security is owned, directly or indirectly, by the corporation.</w:t>
      </w:r>
    </w:p>
    <w:p>
      <w:pPr>
        <w:spacing w:after="0" w:line="168" w:lineRule="exact"/>
        <w:rPr>
          <w:rFonts w:ascii="Arial" w:cs="Arial" w:eastAsia="Arial" w:hAnsi="Arial"/>
          <w:sz w:val="20"/>
          <w:szCs w:val="20"/>
          <w:color w:val="auto"/>
        </w:rPr>
      </w:pPr>
    </w:p>
    <w:p>
      <w:pPr>
        <w:ind w:right="180" w:firstLine="656"/>
        <w:spacing w:after="0" w:line="241" w:lineRule="auto"/>
        <w:tabs>
          <w:tab w:leader="none" w:pos="868" w:val="left"/>
        </w:tabs>
        <w:numPr>
          <w:ilvl w:val="0"/>
          <w:numId w:val="36"/>
        </w:numPr>
        <w:rPr>
          <w:rFonts w:ascii="Arial" w:cs="Arial" w:eastAsia="Arial" w:hAnsi="Arial"/>
          <w:sz w:val="20"/>
          <w:szCs w:val="20"/>
          <w:color w:val="auto"/>
        </w:rPr>
      </w:pPr>
      <w:r>
        <w:rPr>
          <w:rFonts w:ascii="Arial" w:cs="Arial" w:eastAsia="Arial" w:hAnsi="Arial"/>
          <w:sz w:val="20"/>
          <w:szCs w:val="20"/>
          <w:color w:val="auto"/>
        </w:rPr>
        <w:t>“Continuing Director” shall mean any member of the Board of Directors of the corporation who is unaffiliated with, and not a nominee of, an Interested Stockholder and was a member of the Board prior to the time that such Interested Stockholder became an Interested Stockholder, and any successor of a Continuing Director who is unaffiliated with, and not a nominee of, an Interested Stockholder and is recommended to succeed a Continuing Director by a majority of Continuing Directors then on the Board.</w:t>
      </w:r>
    </w:p>
    <w:p>
      <w:pPr>
        <w:spacing w:after="0" w:line="168" w:lineRule="exact"/>
        <w:rPr>
          <w:rFonts w:ascii="Arial" w:cs="Arial" w:eastAsia="Arial" w:hAnsi="Arial"/>
          <w:sz w:val="20"/>
          <w:szCs w:val="20"/>
          <w:color w:val="auto"/>
        </w:rPr>
      </w:pPr>
    </w:p>
    <w:p>
      <w:pPr>
        <w:ind w:left="980" w:hanging="324"/>
        <w:spacing w:after="0"/>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“Announcement Date” shall mean the date of the first public announcement of the proposed Business Combination.</w:t>
      </w:r>
    </w:p>
    <w:p>
      <w:pPr>
        <w:spacing w:after="0" w:line="175" w:lineRule="exact"/>
        <w:rPr>
          <w:rFonts w:ascii="Arial" w:cs="Arial" w:eastAsia="Arial" w:hAnsi="Arial"/>
          <w:sz w:val="20"/>
          <w:szCs w:val="20"/>
          <w:color w:val="auto"/>
        </w:rPr>
      </w:pPr>
    </w:p>
    <w:p>
      <w:pPr>
        <w:ind w:left="980" w:hanging="324"/>
        <w:spacing w:after="0"/>
        <w:tabs>
          <w:tab w:leader="none" w:pos="9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“Determination Date” shall mean the date on which an Interested Stockholder became an Interested Stockholder.</w:t>
      </w:r>
    </w:p>
    <w:p>
      <w:pPr>
        <w:spacing w:after="0" w:line="175" w:lineRule="exact"/>
        <w:rPr>
          <w:rFonts w:ascii="Arial" w:cs="Arial" w:eastAsia="Arial" w:hAnsi="Arial"/>
          <w:sz w:val="20"/>
          <w:szCs w:val="20"/>
          <w:color w:val="auto"/>
        </w:rPr>
      </w:pPr>
    </w:p>
    <w:p>
      <w:pPr>
        <w:ind w:right="80" w:firstLine="656"/>
        <w:spacing w:after="0" w:line="256" w:lineRule="auto"/>
        <w:tabs>
          <w:tab w:leader="none" w:pos="978" w:val="left"/>
        </w:tabs>
        <w:numPr>
          <w:ilvl w:val="0"/>
          <w:numId w:val="36"/>
        </w:numPr>
        <w:rPr>
          <w:rFonts w:ascii="Arial" w:cs="Arial" w:eastAsia="Arial" w:hAnsi="Arial"/>
          <w:sz w:val="19"/>
          <w:szCs w:val="19"/>
          <w:color w:val="auto"/>
        </w:rPr>
      </w:pPr>
      <w:r>
        <w:rPr>
          <w:rFonts w:ascii="Arial" w:cs="Arial" w:eastAsia="Arial" w:hAnsi="Arial"/>
          <w:sz w:val="19"/>
          <w:szCs w:val="19"/>
          <w:color w:val="auto"/>
        </w:rPr>
        <w:t>“Fair Market Value” shall mean: (a) in the case of stock, the highest closing sale price during the thirty (30) day period immediately preceding the date in question of a share of such stock on the National Market System of the National Association of Securities Dealers Automated Quotation System or any system then in use on any national securities exchange or automated quotation system, or if no such quotations are available, the fair market value on the date in question of a share of such stock as determined by a majority of the Continuing Directors in good faith; and (b) in the case of property other than cash or stock, the fair market value of such property on the date in question as determined by a majority of the Continuing Directors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6-14</w:t>
      </w:r>
    </w:p>
    <w:p>
      <w:pPr>
        <w:sectPr>
          <w:pgSz w:w="11900" w:h="16838" w:orient="portrait"/>
          <w:cols w:equalWidth="0" w:num="1">
            <w:col w:w="11420"/>
          </w:cols>
          <w:pgMar w:left="240" w:top="582"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20"/>
          <w:szCs w:val="20"/>
          <w:color w:val="auto"/>
        </w:rPr>
        <w:t>4/91</w:t>
      </w:r>
    </w:p>
    <w:p>
      <w:pPr>
        <w:spacing w:after="0" w:line="200" w:lineRule="exact"/>
        <w:rPr>
          <w:sz w:val="20"/>
          <w:szCs w:val="20"/>
          <w:color w:val="auto"/>
        </w:rPr>
      </w:pPr>
    </w:p>
    <w:p>
      <w:pPr>
        <w:spacing w:after="0" w:line="218" w:lineRule="exact"/>
        <w:rPr>
          <w:sz w:val="20"/>
          <w:szCs w:val="20"/>
          <w:color w:val="auto"/>
        </w:rPr>
      </w:pPr>
    </w:p>
    <w:p>
      <w:pPr>
        <w:ind w:right="40" w:firstLine="656"/>
        <w:spacing w:after="0"/>
        <w:tabs>
          <w:tab w:leader="none" w:pos="978" w:val="left"/>
        </w:tabs>
        <w:numPr>
          <w:ilvl w:val="0"/>
          <w:numId w:val="37"/>
        </w:numPr>
        <w:rPr>
          <w:rFonts w:ascii="Arial" w:cs="Arial" w:eastAsia="Arial" w:hAnsi="Arial"/>
          <w:sz w:val="20"/>
          <w:szCs w:val="20"/>
          <w:color w:val="auto"/>
        </w:rPr>
      </w:pPr>
      <w:r>
        <w:rPr>
          <w:rFonts w:ascii="Arial" w:cs="Arial" w:eastAsia="Arial" w:hAnsi="Arial"/>
          <w:sz w:val="20"/>
          <w:szCs w:val="20"/>
          <w:color w:val="auto"/>
        </w:rPr>
        <w:t>A majority of the Continuing Directors shall have the power and duty to determine for the purposes of this Provision, on the basis of information known to them after reasonable inquiry, all facts necessary to determine compliance with this Provision, including, without limitation, (1) whether a person is an Interest Stockholder, (2) the number of shares of Voting Stock beneficially owned by any person, (3) whether a person is an Affiliate of another, (4) whether the requirements of Paragraph (B) of this Provision have been met and (5) such other matters with respect to which a determination is required under this Provision. The good faith determination of a majority of the Continuing Directors on such matters shall be conclusive and binding for all purposes of this Provision.</w:t>
      </w:r>
    </w:p>
    <w:p>
      <w:pPr>
        <w:spacing w:after="0" w:line="172" w:lineRule="exact"/>
        <w:rPr>
          <w:rFonts w:ascii="Arial" w:cs="Arial" w:eastAsia="Arial" w:hAnsi="Arial"/>
          <w:sz w:val="20"/>
          <w:szCs w:val="20"/>
          <w:color w:val="auto"/>
        </w:rPr>
      </w:pPr>
    </w:p>
    <w:p>
      <w:pPr>
        <w:ind w:right="280" w:firstLine="656"/>
        <w:spacing w:after="0" w:line="247" w:lineRule="auto"/>
        <w:tabs>
          <w:tab w:leader="none" w:pos="967" w:val="left"/>
        </w:tabs>
        <w:numPr>
          <w:ilvl w:val="0"/>
          <w:numId w:val="37"/>
        </w:numPr>
        <w:rPr>
          <w:rFonts w:ascii="Arial" w:cs="Arial" w:eastAsia="Arial" w:hAnsi="Arial"/>
          <w:sz w:val="20"/>
          <w:szCs w:val="20"/>
          <w:color w:val="auto"/>
        </w:rPr>
      </w:pPr>
      <w:r>
        <w:rPr>
          <w:rFonts w:ascii="Arial" w:cs="Arial" w:eastAsia="Arial" w:hAnsi="Arial"/>
          <w:sz w:val="20"/>
          <w:szCs w:val="20"/>
          <w:color w:val="auto"/>
        </w:rPr>
        <w:t>Nothing contained in this Provision shall be construed to relieve an Interested Stockholder of any fiduciary obligation imposed by law.</w:t>
      </w:r>
    </w:p>
    <w:p>
      <w:pPr>
        <w:spacing w:after="0" w:line="161" w:lineRule="exact"/>
        <w:rPr>
          <w:rFonts w:ascii="Arial" w:cs="Arial" w:eastAsia="Arial" w:hAnsi="Arial"/>
          <w:sz w:val="20"/>
          <w:szCs w:val="20"/>
          <w:color w:val="auto"/>
        </w:rPr>
      </w:pPr>
    </w:p>
    <w:p>
      <w:pPr>
        <w:jc w:val="both"/>
        <w:ind w:right="140" w:firstLine="656"/>
        <w:spacing w:after="0" w:line="259" w:lineRule="auto"/>
        <w:tabs>
          <w:tab w:leader="none" w:pos="956" w:val="left"/>
        </w:tabs>
        <w:numPr>
          <w:ilvl w:val="0"/>
          <w:numId w:val="37"/>
        </w:numPr>
        <w:rPr>
          <w:rFonts w:ascii="Arial" w:cs="Arial" w:eastAsia="Arial" w:hAnsi="Arial"/>
          <w:sz w:val="19"/>
          <w:szCs w:val="19"/>
          <w:color w:val="auto"/>
        </w:rPr>
      </w:pPr>
      <w:r>
        <w:rPr>
          <w:rFonts w:ascii="Arial" w:cs="Arial" w:eastAsia="Arial" w:hAnsi="Arial"/>
          <w:sz w:val="19"/>
          <w:szCs w:val="19"/>
          <w:color w:val="auto"/>
        </w:rPr>
        <w:t>Notwithstanding any other provisions of these Articles of Organization or the By-laws of the corporation or the fact that a lesser percentage may be specified by law, these Articles of Organization or the By-laws of the corporation, the affirmative vote of the holders of at least eighty (80%) percent of the combined voting power of the then outstanding Voting Stock, voting together as a single class, shall be required to amend, alter, adopt any provision inconsistent with or repeal this Provision.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175"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Redemption of Shares</w:t>
      </w:r>
    </w:p>
    <w:p>
      <w:pPr>
        <w:spacing w:after="0" w:line="175" w:lineRule="exact"/>
        <w:rPr>
          <w:sz w:val="20"/>
          <w:szCs w:val="20"/>
          <w:color w:val="auto"/>
        </w:rPr>
      </w:pPr>
    </w:p>
    <w:p>
      <w:pPr>
        <w:ind w:right="180" w:firstLine="648"/>
        <w:spacing w:after="0" w:line="241" w:lineRule="auto"/>
        <w:rPr>
          <w:sz w:val="20"/>
          <w:szCs w:val="20"/>
          <w:color w:val="auto"/>
        </w:rPr>
      </w:pPr>
      <w:r>
        <w:rPr>
          <w:rFonts w:ascii="Arial" w:cs="Arial" w:eastAsia="Arial" w:hAnsi="Arial"/>
          <w:sz w:val="20"/>
          <w:szCs w:val="20"/>
          <w:color w:val="auto"/>
        </w:rPr>
        <w:t>In accordance with Section 6 of Chapter 110D of the General Laws of the Commonwealth of Massachusetts the corporation by action of its Board of Directors is authorized, at the option of the corporation by such Board of Directors action but without requiring the agreement of the person who has made a control share acquisition (as defined in said Chapter 110D), to redeem all but not less than all shares acquired in such a control share acquisition in accordance with and subject to the limitations contained in said Chapter 110D including Section 6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6-15</w:t>
      </w:r>
    </w:p>
    <w:p>
      <w:pPr>
        <w:sectPr>
          <w:pgSz w:w="11900" w:h="16838" w:orient="portrait"/>
          <w:cols w:equalWidth="0" w:num="1">
            <w:col w:w="11420"/>
          </w:cols>
          <w:pgMar w:left="240" w:top="582" w:right="239" w:bottom="1440" w:gutter="0" w:footer="0" w:header="0"/>
        </w:sectPr>
      </w:pPr>
    </w:p>
    <w:bookmarkStart w:id="50" w:name="page51"/>
    <w:bookmarkEnd w:id="5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120"/>
        <w:spacing w:after="0"/>
        <w:rPr>
          <w:sz w:val="20"/>
          <w:szCs w:val="20"/>
          <w:color w:val="auto"/>
        </w:rPr>
      </w:pPr>
      <w:r>
        <w:rPr>
          <w:rFonts w:ascii="Arial" w:cs="Arial" w:eastAsia="Arial" w:hAnsi="Arial"/>
          <w:sz w:val="22"/>
          <w:szCs w:val="22"/>
          <w:b w:val="1"/>
          <w:bCs w:val="1"/>
          <w:color w:val="auto"/>
        </w:rPr>
        <w:t>THE COMMONWEALTH OF MASSACHUSETTS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520"/>
        <w:spacing w:after="0"/>
        <w:rPr>
          <w:sz w:val="20"/>
          <w:szCs w:val="20"/>
          <w:color w:val="auto"/>
        </w:rPr>
      </w:pPr>
      <w:r>
        <w:rPr>
          <w:rFonts w:ascii="Arial" w:cs="Arial" w:eastAsia="Arial" w:hAnsi="Arial"/>
          <w:sz w:val="20"/>
          <w:szCs w:val="20"/>
          <w:b w:val="1"/>
          <w:bCs w:val="1"/>
          <w:color w:val="auto"/>
        </w:rPr>
        <w:t>RESTATED ARTICLES OF ORGANIZATION</w:t>
      </w:r>
    </w:p>
    <w:p>
      <w:pPr>
        <w:spacing w:after="0" w:line="175" w:lineRule="exact"/>
        <w:rPr>
          <w:sz w:val="20"/>
          <w:szCs w:val="20"/>
          <w:color w:val="auto"/>
        </w:rPr>
      </w:pPr>
    </w:p>
    <w:p>
      <w:pPr>
        <w:ind w:left="2560"/>
        <w:spacing w:after="0"/>
        <w:rPr>
          <w:sz w:val="20"/>
          <w:szCs w:val="20"/>
          <w:color w:val="auto"/>
        </w:rPr>
      </w:pPr>
      <w:r>
        <w:rPr>
          <w:rFonts w:ascii="Arial" w:cs="Arial" w:eastAsia="Arial" w:hAnsi="Arial"/>
          <w:sz w:val="20"/>
          <w:szCs w:val="20"/>
          <w:b w:val="1"/>
          <w:bCs w:val="1"/>
          <w:color w:val="auto"/>
        </w:rPr>
        <w:t>(General Laws, Chapter 156B, Section 74)</w:t>
      </w:r>
    </w:p>
    <w:p>
      <w:pPr>
        <w:spacing w:after="0" w:line="200" w:lineRule="exact"/>
        <w:rPr>
          <w:sz w:val="20"/>
          <w:szCs w:val="20"/>
          <w:color w:val="auto"/>
        </w:rPr>
      </w:pPr>
    </w:p>
    <w:p>
      <w:pPr>
        <w:spacing w:after="0" w:line="394" w:lineRule="exact"/>
        <w:rPr>
          <w:sz w:val="20"/>
          <w:szCs w:val="20"/>
          <w:color w:val="auto"/>
        </w:rPr>
      </w:pPr>
    </w:p>
    <w:p>
      <w:pPr>
        <w:ind w:left="3000"/>
        <w:spacing w:after="0"/>
        <w:rPr>
          <w:sz w:val="20"/>
          <w:szCs w:val="20"/>
          <w:color w:val="auto"/>
        </w:rPr>
      </w:pPr>
      <w:r>
        <w:rPr>
          <w:rFonts w:ascii="Arial" w:cs="Arial" w:eastAsia="Arial" w:hAnsi="Arial"/>
          <w:sz w:val="18"/>
          <w:szCs w:val="18"/>
          <w:color w:val="auto"/>
        </w:rPr>
        <w:t>I hereby approve the within restated articles of</w:t>
      </w:r>
    </w:p>
    <w:p>
      <w:pPr>
        <w:spacing w:after="0" w:line="185"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organization and the filing in the amount of</w:t>
      </w:r>
    </w:p>
    <w:p>
      <w:pPr>
        <w:spacing w:after="0" w:line="185" w:lineRule="exact"/>
        <w:rPr>
          <w:sz w:val="20"/>
          <w:szCs w:val="20"/>
          <w:color w:val="auto"/>
        </w:rPr>
      </w:pPr>
    </w:p>
    <w:p>
      <w:pPr>
        <w:ind w:left="2960" w:right="4140" w:firstLine="113"/>
        <w:spacing w:after="0" w:line="459" w:lineRule="auto"/>
        <w:tabs>
          <w:tab w:leader="none" w:pos="323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having been paid, said articles are deemed to have been filed with me this day of , 19 .</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left="2600"/>
        <w:spacing w:after="0"/>
        <w:rPr>
          <w:sz w:val="20"/>
          <w:szCs w:val="20"/>
          <w:color w:val="auto"/>
        </w:rPr>
      </w:pPr>
      <w:r>
        <w:rPr>
          <w:rFonts w:ascii="Arial" w:cs="Arial" w:eastAsia="Arial" w:hAnsi="Arial"/>
          <w:sz w:val="22"/>
          <w:szCs w:val="22"/>
          <w:b w:val="1"/>
          <w:bCs w:val="1"/>
          <w:color w:val="auto"/>
        </w:rPr>
        <w:t>MICHAEL JOSEPH CONNOLLY</w:t>
      </w:r>
    </w:p>
    <w:p>
      <w:pPr>
        <w:spacing w:after="0" w:line="17" w:lineRule="exact"/>
        <w:rPr>
          <w:sz w:val="20"/>
          <w:szCs w:val="20"/>
          <w:color w:val="auto"/>
        </w:rPr>
      </w:pPr>
    </w:p>
    <w:p>
      <w:pPr>
        <w:ind w:left="5120"/>
        <w:spacing w:after="0"/>
        <w:rPr>
          <w:sz w:val="20"/>
          <w:szCs w:val="20"/>
          <w:color w:val="auto"/>
        </w:rPr>
      </w:pPr>
      <w:r>
        <w:rPr>
          <w:rFonts w:ascii="Arial" w:cs="Arial" w:eastAsia="Arial" w:hAnsi="Arial"/>
          <w:sz w:val="20"/>
          <w:szCs w:val="20"/>
          <w:i w:val="1"/>
          <w:iCs w:val="1"/>
          <w:color w:val="auto"/>
        </w:rPr>
        <w:t>Secretary of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180"/>
        <w:spacing w:after="0"/>
        <w:rPr>
          <w:sz w:val="20"/>
          <w:szCs w:val="20"/>
          <w:color w:val="auto"/>
        </w:rPr>
      </w:pPr>
      <w:r>
        <w:rPr>
          <w:rFonts w:ascii="Arial" w:cs="Arial" w:eastAsia="Arial" w:hAnsi="Arial"/>
          <w:sz w:val="20"/>
          <w:szCs w:val="20"/>
          <w:b w:val="1"/>
          <w:bCs w:val="1"/>
          <w:color w:val="auto"/>
        </w:rPr>
        <w:t>TO BE FILLED IN BY CORPORATION</w:t>
      </w:r>
    </w:p>
    <w:p>
      <w:pPr>
        <w:spacing w:after="0" w:line="224"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PHOTO COPY OF RESTATED ARTICLES OF ORGANZIATON TO BE SENT</w:t>
      </w:r>
    </w:p>
    <w:p>
      <w:pPr>
        <w:spacing w:after="0" w:line="46"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TO:</w:t>
      </w:r>
    </w:p>
    <w:p>
      <w:pPr>
        <w:spacing w:after="0" w:line="200" w:lineRule="exact"/>
        <w:rPr>
          <w:sz w:val="20"/>
          <w:szCs w:val="20"/>
          <w:color w:val="auto"/>
        </w:rPr>
      </w:pPr>
    </w:p>
    <w:p>
      <w:pPr>
        <w:jc w:val="center"/>
        <w:ind w:right="1180"/>
        <w:spacing w:after="0"/>
        <w:rPr>
          <w:sz w:val="20"/>
          <w:szCs w:val="20"/>
          <w:color w:val="auto"/>
        </w:rPr>
      </w:pPr>
      <w:r>
        <w:rPr>
          <w:rFonts w:ascii="Arial" w:cs="Arial" w:eastAsia="Arial" w:hAnsi="Arial"/>
          <w:sz w:val="20"/>
          <w:szCs w:val="20"/>
          <w:u w:val="single" w:color="auto"/>
          <w:color w:val="auto"/>
        </w:rPr>
        <w:t>Mary Ellen O'Mara, P.C.</w:t>
      </w:r>
    </w:p>
    <w:p>
      <w:pPr>
        <w:spacing w:after="0" w:line="15" w:lineRule="exact"/>
        <w:rPr>
          <w:sz w:val="20"/>
          <w:szCs w:val="20"/>
          <w:color w:val="auto"/>
        </w:rPr>
      </w:pPr>
    </w:p>
    <w:p>
      <w:pPr>
        <w:jc w:val="center"/>
        <w:ind w:right="1180"/>
        <w:spacing w:after="0"/>
        <w:rPr>
          <w:sz w:val="20"/>
          <w:szCs w:val="20"/>
          <w:color w:val="auto"/>
        </w:rPr>
      </w:pPr>
      <w:r>
        <w:rPr>
          <w:rFonts w:ascii="Arial" w:cs="Arial" w:eastAsia="Arial" w:hAnsi="Arial"/>
          <w:sz w:val="20"/>
          <w:szCs w:val="20"/>
          <w:u w:val="single" w:color="auto"/>
          <w:color w:val="auto"/>
        </w:rPr>
        <w:t>Hutchins &amp; Wheeler</w:t>
      </w:r>
    </w:p>
    <w:p>
      <w:pPr>
        <w:jc w:val="center"/>
        <w:ind w:right="1180"/>
        <w:spacing w:after="0"/>
        <w:rPr>
          <w:sz w:val="20"/>
          <w:szCs w:val="20"/>
          <w:color w:val="auto"/>
        </w:rPr>
      </w:pPr>
      <w:r>
        <w:rPr>
          <w:rFonts w:ascii="Arial" w:cs="Arial" w:eastAsia="Arial" w:hAnsi="Arial"/>
          <w:sz w:val="20"/>
          <w:szCs w:val="20"/>
          <w:u w:val="single" w:color="auto"/>
          <w:color w:val="auto"/>
        </w:rPr>
        <w:t>101 Federal Street, Boston, MA 02110</w:t>
      </w:r>
    </w:p>
    <w:p>
      <w:pPr>
        <w:jc w:val="center"/>
        <w:ind w:right="1180"/>
        <w:spacing w:after="0"/>
        <w:rPr>
          <w:sz w:val="20"/>
          <w:szCs w:val="20"/>
          <w:color w:val="auto"/>
        </w:rPr>
      </w:pPr>
      <w:r>
        <w:rPr>
          <w:rFonts w:ascii="Arial" w:cs="Arial" w:eastAsia="Arial" w:hAnsi="Arial"/>
          <w:sz w:val="20"/>
          <w:szCs w:val="20"/>
          <w:u w:val="single" w:color="auto"/>
          <w:color w:val="auto"/>
        </w:rPr>
        <w:t>Telephone 617-951-6600</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Copy Mailed</w:t>
      </w:r>
    </w:p>
    <w:p>
      <w:pPr>
        <w:sectPr>
          <w:pgSz w:w="11900" w:h="16838" w:orient="portrait"/>
          <w:cols w:equalWidth="0" w:num="1">
            <w:col w:w="10220"/>
          </w:cols>
          <w:pgMar w:left="1440" w:top="1440"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1, 2013</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Brian Concannon, President and Chief Executive</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904"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17"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40" w:hanging="324"/>
        <w:spacing w:after="0" w:line="342" w:lineRule="auto"/>
        <w:tabs>
          <w:tab w:leader="none" w:pos="9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120" w:hanging="32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February 1, 2013</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31750</wp:posOffset>
            </wp:positionV>
            <wp:extent cx="3112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Christopher Lindop, Chief Financial Officer and</w:t>
      </w:r>
    </w:p>
    <w:p>
      <w:pPr>
        <w:spacing w:after="0" w:line="6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Vice President Business Development</w:t>
      </w:r>
    </w:p>
    <w:p>
      <w:pPr>
        <w:spacing w:after="0" w:line="2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905"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29, 2012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February 1, 2013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Brian Concannon,</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6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796"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ended December 29, 2012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February 1, 2013</w:t>
      </w:r>
    </w:p>
    <w:p>
      <w:pPr>
        <w:spacing w:after="0" w:line="17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/s/ 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28987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Christopher Lindop,</w:t>
      </w:r>
    </w:p>
    <w:p>
      <w:pPr>
        <w:spacing w:after="0" w:line="6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Chief Financial Officer and Vice President</w:t>
      </w:r>
    </w:p>
    <w:p>
      <w:pPr>
        <w:spacing w:after="0" w:line="23"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Business Development</w:t>
      </w:r>
    </w:p>
    <w:p>
      <w:pPr>
        <w:spacing w:after="0" w:line="200" w:lineRule="exact"/>
        <w:rPr>
          <w:sz w:val="20"/>
          <w:szCs w:val="20"/>
          <w:color w:val="auto"/>
        </w:rPr>
      </w:pPr>
    </w:p>
    <w:p>
      <w:pPr>
        <w:spacing w:after="0" w:line="25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3"/>
    </w:lvl>
  </w:abstractNum>
  <w:abstractNum w:abstractNumId="1">
    <w:nsid w:val="333AB105"/>
    <w:multiLevelType w:val="hybridMultilevel"/>
    <w:lvl w:ilvl="0">
      <w:lvlJc w:val="left"/>
      <w:lvlText w:val="(%1)"/>
      <w:numFmt w:val="decimal"/>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4"/>
    </w:lvl>
  </w:abstractNum>
  <w:abstractNum w:abstractNumId="10">
    <w:nsid w:val="B03E0C6"/>
    <w:multiLevelType w:val="hybridMultilevel"/>
    <w:lvl w:ilvl="0">
      <w:lvlJc w:val="left"/>
      <w:lvlText w:val="%1."/>
      <w:numFmt w:val="decimal"/>
      <w:start w:val="5"/>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upperLetter"/>
      <w:start w:val="9"/>
    </w:lvl>
    <w:lvl w:ilvl="1">
      <w:lvlJc w:val="left"/>
      <w:lvlText w:val="%2."/>
      <w:numFmt w:val="decimal"/>
      <w:start w:val="1"/>
    </w:lvl>
    <w:lvl w:ilvl="2">
      <w:lvlJc w:val="left"/>
      <w:lvlText w:val="(%3)"/>
      <w:numFmt w:val="decimal"/>
      <w:start w:val="1"/>
    </w:lvl>
  </w:abstractNum>
  <w:abstractNum w:abstractNumId="15">
    <w:nsid w:val="836C40E"/>
    <w:multiLevelType w:val="hybridMultilevel"/>
    <w:lvl w:ilvl="0">
      <w:lvlJc w:val="left"/>
      <w:lvlText w:val="(%1)"/>
      <w:numFmt w:val="decimal"/>
      <w:start w:val="2"/>
    </w:lvl>
  </w:abstractNum>
  <w:abstractNum w:abstractNumId="16">
    <w:nsid w:val="2901D82"/>
    <w:multiLevelType w:val="hybridMultilevel"/>
    <w:lvl w:ilvl="0">
      <w:lvlJc w:val="left"/>
      <w:lvlText w:val="%1."/>
      <w:numFmt w:val="decimal"/>
      <w:start w:val="5"/>
    </w:lvl>
  </w:abstractNum>
  <w:abstractNum w:abstractNumId="17">
    <w:nsid w:val="3A95F874"/>
    <w:multiLevelType w:val="hybridMultilevel"/>
    <w:lvl w:ilvl="0">
      <w:lvlJc w:val="left"/>
      <w:lvlText w:val="%1."/>
      <w:numFmt w:val="decimal"/>
      <w:start w:val="8"/>
    </w:lvl>
  </w:abstractNum>
  <w:abstractNum w:abstractNumId="18">
    <w:nsid w:val="8138641"/>
    <w:multiLevelType w:val="hybridMultilevel"/>
    <w:lvl w:ilvl="0">
      <w:lvlJc w:val="left"/>
      <w:lvlText w:val="%1"/>
      <w:numFmt w:val="lowerRoman"/>
      <w:start w:val="1"/>
    </w:lvl>
    <w:lvl w:ilvl="1">
      <w:lvlJc w:val="left"/>
      <w:lvlText w:val="%2."/>
      <w:numFmt w:val="decimal"/>
      <w:start w:val="13"/>
    </w:lvl>
  </w:abstractNum>
  <w:abstractNum w:abstractNumId="19">
    <w:nsid w:val="1E7FF521"/>
    <w:multiLevelType w:val="hybridMultilevel"/>
    <w:lvl w:ilvl="0">
      <w:lvlJc w:val="left"/>
      <w:lvlText w:val="(%1)"/>
      <w:numFmt w:val="lowerRoman"/>
      <w:start w:val="4"/>
    </w:lvl>
    <w:lvl w:ilvl="1">
      <w:lvlJc w:val="left"/>
      <w:lvlText w:val="%2"/>
      <w:numFmt w:val="decimal"/>
      <w:start w:val="1"/>
    </w:lvl>
  </w:abstractNum>
  <w:abstractNum w:abstractNumId="20">
    <w:nsid w:val="7C3DBD3D"/>
    <w:multiLevelType w:val="hybridMultilevel"/>
    <w:lvl w:ilvl="0">
      <w:lvlJc w:val="left"/>
      <w:lvlText w:val="%1."/>
      <w:numFmt w:val="upperLetter"/>
      <w:start w:val="35"/>
    </w:lvl>
    <w:lvl w:ilvl="1">
      <w:lvlJc w:val="left"/>
      <w:lvlText w:val="%2."/>
      <w:numFmt w:val="decimal"/>
      <w:start w:val="1"/>
    </w:lvl>
  </w:abstractNum>
  <w:abstractNum w:abstractNumId="21">
    <w:nsid w:val="737B8DDC"/>
    <w:multiLevelType w:val="hybridMultilevel"/>
    <w:lvl w:ilvl="0">
      <w:lvlJc w:val="left"/>
      <w:lvlText w:val="%1."/>
      <w:numFmt w:val="decimal"/>
      <w:start w:val="2"/>
    </w:lvl>
  </w:abstractNum>
  <w:abstractNum w:abstractNumId="22">
    <w:nsid w:val="6CEAF087"/>
    <w:multiLevelType w:val="hybridMultilevel"/>
    <w:lvl w:ilvl="0">
      <w:lvlJc w:val="left"/>
      <w:lvlText w:val="%1."/>
      <w:numFmt w:val="upperLetter"/>
      <w:start w:val="61"/>
    </w:lvl>
    <w:lvl w:ilvl="1">
      <w:lvlJc w:val="left"/>
      <w:lvlText w:val="(%2)"/>
      <w:numFmt w:val="lowerLetter"/>
      <w:start w:val="1"/>
    </w:lvl>
  </w:abstractNum>
  <w:abstractNum w:abstractNumId="23">
    <w:nsid w:val="22221A70"/>
    <w:multiLevelType w:val="hybridMultilevel"/>
    <w:lvl w:ilvl="0">
      <w:lvlJc w:val="left"/>
      <w:lvlText w:val="(%1)"/>
      <w:numFmt w:val="lowerLetter"/>
      <w:start w:val="3"/>
    </w:lvl>
  </w:abstractNum>
  <w:abstractNum w:abstractNumId="24">
    <w:nsid w:val="4516DDE9"/>
    <w:multiLevelType w:val="hybridMultilevel"/>
    <w:lvl w:ilvl="0">
      <w:lvlJc w:val="left"/>
      <w:lvlText w:val="(%1)"/>
      <w:numFmt w:val="upperLetter"/>
      <w:start w:val="1"/>
    </w:lvl>
    <w:lvl w:ilvl="1">
      <w:lvlJc w:val="left"/>
      <w:lvlText w:val="%2."/>
      <w:numFmt w:val="decimal"/>
      <w:start w:val="1"/>
    </w:lvl>
  </w:abstractNum>
  <w:abstractNum w:abstractNumId="25">
    <w:nsid w:val="3006C83E"/>
    <w:multiLevelType w:val="hybridMultilevel"/>
    <w:lvl w:ilvl="0">
      <w:lvlJc w:val="left"/>
      <w:lvlText w:val="%1."/>
      <w:numFmt w:val="decimal"/>
      <w:start w:val="3"/>
    </w:lvl>
  </w:abstractNum>
  <w:abstractNum w:abstractNumId="26">
    <w:nsid w:val="614FD4A1"/>
    <w:multiLevelType w:val="hybridMultilevel"/>
    <w:lvl w:ilvl="0">
      <w:lvlJc w:val="left"/>
      <w:lvlText w:val="(%1)"/>
      <w:numFmt w:val="upperLetter"/>
      <w:start w:val="2"/>
    </w:lvl>
    <w:lvl w:ilvl="1">
      <w:lvlJc w:val="left"/>
      <w:lvlText w:val="%2."/>
      <w:numFmt w:val="decimal"/>
      <w:start w:val="1"/>
    </w:lvl>
  </w:abstractNum>
  <w:abstractNum w:abstractNumId="27">
    <w:nsid w:val="419AC241"/>
    <w:multiLevelType w:val="hybridMultilevel"/>
    <w:lvl w:ilvl="0">
      <w:lvlJc w:val="left"/>
      <w:lvlText w:val="%1"/>
      <w:numFmt w:val="decimal"/>
      <w:start w:val="1"/>
    </w:lvl>
    <w:lvl w:ilvl="1">
      <w:lvlJc w:val="left"/>
      <w:lvlText w:val="(%2)"/>
      <w:numFmt w:val="lowerLetter"/>
      <w:start w:val="1"/>
    </w:lvl>
  </w:abstractNum>
  <w:abstractNum w:abstractNumId="28">
    <w:nsid w:val="5577F8E1"/>
    <w:multiLevelType w:val="hybridMultilevel"/>
    <w:lvl w:ilvl="0">
      <w:lvlJc w:val="left"/>
      <w:lvlText w:val="%1."/>
      <w:numFmt w:val="decimal"/>
      <w:start w:val="2"/>
    </w:lvl>
    <w:lvl w:ilvl="1">
      <w:lvlJc w:val="left"/>
      <w:lvlText w:val="(%2)"/>
      <w:numFmt w:val="lowerLetter"/>
      <w:start w:val="1"/>
    </w:lvl>
  </w:abstractNum>
  <w:abstractNum w:abstractNumId="29">
    <w:nsid w:val="440BADFC"/>
    <w:multiLevelType w:val="hybridMultilevel"/>
    <w:lvl w:ilvl="0">
      <w:lvlJc w:val="left"/>
      <w:lvlText w:val="%1."/>
      <w:numFmt w:val="decimal"/>
      <w:start w:val="3"/>
    </w:lvl>
    <w:lvl w:ilvl="1">
      <w:lvlJc w:val="left"/>
      <w:lvlText w:val="(%2)"/>
      <w:numFmt w:val="lowerLetter"/>
      <w:start w:val="1"/>
    </w:lvl>
  </w:abstractNum>
  <w:abstractNum w:abstractNumId="30">
    <w:nsid w:val="5072367"/>
    <w:multiLevelType w:val="hybridMultilevel"/>
    <w:lvl w:ilvl="0">
      <w:lvlJc w:val="left"/>
      <w:lvlText w:val="%1"/>
      <w:numFmt w:val="upperLetter"/>
      <w:start w:val="1"/>
    </w:lvl>
    <w:lvl w:ilvl="1">
      <w:lvlJc w:val="left"/>
      <w:lvlText w:val="%2."/>
      <w:numFmt w:val="decimal"/>
      <w:start w:val="6"/>
    </w:lvl>
  </w:abstractNum>
  <w:abstractNum w:abstractNumId="31">
    <w:nsid w:val="3804823E"/>
    <w:multiLevelType w:val="hybridMultilevel"/>
    <w:lvl w:ilvl="0">
      <w:lvlJc w:val="left"/>
      <w:lvlText w:val="(%1)"/>
      <w:numFmt w:val="upperLetter"/>
      <w:start w:val="3"/>
    </w:lvl>
    <w:lvl w:ilvl="1">
      <w:lvlJc w:val="left"/>
      <w:lvlText w:val="%2."/>
      <w:numFmt w:val="decimal"/>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decimal"/>
      <w:start w:val="5"/>
    </w:lvl>
    <w:lvl w:ilvl="1">
      <w:lvlJc w:val="left"/>
      <w:lvlText w:val="(%2)"/>
      <w:numFmt w:val="lowerLetter"/>
      <w:start w:val="1"/>
    </w:lvl>
  </w:abstractNum>
  <w:abstractNum w:abstractNumId="34">
    <w:nsid w:val="5C482A97"/>
    <w:multiLevelType w:val="hybridMultilevel"/>
    <w:lvl w:ilvl="0">
      <w:lvlJc w:val="left"/>
      <w:lvlText w:val="%1"/>
      <w:numFmt w:val="decimal"/>
      <w:start w:val="1"/>
    </w:lvl>
    <w:lvl w:ilvl="1">
      <w:lvlJc w:val="left"/>
      <w:lvlText w:val="(%2)"/>
      <w:numFmt w:val="lowerLetter"/>
      <w:start w:val="3"/>
    </w:lvl>
  </w:abstractNum>
  <w:abstractNum w:abstractNumId="35">
    <w:nsid w:val="2463B9EA"/>
    <w:multiLevelType w:val="hybridMultilevel"/>
    <w:lvl w:ilvl="0">
      <w:lvlJc w:val="left"/>
      <w:lvlText w:val="%1."/>
      <w:numFmt w:val="decimal"/>
      <w:start w:val="7"/>
    </w:lvl>
    <w:lvl w:ilvl="1">
      <w:lvlJc w:val="left"/>
      <w:lvlText w:val="%2"/>
      <w:numFmt w:val="lowerLetter"/>
      <w:start w:val="1"/>
    </w:lvl>
  </w:abstractNum>
  <w:abstractNum w:abstractNumId="36">
    <w:nsid w:val="5E884ADC"/>
    <w:multiLevelType w:val="hybridMultilevel"/>
    <w:lvl w:ilvl="0">
      <w:lvlJc w:val="left"/>
      <w:lvlText w:val="(%1)"/>
      <w:numFmt w:val="upperLetter"/>
      <w:start w:val="4"/>
    </w:lvl>
  </w:abstractNum>
  <w:abstractNum w:abstractNumId="37">
    <w:nsid w:val="51EAD36B"/>
    <w:multiLevelType w:val="hybridMultilevel"/>
    <w:lvl w:ilvl="0">
      <w:lvlJc w:val="left"/>
      <w:lvlText w:val="%1."/>
      <w:numFmt w:val="upperLetter"/>
      <w:start w:val="22"/>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2019-12-05T18:15:22Z</dcterms:created>
  <dcterms:modified xsi:type="dcterms:W3CDTF">2019-12-05T18:15:22Z</dcterms:modified>
</cp:coreProperties>
</file>