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00" w:right="1420" w:hanging="3956"/>
        <w:spacing w:after="0" w:line="520" w:lineRule="auto"/>
        <w:tabs>
          <w:tab w:leader="none" w:pos="66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001-14041</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7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13"/>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638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(781) 848-7100</w:t>
            </w:r>
          </w:p>
        </w:tc>
        <w:tc>
          <w:tcPr>
            <w:tcW w:w="1500" w:type="dxa"/>
            <w:vAlign w:val="bottom"/>
          </w:tcPr>
          <w:p>
            <w:pPr>
              <w:spacing w:after="0"/>
              <w:rPr>
                <w:sz w:val="24"/>
                <w:szCs w:val="24"/>
                <w:color w:val="auto"/>
              </w:rPr>
            </w:pPr>
          </w:p>
        </w:tc>
      </w:tr>
      <w:tr>
        <w:trPr>
          <w:trHeight w:val="210"/>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4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9"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760"/>
              <w:spacing w:after="0"/>
              <w:rPr>
                <w:sz w:val="20"/>
                <w:szCs w:val="20"/>
                <w:color w:val="auto"/>
              </w:rPr>
            </w:pPr>
            <w:r>
              <w:rPr>
                <w:rFonts w:ascii="Wingdings" w:cs="Wingdings" w:eastAsia="Wingdings" w:hAnsi="Wingdings"/>
                <w:sz w:val="22"/>
                <w:szCs w:val="22"/>
                <w:b w:val="1"/>
                <w:bCs w:val="1"/>
                <w:color w:val="auto"/>
              </w:rPr>
              <w:t>x</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207"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number of shares of $0.01 par value common stock outstanding as of February 3, 2023: 50,447,522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2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0" w:type="dxa"/>
            <w:vAlign w:val="bottom"/>
            <w:gridSpan w:val="26"/>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1.</w:t>
            </w:r>
          </w:p>
        </w:tc>
        <w:tc>
          <w:tcPr>
            <w:tcW w:w="1640" w:type="dxa"/>
            <w:vAlign w:val="bottom"/>
            <w:tcBorders>
              <w:top w:val="single" w:sz="8" w:color="0000FF"/>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740" w:type="dxa"/>
            <w:vAlign w:val="bottom"/>
            <w:tcBorders>
              <w:top w:val="single" w:sz="8" w:color="0000FF"/>
            </w:tcBorders>
            <w:gridSpan w:val="4"/>
          </w:tcPr>
          <w:p>
            <w:pPr>
              <w:spacing w:after="0"/>
              <w:rPr>
                <w:sz w:val="24"/>
                <w:szCs w:val="24"/>
                <w:color w:val="auto"/>
              </w:rPr>
            </w:pPr>
          </w:p>
        </w:tc>
        <w:tc>
          <w:tcPr>
            <w:tcW w:w="714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Income and Comprehensive Income - Three and Nine Months Ended December 31,</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2022 and January 1, 2022</w:t>
            </w:r>
          </w:p>
        </w:tc>
        <w:tc>
          <w:tcPr>
            <w:tcW w:w="5560" w:type="dxa"/>
            <w:vAlign w:val="bottom"/>
            <w:tcBorders>
              <w:top w:val="single" w:sz="8" w:color="0000FF"/>
            </w:tcBorders>
            <w:gridSpan w:val="14"/>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 - December 31, 2022 and Consolidated Balance Sheet - April 2, 2022</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w:t>
            </w:r>
            <w:r>
              <w:rPr>
                <w:rFonts w:ascii="Times New Roman" w:cs="Times New Roman" w:eastAsia="Times New Roman" w:hAnsi="Times New Roman"/>
                <w:sz w:val="18"/>
                <w:szCs w:val="18"/>
                <w:u w:val="single" w:color="auto"/>
                <w:color w:val="0E32E1"/>
              </w:rPr>
              <w:t>’</w:t>
            </w:r>
            <w:r>
              <w:rPr>
                <w:rFonts w:ascii="Times New Roman" w:cs="Times New Roman" w:eastAsia="Times New Roman" w:hAnsi="Times New Roman"/>
                <w:sz w:val="18"/>
                <w:szCs w:val="18"/>
                <w:color w:val="0000FF"/>
              </w:rPr>
              <w:t xml:space="preserve"> Equity - Three and Nine Months Ended December 31, 2022 and January</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0000FF"/>
            </w:tcBorders>
            <w:gridSpan w:val="2"/>
          </w:tcPr>
          <w:p>
            <w:pPr>
              <w:spacing w:after="0" w:line="136" w:lineRule="exact"/>
              <w:rPr>
                <w:sz w:val="20"/>
                <w:szCs w:val="20"/>
                <w:color w:val="auto"/>
              </w:rPr>
            </w:pPr>
            <w:r>
              <w:rPr>
                <w:rFonts w:ascii="Times New Roman" w:cs="Times New Roman" w:eastAsia="Times New Roman" w:hAnsi="Times New Roman"/>
                <w:sz w:val="15"/>
                <w:szCs w:val="15"/>
                <w:color w:val="0000FF"/>
              </w:rPr>
              <w:t>1, 2022</w:t>
            </w:r>
          </w:p>
        </w:tc>
        <w:tc>
          <w:tcPr>
            <w:tcW w:w="4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20" w:type="dxa"/>
            <w:vAlign w:val="bottom"/>
            <w:tcBorders>
              <w:top w:val="single" w:sz="8" w:color="0000FF"/>
            </w:tcBorders>
          </w:tcPr>
          <w:p>
            <w:pPr>
              <w:spacing w:after="0"/>
              <w:rPr>
                <w:sz w:val="11"/>
                <w:szCs w:val="11"/>
                <w:color w:val="auto"/>
              </w:rPr>
            </w:pPr>
          </w:p>
        </w:tc>
        <w:tc>
          <w:tcPr>
            <w:tcW w:w="12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 Nine Months Ended December 31, 2022 and January 1, 2022</w:t>
            </w:r>
          </w:p>
        </w:tc>
        <w:tc>
          <w:tcPr>
            <w:tcW w:w="1020" w:type="dxa"/>
            <w:vAlign w:val="bottom"/>
            <w:gridSpan w:val="3"/>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2.</w:t>
            </w:r>
          </w:p>
        </w:tc>
        <w:tc>
          <w:tcPr>
            <w:tcW w:w="686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6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3.</w:t>
            </w:r>
          </w:p>
        </w:tc>
        <w:tc>
          <w:tcPr>
            <w:tcW w:w="952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ITEM 4. Controls and Procedures</w:t>
            </w:r>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1.</w:t>
            </w:r>
          </w:p>
        </w:tc>
        <w:tc>
          <w:tcPr>
            <w:tcW w:w="208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74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2.</w:t>
            </w:r>
          </w:p>
        </w:tc>
        <w:tc>
          <w:tcPr>
            <w:tcW w:w="460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9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3.</w:t>
            </w:r>
          </w:p>
        </w:tc>
        <w:tc>
          <w:tcPr>
            <w:tcW w:w="244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Defaults upon Senior Securities</w:t>
            </w:r>
          </w:p>
        </w:tc>
        <w:tc>
          <w:tcPr>
            <w:tcW w:w="708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4.</w:t>
            </w:r>
          </w:p>
        </w:tc>
        <w:tc>
          <w:tcPr>
            <w:tcW w:w="18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6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34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w:t>
            </w:r>
          </w:p>
        </w:tc>
        <w:tc>
          <w:tcPr>
            <w:tcW w:w="146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180" w:type="dxa"/>
            <w:vAlign w:val="bottom"/>
            <w:tcBorders>
              <w:top w:val="single" w:sz="8" w:color="0000FF"/>
            </w:tcBorders>
          </w:tcPr>
          <w:p>
            <w:pPr>
              <w:spacing w:after="0"/>
              <w:rPr>
                <w:sz w:val="24"/>
                <w:szCs w:val="24"/>
                <w:color w:val="auto"/>
              </w:rPr>
            </w:pPr>
          </w:p>
        </w:tc>
        <w:tc>
          <w:tcPr>
            <w:tcW w:w="8860" w:type="dxa"/>
            <w:vAlign w:val="bottom"/>
            <w:gridSpan w:val="2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18"/>
          </w:tcPr>
          <w:p>
            <w:pPr>
              <w:ind w:left="486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left="360" w:right="16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INCOME AND COMPREHENSIVE INCOME (Unaudited in thousands, except per share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5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r>
      <w:tr>
        <w:trPr>
          <w:trHeight w:val="195"/>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728,194</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359,003</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369,191</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33,591</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247,722</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divestiture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307,640</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61,551</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33,634</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51,024</w:t>
            </w: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51,356</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33,832</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259,496</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$2,738 at December 31, 2022 and $2,475 at April 2, 2022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756,031</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258,482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$407,039 at December 31, 2022 and $376,552 at April 2, 2022</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310,261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467,287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1,878,066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1,859,734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214,148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121,207</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442,266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559,441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0" w:type="dxa"/>
            <w:vAlign w:val="bottom"/>
          </w:tcPr>
          <w:p>
            <w:pPr>
              <w:spacing w:after="0"/>
              <w:rPr>
                <w:sz w:val="1"/>
                <w:szCs w:val="1"/>
                <w:color w:val="auto"/>
              </w:rPr>
            </w:pPr>
          </w:p>
        </w:tc>
      </w:tr>
      <w:tr>
        <w:trPr>
          <w:trHeight w:val="21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0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50,444,470 shares at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2022 and 51,124,240 shares at April 2, 2022</w:t>
            </w: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749,424</w:t>
            </w:r>
          </w:p>
        </w:tc>
        <w:tc>
          <w:tcPr>
            <w:tcW w:w="0" w:type="dxa"/>
            <w:vAlign w:val="bottom"/>
          </w:tcPr>
          <w:p>
            <w:pPr>
              <w:spacing w:after="0"/>
              <w:rPr>
                <w:sz w:val="1"/>
                <w:szCs w:val="1"/>
                <w:color w:val="auto"/>
              </w:rPr>
            </w:pPr>
          </w:p>
        </w:tc>
      </w:tr>
      <w:tr>
        <w:trPr>
          <w:trHeight w:val="212"/>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1,878,066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1,859,734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STOCKHOLDERS’ EQUITY (Unaudited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180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280" w:type="dxa"/>
            <w:vAlign w:val="bottom"/>
          </w:tcPr>
          <w:p>
            <w:pPr>
              <w:spacing w:after="0"/>
              <w:rPr>
                <w:sz w:val="5"/>
                <w:szCs w:val="5"/>
                <w:color w:val="auto"/>
              </w:rPr>
            </w:pPr>
          </w:p>
        </w:tc>
        <w:tc>
          <w:tcPr>
            <w:tcW w:w="920" w:type="dxa"/>
            <w:vAlign w:val="bottom"/>
          </w:tcPr>
          <w:p>
            <w:pPr>
              <w:jc w:val="right"/>
              <w:ind w:right="39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572,476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749,424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0" w:type="dxa"/>
            <w:vAlign w:val="bottom"/>
          </w:tcPr>
          <w:p>
            <w:pPr>
              <w:spacing w:after="0"/>
              <w:rPr>
                <w:sz w:val="1"/>
                <w:szCs w:val="1"/>
                <w:color w:val="auto"/>
              </w:rPr>
            </w:pP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51,315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580,359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222,268</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(32,717)</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770,423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repurchased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33,197</w:t>
            </w:r>
          </w:p>
        </w:tc>
        <w:tc>
          <w:tcPr>
            <w:tcW w:w="0" w:type="dxa"/>
            <w:vAlign w:val="bottom"/>
          </w:tcPr>
          <w:p>
            <w:pPr>
              <w:spacing w:after="0"/>
              <w:rPr>
                <w:sz w:val="1"/>
                <w:szCs w:val="1"/>
                <w:color w:val="auto"/>
              </w:rPr>
            </w:pPr>
          </w:p>
        </w:tc>
      </w:tr>
      <w:tr>
        <w:trPr>
          <w:trHeight w:val="196"/>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564,394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729,009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repurchased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13,525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32,944</w:t>
            </w:r>
          </w:p>
        </w:tc>
        <w:tc>
          <w:tcPr>
            <w:tcW w:w="0" w:type="dxa"/>
            <w:vAlign w:val="bottom"/>
          </w:tcPr>
          <w:p>
            <w:pPr>
              <w:spacing w:after="0"/>
              <w:rPr>
                <w:sz w:val="1"/>
                <w:szCs w:val="1"/>
                <w:color w:val="auto"/>
              </w:rPr>
            </w:pPr>
          </w:p>
        </w:tc>
      </w:tr>
      <w:tr>
        <w:trPr>
          <w:trHeight w:val="196"/>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587,489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223,785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775,979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5" w:name="page6"/>
    <w:bookmarkEnd w:id="5"/>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2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tcPr>
          <w:p>
            <w:pPr>
              <w:jc w:val="center"/>
              <w:ind w:right="30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280" w:type="dxa"/>
            <w:vAlign w:val="bottom"/>
          </w:tcPr>
          <w:p>
            <w:pPr>
              <w:spacing w:after="0"/>
              <w:rPr>
                <w:sz w:val="5"/>
                <w:szCs w:val="5"/>
                <w:color w:val="auto"/>
              </w:rPr>
            </w:pPr>
          </w:p>
        </w:tc>
        <w:tc>
          <w:tcPr>
            <w:tcW w:w="920" w:type="dxa"/>
            <w:vAlign w:val="bottom"/>
          </w:tcPr>
          <w:p>
            <w:pPr>
              <w:jc w:val="right"/>
              <w:ind w:right="39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Cumulative effect of change in accounting standards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(60,121)</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July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551,108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154,562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677,080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14,856</w:t>
            </w: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October 2,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558,156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698,549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0" w:type="dxa"/>
            <w:vAlign w:val="bottom"/>
          </w:tcPr>
          <w:p>
            <w:pPr>
              <w:spacing w:after="0"/>
              <w:rPr>
                <w:sz w:val="1"/>
                <w:szCs w:val="1"/>
                <w:color w:val="auto"/>
              </w:rPr>
            </w:pPr>
          </w:p>
        </w:tc>
      </w:tr>
      <w:tr>
        <w:trPr>
          <w:trHeight w:val="195"/>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23,232</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51,111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566,963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192,650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(29,349)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730,775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3"/>
                <w:szCs w:val="13"/>
                <w:color w:val="auto"/>
              </w:rPr>
            </w:pPr>
          </w:p>
        </w:tc>
        <w:tc>
          <w:tcPr>
            <w:tcW w:w="1340" w:type="dxa"/>
            <w:vAlign w:val="bottom"/>
          </w:tcPr>
          <w:p>
            <w:pPr>
              <w:jc w:val="right"/>
              <w:ind w:right="348"/>
              <w:spacing w:after="0" w:line="158"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86,018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33,634</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72,934</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assets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19,262</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(benefit ) for losses on inventory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Gains on divestiture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10,272</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accounts receivable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(28,736)</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inventories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prepaid income taxes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other assets and other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 in accounts payable and accrued expenses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(19,398)</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104,213</w:t>
            </w:r>
          </w:p>
        </w:tc>
        <w:tc>
          <w:tcPr>
            <w:tcW w:w="0" w:type="dxa"/>
            <w:vAlign w:val="bottom"/>
          </w:tcPr>
          <w:p>
            <w:pPr>
              <w:spacing w:after="0"/>
              <w:rPr>
                <w:sz w:val="1"/>
                <w:szCs w:val="1"/>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(61,394)</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divestiture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(51,833)</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borrowings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 redemption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revolving facility</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on revolving facility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term loan borrowings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repurchases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payments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44,572</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259,496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192,305</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224,002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236,877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Transfers from inventory to fixed assets for placement of Haemonetics equipment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right="8760" w:firstLine="8"/>
        <w:spacing w:after="0" w:line="565"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Presentation</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December 31, 2022 are not necessarily indicative of the results that may be expected for the full fiscal year ending April 1, 2023 or any other interim period. These unaudited condensed consolidated financial statements should be read in conjunction with the audited consolidated financial statements and footnotes included in the Annual Report on Form 10-K for the fiscal year ended April 2, 2022.</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nine months ended December 31, 2022.</w:t>
      </w:r>
    </w:p>
    <w:p>
      <w:pPr>
        <w:spacing w:after="0" w:line="199" w:lineRule="exact"/>
        <w:rPr>
          <w:sz w:val="20"/>
          <w:szCs w:val="20"/>
          <w:color w:val="auto"/>
        </w:rPr>
      </w:pPr>
    </w:p>
    <w:p>
      <w:pPr>
        <w:ind w:right="7120" w:firstLine="8"/>
        <w:spacing w:after="0" w:line="53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Standards Implemented</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2020, the FASB issued ASC Update No. 2020-06 — Debt - Debt with Conversion and Other Options (Subtopic 470-20) and Derivatives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 Contracts in Entity’s Own Equity (Subtopic 815-40). The amendments simplify the complexity associated with applying U.S. GAAP for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characteristics of liabilities and equity. Update No. 2020-06 is effective for fiscal years beginning after December 15,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interim periods within those fiscal years. The Company early adopted ASC Update No. 2020-06 effective April 4, 2021 using the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retrospective method, which resulted in a decrease of $61.2 million to additional paid-in capital, a decrease to non-current deferred tax liabilities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and an increase of $80.3 million to non-current convertible notes, net, on the condensed consolidated balance sheets. Additionally, retained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was adjusted to remove amortization expense recognized in prior periods related to the debt discount and the convertible notes no longer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discount that will be amortized, net of taxes. The impact to retained earnings on the condensed consolidated balance sheets as of April 4, 2021 is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$1.0 million.</w:t>
      </w:r>
    </w:p>
    <w:p>
      <w:pPr>
        <w:spacing w:after="0" w:line="2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under the program. The majority of charges will result in cash outlays, including severance and other employee costs, and will be incurred as the specific actions required to execute these initiatives are identified and approved. During the three and nine months ended December 31, 2022, the Company incurred $4.1 million and $10.7 million, respectively, of restructuring and restructuring related costs under this program. During the three and nine months ended January 1, 2022, the Company incurred $5.7 million and $20.2 million, respectively, of restructuring and restructuring related costs under this program. Total cumulative charges under this program are $66.4 million.</w:t>
      </w:r>
    </w:p>
    <w:p>
      <w:pPr>
        <w:spacing w:after="0" w:line="200" w:lineRule="exact"/>
        <w:rPr>
          <w:sz w:val="20"/>
          <w:szCs w:val="20"/>
          <w:color w:val="auto"/>
        </w:rPr>
      </w:pP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the 2020 Program and prior programs for the nine months ended December 31, 2022, substantially all of which relates to employee severance and other employee costs: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 Programs</w:t>
            </w: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restructuring costs by line item within our accompanying unaudited Condensed Consolidated Statements of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160" w:type="dxa"/>
            <w:vAlign w:val="bottom"/>
            <w:gridSpan w:val="2"/>
          </w:tcPr>
          <w:p>
            <w:pPr>
              <w:jc w:val="center"/>
              <w:ind w:left="53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had a restructuring liability of $1.8 million, of which $1.5 million is payable within the next twelve months.</w:t>
      </w: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restructuring costs included in the table above, the Company also incurred costs that do not constitute restructuring under ASC 420, </w:t>
      </w:r>
      <w:r>
        <w:rPr>
          <w:rFonts w:ascii="Times New Roman" w:cs="Times New Roman" w:eastAsia="Times New Roman" w:hAnsi="Times New Roman"/>
          <w:sz w:val="18"/>
          <w:szCs w:val="18"/>
          <w:i w:val="1"/>
          <w:iCs w:val="1"/>
          <w:color w:val="auto"/>
        </w:rPr>
        <w:t>Exit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Disposal Cost Obligations, </w:t>
      </w:r>
      <w:r>
        <w:rPr>
          <w:rFonts w:ascii="Times New Roman" w:cs="Times New Roman" w:eastAsia="Times New Roman" w:hAnsi="Times New Roman"/>
          <w:sz w:val="18"/>
          <w:szCs w:val="18"/>
          <w:color w:val="auto"/>
        </w:rPr>
        <w:t>and which the Company instead refers to as restructuring related costs. These costs consist primarily of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360" w:type="dxa"/>
            <w:vAlign w:val="bottom"/>
          </w:tcPr>
          <w:p>
            <w:pPr>
              <w:spacing w:after="0"/>
              <w:rPr>
                <w:sz w:val="20"/>
                <w:szCs w:val="20"/>
                <w:color w:val="auto"/>
              </w:rPr>
            </w:pPr>
          </w:p>
        </w:tc>
        <w:tc>
          <w:tcPr>
            <w:tcW w:w="22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0"/>
                <w:szCs w:val="20"/>
                <w:color w:val="auto"/>
              </w:rPr>
            </w:pPr>
          </w:p>
        </w:tc>
        <w:tc>
          <w:tcPr>
            <w:tcW w:w="21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48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360" w:type="dxa"/>
            <w:vAlign w:val="bottom"/>
          </w:tcPr>
          <w:p>
            <w:pPr>
              <w:spacing w:after="0"/>
              <w:rPr>
                <w:sz w:val="24"/>
                <w:szCs w:val="24"/>
                <w:color w:val="auto"/>
              </w:rPr>
            </w:pPr>
          </w:p>
        </w:tc>
        <w:tc>
          <w:tcPr>
            <w:tcW w:w="22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4"/>
                <w:szCs w:val="24"/>
                <w:color w:val="auto"/>
              </w:rPr>
            </w:pPr>
          </w:p>
        </w:tc>
        <w:tc>
          <w:tcPr>
            <w:tcW w:w="21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89"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7"/>
          <w:szCs w:val="17"/>
          <w:color w:val="auto"/>
        </w:rPr>
        <w:t>For the three and nine months ended December 31, 2022, the Company reported income tax expense of $9.3 million and $22.8 million, respectively, representing effective tax rates of 22.0% and 20.9%, respectively. The effective tax rate for the three months ended December 31, 2022 includes</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$0.1 million of discrete tax expense relating to stock compensation shortfalls. The effective tax rate for the nine months ended December 31, 2022 includes a discrete tax benefit of $0.5 million related to tax rate changes enacted in the period and $0.4 million of discrete tax expense relating to stock compensation shortfalls.</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January 1, 2022, the Company reported income tax expense of $8.2 million and $14.7 million, respectively, representing effective tax rates of 26.0% and 30.4%, respectively. The effective tax rate for the nine months ended January 1, 2022 includes discrete tax expense relating to stock compensation shortfalls of $0.9 million, with no discrete tax expense relating to stock compensation shortfalls recorded in the three months ended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51,356</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the three and nine months ended December 31, 2022, weighted average shares outstanding, assuming dilution, excludes the impact of 0.4 million and 0.7 million anti-dilutive shares, respectively. For the three and nine months ended January 1, 2022, weighted average shares outstanding, assuming dilution, excludes the impact of 0.9 million anti-dilutive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2022, the Company's Board of Directors authorized the repurchase of up to $300 million of Haemonetics common stock over the next three years.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02"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18"/>
          <w:szCs w:val="18"/>
          <w:color w:val="auto"/>
        </w:rPr>
        <w:t>In November 2022, the Company completed a $75.0 million repurchase of its common stock pursuant to an accelerated share repurchase agreement (“ASR”) entered into with Citibank N.A. (“Citibank”) in August 2022. The total number of shares repurchased under the ASR was 1.0 million at an average price per share upon final settlement of $75.20.</w:t>
      </w:r>
    </w:p>
    <w:p>
      <w:pPr>
        <w:spacing w:after="0" w:line="2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2022, the total remaining authorization for repurchases of the Company's common stock under the share repurchase program was $225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Company’s revenue recognition policy is to recognize revenues from product sales, software and services in accordance with ASC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Revenue is recognized when obligations under the terms of a contract with a customer are satisfied; this occurs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$23.3 million of its transaction price allocated to remaining performance obligations related to executed contracts with an original duration of one year or more. The Company expects to recognize approximately 77% of this amount as revenue within the next twelve months and the remaining balance thereafter.</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and April 2, 2022, the Company had contract assets of $6.6 million and $5.5 million, respectively. Contract assets are classified as other current assets and other long-term assets on the Condensed Consolidated Balance Sheets.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2022 and April 2, 2022, the Company had contract liabilities of $26.6 million and $26.8 million, respectively. During the three and nine months ended December 31, 2022, the Company recognized $3.9 million and $22.4 million of revenue, respectively, that was included in the above April 2, 2022 contract liability balance.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25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p>
      <w:pPr>
        <w:sectPr>
          <w:pgSz w:w="11900" w:h="16838" w:orient="portrait"/>
          <w:cols w:equalWidth="0" w:num="1">
            <w:col w:w="11240"/>
          </w:cols>
          <w:pgMar w:left="320" w:top="887" w:right="3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inventories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1260" w:type="dxa"/>
            <w:vAlign w:val="bottom"/>
          </w:tcPr>
          <w:p>
            <w:pPr>
              <w:jc w:val="right"/>
              <w:ind w:right="476"/>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88,886</w:t>
            </w:r>
          </w:p>
        </w:tc>
      </w:tr>
      <w:tr>
        <w:trPr>
          <w:trHeight w:val="230"/>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186,954</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255,756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293,027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-333375</wp:posOffset>
            </wp:positionV>
            <wp:extent cx="709803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-633730</wp:posOffset>
            </wp:positionV>
            <wp:extent cx="709803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340"/>
          </w:cols>
          <w:pgMar w:left="320" w:top="887"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STRATEGIC INVESTMENTS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fiscal year 2023, the Company made investments in Vivasure Medical LTD (“Vivasure”), totaling €30 million. The investments include both preferred stock and a special share that allows the Company to acquire Vivasure in accordance with an agreement between the parties. The investments are classified as other long-term assets on the Company’s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NOTES PAYABLE AND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2023, the conditions allowing holders of the 2026 Notes to convert have not been met. The 2026 Notes were therefore not convertible as of December 31, 2022 and were classified as long-term debt on the Company’s Condensed Consolidated Balance Sheets.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Condensed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Condensed Consolidated Balance Sheets as of April 4, 2021 is an increase of $1.0 million.</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2022, the $500.0 million principal balance was netted down by $8.5 million of remaining debt issuance costs, resulting in a net convertible note payable of $491.5 million. Interest expense related to the 2026 Notes was $0.7 million and $2.0 million, for the three and nine months ended December 31, 2022, respectively, which is entirely attributable to the amortization of the debt issuance costs. The debt issuance costs are amortized at an effective interest rate of 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June 15, 2018, the Company entered into a credit agreement with certain lenders that provided for a $350.0 million term loan and a $350.0 million revolving loan (together with the term loan, as amended from time to time, the “2018 Credit Facilities”) that were each scheduled to mature on June 15, 2023 with applicable interest rates during the period established using LIBOR plus 1.13% - 1.75%, depending on the Company’s leverage ratio.</w:t>
      </w:r>
    </w:p>
    <w:p>
      <w:pPr>
        <w:spacing w:after="0" w:line="18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7"/>
          <w:szCs w:val="17"/>
          <w:color w:val="auto"/>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For the term loan under the Revised Credit facilities, for the nine months ended December 31, 2022, the Company recognized interest expense of $0.5 million for third party fees incurred and capitalized $0.2 million of lender fees related to the term loan. For the nine months ended December 31, 2022, the Company capitalized $1.1 million of lender fees and third-party costs incurred in the refinancing related to the revolving credit facility under the Revised Credit Facilities.</w:t>
      </w:r>
    </w:p>
    <w:p>
      <w:pPr>
        <w:spacing w:after="0" w:line="208"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At December 31, 2022, $276.5 million was outstanding under the term loan with an effective interest rate of 6.0%. The Company has scheduled principal payments of $10.5 million required during the 12 months following December 31, 2022. There were no borrowings outstanding under the revolving credit facility at December 31, 2022. The Company also has $21.4 million of uncommitted operating lines of credit to fund its global operations under which there were no outstanding borrowings as of December 31, 2022.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leverage and interest coverage ratios specified in the Revised Credit Facilities as well as all other bank covenants as of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 AND FAIR VALUE MEASUREMENTS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During the three and nine months ended December 31, 2022, 26.6% and 28.5%, respectively, of the Company’s sales were generated outside the U.S. in local currencies. The Company also incurs certain manufacturing, marketing and selling costs in international markets in local currency.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Chinese Yuan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December 31, 2022 and April 2, 2022 were cash flow hedges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$12.5 million as of December 31, 2022 and $67.3 million as of April 2, 2022. At December 31, 2022, a gain of $1.6 million, net of tax, will be reclassified to earnings within the next twelve months. Substantially all currency cash flow hedges outstanding as of December 31, 2022 mature within twelve months.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$44.6 million as of December 31, 2022 and $39.5 million as of April 2, 2022.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4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June 15, 2018, the Company entered into the 2018 Credit Facilities, which provided for a $350.0 million term loan and a $350.0 million revolving credit facility. Under the terms of the 2018 Credit Facilities, interest was established using LIBOR plus the applicable rate ranging from 1.13% to 1.75% based on the Company's leverage ratio. In August 2018, the Company entered into two interest rate swap agreements to pay an average fixed rate of 2.80% plus the applicable rate on a total notional value of $241.9 million of debt, or 70% of the notional value of the unsecured term loan. The 2018 interest rate swaps mature on June 15, 2023. As a result of the refinancing in August 2022, the 2018 interest rate swaps were amended in September 2022 to align with</w:t>
      </w:r>
    </w:p>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Term Secured Overnight Financing Rate (“SOFR”) rate rather than LIBOR (the “Amended Swaps”). The Company concluded that the Amended Swaps were still effective such that hedge accounting was continued on these swaps.</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the 2018 Credit Facilities and extend their maturity date through June 2025. The Revised Credit Facilities include a $280.0 million senior unsecured term loan and a $420.0 million senior unsecured revolving credit facility. Loans under the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 in an average blended fixed interest rate of 3.57% plus the applicable rate on 70% of the notional value of the unsecured term loan until mid-June 2023 and 4.12% plus the applicable rate thereafter on 80% of the notional until the maturity date in June 2025. The Company has concluded that each of these four additional interest rate swaps are effective and qualify for hedge accounting treatment.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60" w:type="dxa"/>
            <w:vAlign w:val="bottom"/>
          </w:tcPr>
          <w:p>
            <w:pPr>
              <w:spacing w:after="0"/>
              <w:rPr>
                <w:sz w:val="13"/>
                <w:szCs w:val="13"/>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8"/>
        </w:trPr>
        <w:tc>
          <w:tcPr>
            <w:tcW w:w="2500" w:type="dxa"/>
            <w:vAlign w:val="bottom"/>
            <w:gridSpan w:val="2"/>
            <w:vMerge w:val="restart"/>
          </w:tcPr>
          <w:p>
            <w:pPr>
              <w:ind w:left="800"/>
              <w:spacing w:after="0" w:line="137" w:lineRule="exact"/>
              <w:rPr>
                <w:sz w:val="20"/>
                <w:szCs w:val="20"/>
                <w:color w:val="auto"/>
              </w:rPr>
            </w:pPr>
            <w:r>
              <w:rPr>
                <w:rFonts w:ascii="Times New Roman" w:cs="Times New Roman" w:eastAsia="Times New Roman" w:hAnsi="Times New Roman"/>
                <w:sz w:val="14"/>
                <w:szCs w:val="14"/>
                <w:b w:val="1"/>
                <w:bCs w:val="1"/>
                <w:color w:val="auto"/>
              </w:rPr>
              <w:t>Hedged Item</w:t>
            </w:r>
          </w:p>
        </w:tc>
        <w:tc>
          <w:tcPr>
            <w:tcW w:w="180" w:type="dxa"/>
            <w:vAlign w:val="bottom"/>
          </w:tcPr>
          <w:p>
            <w:pPr>
              <w:spacing w:after="0"/>
              <w:rPr>
                <w:sz w:val="5"/>
                <w:szCs w:val="5"/>
                <w:color w:val="auto"/>
              </w:rPr>
            </w:pPr>
          </w:p>
        </w:tc>
        <w:tc>
          <w:tcPr>
            <w:tcW w:w="94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5"/>
                <w:szCs w:val="5"/>
                <w:color w:val="auto"/>
              </w:rPr>
            </w:pPr>
          </w:p>
        </w:tc>
        <w:tc>
          <w:tcPr>
            <w:tcW w:w="1140" w:type="dxa"/>
            <w:vAlign w:val="bottom"/>
            <w:vMerge w:val="restart"/>
          </w:tcPr>
          <w:p>
            <w:pPr>
              <w:jc w:val="right"/>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100" w:type="dxa"/>
            <w:vAlign w:val="bottom"/>
          </w:tcPr>
          <w:p>
            <w:pPr>
              <w:spacing w:after="0"/>
              <w:rPr>
                <w:sz w:val="5"/>
                <w:szCs w:val="5"/>
                <w:color w:val="auto"/>
              </w:rPr>
            </w:pPr>
          </w:p>
        </w:tc>
        <w:tc>
          <w:tcPr>
            <w:tcW w:w="12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Designation Date</w:t>
            </w:r>
          </w:p>
        </w:tc>
        <w:tc>
          <w:tcPr>
            <w:tcW w:w="120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70"/>
        </w:trPr>
        <w:tc>
          <w:tcPr>
            <w:tcW w:w="2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1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70"/>
        </w:trPr>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6/15/2023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6/15/2023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12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9/23/2022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6/15/2023</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413,350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2022, a gain of $3.6 million, net of tax, was recorded in accumulated other comprehensive loss to recognize the effective portion of the fair value of the Swaps that qualify as 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To date, the Company has not experienced significant customer payment defaults, or identified other significant collectability concerns.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0" w:type="dxa"/>
            <w:vAlign w:val="bottom"/>
          </w:tcPr>
          <w:p>
            <w:pPr>
              <w:spacing w:after="0"/>
              <w:rPr>
                <w:sz w:val="1"/>
                <w:szCs w:val="1"/>
                <w:color w:val="auto"/>
              </w:rPr>
            </w:pPr>
          </w:p>
        </w:tc>
      </w:tr>
      <w:tr>
        <w:trPr>
          <w:trHeight w:val="229"/>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loss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Recoveries (Write-offs)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nine months ended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Accumulated Other</w:t>
            </w:r>
          </w:p>
        </w:tc>
        <w:tc>
          <w:tcPr>
            <w:tcW w:w="1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0" w:type="dxa"/>
            <w:vAlign w:val="bottom"/>
          </w:tcPr>
          <w:p>
            <w:pPr>
              <w:spacing w:after="0"/>
              <w:rPr>
                <w:sz w:val="1"/>
                <w:szCs w:val="1"/>
                <w:color w:val="auto"/>
              </w:rPr>
            </w:pPr>
          </w:p>
        </w:tc>
      </w:tr>
      <w:tr>
        <w:trPr>
          <w:trHeight w:val="13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15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Loss into</w:t>
            </w:r>
          </w:p>
        </w:tc>
        <w:tc>
          <w:tcPr>
            <w:tcW w:w="19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Testing</w:t>
            </w: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Designated foreign currency hedge</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revenues, COGS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SG&amp;A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Non-designated foreign currency</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interest rate swaps, net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December 31, 2022 or April 2, 2022. As of December 31, 2022, no material deferred taxes were recognized for designated foreign currency hedges.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31, 2022,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derivative instruments as they appear in its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April 2, 2022: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40" w:type="dxa"/>
            <w:vAlign w:val="bottom"/>
          </w:tcPr>
          <w:p>
            <w:pPr>
              <w:spacing w:after="0"/>
              <w:rPr>
                <w:sz w:val="13"/>
                <w:szCs w:val="13"/>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3"/>
                <w:szCs w:val="13"/>
                <w:color w:val="auto"/>
              </w:rPr>
            </w:pPr>
          </w:p>
        </w:tc>
        <w:tc>
          <w:tcPr>
            <w:tcW w:w="158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40" w:type="dxa"/>
            <w:vAlign w:val="bottom"/>
          </w:tcPr>
          <w:p>
            <w:pPr>
              <w:spacing w:after="0"/>
              <w:rPr>
                <w:sz w:val="16"/>
                <w:szCs w:val="16"/>
                <w:color w:val="auto"/>
              </w:rPr>
            </w:pPr>
          </w:p>
        </w:tc>
        <w:tc>
          <w:tcPr>
            <w:tcW w:w="17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15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25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December 31, 2022 and April 2,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89,114</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91,905</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2,247</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As of April 2, 2022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100,657</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35,569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3"/>
                <w:szCs w:val="23"/>
                <w:color w:val="auto"/>
              </w:rPr>
            </w:pP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08"/>
        </w:trPr>
        <w:tc>
          <w:tcPr>
            <w:tcW w:w="26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right"/>
              <w:ind w:right="716"/>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contingent consideration associated with acquisitions was $0.8 million at December 31, 2022 and was included in other liabilities. A reconciliation of the change in the fair value of contingent consideration is included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8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9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which is carried at amortized cost, accounts receivable and accounts payable approximate fair value. The fair value of the 2026 Notes as of December 31, 2022 was $416.5 million, which was determined by using the market price on the last trading day of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19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 xml:space="preserve">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intervene in the underlying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captioned </w:t>
      </w:r>
      <w:r>
        <w:rPr>
          <w:rFonts w:ascii="Times New Roman" w:cs="Times New Roman" w:eastAsia="Times New Roman" w:hAnsi="Times New Roman"/>
          <w:sz w:val="18"/>
          <w:szCs w:val="18"/>
          <w:i w:val="1"/>
          <w:iCs w:val="1"/>
          <w:color w:val="auto"/>
        </w:rPr>
        <w:t>United States ex rel. Berthelot et al. v. Haemonetics Corp.,</w:t>
      </w:r>
      <w:r>
        <w:rPr>
          <w:rFonts w:ascii="Times New Roman" w:cs="Times New Roman" w:eastAsia="Times New Roman" w:hAnsi="Times New Roman"/>
          <w:sz w:val="18"/>
          <w:szCs w:val="18"/>
          <w:color w:val="auto"/>
        </w:rPr>
        <w:t xml:space="preserve"> 1:20-cv-11062-ADB, pending in the U.S. District Court for the District of Massachusetts, indicating that the DOJ had completed its investigative activity based on then available information.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 was unsealed by order dated August 18, 2022.</w:t>
      </w:r>
    </w:p>
    <w:p>
      <w:pPr>
        <w:spacing w:after="0" w:line="21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 xml:space="preserve">In the fourth quarter of fiscal 2021, a putative class action complaint was filed against the Company in the Circuit Court of Cook County, Illinois by Mary Crumpton, on behalf of herself and similarly situated individuals.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 and August 2018 she donated plasma at a center operated by one of the Company’s customers, that the center required her to scan her finger print in a scanner that stored her finger 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late March 2022, the court denied the Company’s motion to dismiss for lack of personal jurisdiction but did not address the merits of the Company’s other positions. The Company believes the allegations in this lawsuit are without merit and will defend vigorously against them. The case is still in an early stage and the Company cannot reasonably estimate a range of potential loss and expense at this time.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ENTERPRISE-WIDE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9" w:name="page20"/>
    <w:bookmarkEnd w:id="19"/>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deal amortization, restructuring and restructuring related costs,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250,499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221,522</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235,609</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707,630</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Service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305,301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864,244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728,194</w:t>
            </w:r>
          </w:p>
        </w:tc>
        <w:tc>
          <w:tcPr>
            <w:tcW w:w="0" w:type="dxa"/>
            <w:vAlign w:val="bottom"/>
          </w:tcPr>
          <w:p>
            <w:pPr>
              <w:spacing w:after="0"/>
              <w:rPr>
                <w:sz w:val="1"/>
                <w:szCs w:val="1"/>
                <w:color w:val="auto"/>
              </w:rPr>
            </w:pPr>
          </w:p>
        </w:tc>
      </w:tr>
    </w:tbl>
    <w:p>
      <w:pPr>
        <w:ind w:left="200" w:hanging="161"/>
        <w:spacing w:after="0" w:line="233" w:lineRule="auto"/>
        <w:tabs>
          <w:tab w:leader="none" w:pos="20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-123825</wp:posOffset>
            </wp:positionV>
            <wp:extent cx="3257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44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5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97,898</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329,905</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Deal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0" w:type="dxa"/>
            <w:vAlign w:val="bottom"/>
          </w:tcPr>
          <w:p>
            <w:pPr>
              <w:spacing w:after="0"/>
              <w:rPr>
                <w:sz w:val="1"/>
                <w:szCs w:val="1"/>
                <w:color w:val="auto"/>
              </w:rPr>
            </w:pPr>
          </w:p>
        </w:tc>
      </w:tr>
      <w:tr>
        <w:trPr>
          <w:trHeight w:val="230"/>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and restructuring related costs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of assets and PCS2 related charges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MDR and IVDR costs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Gains on divestiture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61,551</w:t>
            </w:r>
          </w:p>
        </w:tc>
        <w:tc>
          <w:tcPr>
            <w:tcW w:w="0" w:type="dxa"/>
            <w:vAlign w:val="bottom"/>
          </w:tcPr>
          <w:p>
            <w:pPr>
              <w:spacing w:after="0"/>
              <w:rPr>
                <w:sz w:val="1"/>
                <w:szCs w:val="1"/>
                <w:color w:val="auto"/>
              </w:rPr>
            </w:pPr>
          </w:p>
        </w:tc>
      </w:tr>
    </w:tbl>
    <w:p>
      <w:pPr>
        <w:ind w:left="40" w:right="360" w:firstLine="6"/>
        <w:spacing w:after="0" w:line="221" w:lineRule="auto"/>
        <w:tabs>
          <w:tab w:leader="none" w:pos="203"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-226060</wp:posOffset>
            </wp:positionV>
            <wp:extent cx="33604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products and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308,931</w:t>
            </w: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Blood Center products and services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 products and services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305,301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864,244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728,194</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generated in the Company’s principle operating regions on a reported basis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460,404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305,301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864,244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728,194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200" w:type="dxa"/>
            <w:vAlign w:val="bottom"/>
          </w:tcPr>
          <w:p>
            <w:pPr>
              <w:spacing w:after="0"/>
              <w:rPr>
                <w:sz w:val="12"/>
                <w:szCs w:val="12"/>
                <w:color w:val="auto"/>
              </w:rPr>
            </w:pPr>
          </w:p>
        </w:tc>
        <w:tc>
          <w:tcPr>
            <w:tcW w:w="15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 2022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(25,954)</w:t>
            </w:r>
          </w:p>
        </w:tc>
        <w:tc>
          <w:tcPr>
            <w:tcW w:w="0" w:type="dxa"/>
            <w:vAlign w:val="bottom"/>
          </w:tcPr>
          <w:p>
            <w:pPr>
              <w:spacing w:after="0"/>
              <w:rPr>
                <w:sz w:val="1"/>
                <w:szCs w:val="1"/>
                <w:color w:val="auto"/>
              </w:rPr>
            </w:pPr>
          </w:p>
        </w:tc>
      </w:tr>
      <w:tr>
        <w:trPr>
          <w:trHeight w:val="156"/>
        </w:trPr>
        <w:tc>
          <w:tcPr>
            <w:tcW w:w="45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176"/>
        </w:trPr>
        <w:tc>
          <w:tcPr>
            <w:tcW w:w="4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(35,799)</w:t>
            </w:r>
          </w:p>
        </w:tc>
        <w:tc>
          <w:tcPr>
            <w:tcW w:w="0" w:type="dxa"/>
            <w:vAlign w:val="bottom"/>
          </w:tcPr>
          <w:p>
            <w:pPr>
              <w:spacing w:after="0"/>
              <w:rPr>
                <w:sz w:val="1"/>
                <w:szCs w:val="1"/>
                <w:color w:val="auto"/>
              </w:rPr>
            </w:pPr>
          </w:p>
        </w:tc>
      </w:tr>
    </w:tbl>
    <w:p>
      <w:pPr>
        <w:ind w:left="220" w:hanging="160"/>
        <w:spacing w:after="0" w:line="233" w:lineRule="auto"/>
        <w:tabs>
          <w:tab w:leader="none" w:pos="2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-123825</wp:posOffset>
            </wp:positionV>
            <wp:extent cx="4225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2, 2022. The following discussion may contain forward-looking statements and should be read in conjunction with the “Cautionary Statement Regarding Forward-Looking Information” in this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2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14"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In August 2022, our Board of Directors authorized the repurchase of up to $300 million of Haemonetics common stock from time to time, based on market conditions, over the next three years. In November 2022, the Company completed a $75.0 million repurchase of its common stock pursuant to an accelerated share repurchase agreement (“ASR”) entered into with Citibank N.A. (“Citibank”) in August 2022. The total number of shares repurchased under the ASR was 1.0 million at an average price per share upon final settlement of $75.20.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total remaining authorization for repurchase of the Company’s common stock was $225 million.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Repayment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2" w:name="page23"/>
    <w:bookmarkEnd w:id="22"/>
    <w:p>
      <w:pPr>
        <w:spacing w:after="0" w:line="243" w:lineRule="auto"/>
        <w:rPr>
          <w:sz w:val="20"/>
          <w:szCs w:val="20"/>
          <w:color w:val="auto"/>
        </w:rPr>
      </w:pPr>
      <w:r>
        <w:rPr>
          <w:rFonts w:ascii="Times New Roman" w:cs="Times New Roman" w:eastAsia="Times New Roman" w:hAnsi="Times New Roman"/>
          <w:sz w:val="18"/>
          <w:szCs w:val="18"/>
          <w:color w:val="auto"/>
        </w:rPr>
        <w:t>On July 26, 2022, we entered into an amended and restated credit agreement with certain lenders to refinance the credit facilities under our 2018 credit agreement (as amended from time to time) and extend the applicable maturity date through June 2025. The amended and restated credit agreement provides for a $280.0 million senior unsecured term loan, the proceeds of which have been used to retire the balance of the term loan under our 2018 credit agreement, and a $420.0 million senior unsecured revolving credit facility. In September 2022, we amended two prior interest rate swap agreements and entered into certain supplemental interest rate swap agreements to effectively convert between 70% to 80% of borrowings under our Revised Credit Facilities from a variable Term Secured Overnight Financing Rate (“SOFR”) rate to a fixed rate of interest through June 2025. In September 2022, we amended two prior interest rate swap agreements and entered into certain supplemental interest rate swap agreements to effectively convert between 70% to 80% of borrowings under our Revised Credit Facilities from a variable Term SOFR rate to a fixed rate of interest through June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three and nine months ended December 31, 2022, the Company incurred $4.1 million and $10.7 million, respectively, of restructuring and restructuring related costs under this program. Total cumulative charges under this program are $66.4 million as of December 31,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1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160" w:type="dxa"/>
            <w:vAlign w:val="bottom"/>
            <w:tcBorders>
              <w:top w:val="single" w:sz="8" w:color="auto"/>
            </w:tcBorders>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7"/>
                <w:szCs w:val="17"/>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305,301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259,769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864,244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728,194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18.7 %</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158,707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138,565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458,848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369,191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115,428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102,914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338,070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307,640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43,279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35,651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120,778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61,551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96.2 %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13.7 %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8.5 %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(1,055)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(12,001)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42,224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108,777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48,302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125.2 %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9,280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55.2 %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26.0 %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30.4 %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32,944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86,018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33,634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155.7 %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8.9 %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156.1 %</w:t>
            </w:r>
          </w:p>
        </w:tc>
        <w:tc>
          <w:tcPr>
            <w:tcW w:w="0" w:type="dxa"/>
            <w:vAlign w:val="bottom"/>
          </w:tcPr>
          <w:p>
            <w:pPr>
              <w:spacing w:after="0"/>
              <w:rPr>
                <w:sz w:val="1"/>
                <w:szCs w:val="1"/>
                <w:color w:val="auto"/>
              </w:rPr>
            </w:pPr>
          </w:p>
        </w:tc>
      </w:tr>
      <w:tr>
        <w:trPr>
          <w:trHeight w:val="23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42.2 %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156.9 %</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Net revenues increased 17.5% and 18.7% during the three and nine months ended December 31, 2022, respectively, as compared with the same periods of fiscal 2022. Without the effect of foreign exchange, net revenues increased 20.8% and 21.5% during the three and nine months ended December 31, 2022, respectively, as compared with the same periods of fiscal 2022. Revenue increases in our Plasma and Hospital businesses, primarily related to volume and price, drove the overall increase in revenue during the three and nine months ended December 31, 2022.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income increased during the three and nine months ended December 31, 2022 as compared with the same period of fiscal 2022, primarily due to increased revenues in Plasma and Hospital, savings from the 2020 Program and decreased spending on acquisitions in the current year periods, partially offset by lower revenues in Blood Center, increased freight costs in our global supply chain, increased sales and marketing expense and higher performance-based compensation.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06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7"/>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92,499</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259,769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40" w:firstLine="8"/>
        <w:spacing w:after="0"/>
        <w:tabs>
          <w:tab w:leader="none" w:pos="132"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14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4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0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400" w:type="dxa"/>
            <w:vAlign w:val="bottom"/>
          </w:tcPr>
          <w:p>
            <w:pPr>
              <w:jc w:val="right"/>
              <w:ind w:right="339"/>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617,824</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460,404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246,420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267,790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55"/>
              <w:spacing w:after="0"/>
              <w:rPr>
                <w:sz w:val="20"/>
                <w:szCs w:val="20"/>
                <w:color w:val="auto"/>
              </w:rPr>
            </w:pPr>
            <w:r>
              <w:rPr>
                <w:rFonts w:ascii="Times New Roman" w:cs="Times New Roman" w:eastAsia="Times New Roman" w:hAnsi="Times New Roman"/>
                <w:sz w:val="18"/>
                <w:szCs w:val="18"/>
                <w:color w:val="auto"/>
              </w:rPr>
              <w:t>(7.4)%</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864,244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728,194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40" w:firstLine="8"/>
        <w:spacing w:after="0"/>
        <w:tabs>
          <w:tab w:leader="none" w:pos="132"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2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principal operations are in the U.S, Europe, Japan and other parts of Asia. Our products are marketed in approximately 90 countries around the world through a combination of our direct sales force, independent distributors and agents. During the three and nine months ended December 31, 2022 our revenue generated outside the U.S. was 26.6% and 28.5% of total net revenues, respectively, as compared with 35.6% and 36.8% during the three and nine months ended January 1, 2022,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0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Hospital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259,769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40" w:firstLine="8"/>
        <w:spacing w:after="0"/>
        <w:tabs>
          <w:tab w:leader="none" w:pos="132"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179" w:lineRule="exact"/>
        <w:rPr>
          <w:rFonts w:ascii="Times New Roman" w:cs="Times New Roman" w:eastAsia="Times New Roman" w:hAnsi="Times New Roman"/>
          <w:sz w:val="15"/>
          <w:szCs w:val="15"/>
          <w:color w:val="auto"/>
          <w:vertAlign w:val="superscript"/>
        </w:rPr>
      </w:pPr>
    </w:p>
    <w:p>
      <w:pPr>
        <w:ind w:right="140" w:firstLine="8"/>
        <w:spacing w:after="0" w:line="268" w:lineRule="auto"/>
        <w:tabs>
          <w:tab w:leader="none" w:pos="145"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Hospital revenue includes Hemostasis Management revenue of $34.9 million and $33.5 million during the three months ended December 31, 2022 and January 1, 2022, respectively. Hemostasis Management revenue increased 4.2% in the third quarter of fiscal 2023, as compared with the same period of fiscal 2022. Without the effect of foreign exchange, Hemostasis Management revenue increased 7.3% in the third quarter of fiscal 2023, as compared with the same period of fiscal 2022. Vascular Closure revenue increased 32.6% in the third quarter of fiscal 2023 as compared with the same period of fiscal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060" w:type="dxa"/>
            <w:vAlign w:val="bottom"/>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Hospital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728,194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240" w:firstLine="8"/>
        <w:spacing w:after="0"/>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1"/>
          <w:szCs w:val="11"/>
          <w:i w:val="1"/>
          <w:iCs w:val="1"/>
          <w:color w:val="auto"/>
        </w:rPr>
        <w:t>Management’s Use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Non-GAAP Measures.</w:t>
      </w:r>
      <w:r>
        <w:rPr>
          <w:rFonts w:ascii="Times New Roman" w:cs="Times New Roman" w:eastAsia="Times New Roman" w:hAnsi="Times New Roman"/>
          <w:sz w:val="11"/>
          <w:szCs w:val="11"/>
          <w:color w:val="auto"/>
        </w:rPr>
        <w:t>”</w:t>
      </w:r>
    </w:p>
    <w:p>
      <w:pPr>
        <w:spacing w:after="0" w:line="193" w:lineRule="exact"/>
        <w:rPr>
          <w:rFonts w:ascii="Times New Roman" w:cs="Times New Roman" w:eastAsia="Times New Roman" w:hAnsi="Times New Roman"/>
          <w:sz w:val="15"/>
          <w:szCs w:val="15"/>
          <w:color w:val="auto"/>
          <w:vertAlign w:val="superscript"/>
        </w:rPr>
      </w:pPr>
    </w:p>
    <w:p>
      <w:pPr>
        <w:ind w:right="120" w:firstLine="8"/>
        <w:spacing w:after="0" w:line="255" w:lineRule="auto"/>
        <w:tabs>
          <w:tab w:leader="none" w:pos="145"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Hospital revenue includes Hemostasis Management revenue of $102.7 million and $97.2 million during the nine months ended December 31, 2022 and January 1, 2022, respectively. Hemostasis Management revenue increased 5.7% in the first nine months of fiscal 2023, as compared with the same period of fiscal 2022. Without the effect of foreign exchange, Hemostasis Management revenue increased 8.1% in the first nine months of fiscal 2023, as compared with the same period of fiscal 2022. Vascular Closure revenue increased 36.6% in the first nine months of fiscal 2023 as compared with the same period of fiscal 2022.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Plasma revenue increased 40.4% and 46.2% during the three and nine months ended December 31, 2022, respectively, as compared with the same periods of fiscal 2022. Without the effect of foreign exchange, Plasma revenue increased 41.2% and 47.1% during the three and nine months ended December 31, 2022, respectively, as compared with the same periods of fiscal 2022. The increases during the three and nine months ended December 31, 2022, as compared with the same period of fiscal 2022 were driven by volume and price.</w:t>
      </w:r>
    </w:p>
    <w:p>
      <w:pPr>
        <w:spacing w:after="0" w:line="19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During the third quarter of fiscal 2022, we amended our supply agreement with CSL Plasma Inc. (“CSL”), which CSL had previously notified us of its intent not to renew and was initially set to expire in June 2022, to allow CSL to continue to use our PCS2 plasma collection system devices and purchase disposable plasmapheresis kits on a non-exclusive basis through December 2023. During the third quarter of fiscal 2023, we further amended our supply agreement with CSL to extend the term through December 2025.</w:t>
      </w: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Blood Center revenue decreased 3.1% and 5.6% during the three and nine months ended December 31, 2022, respectively, as compared with the same periods of fiscal 2022. Without the effect of foreign exchange, Blood Center revenue increased 3.1% and decreased 1.1% during the three and nine months ended December 31, 2022, respectively, as compared with the same periods of fiscal 2022. The increase during the three months ended December 31, 2022, as compared to the same period of fiscal 2022 was primarily due to an increase in our whole blood business. The decrease during the nine months ended December 31, 2022, as compared with the same period of fiscal 2022 was primarily driven by a decline in the volume of apheresis disposables.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7"/>
          <w:szCs w:val="17"/>
          <w:color w:val="auto"/>
        </w:rPr>
        <w:t>Hospital revenue increased 11.3% and 14.3% during the three and nine months ended December 31, 2022, respectively, as compared with the same periods of fiscal 2022. Without the effect of foreign exchange, Hospital revenue increased 14.4% and 17.0% during the three and nine months ended December 31, 2022, respectively, as compared with the same periods of fiscal 2022. The increase during the three and nine months ended December 31, 2022 was</w:t>
      </w:r>
    </w:p>
    <w:p>
      <w:pPr>
        <w:spacing w:after="0" w:line="1"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8"/>
          <w:szCs w:val="18"/>
          <w:color w:val="auto"/>
        </w:rPr>
        <w:t xml:space="preserve">primarily attributable </w:t>
      </w:r>
      <w:r>
        <w:rPr>
          <w:rFonts w:ascii="Times New Roman" w:cs="Times New Roman" w:eastAsia="Times New Roman" w:hAnsi="Times New Roman"/>
          <w:sz w:val="21"/>
          <w:szCs w:val="21"/>
          <w:color w:val="auto"/>
        </w:rPr>
        <w:t>to</w:t>
      </w:r>
      <w:r>
        <w:rPr>
          <w:rFonts w:ascii="Times New Roman" w:cs="Times New Roman" w:eastAsia="Times New Roman" w:hAnsi="Times New Roman"/>
          <w:sz w:val="18"/>
          <w:szCs w:val="18"/>
          <w:color w:val="auto"/>
        </w:rPr>
        <w:t xml:space="preserve"> Vascular Closure revenue, as well as increases in Hemostasis Management disposables revenue and Transfusion Management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12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52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158,707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138,565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458,848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369,191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6"/>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53.3 %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50.7 %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profit increased 14.5% and 24.3% for the three and nine months ended December 31, 2022, respectively, as compared with the same periods of fiscal 2022. Without the effect of foreign exchange, gross profit increased 18.4% and 28.5% during the three and nine months ended December 31, 2022, respectively, as compared with the same periods of fiscal 2022. The increase during the three and nine months ended December 31, 2022 was primarily driven by volume, price and productivity savings from the 2020 Program, partially offset by inflationary pressures in our global manufacturing and supply chain and increased depreciation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60" w:type="dxa"/>
            <w:vAlign w:val="bottom"/>
            <w:tcBorders>
              <w:top w:val="single" w:sz="8" w:color="auto"/>
            </w:tcBorders>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34,487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33,591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94,661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80,726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247,722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12.7 %</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31.1 %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34.0 %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8,078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12,151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35,930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(31.3)%</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divestiture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(96.0)%</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115,428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102,914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338,070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307,640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0" w:type="dxa"/>
            <w:vAlign w:val="bottom"/>
          </w:tcPr>
          <w:p>
            <w:pPr>
              <w:spacing w:after="0"/>
              <w:rPr>
                <w:sz w:val="1"/>
                <w:szCs w:val="1"/>
                <w:color w:val="auto"/>
              </w:rPr>
            </w:pPr>
          </w:p>
        </w:tc>
      </w:tr>
      <w:tr>
        <w:trPr>
          <w:trHeight w:val="236"/>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39.6 %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42.2 %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increased 26.4% and 2.7% during the three and nine months ended December 31, 2022, respectively, as compared with the same periods of fiscal 2022. Without the effect of foreign exchange, research and development expenses increased 26.9% and 3.2% during the three and nine months ended December 31, 2022, respectively, as compared with the same periods of fiscal 2022. This increase was due to increased investments into product innovation.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17.3% and 12.7% during the three and nine months ended December 31, 2022, respectively, as compared with the same periods of fiscal 2022. Without the effect of foreign exchange, selling, general, and administrative expenses increased 19.7% and 14.7% during the three and nine months ended December 31, 2022, respectively, as compared with the same periods of fiscal 2022. The increase during the three and nine months ended December 31, 2022 was primarily driven by inflationary pressures and higher freight costs in our global supply chain, higher investments in sales and marketing and higher performance-based compensation, partially offset by cost savings related to the 2020 Program and decreased acquisition related costs in the current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recognized amortization expense of $8.1 million and $24.7 million during the three and nine months ended December 31, 2022, respectively, and $12.2 million and $35.9 million during the three and nine months ended January 1, 2022, respectively. The decrease is primarily the result of intangible assets that became fully amortized during fiscal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Divestiture</w:t>
      </w:r>
    </w:p>
    <w:p>
      <w:pPr>
        <w:spacing w:after="0" w:line="2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recognized gains on divestiture of $0.4 million during the nine months ended December 31, 2022 and $9.6 million during the nine months ended January 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Interest and other expenses decreased 75.3% and 9.4% during the three and nine months ended December 31, 2022, respectively, as compared with the same period of fiscal 2022. Without the effects of foreign exchange, interest and other expenses decreased 73.1% and 10.5% during the three and nine months ended December 31, 2022, respectively, as compared with the same periods of fiscal 2022. The decrease was primarily driven by foreign currency impact due to market and rate volatility, partially offset by higher interest rates which impacted the interest incurred on our term loan.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8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For the three and nine months ended December 31, 2022, we reported income tax expense of $9.3 million and $22.8 million, respectively, representing effective tax rates of 22.0% and 20.9%, respectively. The effective tax rate for the three months ended December 31, 2022 includes $0.1 million of discrete tax expense relating to stock compensation shortfalls. The effective tax rate for the nine months ended December 31, 2022 includes a discrete tax benefit of $0.5 million related to tax rate changes enacted in the period and $0.4 million of discrete tax expense relating to stock compensation shortfalls.</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For the three and nine months ended January 1, 2022, we reported income tax expense of $8.2 million and $14.7 million, respectively, representing effective tax rates of 26.0% and 30.4%, respectively. The effective tax rate for the nine months ended January 1, 2022 includes discrete tax expense relating to stock compensation shortfalls of $0.9 million, with no discrete tax expense relating to stock compensation shortfalls recorded in the three months ended January 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259,496</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479,420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313,765</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debt</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(514,093)</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Net debt position is the sum of cash and cash equivalents less total debt.</w:t>
      </w:r>
    </w:p>
    <w:p>
      <w:pPr>
        <w:sectPr>
          <w:pgSz w:w="11900" w:h="16838" w:orient="portrait"/>
          <w:cols w:equalWidth="0" w:num="1">
            <w:col w:w="11220"/>
          </w:cols>
          <w:pgMar w:left="320" w:top="889" w:right="3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27" w:name="page28"/>
    <w:bookmarkEnd w:id="27"/>
    <w:p>
      <w:pPr>
        <w:ind w:right="40"/>
        <w:spacing w:after="0" w:line="24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We believe these sources are sufficient to fund our cash requirements over at least the next twelve months. Our expected cash outlays relate primarily to acquisitions, investments, capital expenditures, including enhancements to our North American manufacturing facilities, share repurchases and cash payments under our revised credit agreement.</w:t>
      </w:r>
    </w:p>
    <w:p>
      <w:pPr>
        <w:spacing w:after="0" w:line="208"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December 31, 2022.</w:t>
      </w:r>
    </w:p>
    <w:p>
      <w:pPr>
        <w:spacing w:after="0" w:line="21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As of December 31, 2022, we had $224.0 million in cash and cash equivalents, the majority of which is held in the U.S. or in countries from which it can be repatriated to the U.S. On July 26, 2022, we entered into an amended and restated credit agreement with certain lenders to refinance our prior credit agreement entered into on June 15, 2018, which consisted of a $350.0 million term loan and a $350.0 million revolving loan (together, as amended from time to time, the “2018 Credit Facilities”), and extend the maturity date through June 2025. The amended and restated credit agreement provides for a $280 million senior unsecured term loan, the proceeds of which have been used to retire the balance of the term loan under the 2018 Credit Facilities, and a $420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 As of December 31, 2022, $276.5 million was outstanding under the term loan with an effective interest rate of 6.0%. There were no borrowings outstanding under the revolving credit facility at December 31, 2022. We also had $21.4 million of uncommitted operating lines of credit to fund our global operations under which there were no outstanding borrowings as of December 31, 2022. Additionally, the Company was in compliance with the leverage and interest coverage ratios specified in the amended and restated credit agreement as well as all other bank covenants as of December 31, 2022.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scheduled principal payments of $1.8 million required during the remainder of fiscal 2023.</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nine months ended December 31, 2022, we incurred $4.1 million and $10.7 million, respectively, of restructuring and restructuring related costs under this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1"/>
                <w:szCs w:val="11"/>
                <w:color w:val="auto"/>
              </w:rPr>
            </w:pPr>
          </w:p>
        </w:tc>
        <w:tc>
          <w:tcPr>
            <w:tcW w:w="174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1"/>
                <w:szCs w:val="11"/>
                <w:color w:val="auto"/>
              </w:rPr>
            </w:pPr>
          </w:p>
        </w:tc>
        <w:tc>
          <w:tcPr>
            <w:tcW w:w="1360" w:type="dxa"/>
            <w:vAlign w:val="bottom"/>
          </w:tcPr>
          <w:p>
            <w:pPr>
              <w:jc w:val="right"/>
              <w:ind w:right="575"/>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7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104,213</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(51,833)</w:t>
            </w: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$89.2 million during the nine months ended December 31, 2022, as compared with the nine months ended January 1, 2022. The increase in cash provided by operating activities was primarily the result of an increase in net income, a decrease in inventories driven by NexSys PCS device placements and higher other net working capital, including higher performance-based compensation.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by $73.9 million during the nine months ended December 31, 2022, as compared with the nine months ended January 1, 2022. The increase in cash used in investing activities was primarily the result of an increase in capital expenditures, driven by NexSys PCS device placements, and other investments made in the current year period, which was partially offset by lower proceeds received from divestitures during fiscal 2023 compared to fiscal 2022 and increased sales of property, plant and equipment.</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$91.8 million during the nine months ended December 31, 2022, as compared with the nine months ended January 1, 2022, primarily due to share repurchases and acquisition-related contingent consideration payments made in the current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experienced rising inflationary pressures in our global supply chain that had an impact on our results of operations during the three and nine months ended December 31, 2022. We continue to monitor inflationary pressures generally and raw materials indices that may affect our procurement and production costs. Increases in the price of petroleum derivatives could result in corresponding increases in our costs to procure plastic raw materials. We expect the inflationary pressures we have experienced in our global supply chain to continue throughout fiscal 2023.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December 31, 2022, 26.6% and 28.5%,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ind w:right="80"/>
        <w:spacing w:after="0" w:line="255"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Chinese Yuan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recent accounting pronouncements that we expect to have a material impact on our financial position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spacing w:after="0" w:line="189" w:lineRule="exact"/>
        <w:rPr>
          <w:sz w:val="20"/>
          <w:szCs w:val="20"/>
          <w:color w:val="auto"/>
        </w:rPr>
      </w:pPr>
    </w:p>
    <w:p>
      <w:pPr>
        <w:ind w:left="660" w:right="44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or outbreaks of communicable diseases, on our business, financial conditions and results of operations, including the time it will take for vaccines to be broadly distributed and administered worldwide, and the effectiveness of such vaccines in slowing or stopping the spread of COVID-19 and its variants and mitigating the economic effects of the pandemic, including inflationary pressures and higher freight costs in our global supply chain;</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our long-term strategic and financial-improvement goals;</w:t>
      </w:r>
    </w:p>
    <w:p>
      <w:pPr>
        <w:spacing w:after="0" w:line="2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8"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66"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0" w:name="page31"/>
    <w:bookmarkEnd w:id="30"/>
    <w:p>
      <w:pPr>
        <w:ind w:left="660" w:right="4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88"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0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the Operational Excellence Program;</w:t>
      </w:r>
    </w:p>
    <w:p>
      <w:pPr>
        <w:spacing w:after="0" w:line="18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divestitures or other strategic investments by the Company may not be realized or may take longer to realize than expected;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enhanced requirements to obtain regulatory approval in the U.S. and around the world and the associated timing and cost of product approval;</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FCPA, EU MDR/EU IVDR and similar laws in other jurisdictions, as well as U.S. and foreign export and import restrictions and tariffs;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Russia and other foreign jurisdictions where we do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 and</w:t>
      </w:r>
    </w:p>
    <w:p>
      <w:pPr>
        <w:spacing w:after="0" w:line="292" w:lineRule="exact"/>
        <w:rPr>
          <w:rFonts w:ascii="Times New Roman" w:cs="Times New Roman" w:eastAsia="Times New Roman" w:hAnsi="Times New Roman"/>
          <w:sz w:val="18"/>
          <w:szCs w:val="18"/>
          <w:color w:val="auto"/>
        </w:rPr>
      </w:pPr>
    </w:p>
    <w:p>
      <w:pPr>
        <w:ind w:left="660" w:right="10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December 31, 2022, in the event of a 10% strengthening of the U.S. Dollar, the change in fair value of all forward contracts would result in a $2.0 million increase in the fair value of the forward contracts; whereas a 10% weakening of the U.S. Dollar would result in a $2.1 million decrease of the fair value of the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Revised Credit Facilities as of December 31, 2022 was $276.5 million with an interest rate of 6.0% based on prevailing Term SOFR rates. An increase of 100 basis points in Term SOFR rates would result in additional annual interest expense of $0.8 million. In September 2022, we modified our two existing interest rate swaps to align to Term SOFR rather than LIBOR and entered into four additional interest rate swaps to effectively convert $194.8 million of borrowings under our Revised Credit Facilities from a variable rate to a fixed rate. These interest rate swaps are intended to mitigate the exposure to fluctuations in interest rates and qualify for hedge accounting treatment as cash flow hedges.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conducted an evaluation, as of December 31, 2022,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 this Quarterly Report on Form 10-Q,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our Annual Report on Form 10-K for the fiscal year ended April 2,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Company’s share repurchases during the third quarter of fiscal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59"/>
        </w:trPr>
        <w:tc>
          <w:tcPr>
            <w:tcW w:w="498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tcPr>
          <w:p>
            <w:pPr>
              <w:jc w:val="center"/>
              <w:ind w:left="44"/>
              <w:spacing w:after="0" w:line="15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34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 millions)($)</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 2022 – October 29,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ind w:left="44"/>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October 30, 2022 – November 26, 2022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211,242</w:t>
            </w:r>
          </w:p>
        </w:tc>
        <w:tc>
          <w:tcPr>
            <w:tcW w:w="1340" w:type="dxa"/>
            <w:vAlign w:val="bottom"/>
          </w:tcPr>
          <w:p>
            <w:pPr>
              <w:jc w:val="center"/>
              <w:ind w:left="44"/>
              <w:spacing w:after="0"/>
              <w:rPr>
                <w:sz w:val="20"/>
                <w:szCs w:val="20"/>
                <w:color w:val="auto"/>
              </w:rPr>
            </w:pPr>
            <w:r>
              <w:rPr>
                <w:rFonts w:ascii="Times New Roman" w:cs="Times New Roman" w:eastAsia="Times New Roman" w:hAnsi="Times New Roman"/>
                <w:sz w:val="12"/>
                <w:szCs w:val="12"/>
                <w:color w:val="auto"/>
                <w:w w:val="99"/>
              </w:rPr>
              <w:t>(2)</w:t>
            </w:r>
          </w:p>
        </w:tc>
        <w:tc>
          <w:tcPr>
            <w:tcW w:w="216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rPr>
              <w:t>211,242</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49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27, 2022 – December 31, 2022</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CCEEFF"/>
            </w:tcBorders>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211,242</w:t>
            </w:r>
          </w:p>
        </w:tc>
        <w:tc>
          <w:tcPr>
            <w:tcW w:w="1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11430</wp:posOffset>
            </wp:positionV>
            <wp:extent cx="105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11430</wp:posOffset>
            </wp:positionV>
            <wp:extent cx="6940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29" w:lineRule="exact"/>
        <w:rPr>
          <w:sz w:val="20"/>
          <w:szCs w:val="20"/>
          <w:color w:val="auto"/>
        </w:rPr>
      </w:pPr>
    </w:p>
    <w:p>
      <w:pPr>
        <w:ind w:left="20" w:right="60" w:firstLine="6"/>
        <w:spacing w:after="0" w:line="261" w:lineRule="auto"/>
        <w:tabs>
          <w:tab w:leader="none" w:pos="165"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August 2022, the Company’s Board of Directors authorized the repurchase of up to $300.0 million of the Company’s common stock from time to time, based on market conditions, over the next three years. Under the Company’s share repurchase program, shares may be repurchased in accordance with applicable laws both on the open market, including under trading plans established pursuant to Rule 10b5-1 under the Exchange Act, and in privately negotiated transactions.</w:t>
      </w:r>
    </w:p>
    <w:p>
      <w:pPr>
        <w:spacing w:after="0" w:line="14" w:lineRule="exact"/>
        <w:rPr>
          <w:rFonts w:ascii="Times New Roman" w:cs="Times New Roman" w:eastAsia="Times New Roman" w:hAnsi="Times New Roman"/>
          <w:sz w:val="9"/>
          <w:szCs w:val="9"/>
          <w:color w:val="auto"/>
        </w:rPr>
      </w:pPr>
    </w:p>
    <w:p>
      <w:pPr>
        <w:ind w:left="20" w:right="480" w:firstLine="6"/>
        <w:spacing w:after="0" w:line="282" w:lineRule="auto"/>
        <w:tabs>
          <w:tab w:leader="none" w:pos="165"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November 2022, the Company completed a $75.0 million repurchase of its common stock pursuant to an ASR entered into with Citibank in August 2022. The total number of shares repurchased under the ASR was 1.0 million at an average price per share upon final settlement of $75.20.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-576580</wp:posOffset>
            </wp:positionV>
            <wp:extent cx="10541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-576580</wp:posOffset>
            </wp:positionV>
            <wp:extent cx="6940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800" w:right="280" w:hanging="768"/>
        <w:spacing w:after="0" w:line="237" w:lineRule="auto"/>
        <w:tabs>
          <w:tab w:leader="none" w:pos="78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80" w:lineRule="exact"/>
        <w:rPr>
          <w:sz w:val="20"/>
          <w:szCs w:val="20"/>
          <w:color w:val="auto"/>
        </w:rPr>
      </w:pPr>
    </w:p>
    <w:p>
      <w:pPr>
        <w:ind w:left="800" w:right="640" w:hanging="768"/>
        <w:spacing w:after="0" w:line="237" w:lineRule="auto"/>
        <w:tabs>
          <w:tab w:leader="none" w:pos="780" w:val="left"/>
        </w:tabs>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By-Laws of the Company, as amended through June 29, 2020 (filed as Exhibit 3.1 to the Company’s Form 8-K dated June 30, 2020 and incorporated herein by reference).</w:t>
      </w:r>
    </w:p>
    <w:p>
      <w:pPr>
        <w:spacing w:after="0" w:line="280" w:lineRule="exact"/>
        <w:rPr>
          <w:sz w:val="20"/>
          <w:szCs w:val="20"/>
          <w:color w:val="auto"/>
        </w:rPr>
      </w:pPr>
    </w:p>
    <w:p>
      <w:pPr>
        <w:ind w:left="800" w:right="3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 Company.</w:t>
      </w:r>
    </w:p>
    <w:p>
      <w:pPr>
        <w:spacing w:after="0" w:line="239" w:lineRule="exact"/>
        <w:rPr>
          <w:sz w:val="20"/>
          <w:szCs w:val="20"/>
          <w:color w:val="auto"/>
        </w:rPr>
      </w:pPr>
    </w:p>
    <w:p>
      <w:pPr>
        <w:ind w:left="8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of 2002, of James C. D'Arecca, Executive Vice President, Chief Financial Officer of the Company.</w:t>
      </w:r>
    </w:p>
    <w:p>
      <w:pPr>
        <w:spacing w:after="0" w:line="239" w:lineRule="exact"/>
        <w:rPr>
          <w:sz w:val="20"/>
          <w:szCs w:val="20"/>
          <w:color w:val="auto"/>
        </w:rPr>
      </w:pPr>
    </w:p>
    <w:p>
      <w:pPr>
        <w:ind w:left="800" w:right="6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Christopher A. Simon, President and Chief Executive Officer of the Company.</w:t>
      </w:r>
    </w:p>
    <w:p>
      <w:pPr>
        <w:spacing w:after="0" w:line="239" w:lineRule="exact"/>
        <w:rPr>
          <w:sz w:val="20"/>
          <w:szCs w:val="20"/>
          <w:color w:val="auto"/>
        </w:rPr>
      </w:pPr>
    </w:p>
    <w:p>
      <w:pPr>
        <w:ind w:left="800" w:right="12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James C. D'Arecca, Executive Vice President, Chief Financial Officer of the Company.</w:t>
      </w:r>
    </w:p>
    <w:p>
      <w:pPr>
        <w:spacing w:after="0" w:line="280" w:lineRule="exact"/>
        <w:rPr>
          <w:sz w:val="20"/>
          <w:szCs w:val="20"/>
          <w:color w:val="auto"/>
        </w:rPr>
      </w:pPr>
    </w:p>
    <w:p>
      <w:pPr>
        <w:ind w:left="800" w:right="40" w:hanging="779"/>
        <w:spacing w:after="0" w:line="236" w:lineRule="auto"/>
        <w:tabs>
          <w:tab w:leader="none" w:pos="7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Haemonetics Corporation on Form 10-Q for the quarter ended July 2, 2022 formatted in inline Extensible Business Reporting Language (XBRL) includes: (i) Condensed Consolidated Statements of Income and Comprehensive Income, (ii) Condensed</w:t>
      </w:r>
    </w:p>
    <w:p>
      <w:pPr>
        <w:ind w:left="800" w:right="20"/>
        <w:spacing w:after="0" w:line="226" w:lineRule="auto"/>
        <w:rPr>
          <w:sz w:val="20"/>
          <w:szCs w:val="20"/>
          <w:color w:val="auto"/>
        </w:rPr>
      </w:pPr>
      <w:r>
        <w:rPr>
          <w:rFonts w:ascii="Times New Roman" w:cs="Times New Roman" w:eastAsia="Times New Roman" w:hAnsi="Times New Roman"/>
          <w:sz w:val="18"/>
          <w:szCs w:val="18"/>
          <w:color w:val="auto"/>
        </w:rPr>
        <w:t>Consolidated Balance Sheets, (iii) Condensed Consolidated Statement of Stockholders' Equity, (iv) Condensed Consolidated Statements of Cash Flows, and (v) Notes to Condensed Consolidated Financial Statements.</w:t>
      </w:r>
    </w:p>
    <w:p>
      <w:pPr>
        <w:spacing w:after="0" w:line="26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5" w:name="page36"/>
    <w:bookmarkEnd w:id="35"/>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February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Christopher A. Simon,</w:t>
      </w: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February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70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340"/>
          </w:cols>
          <w:pgMar w:left="320" w:top="887" w:right="1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60" w:hanging="324"/>
        <w:spacing w:after="0" w:line="312" w:lineRule="auto"/>
        <w:tabs>
          <w:tab w:leader="none" w:pos="97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68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16"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3060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December 31, 2022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December 31, 2022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3" Type="http://schemas.openxmlformats.org/officeDocument/2006/relationships/hyperlink" Target="http://www.sec.gov/Archives/edgar/data/313143/000031314319000035/exhibit31-restatedarticles.htm" TargetMode="External"/><Relationship Id="rId54"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2023-02-07T05:32:08Z</dcterms:created>
  <dcterms:modified xsi:type="dcterms:W3CDTF">2023-02-07T05:32:08Z</dcterms:modified>
</cp:coreProperties>
</file>