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quarterly period ended: June 28, 2025</w:t>
      </w:r>
    </w:p>
    <w:p>
      <w:pPr>
        <w:pStyle w:val="TextBody"/>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001-14041 </w:t>
      </w:r>
    </w:p>
    <w:p>
      <w:pPr>
        <w:pStyle w:val="TextBody"/>
        <w:bidi w:val="0"/>
        <w:spacing w:lineRule="auto" w:line="288" w:before="320" w:after="283"/>
        <w:jc w:val="center"/>
        <w:rPr>
          <w:rFonts w:ascii="Times New Roman;serif" w:hAnsi="Times New Roman;serif"/>
          <w:b/>
          <w:color w:val="000000"/>
          <w:sz w:val="48"/>
        </w:rPr>
      </w:pPr>
      <w:r>
        <w:rPr>
          <w:rFonts w:ascii="Times New Roman;serif" w:hAnsi="Times New Roman;serif"/>
          <w:b/>
          <w:color w:val="000000"/>
          <w:sz w:val="48"/>
        </w:rPr>
        <w:t>HAEMONETICS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274" w:type="dxa"/>
        <w:jc w:val="center"/>
        <w:tblInd w:w="0" w:type="dxa"/>
        <w:tblLayout w:type="fixed"/>
        <w:tblCellMar>
          <w:top w:w="28" w:type="dxa"/>
          <w:left w:w="28" w:type="dxa"/>
          <w:bottom w:w="28" w:type="dxa"/>
          <w:right w:w="28" w:type="dxa"/>
        </w:tblCellMar>
      </w:tblPr>
      <w:tblGrid>
        <w:gridCol w:w="599"/>
        <w:gridCol w:w="528"/>
        <w:gridCol w:w="528"/>
        <w:gridCol w:w="545"/>
        <w:gridCol w:w="545"/>
        <w:gridCol w:w="553"/>
        <w:gridCol w:w="109"/>
        <w:gridCol w:w="109"/>
        <w:gridCol w:w="109"/>
        <w:gridCol w:w="481"/>
        <w:gridCol w:w="481"/>
        <w:gridCol w:w="687"/>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04-2882273</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125 Summer Street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Boston,</w:t>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02110</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(781) 848-7100 </w:t>
      </w:r>
    </w:p>
    <w:p>
      <w:pPr>
        <w:pStyle w:val="TextBody"/>
        <w:bidi w:val="0"/>
        <w:spacing w:lineRule="auto" w:line="288" w:before="0" w:after="0"/>
        <w:jc w:val="center"/>
        <w:rPr/>
      </w:pPr>
      <w:r>
        <w:rPr>
          <w:rFonts w:ascii="Times New Roman;serif" w:hAnsi="Times New Roman;serif"/>
          <w:b w:val="false"/>
          <w:color w:val="000000"/>
          <w:sz w:val="18"/>
        </w:rPr>
        <w:t>(Registrant’s telephone number, including area code)</w:t>
      </w:r>
      <w:r>
        <w:rPr>
          <w:color w:val="000000"/>
        </w:rPr>
        <w:t xml:space="preserv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52" w:type="dxa"/>
        <w:jc w:val="center"/>
        <w:tblInd w:w="0" w:type="dxa"/>
        <w:tblLayout w:type="fixed"/>
        <w:tblCellMar>
          <w:top w:w="28" w:type="dxa"/>
          <w:left w:w="28" w:type="dxa"/>
          <w:bottom w:w="28" w:type="dxa"/>
          <w:right w:w="28" w:type="dxa"/>
        </w:tblCellMar>
      </w:tblPr>
      <w:tblGrid>
        <w:gridCol w:w="1212"/>
        <w:gridCol w:w="1070"/>
        <w:gridCol w:w="1077"/>
        <w:gridCol w:w="109"/>
        <w:gridCol w:w="109"/>
        <w:gridCol w:w="109"/>
        <w:gridCol w:w="424"/>
        <w:gridCol w:w="424"/>
        <w:gridCol w:w="426"/>
        <w:gridCol w:w="109"/>
        <w:gridCol w:w="109"/>
        <w:gridCol w:w="109"/>
        <w:gridCol w:w="1014"/>
        <w:gridCol w:w="1014"/>
        <w:gridCol w:w="1437"/>
      </w:tblGrid>
      <w:tr>
        <w:trPr/>
        <w:tc>
          <w:tcPr>
            <w:tcW w:w="12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ind w:left="0" w:right="0" w:firstLine="72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943"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8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$0.01 par value common stock outstanding as of August 1, 2025: 48,177,256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73"/>
        <w:gridCol w:w="3051"/>
        <w:gridCol w:w="3064"/>
        <w:gridCol w:w="180"/>
        <w:gridCol w:w="180"/>
        <w:gridCol w:w="257"/>
      </w:tblGrid>
      <w:tr>
        <w:trPr/>
        <w:tc>
          <w:tcPr>
            <w:tcW w:w="3473"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0">
              <w:r>
                <w:rPr>
                  <w:rStyle w:val="InternetLink"/>
                  <w:rFonts w:ascii="Times New Roman;serif" w:hAnsi="Times New Roman;serif"/>
                  <w:b/>
                  <w:color w:val="0000FF"/>
                  <w:sz w:val="20"/>
                  <w:u w:val="single"/>
                </w:rPr>
                <w:t>PART I. FINANCIAL INFORMATION</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6e3bcfe217c488db721bb1aa20630f6_10">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3">
              <w:r>
                <w:rPr>
                  <w:rStyle w:val="InternetLink"/>
                  <w:rFonts w:ascii="Times New Roman;serif" w:hAnsi="Times New Roman;serif"/>
                  <w:b/>
                  <w:color w:val="0000FF"/>
                  <w:sz w:val="20"/>
                  <w:u w:val="single"/>
                </w:rPr>
                <w:t>ITEM 1.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3">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6">
              <w:r>
                <w:rPr>
                  <w:rStyle w:val="InternetLink"/>
                  <w:rFonts w:ascii="Times New Roman;serif" w:hAnsi="Times New Roman;serif"/>
                  <w:b w:val="false"/>
                  <w:color w:val="0000FF"/>
                  <w:sz w:val="20"/>
                  <w:u w:val="single"/>
                </w:rPr>
                <w:t>Unaudited Condensed Consolidated Statements of Income - Three Months Ended June 28, 2025 and June 29,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6">
              <w:r>
                <w:rPr>
                  <w:rStyle w:val="InternetLink"/>
                  <w:rFonts w:ascii="Times New Roman;serif" w:hAnsi="Times New Roman;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219">
              <w:r>
                <w:rPr>
                  <w:rStyle w:val="InternetLink"/>
                  <w:rFonts w:ascii="Times New Roman;serif" w:hAnsi="Times New Roman;serif"/>
                  <w:b w:val="false"/>
                  <w:color w:val="000080"/>
                  <w:sz w:val="20"/>
                  <w:u w:val="single"/>
                </w:rPr>
                <w:t>Unaudited Condensed Consolidated Statements of Comprehensive Income</w:t>
              </w:r>
            </w:hyperlink>
            <w:hyperlink w:anchor="i66e3bcfe217c488db721bb1aa20630f6_1219">
              <w:r>
                <w:rPr>
                  <w:rStyle w:val="InternetLink"/>
                  <w:rFonts w:ascii="Times New Roman;serif" w:hAnsi="Times New Roman;serif"/>
                  <w:b w:val="false"/>
                  <w:color w:val="000080"/>
                  <w:sz w:val="20"/>
                  <w:u w:val="single"/>
                </w:rPr>
                <w:t xml:space="preserve"> (Loss)</w:t>
              </w:r>
            </w:hyperlink>
            <w:hyperlink w:anchor="i66e3bcfe217c488db721bb1aa20630f6_1219">
              <w:r>
                <w:rPr>
                  <w:rStyle w:val="InternetLink"/>
                  <w:rFonts w:ascii="Times New Roman;serif" w:hAnsi="Times New Roman;serif"/>
                  <w:b w:val="false"/>
                  <w:color w:val="000080"/>
                  <w:sz w:val="20"/>
                  <w:u w:val="single"/>
                </w:rPr>
                <w:t xml:space="preserve"> - Three Months Ended June 28, 2025 and June 29,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219">
              <w:r>
                <w:rPr>
                  <w:rStyle w:val="InternetLink"/>
                  <w:rFonts w:ascii="Times New Roman;serif" w:hAnsi="Times New Roman;serif"/>
                  <w:b w:val="false"/>
                  <w:color w:val="0000FF"/>
                  <w:sz w:val="20"/>
                  <w:u w:val="single"/>
                </w:rPr>
                <w:t>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9">
              <w:r>
                <w:rPr>
                  <w:rStyle w:val="InternetLink"/>
                  <w:rFonts w:ascii="Times New Roman;serif" w:hAnsi="Times New Roman;serif"/>
                  <w:b w:val="false"/>
                  <w:color w:val="0000FF"/>
                  <w:sz w:val="20"/>
                  <w:u w:val="single"/>
                </w:rPr>
                <w:t>Unaudited Condensed Consolidated Balance Sheet - June 28, 2025 and Consolidated Balance Sheet - March 29, 2025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9">
              <w:r>
                <w:rPr>
                  <w:rStyle w:val="InternetLink"/>
                  <w:rFonts w:ascii="Times New Roman;serif" w:hAnsi="Times New Roman;serif"/>
                  <w:b w:val="false"/>
                  <w:color w:val="0000FF"/>
                  <w:sz w:val="20"/>
                  <w:u w:val="single"/>
                </w:rPr>
                <w:t>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22">
              <w:r>
                <w:rPr>
                  <w:rStyle w:val="InternetLink"/>
                  <w:rFonts w:ascii="Times New Roman;serif" w:hAnsi="Times New Roman;serif"/>
                  <w:b w:val="false"/>
                  <w:color w:val="0000FF"/>
                  <w:sz w:val="20"/>
                  <w:u w:val="single"/>
                </w:rPr>
                <w:t>Unaudited Condensed Consolidated Statements of Stockholders</w:t>
              </w:r>
            </w:hyperlink>
            <w:r>
              <w:rPr>
                <w:color w:val="0E32E1"/>
                <w:u w:val="single"/>
              </w:rPr>
              <w:t>’</w:t>
            </w:r>
            <w:hyperlink w:anchor="i66e3bcfe217c488db721bb1aa20630f6_22">
              <w:r>
                <w:rPr>
                  <w:rStyle w:val="InternetLink"/>
                  <w:color w:val="0000FF"/>
                  <w:u w:val="single"/>
                </w:rPr>
                <w:t xml:space="preserve"> </w:t>
              </w:r>
            </w:hyperlink>
            <w:hyperlink w:anchor="i66e3bcfe217c488db721bb1aa20630f6_22">
              <w:r>
                <w:rPr>
                  <w:rStyle w:val="InternetLink"/>
                  <w:rFonts w:ascii="Times New Roman;serif" w:hAnsi="Times New Roman;serif"/>
                  <w:b w:val="false"/>
                  <w:color w:val="0000FF"/>
                  <w:sz w:val="20"/>
                  <w:u w:val="single"/>
                </w:rPr>
                <w:t>Equity - Three Months Ended June 28, 2025 and June 29,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22">
              <w:r>
                <w:rPr>
                  <w:rStyle w:val="InternetLink"/>
                  <w:rFonts w:ascii="Times New Roman;serif" w:hAnsi="Times New Roman;serif"/>
                  <w:b w:val="false"/>
                  <w:color w:val="0000FF"/>
                  <w:sz w:val="20"/>
                  <w:u w:val="single"/>
                </w:rPr>
                <w:t>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25">
              <w:r>
                <w:rPr>
                  <w:rStyle w:val="InternetLink"/>
                  <w:rFonts w:ascii="Times New Roman;serif" w:hAnsi="Times New Roman;serif"/>
                  <w:b w:val="false"/>
                  <w:color w:val="0000FF"/>
                  <w:sz w:val="20"/>
                  <w:u w:val="single"/>
                </w:rPr>
                <w:t>Unaudited Condensed Consolidated Statements of Cash Flows - Three Months Ended June 28, 2025 and June 29,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25">
              <w:r>
                <w:rPr>
                  <w:rStyle w:val="InternetLink"/>
                  <w:rFonts w:ascii="Times New Roman;serif" w:hAnsi="Times New Roman;serif"/>
                  <w:b w:val="false"/>
                  <w:color w:val="0000FF"/>
                  <w:sz w:val="20"/>
                  <w:u w:val="single"/>
                </w:rPr>
                <w:t>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28">
              <w:r>
                <w:rPr>
                  <w:rStyle w:val="InternetLink"/>
                  <w:rFonts w:ascii="Times New Roman;serif" w:hAnsi="Times New Roman;serif"/>
                  <w:b w:val="false"/>
                  <w:color w:val="0000FF"/>
                  <w:sz w:val="20"/>
                  <w:u w:val="single"/>
                </w:rPr>
                <w:t>Notes to Unaudited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28">
              <w:r>
                <w:rPr>
                  <w:rStyle w:val="InternetLink"/>
                  <w:rFonts w:ascii="Times New Roman;serif" w:hAnsi="Times New Roman;serif"/>
                  <w:b w:val="false"/>
                  <w:color w:val="0000FF"/>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88">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88">
              <w:r>
                <w:rPr>
                  <w:rStyle w:val="InternetLink"/>
                  <w:rFonts w:ascii="Times New Roman;serif" w:hAnsi="Times New Roman;serif"/>
                  <w:b w:val="false"/>
                  <w:color w:val="0000FF"/>
                  <w:sz w:val="20"/>
                  <w:u w:val="single"/>
                </w:rPr>
                <w:t>33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12">
              <w:r>
                <w:rPr>
                  <w:rStyle w:val="InternetLink"/>
                  <w:rFonts w:ascii="Times New Roman;serif" w:hAnsi="Times New Roman;serif"/>
                  <w:b/>
                  <w:color w:val="0000FF"/>
                  <w:sz w:val="20"/>
                  <w:u w:val="single"/>
                </w:rPr>
                <w:t>ITEM 3. 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12">
              <w:r>
                <w:rPr>
                  <w:rStyle w:val="InternetLink"/>
                  <w:rFonts w:ascii="Times New Roman;serif" w:hAnsi="Times New Roman;serif"/>
                  <w:b w:val="false"/>
                  <w:color w:val="0000FF"/>
                  <w:sz w:val="20"/>
                  <w:u w:val="single"/>
                </w:rPr>
                <w:t>42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15">
              <w:r>
                <w:rPr>
                  <w:rStyle w:val="InternetLink"/>
                  <w:rFonts w:ascii="Times New Roman;serif" w:hAnsi="Times New Roman;serif"/>
                  <w:b/>
                  <w:color w:val="0000FF"/>
                  <w:sz w:val="20"/>
                  <w:u w:val="single"/>
                </w:rPr>
                <w:t>ITEM 4. 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15">
              <w:r>
                <w:rPr>
                  <w:rStyle w:val="InternetLink"/>
                  <w:rFonts w:ascii="Times New Roman;serif" w:hAnsi="Times New Roman;serif"/>
                  <w:b w:val="false"/>
                  <w:color w:val="0000FF"/>
                  <w:sz w:val="20"/>
                  <w:u w:val="single"/>
                </w:rPr>
                <w:t>43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18">
              <w:r>
                <w:rPr>
                  <w:rStyle w:val="InternetLink"/>
                  <w:rFonts w:ascii="Times New Roman;serif" w:hAnsi="Times New Roman;serif"/>
                  <w:b/>
                  <w:color w:val="0000FF"/>
                  <w:sz w:val="20"/>
                  <w:u w:val="single"/>
                </w:rPr>
                <w:t>PART II.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18">
              <w:r>
                <w:rPr>
                  <w:rStyle w:val="InternetLink"/>
                  <w:rFonts w:ascii="Times New Roman;serif" w:hAnsi="Times New Roman;serif"/>
                  <w:b w:val="false"/>
                  <w:color w:val="0000FF"/>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21">
              <w:r>
                <w:rPr>
                  <w:rStyle w:val="InternetLink"/>
                  <w:rFonts w:ascii="Times New Roman;serif" w:hAnsi="Times New Roman;serif"/>
                  <w:b/>
                  <w:color w:val="0000FF"/>
                  <w:sz w:val="20"/>
                  <w:u w:val="single"/>
                </w:rPr>
                <w:t>ITEM 1. 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21">
              <w:r>
                <w:rPr>
                  <w:rStyle w:val="InternetLink"/>
                  <w:rFonts w:ascii="Times New Roman;serif" w:hAnsi="Times New Roman;serif"/>
                  <w:b w:val="false"/>
                  <w:color w:val="0000FF"/>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24">
              <w:r>
                <w:rPr>
                  <w:rStyle w:val="InternetLink"/>
                  <w:rFonts w:ascii="Times New Roman;serif" w:hAnsi="Times New Roman;serif"/>
                  <w:b/>
                  <w:color w:val="0000FF"/>
                  <w:sz w:val="20"/>
                  <w:u w:val="single"/>
                </w:rPr>
                <w:t>ITEM 1A. 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24">
              <w:r>
                <w:rPr>
                  <w:rStyle w:val="InternetLink"/>
                  <w:rFonts w:ascii="Times New Roman;serif" w:hAnsi="Times New Roman;serif"/>
                  <w:b w:val="false"/>
                  <w:color w:val="0000FF"/>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27">
              <w:r>
                <w:rPr>
                  <w:rStyle w:val="InternetLink"/>
                  <w:rFonts w:ascii="Times New Roman;serif" w:hAnsi="Times New Roman;serif"/>
                  <w:b/>
                  <w:color w:val="0000FF"/>
                  <w:sz w:val="20"/>
                  <w:u w:val="single"/>
                </w:rPr>
                <w:t>ITEM 2. 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27">
              <w:r>
                <w:rPr>
                  <w:rStyle w:val="InternetLink"/>
                  <w:rFonts w:ascii="Times New Roman;serif" w:hAnsi="Times New Roman;serif"/>
                  <w:b w:val="false"/>
                  <w:color w:val="0000FF"/>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30">
              <w:r>
                <w:rPr>
                  <w:rStyle w:val="InternetLink"/>
                  <w:rFonts w:ascii="Times New Roman;serif" w:hAnsi="Times New Roman;serif"/>
                  <w:b/>
                  <w:color w:val="0000FF"/>
                  <w:sz w:val="20"/>
                  <w:u w:val="single"/>
                </w:rPr>
                <w:t>ITEM 3. 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30">
              <w:r>
                <w:rPr>
                  <w:rStyle w:val="InternetLink"/>
                  <w:rFonts w:ascii="Times New Roman;serif" w:hAnsi="Times New Roman;serif"/>
                  <w:b w:val="false"/>
                  <w:color w:val="0000FF"/>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33">
              <w:r>
                <w:rPr>
                  <w:rStyle w:val="InternetLink"/>
                  <w:rFonts w:ascii="Times New Roman;serif" w:hAnsi="Times New Roman;serif"/>
                  <w:b/>
                  <w:color w:val="0000FF"/>
                  <w:sz w:val="20"/>
                  <w:u w:val="single"/>
                </w:rPr>
                <w:t>ITEM 4. 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33">
              <w:r>
                <w:rPr>
                  <w:rStyle w:val="InternetLink"/>
                  <w:rFonts w:ascii="Times New Roman;serif" w:hAnsi="Times New Roman;serif"/>
                  <w:b w:val="false"/>
                  <w:color w:val="0000FF"/>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36">
              <w:r>
                <w:rPr>
                  <w:rStyle w:val="InternetLink"/>
                  <w:rFonts w:ascii="Times New Roman;serif" w:hAnsi="Times New Roman;serif"/>
                  <w:b/>
                  <w:color w:val="0000FF"/>
                  <w:sz w:val="20"/>
                  <w:u w:val="single"/>
                </w:rPr>
                <w:t>ITEM 5.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36">
              <w:r>
                <w:rPr>
                  <w:rStyle w:val="InternetLink"/>
                  <w:rFonts w:ascii="Times New Roman;serif" w:hAnsi="Times New Roman;serif"/>
                  <w:b w:val="false"/>
                  <w:color w:val="0000FF"/>
                  <w:sz w:val="20"/>
                  <w:u w:val="single"/>
                </w:rPr>
                <w:t>44</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42">
              <w:r>
                <w:rPr>
                  <w:rStyle w:val="InternetLink"/>
                  <w:rFonts w:ascii="Times New Roman;serif" w:hAnsi="Times New Roman;serif"/>
                  <w:b/>
                  <w:color w:val="0000FF"/>
                  <w:sz w:val="20"/>
                  <w:u w:val="single"/>
                </w:rPr>
                <w:t>ITEM 6. 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42">
              <w:r>
                <w:rPr>
                  <w:rStyle w:val="InternetLink"/>
                  <w:rFonts w:ascii="Times New Roman;serif" w:hAnsi="Times New Roman;serif"/>
                  <w:b w:val="false"/>
                  <w:color w:val="0000FF"/>
                  <w:sz w:val="20"/>
                  <w:u w:val="single"/>
                </w:rPr>
                <w:t>45</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6e3bcfe217c488db721bb1aa20630f6_145">
              <w:r>
                <w:rPr>
                  <w:rStyle w:val="InternetLink"/>
                  <w:rFonts w:ascii="Times New Roman;serif" w:hAnsi="Times New Roman;serif"/>
                  <w:b/>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6e3bcfe217c488db721bb1aa20630f6_145">
              <w:r>
                <w:rPr>
                  <w:rStyle w:val="InternetLink"/>
                  <w:rFonts w:ascii="Times New Roman;serif" w:hAnsi="Times New Roman;serif"/>
                  <w:b w:val="false"/>
                  <w:color w:val="0000FF"/>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INCOME (UNAUDITED)</w:t>
      </w:r>
    </w:p>
    <w:tbl>
      <w:tblPr>
        <w:tblW w:w="7526" w:type="dxa"/>
        <w:jc w:val="center"/>
        <w:tblInd w:w="0" w:type="dxa"/>
        <w:tblLayout w:type="fixed"/>
        <w:tblCellMar>
          <w:top w:w="28" w:type="dxa"/>
          <w:left w:w="28" w:type="dxa"/>
          <w:bottom w:w="28" w:type="dxa"/>
          <w:right w:w="28" w:type="dxa"/>
        </w:tblCellMar>
      </w:tblPr>
      <w:tblGrid>
        <w:gridCol w:w="1289"/>
        <w:gridCol w:w="1127"/>
        <w:gridCol w:w="1138"/>
        <w:gridCol w:w="281"/>
        <w:gridCol w:w="1102"/>
        <w:gridCol w:w="145"/>
        <w:gridCol w:w="145"/>
        <w:gridCol w:w="145"/>
        <w:gridCol w:w="145"/>
        <w:gridCol w:w="281"/>
        <w:gridCol w:w="1102"/>
        <w:gridCol w:w="145"/>
        <w:gridCol w:w="109"/>
        <w:gridCol w:w="109"/>
        <w:gridCol w:w="109"/>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174,924 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135,168 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 average shares outstanding </w:t>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9206" w:type="dxa"/>
        <w:jc w:val="center"/>
        <w:tblInd w:w="0" w:type="dxa"/>
        <w:tblLayout w:type="fixed"/>
        <w:tblCellMar>
          <w:top w:w="28" w:type="dxa"/>
          <w:left w:w="28" w:type="dxa"/>
          <w:bottom w:w="28" w:type="dxa"/>
          <w:right w:w="28" w:type="dxa"/>
        </w:tblCellMar>
      </w:tblPr>
      <w:tblGrid>
        <w:gridCol w:w="2221"/>
        <w:gridCol w:w="1952"/>
        <w:gridCol w:w="1977"/>
        <w:gridCol w:w="224"/>
        <w:gridCol w:w="784"/>
        <w:gridCol w:w="116"/>
        <w:gridCol w:w="109"/>
        <w:gridCol w:w="109"/>
        <w:gridCol w:w="109"/>
        <w:gridCol w:w="224"/>
        <w:gridCol w:w="784"/>
        <w:gridCol w:w="116"/>
        <w:gridCol w:w="109"/>
        <w:gridCol w:w="109"/>
        <w:gridCol w:w="109"/>
        <w:gridCol w:w="154"/>
      </w:tblGrid>
      <w:tr>
        <w:trPr/>
        <w:tc>
          <w:tcPr>
            <w:tcW w:w="2221"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cash flow hedges, net of tax</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into earnings of cash flow hedge losses (gains), net of tax</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52,873</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31,338</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05"/>
        <w:gridCol w:w="2113"/>
        <w:gridCol w:w="2102"/>
        <w:gridCol w:w="219"/>
        <w:gridCol w:w="1015"/>
        <w:gridCol w:w="113"/>
        <w:gridCol w:w="113"/>
        <w:gridCol w:w="113"/>
        <w:gridCol w:w="113"/>
        <w:gridCol w:w="219"/>
        <w:gridCol w:w="1015"/>
        <w:gridCol w:w="165"/>
      </w:tblGrid>
      <w:tr>
        <w:trPr/>
        <w:tc>
          <w:tcPr>
            <w:tcW w:w="29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$6,316 at June 28, 2025 and $6,300 at March 29, 2025</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less accumulated amortization of $330,652 at June 28, 2025 and $316,313 at March 29, 2025</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2,462,094 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2,450,948 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4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maturities of long-term debt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531,407 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578,113 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921,230 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 150,000,000 shares; Issued and outstanding — 48,158,723 shares at June 28, 2025 and 48,215,899 shares at March 29, 2025</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820,836 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2,462,094 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2,450,948 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tbl>
      <w:tblPr>
        <w:tblW w:w="10205" w:type="dxa"/>
        <w:jc w:val="left"/>
        <w:tblInd w:w="0" w:type="dxa"/>
        <w:tblLayout w:type="fixed"/>
        <w:tblCellMar>
          <w:top w:w="28" w:type="dxa"/>
          <w:left w:w="28" w:type="dxa"/>
          <w:bottom w:w="28" w:type="dxa"/>
          <w:right w:w="28" w:type="dxa"/>
        </w:tblCellMar>
      </w:tblPr>
      <w:tblGrid>
        <w:gridCol w:w="868"/>
        <w:gridCol w:w="371"/>
        <w:gridCol w:w="373"/>
        <w:gridCol w:w="548"/>
        <w:gridCol w:w="548"/>
        <w:gridCol w:w="196"/>
        <w:gridCol w:w="109"/>
        <w:gridCol w:w="109"/>
        <w:gridCol w:w="109"/>
        <w:gridCol w:w="212"/>
        <w:gridCol w:w="483"/>
        <w:gridCol w:w="109"/>
        <w:gridCol w:w="109"/>
        <w:gridCol w:w="109"/>
        <w:gridCol w:w="109"/>
        <w:gridCol w:w="211"/>
        <w:gridCol w:w="844"/>
        <w:gridCol w:w="109"/>
        <w:gridCol w:w="109"/>
        <w:gridCol w:w="109"/>
        <w:gridCol w:w="109"/>
        <w:gridCol w:w="216"/>
        <w:gridCol w:w="861"/>
        <w:gridCol w:w="111"/>
        <w:gridCol w:w="109"/>
        <w:gridCol w:w="109"/>
        <w:gridCol w:w="109"/>
        <w:gridCol w:w="249"/>
        <w:gridCol w:w="872"/>
        <w:gridCol w:w="130"/>
        <w:gridCol w:w="109"/>
        <w:gridCol w:w="109"/>
        <w:gridCol w:w="109"/>
        <w:gridCol w:w="219"/>
        <w:gridCol w:w="873"/>
        <w:gridCol w:w="167"/>
      </w:tblGrid>
      <w:tr>
        <w:trPr/>
        <w:tc>
          <w:tcPr>
            <w:tcW w:w="8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29, 2025</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48,215,899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352,174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(55,084)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820,836</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28, 2025</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48,158,723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562,014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356,046</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(36,242)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882,300</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74"/>
        <w:gridCol w:w="373"/>
        <w:gridCol w:w="375"/>
        <w:gridCol w:w="548"/>
        <w:gridCol w:w="548"/>
        <w:gridCol w:w="196"/>
        <w:gridCol w:w="109"/>
        <w:gridCol w:w="109"/>
        <w:gridCol w:w="109"/>
        <w:gridCol w:w="211"/>
        <w:gridCol w:w="483"/>
        <w:gridCol w:w="109"/>
        <w:gridCol w:w="109"/>
        <w:gridCol w:w="109"/>
        <w:gridCol w:w="109"/>
        <w:gridCol w:w="211"/>
        <w:gridCol w:w="844"/>
        <w:gridCol w:w="109"/>
        <w:gridCol w:w="109"/>
        <w:gridCol w:w="109"/>
        <w:gridCol w:w="109"/>
        <w:gridCol w:w="215"/>
        <w:gridCol w:w="859"/>
        <w:gridCol w:w="111"/>
        <w:gridCol w:w="109"/>
        <w:gridCol w:w="109"/>
        <w:gridCol w:w="109"/>
        <w:gridCol w:w="248"/>
        <w:gridCol w:w="870"/>
        <w:gridCol w:w="130"/>
        <w:gridCol w:w="109"/>
        <w:gridCol w:w="109"/>
        <w:gridCol w:w="109"/>
        <w:gridCol w:w="218"/>
        <w:gridCol w:w="870"/>
        <w:gridCol w:w="168"/>
      </w:tblGrid>
      <w:tr>
        <w:trPr/>
        <w:tc>
          <w:tcPr>
            <w:tcW w:w="87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30, 2024</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50,787,859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360,456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(35,632)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959,959</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46,860 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 of cancellations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employee equity awards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 related to convertible notes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29, 2024</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51,152,886</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560,881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386,642</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(42,667)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905,368</w:t>
            </w: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729"/>
        <w:gridCol w:w="2382"/>
        <w:gridCol w:w="2398"/>
        <w:gridCol w:w="211"/>
        <w:gridCol w:w="841"/>
        <w:gridCol w:w="109"/>
        <w:gridCol w:w="109"/>
        <w:gridCol w:w="109"/>
        <w:gridCol w:w="109"/>
        <w:gridCol w:w="211"/>
        <w:gridCol w:w="841"/>
        <w:gridCol w:w="156"/>
      </w:tblGrid>
      <w:tr>
        <w:trPr/>
        <w:tc>
          <w:tcPr>
            <w:tcW w:w="272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fair value inventory step-up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repurchase of convertible senior notes,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sales of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prepaid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assets and 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accounts payable and accrued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transfers from inventory to property, plant and equipment for Haemonetics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convertible notes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convertible senior notes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 related to convertible notes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borrowings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redemption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facility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to net share settle employee equity awards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292,898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344,429</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5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HAEMONETICS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three months ended June 28, 2025 are not necessarily indicative of the results that may be expected for the full fiscal year ending March 28, 2026 or any other interim period. These unaudited condensed consolidated financial statements should be read in conjunction with the audited consolidated financial statements and footnotes included in the Annual Report on Form 10-K for the fiscal year ended March 29, 2025.</w:t>
      </w:r>
    </w:p>
    <w:p>
      <w:pPr>
        <w:pStyle w:val="TextBody"/>
        <w:bidi w:val="0"/>
        <w:spacing w:lineRule="auto" w:line="288" w:before="0" w:after="180"/>
        <w:jc w:val="both"/>
        <w:rPr/>
      </w:pPr>
      <w:r>
        <w:rPr>
          <w:rFonts w:ascii="Times New Roman;serif" w:hAnsi="Times New Roman;serif"/>
          <w:b w:val="false"/>
          <w:color w:val="000000"/>
          <w:sz w:val="20"/>
        </w:rPr>
        <w:t xml:space="preserve">The Company considers events or transactions that occur after the balance sheet date but prior to the issuance of the financial statements to provide additional </w:t>
      </w:r>
      <w:r>
        <w:rPr>
          <w:rFonts w:ascii="Times New Roman;serif" w:hAnsi="Times New Roman;serif"/>
          <w:b w:val="false"/>
          <w:color w:val="000000"/>
          <w:sz w:val="20"/>
          <w:shd w:fill="FFFFFF" w:val="clear"/>
        </w:rPr>
        <w:t>evidence relative to certain estimates or to identify matters that require additional disclosure. Subse</w:t>
      </w:r>
      <w:r>
        <w:rPr>
          <w:rFonts w:ascii="Times New Roman;serif" w:hAnsi="Times New Roman;serif"/>
          <w:b w:val="false"/>
          <w:color w:val="000000"/>
          <w:sz w:val="20"/>
        </w:rPr>
        <w:t>quent events have been evaluated as required and none have been identified.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2. RECENT ACCOUNTING PRONOUNCEMENTS </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Recently Issued Accounting Pronouncements Not Yet Adopted</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December 2023, the Financial Accounting Standards Board (“FASB”) issued Accounting Standards Codification (“ASC”) Update No. 2023-09, </w:t>
      </w:r>
      <w:r>
        <w:rPr>
          <w:rFonts w:ascii="Times New Roman;serif" w:hAnsi="Times New Roman;serif"/>
          <w:b w:val="false"/>
          <w:i/>
          <w:color w:val="000000"/>
          <w:sz w:val="20"/>
          <w:shd w:fill="FFFFFF" w:val="clear"/>
        </w:rPr>
        <w:t>Income Taxes</w:t>
      </w:r>
      <w:r>
        <w:rPr>
          <w:color w:val="000000"/>
          <w:shd w:fill="FFFFFF" w:val="clear"/>
        </w:rPr>
        <w:t xml:space="preserve"> </w:t>
      </w:r>
      <w:r>
        <w:rPr>
          <w:rFonts w:ascii="Times New Roman;serif" w:hAnsi="Times New Roman;serif"/>
          <w:b w:val="false"/>
          <w:color w:val="000000"/>
          <w:sz w:val="20"/>
          <w:shd w:fill="FFFFFF" w:val="clear"/>
        </w:rPr>
        <w:t>(Topic 740): Improvements to Income Tax Disclosures. ASC Update No. 2023-09 requires disaggregated information about a reporting entity’s effective tax rate reconciliation as well as information on income taxes paid. ASC Update No. 2023-09 is effective for the Company’s first fiscal year beginning after December 15, 2024 and early adoption is permitted. ASC Update No. 2023-09 is applicable to Haemonetics beginning with the fiscal 2026 Annual Report on Form 10-K. The guidance will be applied on a prospective basis with the option to apply the standard retrospectively. The Company does not expect the adoption of ASC Update No. 2023-09 to have a material impact on its financial position or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ASC Update No. 2024-03, Income Statement - Reporting Comprehensive Income - Expense Disaggregation Disclosures. ASC Update No. 2024-03 requires detailed cost and expense information disaggregated in the financial statement notes. The updated guidance is effective for fiscal years beginning after December 15, 2026 and interim reporting periods within annual reporting periods beginning after December 15, 2027, with early adoption permitted. ASC Update No. 2024-03 is applicable to Haemonetics beginning with the fiscal 2028 Annual Report on Form 10-K and the Company is currently evaluating the impact to its interim and annual report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3. ACQUISITIONS, DIVESTITURES AND STRATEGIC INVESTMENTS </w:t>
      </w:r>
    </w:p>
    <w:p>
      <w:pPr>
        <w:pStyle w:val="TextBody"/>
        <w:bidi w:val="0"/>
        <w:spacing w:lineRule="auto" w:line="288" w:before="0" w:after="180"/>
        <w:jc w:val="both"/>
        <w:rPr/>
      </w:pPr>
      <w:r>
        <w:rPr>
          <w:rFonts w:ascii="Times New Roman;serif" w:hAnsi="Times New Roman;serif"/>
          <w:b/>
          <w:i/>
          <w:color w:val="000000"/>
          <w:sz w:val="20"/>
          <w:shd w:fill="FFFFFF" w:val="clear"/>
        </w:rPr>
        <w:t>A</w:t>
      </w:r>
      <w:r>
        <w:rPr>
          <w:rFonts w:ascii="Times New Roman;serif" w:hAnsi="Times New Roman;serif"/>
          <w:b/>
          <w:i/>
          <w:color w:val="000000"/>
          <w:sz w:val="20"/>
        </w:rPr>
        <w:t>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Attune Medical</w:t>
      </w:r>
    </w:p>
    <w:p>
      <w:pPr>
        <w:pStyle w:val="TextBody"/>
        <w:bidi w:val="0"/>
        <w:spacing w:lineRule="auto" w:line="288" w:before="0" w:after="180"/>
        <w:jc w:val="both"/>
        <w:rPr/>
      </w:pPr>
      <w:r>
        <w:rPr>
          <w:rFonts w:ascii="Times New Roman;serif" w:hAnsi="Times New Roman;serif"/>
          <w:b w:val="false"/>
          <w:color w:val="000000"/>
          <w:sz w:val="20"/>
        </w:rPr>
        <w:t>On March 5, 2024, the Company entered into a definitive agreement to acquire Advanced Cooling Therapy, Inc., d/b/a Attune Medical (“Attune Medical”), the manufacturer of the ensoETM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proactive esophageal cooling device, pursuant to which, among other things, the Company agreed to acquire all of the issued and outstanding common shares of Attune Medical. On April 1, 2024, the Company completed its acquisition of Attune Medical for a net purchase price of $176.2 million, which included an upfront cash payment of $162.0 million, or $150.5 million net of $11.5 million cash acquired, the fair value of contingent consideration of $25.3 million, and $0.4 million of working capital adjustments. The contingent consideration is based on sales growth over the three years following completion of the acquisition, which is uncapped, and the achievement of certain other milestones. The Company financed the acquisition through a combination of cash on hand and borrowings under its senior unsecured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lineRule="auto" w:line="288" w:before="0" w:after="180"/>
        <w:jc w:val="both"/>
        <w:rPr/>
      </w:pPr>
      <w:r>
        <w:rPr>
          <w:rFonts w:ascii="Times New Roman;serif" w:hAnsi="Times New Roman;serif"/>
          <w:b w:val="false"/>
          <w:color w:val="000000"/>
          <w:sz w:val="20"/>
        </w:rPr>
        <w:t xml:space="preserve">The Company accounted for the acquisition as a business combination, and in accordance with FASB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net purchase price of $176.2 million consists of the amounts presented below, which represent the final determination of the fair value of the identifiable assets acquired and liabilities assumed:</w:t>
      </w:r>
    </w:p>
    <w:tbl>
      <w:tblPr>
        <w:tblW w:w="5234" w:type="dxa"/>
        <w:jc w:val="left"/>
        <w:tblInd w:w="0" w:type="dxa"/>
        <w:tblLayout w:type="fixed"/>
        <w:tblCellMar>
          <w:top w:w="28" w:type="dxa"/>
          <w:left w:w="28" w:type="dxa"/>
          <w:bottom w:w="28" w:type="dxa"/>
          <w:right w:w="28" w:type="dxa"/>
        </w:tblCellMar>
      </w:tblPr>
      <w:tblGrid>
        <w:gridCol w:w="1250"/>
        <w:gridCol w:w="1098"/>
        <w:gridCol w:w="1102"/>
        <w:gridCol w:w="316"/>
        <w:gridCol w:w="1238"/>
        <w:gridCol w:w="230"/>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1, 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207,246 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176,206 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tangible assets, identifiable intangible assets and assumed liabilities was recorded as goodwill. As a result of the acquisition of Attune Medical, the Company recognized goodwill of $70.3 million based on expected synergies from integration into the Company’s Hospital business. The goodwill is not deductible for tax purposes and relates entirely to the Hospital reportable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acquired consist of the following:</w:t>
      </w:r>
    </w:p>
    <w:tbl>
      <w:tblPr>
        <w:tblW w:w="10205" w:type="dxa"/>
        <w:jc w:val="left"/>
        <w:tblInd w:w="0" w:type="dxa"/>
        <w:tblLayout w:type="fixed"/>
        <w:tblCellMar>
          <w:top w:w="28" w:type="dxa"/>
          <w:left w:w="28" w:type="dxa"/>
          <w:bottom w:w="28" w:type="dxa"/>
          <w:right w:w="28" w:type="dxa"/>
        </w:tblCellMar>
      </w:tblPr>
      <w:tblGrid>
        <w:gridCol w:w="1156"/>
        <w:gridCol w:w="989"/>
        <w:gridCol w:w="994"/>
        <w:gridCol w:w="211"/>
        <w:gridCol w:w="826"/>
        <w:gridCol w:w="109"/>
        <w:gridCol w:w="109"/>
        <w:gridCol w:w="109"/>
        <w:gridCol w:w="109"/>
        <w:gridCol w:w="887"/>
        <w:gridCol w:w="887"/>
        <w:gridCol w:w="888"/>
        <w:gridCol w:w="109"/>
        <w:gridCol w:w="109"/>
        <w:gridCol w:w="109"/>
        <w:gridCol w:w="536"/>
        <w:gridCol w:w="529"/>
        <w:gridCol w:w="1539"/>
      </w:tblGrid>
      <w:tr>
        <w:trPr/>
        <w:tc>
          <w:tcPr>
            <w:tcW w:w="1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Risk-Adjusted Discount</w:t>
              <w:br/>
              <w:t>Rates used in Purchase Price Allocation</w:t>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long-term net deferred tax liability of $26.2 million primarily related to fair value adjustments recorded associated with definite-lived intangible assets and inventory in which there is no tax basis, partially offset by deferred tax assets primarily related to net operating losses acquired.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Acquisition-Related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$9.8 million of acquisition-related costs during the first quarter of fiscal 2025 in connection with the Attune Medical acquisition. These costs related to legal and other professional fees, which were recognized in selling, general and administrative (“SG&amp;A”) within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results of Attune Medical from the date the acquisition was completed. Pro forma financial information has not been presented as the acquisition has been determined to not be material to the Company’s overall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OpSens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a net purchase price of $243.9 million, reflecting total consideration of $254.5 million, net of $10.6 million of cash acquired. The Company financed the acquisition through a combination of cash on hand and borrowings under its senior unsecured revolving credit facility.</w:t>
      </w:r>
    </w:p>
    <w:p>
      <w:pPr>
        <w:pStyle w:val="TextBody"/>
        <w:bidi w:val="0"/>
        <w:spacing w:lineRule="auto" w:line="288" w:before="0" w:after="180"/>
        <w:jc w:val="both"/>
        <w:rPr/>
      </w:pPr>
      <w:r>
        <w:rPr>
          <w:rFonts w:ascii="Times New Roman;serif" w:hAnsi="Times New Roman;serif"/>
          <w:b w:val="false"/>
          <w:color w:val="000000"/>
          <w:sz w:val="20"/>
        </w:rPr>
        <w:t>OpSens offers commercially and clinically validated optical technology for use primarily in interventional cardiology. OpSens’ core products include the SavvyWire</w:t>
      </w:r>
      <w:r>
        <w:rPr>
          <w:rFonts w:ascii="Times New Roman;serif" w:hAnsi="Times New Roman;serif"/>
          <w:b w:val="false"/>
          <w:color w:val="000000"/>
          <w:sz w:val="13"/>
        </w:rPr>
        <w:t>®</w:t>
      </w:r>
      <w:r>
        <w:rPr>
          <w:rFonts w:ascii="Times New Roman;serif" w:hAnsi="Times New Roman;serif"/>
          <w:b w:val="false"/>
          <w:color w:val="000000"/>
          <w:sz w:val="20"/>
        </w:rPr>
        <w:t>, a sensor-guided 3-in-1 guidewire for transcatheter aortic valve replacement procedures, advancing the workflow of the procedure and enabling potentially shorter hospital stays for patients; and the OptoWire</w:t>
      </w:r>
      <w:r>
        <w:rPr>
          <w:rFonts w:ascii="Times New Roman;serif" w:hAnsi="Times New Roman;serif"/>
          <w:b w:val="false"/>
          <w:color w:val="000000"/>
          <w:sz w:val="13"/>
        </w:rPr>
        <w:t>®</w:t>
      </w:r>
      <w:r>
        <w:rPr>
          <w:rFonts w:ascii="Times New Roman;serif" w:hAnsi="Times New Roman;serif"/>
          <w:b w:val="false"/>
          <w:color w:val="000000"/>
          <w:sz w:val="20"/>
        </w:rPr>
        <w:t>, a pressure guidewire that aims to improve clinical outcomes by accurately and consistently measuring fractional flow reserve and diastolic pressure ratio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Purchase Price Allocation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acquisition as a business combination, and in accordance with ASC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net purchase price of $243.9 million consists of the amounts presented below, which represent the final determination of the fair value of the identifiable assets acquired and liabilities assumed:</w:t>
      </w:r>
    </w:p>
    <w:tbl>
      <w:tblPr>
        <w:tblW w:w="5235" w:type="dxa"/>
        <w:jc w:val="left"/>
        <w:tblInd w:w="0" w:type="dxa"/>
        <w:tblLayout w:type="fixed"/>
        <w:tblCellMar>
          <w:top w:w="28" w:type="dxa"/>
          <w:left w:w="28" w:type="dxa"/>
          <w:bottom w:w="28" w:type="dxa"/>
          <w:right w:w="28" w:type="dxa"/>
        </w:tblCellMar>
      </w:tblPr>
      <w:tblGrid>
        <w:gridCol w:w="1250"/>
        <w:gridCol w:w="1098"/>
        <w:gridCol w:w="1102"/>
        <w:gridCol w:w="315"/>
        <w:gridCol w:w="1240"/>
        <w:gridCol w:w="230"/>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12, 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279,230 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costs</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35,378 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243,852 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tangible assets, identifiable intangible assets and assumed liabilities was recorded as goodwill. As a result of the acquisition of OpSens, the Company recognized goodwill of $79.4 million based on expected synergies from integration into the Company’s Hospital business. The goodwill is not deductible for tax purposes and relates entirely to the Hospital reportable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Intangible assets acquired consist of the following:</w:t>
      </w:r>
    </w:p>
    <w:tbl>
      <w:tblPr>
        <w:tblW w:w="10205" w:type="dxa"/>
        <w:jc w:val="left"/>
        <w:tblInd w:w="0" w:type="dxa"/>
        <w:tblLayout w:type="fixed"/>
        <w:tblCellMar>
          <w:top w:w="28" w:type="dxa"/>
          <w:left w:w="28" w:type="dxa"/>
          <w:bottom w:w="28" w:type="dxa"/>
          <w:right w:w="28" w:type="dxa"/>
        </w:tblCellMar>
      </w:tblPr>
      <w:tblGrid>
        <w:gridCol w:w="1156"/>
        <w:gridCol w:w="989"/>
        <w:gridCol w:w="994"/>
        <w:gridCol w:w="211"/>
        <w:gridCol w:w="826"/>
        <w:gridCol w:w="109"/>
        <w:gridCol w:w="109"/>
        <w:gridCol w:w="109"/>
        <w:gridCol w:w="109"/>
        <w:gridCol w:w="887"/>
        <w:gridCol w:w="887"/>
        <w:gridCol w:w="888"/>
        <w:gridCol w:w="109"/>
        <w:gridCol w:w="109"/>
        <w:gridCol w:w="109"/>
        <w:gridCol w:w="536"/>
        <w:gridCol w:w="529"/>
        <w:gridCol w:w="1539"/>
      </w:tblGrid>
      <w:tr>
        <w:trPr/>
        <w:tc>
          <w:tcPr>
            <w:tcW w:w="1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Risk-Adjusted Discount</w:t>
              <w:br/>
              <w:t>Rates used in Purchase Price Allocation</w:t>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net long-term deferred tax liability of $14.8 million, primarily as a result of fair value adjustments recorded associated with definite-lived intangible assets and inventory in which there is no tax basis.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Acquisition-Related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$6.6 million of acquisition-related costs for fiscal 2024 in connection with the OpSens acquisition. These costs related to legal and other professional fees, which were recognized in SG&amp;A on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results of OpSens from the date the acquisition was completed. Pro forma financial information has not been presented as the acquisition is not material to the Company’s overall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Divestiture of the Whole Blood Product 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December 3, 2024, the Company announced that it had entered into a definitive agreement to sell its Whole Blood product line and related assets within its Blood Center business unit to GVS, S.p.A (“GVS”), a manufacturer of filter solutions for applications in the healthcare and life sciences sectors. The divested assets include the Company’s complete portfolio of proprietary whole blood collection, processing and filtration solutions, along with the Company’s manufacturing facility in Covina, California where certain of these products are produced, and related equipment and assets located at the Company’s manufacturing facility in Tijuana, Mexico.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13, 2025, the Company completed the transaction with GVS in exchange for upfront cash consideration of $43.3 million, after customary post-closing adjustments, and up to $22.5 million in contingent consideration, based on sales growth over the three years following completion of the transaction and the achievement of certain other milestones.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assets that were derecognized in connection with the sale consisted of $26.4 million of inventory, $7.8 million of property, plant and equipment and $6.4 million of goodwill, which were previously classified as held for sale in Prepaid expenses and other current assets in the consolidated balance sheets in the third quarter of fiscal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the Company recognized a gain from the sale of the business in Interest and other expense, net in the Consolidated Statements of Income for the year ended March 29, 2025. The gain was not material and included cash receipts of $43.3 million less net assets transferred to GVS or otherwise derecognized and net of transaction costs of $0.1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sale, the Company entered into a Transition Services Agreement (“TSA”) with GVS to ensure a smooth transition of business operations. Under the TSA, the Company will continue to provide certain regulatory, quality, logistical and operational support services to GVS for a maximum period of 36 months following the transaction closing to facilitate GVS's integration of the acquired business. Under the TSA, the Company is entitled to be reimbursed for the costs incurred plus a mark-up and has recorded net income and expenses related to the agreement in SG&amp;A in the condensed consolidated statements of income, which were immaterial for the three months ended June 28,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TSA, Haemonetics and GVS entered into a Contract Manufacturing Agreement (“CMA”), under which Haemonetics will continue to manufacture certain whole blood filtration products for GVS for a maximum term of 18 months. The CMA allows GVS to gradually transition manufacturing operations while ensuring supply continuity for customers. Under the CMA, the Company is entitled to be reimbursed for the costs incurred plus a mark-up and has recorded net income and expenses related to the agreement in SG&amp;A in the condensed consolidated statements of income, which were immaterial for the three months ended June 28,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Company’s business development activities, it holds strategic investments in certain entities. As of June 28, 2025, the Company has made total investments and loans in Vivasure Medical LTD (“Vivasure”) of €58.0 million, or $68.0 million, and €45.0 million, or $48.7 million, as of March 29, 2025. The investments include preferred stock and a special share that allows the Company to acquire Vivasure in accordance with an agreement between the parties. In addition, the Company has made certain other strategic investments totaling $12.9 million as of both June 28, 2025 and March 29, 2025. The Company’s strategic investments are classified as other long-term assets on the Company’s condensed consolidated balance sheets and the Company has not recorded any material adjustments to the carrying value of the Company’s strategic investments during the three months ended June 28, 2025 and June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4. REVENUE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the Company had $36.0 million of transaction price allocated to remaining performance obligations related to executed contracts with an original duration of one year or more. The Company expects to recognize approximately 86% of this amount as revenue within the next twelve months and the remaining balance thereafter.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and March 29, 2025, the Company had contract liabilities of $49.2 million and $43.3 million, respectively. During the three months ended June 28, 2025, the Company recognized $13.3 million of revenue that was included in the above March 29, 2025 contract liability balance. Contract liabilities are classified as other current liabilities on the condensed consolidated balance sheets. As of June 28, 2025 and March 29, 2025, the Company’s contract assets were $4.3 million and $11.6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5. RESTRUCTURING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Operational Excellence Program</w:t>
      </w:r>
    </w:p>
    <w:p>
      <w:pPr>
        <w:pStyle w:val="TextBody"/>
        <w:bidi w:val="0"/>
        <w:spacing w:lineRule="auto" w:line="288" w:before="0" w:after="180"/>
        <w:jc w:val="both"/>
        <w:rPr/>
      </w:pPr>
      <w:r>
        <w:rPr>
          <w:rFonts w:ascii="Times New Roman;serif" w:hAnsi="Times New Roman;serif"/>
          <w:b w:val="false"/>
          <w:color w:val="000000"/>
          <w:sz w:val="20"/>
        </w:rPr>
        <w:t xml:space="preserve">In July 2019, the Board of Directors of the Company (the “Board”) approved the Operational Excellence Program (the “2020 Program”) and delegated authority to the Company’s management to determine the details of the initiatives that will comprise the 2020 Program. During fiscal 2022, the Company revised the 2020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2020 Program is closed as of March 29, 2025. During the three months ended June 28, 2025, the Company recognized reversals of previously incurred costs of $0.1 million, as compared with $2.4 million </w:t>
      </w:r>
      <w:r>
        <w:rPr>
          <w:rFonts w:ascii="Times New Roman;serif" w:hAnsi="Times New Roman;serif"/>
          <w:b w:val="false"/>
          <w:color w:val="000000"/>
          <w:sz w:val="20"/>
          <w:shd w:fill="FFFFFF" w:val="clear"/>
        </w:rPr>
        <w:t xml:space="preserve">of restructuring and restructuring related costs incurred under the 2020 Program </w:t>
      </w:r>
      <w:r>
        <w:rPr>
          <w:rFonts w:ascii="Times New Roman;serif" w:hAnsi="Times New Roman;serif"/>
          <w:b w:val="false"/>
          <w:color w:val="000000"/>
          <w:sz w:val="20"/>
        </w:rPr>
        <w:t>during the three months ended June 29, 2024</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Total cumulative charges under the 2020 Progra</w:t>
      </w:r>
      <w:r>
        <w:rPr>
          <w:rFonts w:ascii="Times New Roman;serif" w:hAnsi="Times New Roman;serif"/>
          <w:b w:val="false"/>
          <w:color w:val="000000"/>
          <w:sz w:val="20"/>
        </w:rPr>
        <w:t>m were $84.7 million through March 29, 2025.</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Portfolio Rationalization Initiatives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w:t>
      </w:r>
      <w:r>
        <w:rPr>
          <w:rFonts w:ascii="Times New Roman;serif" w:hAnsi="Times New Roman;serif"/>
          <w:b w:val="false"/>
          <w:color w:val="000000"/>
          <w:sz w:val="20"/>
        </w:rPr>
        <w:t>facilities. These portfolio rationalization initiatives are closed as of March 29, 2025. During the three months ended June 28, 2025, the Company recognized reversals of previously incurred costs of $1.5 million related to the divestiture of the Whole Blood product line, as compared with $4.8 million of restructuring and restructuring related costs incurred under these initiatives during the three months ended June 29, 2024. Total cumulative charges under the portfolio rationalization initiatives are $25.6 million through June 28,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 and Regional Alignment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the Board approved a new market and regional alignment initiative and delegated authority to the Company’s management to determine the details of the specific actions that will comprise the initiative. This strategic initiative is designed to improve operational performance and reduce costs by directing the Company’s resources toward the markets and geographies that offer the greatest growth and portfolio advancement opportunities. The amounts and timing of estimated costs and savings are subject to change until finalized. The actual amounts and timing may vary materially based on various factors. Initial actions related to this initiative were approved by the Board in January 2025, resulting in restructuring related costs during the fourth quarter of fiscal 2025. During the three months ended June 28, 2025, the Company incurred $2.8 million of restructuring related costs under this initiative. Total cumulative charges under the market and regional alignment initiative are $3.4 million as of June 28, 2025.</w:t>
      </w:r>
    </w:p>
    <w:p>
      <w:pPr>
        <w:pStyle w:val="TextBody"/>
        <w:bidi w:val="0"/>
        <w:spacing w:lineRule="auto" w:line="288" w:before="0" w:after="180"/>
        <w:jc w:val="both"/>
        <w:rPr/>
      </w:pPr>
      <w:r>
        <w:rPr>
          <w:rFonts w:ascii="Times New Roman;serif" w:hAnsi="Times New Roman;serif"/>
          <w:b w:val="false"/>
          <w:color w:val="000000"/>
          <w:sz w:val="20"/>
          <w:shd w:fill="FFFFFF" w:val="clear"/>
        </w:rPr>
        <w:t>The following table summarizes the activ</w:t>
      </w:r>
      <w:r>
        <w:rPr>
          <w:rFonts w:ascii="Times New Roman;serif" w:hAnsi="Times New Roman;serif"/>
          <w:b w:val="false"/>
          <w:color w:val="000000"/>
          <w:sz w:val="20"/>
        </w:rPr>
        <w:t>ity for restructuring reserves related to the 2020 Pr</w:t>
      </w:r>
      <w:r>
        <w:rPr>
          <w:rFonts w:ascii="Times New Roman;serif" w:hAnsi="Times New Roman;serif"/>
          <w:b w:val="false"/>
          <w:color w:val="000000"/>
          <w:sz w:val="20"/>
          <w:shd w:fill="FFFFFF" w:val="clear"/>
        </w:rPr>
        <w:t xml:space="preserve">ogram, the </w:t>
      </w:r>
      <w:r>
        <w:rPr>
          <w:rFonts w:ascii="Times New Roman;serif" w:hAnsi="Times New Roman;serif"/>
          <w:b w:val="false"/>
          <w:color w:val="000000"/>
          <w:sz w:val="20"/>
        </w:rPr>
        <w:t>portfolio rationalization initiatives</w:t>
      </w:r>
      <w:r>
        <w:rPr>
          <w:color w:val="000000"/>
          <w:shd w:fill="FFFFFF" w:val="clear"/>
        </w:rPr>
        <w:t xml:space="preserve"> </w:t>
      </w:r>
      <w:r>
        <w:rPr>
          <w:rFonts w:ascii="Times New Roman;serif" w:hAnsi="Times New Roman;serif"/>
          <w:b w:val="false"/>
          <w:color w:val="000000"/>
          <w:sz w:val="20"/>
          <w:shd w:fill="FFFFFF" w:val="clear"/>
        </w:rPr>
        <w:t>and the market and regional alignment initiative for the three months ended June 28, 2025, substantially all of which relates to employee severance, other employee costs, inventory reserves and lease termination fees:</w:t>
      </w:r>
    </w:p>
    <w:tbl>
      <w:tblPr>
        <w:tblW w:w="10105" w:type="dxa"/>
        <w:jc w:val="left"/>
        <w:tblInd w:w="0" w:type="dxa"/>
        <w:tblLayout w:type="fixed"/>
        <w:tblCellMar>
          <w:top w:w="28" w:type="dxa"/>
          <w:left w:w="28" w:type="dxa"/>
          <w:bottom w:w="28" w:type="dxa"/>
          <w:right w:w="28" w:type="dxa"/>
        </w:tblCellMar>
      </w:tblPr>
      <w:tblGrid>
        <w:gridCol w:w="938"/>
        <w:gridCol w:w="826"/>
        <w:gridCol w:w="831"/>
        <w:gridCol w:w="314"/>
        <w:gridCol w:w="694"/>
        <w:gridCol w:w="162"/>
        <w:gridCol w:w="109"/>
        <w:gridCol w:w="109"/>
        <w:gridCol w:w="109"/>
        <w:gridCol w:w="435"/>
        <w:gridCol w:w="1273"/>
        <w:gridCol w:w="226"/>
        <w:gridCol w:w="109"/>
        <w:gridCol w:w="109"/>
        <w:gridCol w:w="109"/>
        <w:gridCol w:w="551"/>
        <w:gridCol w:w="1609"/>
        <w:gridCol w:w="284"/>
        <w:gridCol w:w="109"/>
        <w:gridCol w:w="109"/>
        <w:gridCol w:w="109"/>
        <w:gridCol w:w="211"/>
        <w:gridCol w:w="61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 Rationalization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and Regional Alignment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net of reversals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net restructuring costs by line item within the Company’s accompanying unaudited condensed consolidated statements of income:</w:t>
      </w:r>
    </w:p>
    <w:tbl>
      <w:tblPr>
        <w:tblW w:w="6792" w:type="dxa"/>
        <w:jc w:val="left"/>
        <w:tblInd w:w="0" w:type="dxa"/>
        <w:tblLayout w:type="fixed"/>
        <w:tblCellMar>
          <w:top w:w="28" w:type="dxa"/>
          <w:left w:w="28" w:type="dxa"/>
          <w:bottom w:w="28" w:type="dxa"/>
          <w:right w:w="28" w:type="dxa"/>
        </w:tblCellMar>
      </w:tblPr>
      <w:tblGrid>
        <w:gridCol w:w="1352"/>
        <w:gridCol w:w="1187"/>
        <w:gridCol w:w="1195"/>
        <w:gridCol w:w="253"/>
        <w:gridCol w:w="741"/>
        <w:gridCol w:w="131"/>
        <w:gridCol w:w="109"/>
        <w:gridCol w:w="109"/>
        <w:gridCol w:w="109"/>
        <w:gridCol w:w="253"/>
        <w:gridCol w:w="741"/>
        <w:gridCol w:w="131"/>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the Company had a restructuring liability of $3.1 million, all of which is payable within the next twelve months.</w:t>
      </w:r>
    </w:p>
    <w:p>
      <w:pPr>
        <w:pStyle w:val="TextBody"/>
        <w:bidi w:val="0"/>
        <w:spacing w:lineRule="auto" w:line="288" w:before="0" w:after="180"/>
        <w:jc w:val="both"/>
        <w:rPr/>
      </w:pPr>
      <w:r>
        <w:rPr>
          <w:rFonts w:ascii="Times New Roman;serif" w:hAnsi="Times New Roman;serif"/>
          <w:b w:val="false"/>
          <w:color w:val="000000"/>
          <w:sz w:val="20"/>
        </w:rPr>
        <w:t xml:space="preserve">In addition to the restructuring expenses included in the table above, the Company also incurred costs that do not constitute restructuring costs under FASB ASC Topic 420, </w:t>
      </w:r>
      <w:r>
        <w:rPr>
          <w:rFonts w:ascii="Times New Roman;serif" w:hAnsi="Times New Roman;serif"/>
          <w:b w:val="false"/>
          <w:i/>
          <w:color w:val="000000"/>
          <w:sz w:val="20"/>
        </w:rPr>
        <w:t>Exit and Disposal Cost Obligations,</w:t>
      </w:r>
      <w:r>
        <w:rPr>
          <w:color w:val="000000"/>
        </w:rPr>
        <w:t xml:space="preserve"> </w:t>
      </w:r>
      <w:r>
        <w:rPr>
          <w:rFonts w:ascii="Times New Roman;serif" w:hAnsi="Times New Roman;serif"/>
          <w:b w:val="false"/>
          <w:color w:val="000000"/>
          <w:sz w:val="20"/>
        </w:rPr>
        <w:t>and which the Company instead refers to as restructuring related costs. These costs consist primarily of expenditures directly related to the restructuring 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tables below present restructuring and restructuring related costs by reportable segment:</w:t>
      </w:r>
    </w:p>
    <w:tbl>
      <w:tblPr>
        <w:tblW w:w="7167" w:type="dxa"/>
        <w:jc w:val="left"/>
        <w:tblInd w:w="0" w:type="dxa"/>
        <w:tblLayout w:type="fixed"/>
        <w:tblCellMar>
          <w:top w:w="28" w:type="dxa"/>
          <w:left w:w="28" w:type="dxa"/>
          <w:bottom w:w="28" w:type="dxa"/>
          <w:right w:w="28" w:type="dxa"/>
        </w:tblCellMar>
      </w:tblPr>
      <w:tblGrid>
        <w:gridCol w:w="1490"/>
        <w:gridCol w:w="1308"/>
        <w:gridCol w:w="1311"/>
        <w:gridCol w:w="253"/>
        <w:gridCol w:w="741"/>
        <w:gridCol w:w="131"/>
        <w:gridCol w:w="109"/>
        <w:gridCol w:w="109"/>
        <w:gridCol w:w="109"/>
        <w:gridCol w:w="253"/>
        <w:gridCol w:w="741"/>
        <w:gridCol w:w="131"/>
        <w:gridCol w:w="109"/>
        <w:gridCol w:w="109"/>
        <w:gridCol w:w="109"/>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costs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related costs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restructuring related costs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6. 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is favorably impacted by jurisdictional mix of earnings and research credits generated.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28, 2025, the Company reported income tax expense of $11.1 million, representing an effective tax rate of 24.7%. The effective tax rate for the three months ended June 28, 2025 includes $0.1 million of discrete tax expense, primarily related to stock compensation shortfalls.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29, 2024, the Company reported income tax expense of $8.3 million, representing an effective tax rate of 17.9%. The effective tax rate for the three months ended June 29, 2024 includes $3.6 million of discrete tax benefit, primarily related to stock compensation windfalls. The discrete benefit also includes other items such as provision to return differences.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the reported tax rate for the three months ended June 28, 2025, compared to the same period in fiscal 2025, relates primarily to the decrease in stock compensation windfall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in the U.S. on July 4, 2025. The OBBBA legislation provides for the permanent extension of certain expiring provisions of the Tax Cuts and Jobs Act of 2017, revisions to the international tax framework and the reinstatement of favorable tax treatment for certain business provisions. The legislation has multiple effective dates, with certain provisions effective in 2025 and others implemented in future periods. We are currently assessing the impact of the OBBBA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7.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numerators and denominators of the basic and diluted earnings per share computations:</w:t>
      </w:r>
    </w:p>
    <w:tbl>
      <w:tblPr>
        <w:tblW w:w="7692" w:type="dxa"/>
        <w:jc w:val="left"/>
        <w:tblInd w:w="0" w:type="dxa"/>
        <w:tblLayout w:type="fixed"/>
        <w:tblCellMar>
          <w:top w:w="28" w:type="dxa"/>
          <w:left w:w="28" w:type="dxa"/>
          <w:bottom w:w="28" w:type="dxa"/>
          <w:right w:w="28" w:type="dxa"/>
        </w:tblCellMar>
      </w:tblPr>
      <w:tblGrid>
        <w:gridCol w:w="1453"/>
        <w:gridCol w:w="1276"/>
        <w:gridCol w:w="1291"/>
        <w:gridCol w:w="282"/>
        <w:gridCol w:w="966"/>
        <w:gridCol w:w="145"/>
        <w:gridCol w:w="135"/>
        <w:gridCol w:w="135"/>
        <w:gridCol w:w="135"/>
        <w:gridCol w:w="282"/>
        <w:gridCol w:w="966"/>
        <w:gridCol w:w="145"/>
        <w:gridCol w:w="109"/>
        <w:gridCol w:w="109"/>
        <w:gridCol w:w="109"/>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net effect of common stock equivalents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 and consequently no shares have been included in diluted earnings per share for the co</w:t>
      </w:r>
      <w:r>
        <w:rPr>
          <w:rFonts w:ascii="Times New Roman;serif" w:hAnsi="Times New Roman;serif"/>
          <w:b w:val="false"/>
          <w:color w:val="000000"/>
          <w:sz w:val="20"/>
          <w:shd w:fill="FFFFFF" w:val="clear"/>
        </w:rPr>
        <w:t xml:space="preserve">nversion values of both the convertible senior notes. For the </w:t>
      </w:r>
      <w:r>
        <w:rPr>
          <w:rFonts w:ascii="Times New Roman;serif" w:hAnsi="Times New Roman;serif"/>
          <w:b w:val="false"/>
          <w:color w:val="000000"/>
          <w:sz w:val="20"/>
        </w:rPr>
        <w:t xml:space="preserve">three months ended June 28, 2025 and June 29, 2024, weighted average shares outstanding, assuming dilution, excludes the impact of 947,422 and 735,427 </w:t>
      </w:r>
      <w:r>
        <w:rPr>
          <w:rFonts w:ascii="Times New Roman;serif" w:hAnsi="Times New Roman;serif"/>
          <w:b w:val="false"/>
          <w:color w:val="000000"/>
          <w:sz w:val="20"/>
          <w:shd w:fill="FFFFFF" w:val="clear"/>
        </w:rPr>
        <w:t>anti-dilutive shares, respectively.</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2022 Share Repurchase Program</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August 2022, the Board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w:t>
      </w:r>
    </w:p>
    <w:p>
      <w:pPr>
        <w:pStyle w:val="TextBody"/>
        <w:bidi w:val="0"/>
        <w:spacing w:lineRule="auto" w:line="288" w:before="0" w:after="180"/>
        <w:jc w:val="both"/>
        <w:rPr/>
      </w:pPr>
      <w:r>
        <w:rPr>
          <w:rFonts w:ascii="Times New Roman;serif" w:hAnsi="Times New Roman;serif"/>
          <w:b w:val="false"/>
          <w:color w:val="000000"/>
          <w:sz w:val="20"/>
        </w:rPr>
        <w:t xml:space="preserve">In April 2025, the Company completed a $150.0 million repurchase of its common stock pursuant to an accelerated share repurchase agreement (“ASR”) entered into with Goldman Sachs &amp; Co. in February 2025. </w:t>
      </w:r>
      <w:r>
        <w:rPr>
          <w:rFonts w:ascii="Times New Roman;serif" w:hAnsi="Times New Roman;serif"/>
          <w:b w:val="false"/>
          <w:color w:val="000000"/>
          <w:sz w:val="20"/>
          <w:shd w:fill="FFFFFF" w:val="clear"/>
        </w:rPr>
        <w:t>The total number of shares repurchased under the ASR was 2,386,131 at an average price per share upon final settlement of $62.86. As of March 29, 2025, the Company had fully funded the $300.0 million authorization under the 2022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Share Repurchase Program</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2025, the Board approved a new three-year share repurchase program authorizing the repurchase of up to $500.0 million of Haemonetics common stock, based on market conditions, through April 2028. This new share repurchase program will help to offset the dilutive impact of recent and future employee equity grants. In addition to this share repurchase activity, the Company’s capital allocation strategy continues to prioritize funding of planned internal investments to support the business as well as inorganic opportunities to accelerate its long-term growth plans.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8. 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and include the cost of material, labor and manufacturing overhead. Cost is determined with the first-in, first-out method.</w:t>
      </w:r>
    </w:p>
    <w:tbl>
      <w:tblPr>
        <w:tblW w:w="4233" w:type="dxa"/>
        <w:jc w:val="left"/>
        <w:tblInd w:w="0" w:type="dxa"/>
        <w:tblLayout w:type="fixed"/>
        <w:tblCellMar>
          <w:top w:w="28" w:type="dxa"/>
          <w:left w:w="28" w:type="dxa"/>
          <w:bottom w:w="28" w:type="dxa"/>
          <w:right w:w="28" w:type="dxa"/>
        </w:tblCellMar>
      </w:tblPr>
      <w:tblGrid>
        <w:gridCol w:w="527"/>
        <w:gridCol w:w="462"/>
        <w:gridCol w:w="467"/>
        <w:gridCol w:w="211"/>
        <w:gridCol w:w="826"/>
        <w:gridCol w:w="109"/>
        <w:gridCol w:w="109"/>
        <w:gridCol w:w="109"/>
        <w:gridCol w:w="109"/>
        <w:gridCol w:w="231"/>
        <w:gridCol w:w="905"/>
        <w:gridCol w:w="16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9. PROPERTY, PLANT AND EQUIPMENT</w:t>
      </w:r>
    </w:p>
    <w:tbl>
      <w:tblPr>
        <w:tblW w:w="6631" w:type="dxa"/>
        <w:jc w:val="left"/>
        <w:tblInd w:w="0" w:type="dxa"/>
        <w:tblLayout w:type="fixed"/>
        <w:tblCellMar>
          <w:top w:w="28" w:type="dxa"/>
          <w:left w:w="28" w:type="dxa"/>
          <w:bottom w:w="28" w:type="dxa"/>
          <w:right w:w="28" w:type="dxa"/>
        </w:tblCellMar>
      </w:tblPr>
      <w:tblGrid>
        <w:gridCol w:w="1395"/>
        <w:gridCol w:w="1224"/>
        <w:gridCol w:w="1235"/>
        <w:gridCol w:w="211"/>
        <w:gridCol w:w="826"/>
        <w:gridCol w:w="109"/>
        <w:gridCol w:w="109"/>
        <w:gridCol w:w="109"/>
        <w:gridCol w:w="109"/>
        <w:gridCol w:w="231"/>
        <w:gridCol w:w="905"/>
        <w:gridCol w:w="168"/>
      </w:tblGrid>
      <w:tr>
        <w:trPr/>
        <w:tc>
          <w:tcPr>
            <w:tcW w:w="13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equipment and machinery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information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Haemonetics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and June 29, 2024 depreciation expense was $15.4 million and $14.6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Lessor Activity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estimated stand-alone selling prices. Operating lease revenue represents approximately two percent of the Company’s total net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11. GOODWILL AND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operating segment for fiscal 2026 are as follows:</w:t>
      </w:r>
    </w:p>
    <w:tbl>
      <w:tblPr>
        <w:tblW w:w="8679" w:type="dxa"/>
        <w:jc w:val="left"/>
        <w:tblInd w:w="0" w:type="dxa"/>
        <w:tblLayout w:type="fixed"/>
        <w:tblCellMar>
          <w:top w:w="28" w:type="dxa"/>
          <w:left w:w="28" w:type="dxa"/>
          <w:bottom w:w="28" w:type="dxa"/>
          <w:right w:w="28" w:type="dxa"/>
        </w:tblCellMar>
      </w:tblPr>
      <w:tblGrid>
        <w:gridCol w:w="1177"/>
        <w:gridCol w:w="1036"/>
        <w:gridCol w:w="1042"/>
        <w:gridCol w:w="211"/>
        <w:gridCol w:w="721"/>
        <w:gridCol w:w="109"/>
        <w:gridCol w:w="109"/>
        <w:gridCol w:w="109"/>
        <w:gridCol w:w="109"/>
        <w:gridCol w:w="216"/>
        <w:gridCol w:w="738"/>
        <w:gridCol w:w="111"/>
        <w:gridCol w:w="109"/>
        <w:gridCol w:w="109"/>
        <w:gridCol w:w="109"/>
        <w:gridCol w:w="211"/>
        <w:gridCol w:w="826"/>
        <w:gridCol w:w="109"/>
        <w:gridCol w:w="109"/>
        <w:gridCol w:w="109"/>
        <w:gridCol w:w="109"/>
        <w:gridCol w:w="211"/>
        <w:gridCol w:w="826"/>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Blood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Hospital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amount as of March 29,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amount as of June 28,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gross carrying amount of intangible assets and the related accumulated amortization as of June 28, 2025 and March 29, 2025 is as follows:</w:t>
      </w:r>
    </w:p>
    <w:tbl>
      <w:tblPr>
        <w:tblW w:w="10205" w:type="dxa"/>
        <w:jc w:val="left"/>
        <w:tblInd w:w="0" w:type="dxa"/>
        <w:tblLayout w:type="fixed"/>
        <w:tblCellMar>
          <w:top w:w="28" w:type="dxa"/>
          <w:left w:w="28" w:type="dxa"/>
          <w:bottom w:w="28" w:type="dxa"/>
          <w:right w:w="28" w:type="dxa"/>
        </w:tblCellMar>
      </w:tblPr>
      <w:tblGrid>
        <w:gridCol w:w="1166"/>
        <w:gridCol w:w="908"/>
        <w:gridCol w:w="872"/>
        <w:gridCol w:w="222"/>
        <w:gridCol w:w="872"/>
        <w:gridCol w:w="114"/>
        <w:gridCol w:w="109"/>
        <w:gridCol w:w="109"/>
        <w:gridCol w:w="109"/>
        <w:gridCol w:w="211"/>
        <w:gridCol w:w="826"/>
        <w:gridCol w:w="109"/>
        <w:gridCol w:w="109"/>
        <w:gridCol w:w="109"/>
        <w:gridCol w:w="109"/>
        <w:gridCol w:w="277"/>
        <w:gridCol w:w="1087"/>
        <w:gridCol w:w="143"/>
        <w:gridCol w:w="109"/>
        <w:gridCol w:w="109"/>
        <w:gridCol w:w="109"/>
        <w:gridCol w:w="704"/>
        <w:gridCol w:w="704"/>
        <w:gridCol w:w="1009"/>
      </w:tblGrid>
      <w:tr>
        <w:trPr/>
        <w:tc>
          <w:tcPr>
            <w:tcW w:w="116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Life (Years)</w:t>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June 28, 2025</w:t>
            </w:r>
          </w:p>
        </w:tc>
        <w:tc>
          <w:tcPr>
            <w:tcW w:w="4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345,578 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software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9"/>
        <w:gridCol w:w="881"/>
        <w:gridCol w:w="876"/>
        <w:gridCol w:w="222"/>
        <w:gridCol w:w="872"/>
        <w:gridCol w:w="114"/>
        <w:gridCol w:w="109"/>
        <w:gridCol w:w="109"/>
        <w:gridCol w:w="109"/>
        <w:gridCol w:w="211"/>
        <w:gridCol w:w="826"/>
        <w:gridCol w:w="109"/>
        <w:gridCol w:w="109"/>
        <w:gridCol w:w="109"/>
        <w:gridCol w:w="109"/>
        <w:gridCol w:w="277"/>
        <w:gridCol w:w="1087"/>
        <w:gridCol w:w="143"/>
        <w:gridCol w:w="109"/>
        <w:gridCol w:w="109"/>
        <w:gridCol w:w="109"/>
        <w:gridCol w:w="704"/>
        <w:gridCol w:w="704"/>
        <w:gridCol w:w="1009"/>
      </w:tblGrid>
      <w:tr>
        <w:trPr/>
        <w:tc>
          <w:tcPr>
            <w:tcW w:w="11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Life (Years)</w:t>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March 29, 2025</w:t>
            </w:r>
          </w:p>
        </w:tc>
        <w:tc>
          <w:tcPr>
            <w:tcW w:w="45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 and related relationships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446,552 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Non-amortizable:</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software development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4"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Intangible assets include the value assigned to license rights and other developed technology, patents, customer contracts and relationship</w:t>
      </w:r>
      <w:r>
        <w:rPr>
          <w:rFonts w:ascii="Times New Roman;serif" w:hAnsi="Times New Roman;serif"/>
          <w:b w:val="false"/>
          <w:color w:val="000000"/>
          <w:sz w:val="20"/>
          <w:shd w:fill="FFFFFF" w:val="clear"/>
        </w:rPr>
        <w:t>s and trade names.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and June 29, 2024, amortization expense was $13.3 million and $14.5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annual amortization expense on intangible assets for the next five years is estimated to be as follows:</w:t>
      </w:r>
    </w:p>
    <w:tbl>
      <w:tblPr>
        <w:tblW w:w="4317" w:type="dxa"/>
        <w:jc w:val="left"/>
        <w:tblInd w:w="0" w:type="dxa"/>
        <w:tblLayout w:type="fixed"/>
        <w:tblCellMar>
          <w:top w:w="28" w:type="dxa"/>
          <w:left w:w="28" w:type="dxa"/>
          <w:bottom w:w="28" w:type="dxa"/>
          <w:right w:w="28" w:type="dxa"/>
        </w:tblCellMar>
      </w:tblPr>
      <w:tblGrid>
        <w:gridCol w:w="798"/>
        <w:gridCol w:w="701"/>
        <w:gridCol w:w="706"/>
        <w:gridCol w:w="109"/>
        <w:gridCol w:w="109"/>
        <w:gridCol w:w="109"/>
        <w:gridCol w:w="345"/>
        <w:gridCol w:w="1185"/>
        <w:gridCol w:w="255"/>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12. NOTES PAYABLE AND LONG-TERM DEBT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Notes payable and long-term debt consisted of the following:</w:t>
      </w:r>
    </w:p>
    <w:tbl>
      <w:tblPr>
        <w:tblW w:w="6091" w:type="dxa"/>
        <w:jc w:val="left"/>
        <w:tblInd w:w="0" w:type="dxa"/>
        <w:tblLayout w:type="fixed"/>
        <w:tblCellMar>
          <w:top w:w="28" w:type="dxa"/>
          <w:left w:w="28" w:type="dxa"/>
          <w:bottom w:w="28" w:type="dxa"/>
          <w:right w:w="28" w:type="dxa"/>
        </w:tblCellMar>
      </w:tblPr>
      <w:tblGrid>
        <w:gridCol w:w="1201"/>
        <w:gridCol w:w="1055"/>
        <w:gridCol w:w="1058"/>
        <w:gridCol w:w="211"/>
        <w:gridCol w:w="826"/>
        <w:gridCol w:w="109"/>
        <w:gridCol w:w="109"/>
        <w:gridCol w:w="109"/>
        <w:gridCol w:w="109"/>
        <w:gridCol w:w="231"/>
        <w:gridCol w:w="905"/>
        <w:gridCol w:w="168"/>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 of financing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of financing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1,224,788 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921,230 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2026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March 5, 2021, the Company issued $500.0 million aggregate principal amount of 0.0% convertible senior notes due 2026 (the “2026 Notes”). The 2026 Notes are governed by the terms of the Indenture between the Company and U.S. Bank Trust Company, National Association, as trustee. The 2026 Notes will mature on March 1, 2026, unless earlier converted, redeemed or repurchased.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income (expense), net on the condensed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may convert their notes at their option at any time prior to the close of business on the business day immediately preceding September 1, 2025 only under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Upon the occurrence of specified corporate events, as set forth in the indenture governing the 2026 Notes;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the related redemption date if the Company calls the 2026 Notes for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or after September 1, 2025, until the close of business on the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conditions allowing holders of the 2026 Notes to convert have not been met. The 2026 Notes were therefore not convertible as of June 28, 2025 and were classified as short-term debt on the Company’s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2026 Notes will be redeemable, in whole or in part, at the Company’s option at any time, and from time to time, on or after March 5, 2024 and on or before the 40th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2026 Notes to be redeemed, plus accrued and unpaid interest to, but excluding the redemption date. Upon the occurrence of certain fundamental changes involving the Company, holders of the 2026 Notes may require the Company to repurchase for cash all or part of their 2026 Notes at a repurchase price equal to 100% of the principal amount of the 2026 Notes to be repurchased, plus accrued and unpaid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the $300.0 million principal balance was netted down by $1.1 million of remaining debt issuance costs, resulting in a net convertible note payable of $298.9 million. Interest expense related to the 2026 Notes was $0.4 million for the three months ended June 28, 2025, which is entirely attributable to the amortization of the debt issuance costs. The remaining debt issuance costs are amortized at an effective interest rate of 0.6%.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2029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May 28, 2024, the Company issued $700.0 million aggregate principal amount of 2.5% convertible senior notes due 2029 (the “2029 Notes”). The 2029 Notes are governed by the terms of the Indenture between the Company and U.S. Bank Trust Company,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2026 Notes, to complete capped call transactions in connection with the issuance of the 2029 Notes, as described further below, with the remaining proceeds available for other working capital requirements. The 2029 Notes will mature on June 1, 2029, unless earlier converted, redeemed or repurchased.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Holders may convert their notes at their option at any time prior to the close of business on the business day immediately preceding December 1, 2028 only under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Upon the occurrence of specified corporate events, as set forth in the indenture governing the 2029 Notes;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the related redemption date if the Company calls the 2029 Notes for redemption.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conditions allowing holders of the 2029 Notes to convert have not been met. The 2029 Notes were therefore not convertible as of June 28, 2025 and were classified as long-term debt on the Company’s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issuance of the 2029 Notes, the Company recorded debt issuance costs of $17.2 million, which are amortized to interest expense over the contractual term of the 2029 Notes at an effective interest rate of 3.0%.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the $700.0 million principal balance was netted down by $13.7 million of remaining debt issuance costs, resulting in a net convertible note payable of $686.3 million. Interest expense related to the 2029 Notes was $5.2 million for the three months ended June 28, 2025, which includes nominal interest expense and the amortization of the debt issuance costs. The nominal interest rate is 2.5% and the remaining debt issuance costs are amortized at an effective interest rate of 3.0%.</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Capped Calls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2026 Notes and the 2029 Notes, the Company entered into capped call transactions with certain counterparties (“Capped Calls”). The 2026 Notes Capped Calls each have an initial strike price of approximately $175.34 per share, and the 2029 Notes Capped Calls each have an initial strike price of approximately $117.12 per share, both subject to certain adjustments, which correspond to the initial conversion price of the convertible notes. The 2026 Notes Capped Calls have initial cap prices of $250.48, and the 2029 Notes Capped Calls have initial cap prices of $180.18 per share, both subject to certain adjustments. The Capped Calls are expected to partially offset the potential dilution to the Company’s common stock upon any conversion of the 2026 Notes and 2029 Notes, with such offset subject to a cap based on the cap price. The 2026 Notes Capped Calls cover approximately 2,851,668 shares of the Company’s common stock, and the 2029 Notes Capped Calls cover approximately 5,976,929 shares of the Company’s common stock, both subject to anti-dilution adjustments. For accounting purposes, the Capped Calls are separate transactions, and not part of the 2026 Notes and 2029 Notes. As these transactions meet certain accounting criteria, the Capped Calls are recorded in stockholders’ equity and are not accounted for as derivatives. The cost of $88.2 million incurred to purchase the Capped Calls was recorded as a reduction to additional paid-in capital in fiscal 2025 and will not be remeasured.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26, 2022, the Company entered into an amended and restated credit agreement to refinance its credit facilities initially entered into in 2018 and extended their maturity dates through June 2025. The amended and restated credit agreement provided for a $700.0 million facility (the “2022 Revised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2024, the Company entered into a second amended and restated credit agreement with certain lenders to refinance the 2022 Revised Credit Facility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Facility,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2024 Revised Credit Facilities, the Company is required to maintain a consolidated leverage ratio not to exceed 4.0:1.0 or, upon two occasions during the term of the facility, 4.5:1.0 for the four consecutive fiscal quarters ended immediately following acquisitions meeting certain criteria specified in the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applied modification accounting for the credit facility refinancing, which resulted in the capitalization of an additional $5.9 million in lender fees and third-party costs. During the three months ended June 28, 2025, the Company recognized $4.3 million of interest expense and amortization of debt issuance costs related to its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28, 2025, $243.8 million was outstanding under the term loan with an effective interest rate of 6.4%, which was netted down by the $5.0 million of remaining debt discount, resulting in a net note payable of $238.8 million. The Company has scheduled principal payments of $6.3 million required during the 12 months following June 28, 2025. There were no outstanding borrowings under the revolving credit facilities at June 28, 2025. The Company also had $19.5 million of uncommitted operating lines of credit to fund its global operations under which there were no outstanding borrowings as of June 28,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consolidated net leverage and interest coverage ratios specified in the 2024 Revised Credit Facilities as well as all other bank covenants as of June 28,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aggregate amount of debt maturities are as follows: </w:t>
      </w:r>
    </w:p>
    <w:tbl>
      <w:tblPr>
        <w:tblW w:w="3990" w:type="dxa"/>
        <w:jc w:val="left"/>
        <w:tblInd w:w="0" w:type="dxa"/>
        <w:tblLayout w:type="fixed"/>
        <w:tblCellMar>
          <w:top w:w="28" w:type="dxa"/>
          <w:left w:w="28" w:type="dxa"/>
          <w:bottom w:w="28" w:type="dxa"/>
          <w:right w:w="28" w:type="dxa"/>
        </w:tblCellMar>
      </w:tblPr>
      <w:tblGrid>
        <w:gridCol w:w="798"/>
        <w:gridCol w:w="701"/>
        <w:gridCol w:w="706"/>
        <w:gridCol w:w="315"/>
        <w:gridCol w:w="1240"/>
        <w:gridCol w:w="230"/>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Maturities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2026</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304,754 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900,073 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13. FINANCIAL INSTRUMENTS AND FAIR VALUE MEASUREMENTS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manufactures, markets and sells its products globally. During the three months ended June 28, 2025, 24.6% of the Company’s sales were generated outside the U.S. in local currencies. The Company also incurs certain manufacturing, marketing and selling costs in international markets in local currency.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Mexican Peso, Chinese Yuan, and Canadian Dollar.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Designated Foreign Currency Hedge Contracts</w:t>
      </w:r>
    </w:p>
    <w:p>
      <w:pPr>
        <w:pStyle w:val="TextBody"/>
        <w:bidi w:val="0"/>
        <w:spacing w:lineRule="auto" w:line="288" w:before="0" w:after="180"/>
        <w:jc w:val="both"/>
        <w:rPr/>
      </w:pPr>
      <w:r>
        <w:rPr>
          <w:rFonts w:ascii="Times New Roman;serif" w:hAnsi="Times New Roman;serif"/>
          <w:b w:val="false"/>
          <w:color w:val="000000"/>
          <w:sz w:val="20"/>
        </w:rPr>
        <w:t xml:space="preserve">All of the Company’s designated foreign currency hedge contracts as of June 28, 2025 and March 29, 2025 were cash flow hedges under FASB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$14.2 million as of June 28, 2025 and $23.6 million as of March 29, 2025. As of June 28, 2025, a gain of $0.9 million, net of tax, will be reclassified to earnings within the next twelve months. Substantially all currency cash flow hedges outstanding as of June 28, 2025 mature within twelve months.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Non-Designated Foreign Currency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$109.6 million as of June 28, 2025 and $89.6 million as of March 29,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mitigate the interest rate risk on the Company’s senior unsecured term loan, in September 2022, the Company entered into four interest rate swaps, two of which expired in June 2023 and the remaining two were amended and extended in September 2024. The amendment and extension of the two interest rate swaps did not have a material impact on the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have an average blended fixed interest rate of 3.31% plus the applicable rate on approximately 80% of the notional value of the unsecured term loan, until their maturity in April 2029. The Company has determined both of these interest rate swaps are effective and qualify for hedge accounting treatment.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June 28, 2025:</w:t>
      </w:r>
    </w:p>
    <w:tbl>
      <w:tblPr>
        <w:tblW w:w="10205" w:type="dxa"/>
        <w:jc w:val="left"/>
        <w:tblInd w:w="0" w:type="dxa"/>
        <w:tblLayout w:type="fixed"/>
        <w:tblCellMar>
          <w:top w:w="28" w:type="dxa"/>
          <w:left w:w="28" w:type="dxa"/>
          <w:bottom w:w="28" w:type="dxa"/>
          <w:right w:w="28" w:type="dxa"/>
        </w:tblCellMar>
      </w:tblPr>
      <w:tblGrid>
        <w:gridCol w:w="289"/>
        <w:gridCol w:w="254"/>
        <w:gridCol w:w="255"/>
        <w:gridCol w:w="109"/>
        <w:gridCol w:w="109"/>
        <w:gridCol w:w="109"/>
        <w:gridCol w:w="223"/>
        <w:gridCol w:w="876"/>
        <w:gridCol w:w="115"/>
        <w:gridCol w:w="109"/>
        <w:gridCol w:w="109"/>
        <w:gridCol w:w="109"/>
        <w:gridCol w:w="235"/>
        <w:gridCol w:w="921"/>
        <w:gridCol w:w="121"/>
        <w:gridCol w:w="109"/>
        <w:gridCol w:w="109"/>
        <w:gridCol w:w="109"/>
        <w:gridCol w:w="330"/>
        <w:gridCol w:w="330"/>
        <w:gridCol w:w="331"/>
        <w:gridCol w:w="109"/>
        <w:gridCol w:w="109"/>
        <w:gridCol w:w="109"/>
        <w:gridCol w:w="260"/>
        <w:gridCol w:w="260"/>
        <w:gridCol w:w="261"/>
        <w:gridCol w:w="109"/>
        <w:gridCol w:w="109"/>
        <w:gridCol w:w="109"/>
        <w:gridCol w:w="345"/>
        <w:gridCol w:w="345"/>
        <w:gridCol w:w="346"/>
        <w:gridCol w:w="109"/>
        <w:gridCol w:w="109"/>
        <w:gridCol w:w="109"/>
        <w:gridCol w:w="242"/>
        <w:gridCol w:w="242"/>
        <w:gridCol w:w="243"/>
        <w:gridCol w:w="109"/>
        <w:gridCol w:w="109"/>
        <w:gridCol w:w="109"/>
        <w:gridCol w:w="274"/>
        <w:gridCol w:w="607"/>
        <w:gridCol w:w="211"/>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Hedged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Notional Amount as of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Designation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 Assets (Liabilities)</w:t>
            </w:r>
          </w:p>
        </w:tc>
      </w:tr>
      <w:tr>
        <w:trPr/>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1-month USD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203,195 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28, 2025, the Company recognized a loss on the interest rate swaps to recognize the effective portion of the fair value of the swaps that qualify as cash flow hedges of $1.4 million, net of tax, in accumulated other comprehensive loss (“AOCL”) within the condensed consolidated balance sheets.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Trade Receivables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w:t>
      </w:r>
      <w:r>
        <w:rPr>
          <w:rFonts w:ascii="Times New Roman;serif" w:hAnsi="Times New Roman;serif"/>
          <w:b w:val="false"/>
          <w:color w:val="000000"/>
          <w:sz w:val="20"/>
          <w:shd w:fill="FFFFFF" w:val="clear"/>
        </w:rPr>
        <w:t>rvices. The Company has not experienced significant customer payment defaults or identified other significant collectability concerns.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roll forward of the allowance for credit losses:</w:t>
      </w:r>
    </w:p>
    <w:tbl>
      <w:tblPr>
        <w:tblW w:w="4722" w:type="dxa"/>
        <w:jc w:val="left"/>
        <w:tblInd w:w="0" w:type="dxa"/>
        <w:tblLayout w:type="fixed"/>
        <w:tblCellMar>
          <w:top w:w="28" w:type="dxa"/>
          <w:left w:w="28" w:type="dxa"/>
          <w:bottom w:w="28" w:type="dxa"/>
          <w:right w:w="28" w:type="dxa"/>
        </w:tblCellMar>
      </w:tblPr>
      <w:tblGrid>
        <w:gridCol w:w="603"/>
        <w:gridCol w:w="529"/>
        <w:gridCol w:w="532"/>
        <w:gridCol w:w="253"/>
        <w:gridCol w:w="741"/>
        <w:gridCol w:w="131"/>
        <w:gridCol w:w="109"/>
        <w:gridCol w:w="109"/>
        <w:gridCol w:w="109"/>
        <w:gridCol w:w="253"/>
        <w:gridCol w:w="741"/>
        <w:gridCol w:w="131"/>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1 — Inputs to the valuation methodology are quoted market prices for identical assets or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money market funds carried at fair value are classified within Level 1 of the fair value hierarchy because they are valued using quoted market prices.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the Company’s derivative instruments designated as cash flow hedges and those not designated as hedging instruments under ASC 815 in its condensed consolidated statements of income for the three months ended June 28, 2025:</w: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926"/>
        <w:gridCol w:w="493"/>
        <w:gridCol w:w="494"/>
        <w:gridCol w:w="109"/>
        <w:gridCol w:w="109"/>
        <w:gridCol w:w="109"/>
        <w:gridCol w:w="264"/>
        <w:gridCol w:w="817"/>
        <w:gridCol w:w="136"/>
        <w:gridCol w:w="109"/>
        <w:gridCol w:w="109"/>
        <w:gridCol w:w="109"/>
        <w:gridCol w:w="330"/>
        <w:gridCol w:w="637"/>
        <w:gridCol w:w="172"/>
        <w:gridCol w:w="109"/>
        <w:gridCol w:w="109"/>
        <w:gridCol w:w="109"/>
        <w:gridCol w:w="494"/>
        <w:gridCol w:w="494"/>
        <w:gridCol w:w="495"/>
        <w:gridCol w:w="109"/>
        <w:gridCol w:w="109"/>
        <w:gridCol w:w="109"/>
        <w:gridCol w:w="293"/>
        <w:gridCol w:w="881"/>
        <w:gridCol w:w="153"/>
        <w:gridCol w:w="109"/>
        <w:gridCol w:w="109"/>
        <w:gridCol w:w="109"/>
        <w:gridCol w:w="433"/>
        <w:gridCol w:w="433"/>
        <w:gridCol w:w="625"/>
      </w:tblGrid>
      <w:tr>
        <w:trPr/>
        <w:tc>
          <w:tcPr>
            <w:tcW w:w="92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w:t>
              <w:br/>
              <w:t>in AOCL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Reclassified</w:t>
              <w:br/>
              <w:t>from AOCL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Excluded from</w:t>
              <w:br/>
              <w:t>Effectiveness</w:t>
              <w:br/>
              <w:t>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Earnings</w:t>
            </w:r>
          </w:p>
        </w:tc>
      </w:tr>
      <w:tr>
        <w:trPr/>
        <w:tc>
          <w:tcPr>
            <w:tcW w:w="1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 cost of goods sold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fair value hedges or net investment hedges outstanding as of June 28, 2025 or March 29, 2025. As of June 28, 2025, there were no material deferred taxes recognized for designated foreign currency hedges.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FASB ASC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28, 2025,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fair value of the Company’s derivative instruments as they appear in its condensed consolidated balance sheets as of June 28, 2025 and March 29, 2025:</w:t>
      </w:r>
    </w:p>
    <w:tbl>
      <w:tblPr>
        <w:tblW w:w="10205" w:type="dxa"/>
        <w:jc w:val="left"/>
        <w:tblInd w:w="0" w:type="dxa"/>
        <w:tblLayout w:type="fixed"/>
        <w:tblCellMar>
          <w:top w:w="28" w:type="dxa"/>
          <w:left w:w="28" w:type="dxa"/>
          <w:bottom w:w="28" w:type="dxa"/>
          <w:right w:w="28" w:type="dxa"/>
        </w:tblCellMar>
      </w:tblPr>
      <w:tblGrid>
        <w:gridCol w:w="1433"/>
        <w:gridCol w:w="1232"/>
        <w:gridCol w:w="1237"/>
        <w:gridCol w:w="1084"/>
        <w:gridCol w:w="1084"/>
        <w:gridCol w:w="1087"/>
        <w:gridCol w:w="109"/>
        <w:gridCol w:w="109"/>
        <w:gridCol w:w="109"/>
        <w:gridCol w:w="249"/>
        <w:gridCol w:w="731"/>
        <w:gridCol w:w="129"/>
        <w:gridCol w:w="109"/>
        <w:gridCol w:w="109"/>
        <w:gridCol w:w="109"/>
        <w:gridCol w:w="274"/>
        <w:gridCol w:w="804"/>
        <w:gridCol w:w="207"/>
      </w:tblGrid>
      <w:tr>
        <w:trPr/>
        <w:tc>
          <w:tcPr>
            <w:tcW w:w="143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Measured on a Recurring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measured at fair value on a recurring basis consist of the following as of June 28, 2025 and March 29, 2025.</w:t>
      </w:r>
    </w:p>
    <w:tbl>
      <w:tblPr>
        <w:tblW w:w="9299" w:type="dxa"/>
        <w:jc w:val="left"/>
        <w:tblInd w:w="0" w:type="dxa"/>
        <w:tblLayout w:type="fixed"/>
        <w:tblCellMar>
          <w:top w:w="28" w:type="dxa"/>
          <w:left w:w="28" w:type="dxa"/>
          <w:bottom w:w="28" w:type="dxa"/>
          <w:right w:w="28" w:type="dxa"/>
        </w:tblCellMar>
      </w:tblPr>
      <w:tblGrid>
        <w:gridCol w:w="1484"/>
        <w:gridCol w:w="1304"/>
        <w:gridCol w:w="1321"/>
        <w:gridCol w:w="211"/>
        <w:gridCol w:w="82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tbl>
      <w:tblPr>
        <w:tblW w:w="9299" w:type="dxa"/>
        <w:jc w:val="left"/>
        <w:tblInd w:w="0" w:type="dxa"/>
        <w:tblLayout w:type="fixed"/>
        <w:tblCellMar>
          <w:top w:w="28" w:type="dxa"/>
          <w:left w:w="28" w:type="dxa"/>
          <w:bottom w:w="28" w:type="dxa"/>
          <w:right w:w="28" w:type="dxa"/>
        </w:tblCellMar>
      </w:tblPr>
      <w:tblGrid>
        <w:gridCol w:w="1484"/>
        <w:gridCol w:w="1304"/>
        <w:gridCol w:w="1321"/>
        <w:gridCol w:w="211"/>
        <w:gridCol w:w="82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 rate swaps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foreign currency hedge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foreign currency hedge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i/>
          <w:color w:val="000000"/>
          <w:sz w:val="20"/>
        </w:rPr>
        <w:t xml:space="preserve">Foreign currency hedge contracts - </w:t>
      </w:r>
      <w:r>
        <w:rPr>
          <w:rFonts w:ascii="Times New Roman;serif" w:hAnsi="Times New Roman;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lineRule="auto" w:line="288" w:before="0" w:after="180"/>
        <w:jc w:val="both"/>
        <w:rPr/>
      </w:pPr>
      <w:r>
        <w:rPr>
          <w:rFonts w:ascii="Times New Roman;serif" w:hAnsi="Times New Roman;serif"/>
          <w:b w:val="false"/>
          <w:i/>
          <w:color w:val="000000"/>
          <w:sz w:val="20"/>
        </w:rPr>
        <w:t xml:space="preserve">Interest rate swaps - </w:t>
      </w:r>
      <w:r>
        <w:rPr>
          <w:rFonts w:ascii="Times New Roman;serif" w:hAnsi="Times New Roman;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lineRule="auto" w:line="288" w:before="0" w:after="180"/>
        <w:jc w:val="both"/>
        <w:rPr/>
      </w:pPr>
      <w:r>
        <w:rPr>
          <w:rFonts w:ascii="Times New Roman;serif" w:hAnsi="Times New Roman;serif"/>
          <w:b w:val="false"/>
          <w:i/>
          <w:color w:val="000000"/>
          <w:sz w:val="20"/>
        </w:rPr>
        <w:t>Contingent consideration</w:t>
      </w:r>
      <w:r>
        <w:rPr>
          <w:color w:val="000000"/>
        </w:rPr>
        <w:t xml:space="preserve"> </w:t>
      </w:r>
      <w:r>
        <w:rPr>
          <w:rFonts w:ascii="Times New Roman;serif" w:hAnsi="Times New Roman;serif"/>
          <w:b w:val="false"/>
          <w:color w:val="000000"/>
          <w:sz w:val="20"/>
        </w:rPr>
        <w:t>-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fair value hierarchy.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level 3 fair value measurements of contingent consideration liabilities include the following significant unobservable inputs:</w:t>
      </w:r>
    </w:p>
    <w:tbl>
      <w:tblPr>
        <w:tblW w:w="10205" w:type="dxa"/>
        <w:jc w:val="left"/>
        <w:tblInd w:w="0" w:type="dxa"/>
        <w:tblLayout w:type="fixed"/>
        <w:tblCellMar>
          <w:top w:w="28" w:type="dxa"/>
          <w:left w:w="28" w:type="dxa"/>
          <w:bottom w:w="28" w:type="dxa"/>
          <w:right w:w="28" w:type="dxa"/>
        </w:tblCellMar>
      </w:tblPr>
      <w:tblGrid>
        <w:gridCol w:w="789"/>
        <w:gridCol w:w="637"/>
        <w:gridCol w:w="639"/>
        <w:gridCol w:w="109"/>
        <w:gridCol w:w="109"/>
        <w:gridCol w:w="109"/>
        <w:gridCol w:w="332"/>
        <w:gridCol w:w="975"/>
        <w:gridCol w:w="171"/>
        <w:gridCol w:w="109"/>
        <w:gridCol w:w="109"/>
        <w:gridCol w:w="109"/>
        <w:gridCol w:w="730"/>
        <w:gridCol w:w="699"/>
        <w:gridCol w:w="700"/>
        <w:gridCol w:w="109"/>
        <w:gridCol w:w="109"/>
        <w:gridCol w:w="109"/>
        <w:gridCol w:w="742"/>
        <w:gridCol w:w="742"/>
        <w:gridCol w:w="746"/>
        <w:gridCol w:w="109"/>
        <w:gridCol w:w="109"/>
        <w:gridCol w:w="109"/>
        <w:gridCol w:w="288"/>
        <w:gridCol w:w="288"/>
        <w:gridCol w:w="419"/>
      </w:tblGrid>
      <w:tr>
        <w:trPr/>
        <w:tc>
          <w:tcPr>
            <w:tcW w:w="78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Valuation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7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vMerge w:val="continue"/>
            <w:tcBorders/>
            <w:tcMar>
              <w:top w:w="0" w:type="dxa"/>
              <w:left w:w="0" w:type="dxa"/>
              <w:bottom w:w="0" w:type="dxa"/>
              <w:right w:w="0" w:type="dxa"/>
            </w:tcMar>
            <w:vAlign w:val="center"/>
          </w:tcPr>
          <w:p>
            <w:pPr>
              <w:pStyle w:val="Normal"/>
              <w:bidi w:val="0"/>
              <w:jc w:val="left"/>
              <w:rPr/>
            </w:pPr>
            <w:r>
              <w:rPr/>
            </w:r>
          </w:p>
        </w:tc>
        <w:tc>
          <w:tcPr>
            <w:tcW w:w="975" w:type="dxa"/>
            <w:vMerge w:val="continue"/>
            <w:tcBorders/>
            <w:tcMar>
              <w:top w:w="0" w:type="dxa"/>
              <w:left w:w="0" w:type="dxa"/>
              <w:bottom w:w="0" w:type="dxa"/>
              <w:right w:w="0" w:type="dxa"/>
            </w:tcMar>
            <w:vAlign w:val="center"/>
          </w:tcPr>
          <w:p>
            <w:pPr>
              <w:pStyle w:val="Normal"/>
              <w:bidi w:val="0"/>
              <w:jc w:val="left"/>
              <w:rPr/>
            </w:pPr>
            <w:r>
              <w:rPr/>
            </w:r>
          </w:p>
        </w:tc>
        <w:tc>
          <w:tcPr>
            <w:tcW w:w="1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2026 - 2028</w:t>
            </w:r>
          </w:p>
        </w:tc>
      </w:tr>
      <w:tr>
        <w:trPr/>
        <w:tc>
          <w:tcPr>
            <w:tcW w:w="20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Regulatory-based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vMerge w:val="restart"/>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75"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0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75"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Event-based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71"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06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75"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7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75"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71"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fiscal year of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2026 - 2028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contingent consideration associated with acquisitions was $2.2 million at June 28, 2025 and the total was included in other long-term liabilities on the condensed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the change in the fair value of contingent consideration is included in the following table:</w:t>
      </w:r>
    </w:p>
    <w:tbl>
      <w:tblPr>
        <w:tblW w:w="4662" w:type="dxa"/>
        <w:jc w:val="left"/>
        <w:tblInd w:w="0" w:type="dxa"/>
        <w:tblLayout w:type="fixed"/>
        <w:tblCellMar>
          <w:top w:w="28" w:type="dxa"/>
          <w:left w:w="28" w:type="dxa"/>
          <w:bottom w:w="28" w:type="dxa"/>
          <w:right w:w="28" w:type="dxa"/>
        </w:tblCellMar>
      </w:tblPr>
      <w:tblGrid>
        <w:gridCol w:w="835"/>
        <w:gridCol w:w="735"/>
        <w:gridCol w:w="740"/>
        <w:gridCol w:w="109"/>
        <w:gridCol w:w="109"/>
        <w:gridCol w:w="109"/>
        <w:gridCol w:w="434"/>
        <w:gridCol w:w="1271"/>
        <w:gridCol w:w="320"/>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Fair Value Disclosures</w:t>
      </w:r>
    </w:p>
    <w:p>
      <w:pPr>
        <w:pStyle w:val="TextBody"/>
        <w:bidi w:val="0"/>
        <w:spacing w:lineRule="auto" w:line="288" w:before="0" w:after="180"/>
        <w:jc w:val="both"/>
        <w:rPr/>
      </w:pPr>
      <w:r>
        <w:rPr>
          <w:rFonts w:ascii="Times New Roman;serif" w:hAnsi="Times New Roman;serif"/>
          <w:b w:val="false"/>
          <w:color w:val="000000"/>
          <w:sz w:val="20"/>
          <w:shd w:fill="FFFFFF" w:val="clear"/>
        </w:rPr>
        <w:t>The fair values of the 2026 Notes and 2029 No</w:t>
      </w:r>
      <w:r>
        <w:rPr>
          <w:rFonts w:ascii="Times New Roman;serif" w:hAnsi="Times New Roman;serif"/>
          <w:b w:val="false"/>
          <w:color w:val="000000"/>
          <w:sz w:val="20"/>
        </w:rPr>
        <w:t>tes were $289.9 million and $695.8 million as o</w:t>
      </w:r>
      <w:r>
        <w:rPr>
          <w:rFonts w:ascii="Times New Roman;serif" w:hAnsi="Times New Roman;serif"/>
          <w:b w:val="false"/>
          <w:color w:val="000000"/>
          <w:sz w:val="20"/>
          <w:shd w:fill="FFFFFF" w:val="clear"/>
        </w:rPr>
        <w:t>f June 28, 2025, respectively, which were determined by using the market price on the last trading day of the reporting period and are considered as level 2 in the fair value hierarchy.</w:t>
      </w:r>
    </w:p>
    <w:p>
      <w:pPr>
        <w:pStyle w:val="TextBody"/>
        <w:bidi w:val="0"/>
        <w:spacing w:lineRule="auto" w:line="288" w:before="0" w:after="180"/>
        <w:jc w:val="both"/>
        <w:rPr/>
      </w:pPr>
      <w:r>
        <w:rPr>
          <w:rFonts w:ascii="Times New Roman;serif" w:hAnsi="Times New Roman;serif"/>
          <w:b w:val="false"/>
          <w:color w:val="000000"/>
          <w:sz w:val="20"/>
        </w:rPr>
        <w:t>The senior unsecured term loan (which is carried at amortized cost), accounts receivable and accounts payable approximate fa</w:t>
      </w:r>
      <w:r>
        <w:rPr>
          <w:rFonts w:ascii="Times New Roman;serif" w:hAnsi="Times New Roman;serif"/>
          <w:b w:val="false"/>
          <w:color w:val="000000"/>
          <w:sz w:val="20"/>
          <w:shd w:fill="FFFFFF" w:val="clear"/>
        </w:rPr>
        <w:t xml:space="preserve">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0" w:after="180"/>
        <w:jc w:val="both"/>
        <w:rPr/>
      </w:pPr>
      <w:r>
        <w:rPr>
          <w:rFonts w:ascii="Times New Roman;serif" w:hAnsi="Times New Roman;serif"/>
          <w:b w:val="false"/>
          <w:color w:val="000000"/>
          <w:sz w:val="20"/>
        </w:rPr>
        <w:t>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FASB ASC Topic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for all matters. Legal costs are expensed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2024, a complaint was filed in the U.S. District Court for the District of Delaware by Knoninklijke Philips N.V. and IP2IPO Innovations, Ltd. (together, the “Plaintiffs”) against OpSens, OpSens Medical, Inc., a wholly-owned subsidiary of Haemonetics, and Haemonetics (1:24-cv-00206-CFC). The complaint alleges, inter alia, that OpSens’ interventional cardiology systems, including its OptoWire and OptoMonitor technology, infringe a single patent held by the Plaintiffs and seeks both injunctive relief and damages. The parties have agreed to postpone a claim construction hearing in the matter that was originally scheduled to take place in the first quarter of fiscal 2026. The Company believes it has valid and meritorious defenses to the complaint. The Company recorded loss contingencies related to this matter in the first and fourth quarters of fiscal 2025 and in the first quarter of fiscal 2026, which did not have a material impact on its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During the first quarter of fiscal 2026, the Company filed a complaint against Terumo BCT in U.S. District Court for the District of Colorado (1:25-cv-01409). The complaint alleges that Terumo BCT infringes the Company’s intellectual property rights with respect to its donor-centric blood plasma collection patents, as embodied in the Company’s NexSys PCS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with YES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and NexSys PCS with Persona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technology. While the Company will incur costs in the course of pursuing this claim, and the outcome of litigation is inherently uncertain, the Company believes this is a necessary and appropriate action to safeguard its innovations, protect its intellectual property, and further the growth and development of its business. On June 26, 2025, Terumo filed a motion to dismiss the Company’s complaint with prejudice claiming that the Company’s asserted patents were invalid under 35 U.S.C. section 101 for claiming non-patentable subject matter. On July 17, 2025, the Company filed an amended complaint, which added a recently issued patent. On August 4, 2025, Terumo filed an </w:t>
      </w:r>
      <w:r>
        <w:rPr>
          <w:rFonts w:ascii="Times New Roman;serif" w:hAnsi="Times New Roman;serif"/>
          <w:b w:val="false"/>
          <w:i/>
          <w:color w:val="000000"/>
          <w:sz w:val="20"/>
        </w:rPr>
        <w:t xml:space="preserve">inter partes </w:t>
      </w:r>
      <w:r>
        <w:rPr>
          <w:rFonts w:ascii="Times New Roman;serif" w:hAnsi="Times New Roman;serif"/>
          <w:b w:val="false"/>
          <w:color w:val="000000"/>
          <w:sz w:val="20"/>
        </w:rPr>
        <w:t xml:space="preserve">review petition with the U.S. Patent and Trademark Office, seeking to invalidate one of the asserted patents. In its petition, Terumo indicated that it intends to challenge other asserted patents through </w:t>
      </w:r>
      <w:r>
        <w:rPr>
          <w:rFonts w:ascii="Times New Roman;serif" w:hAnsi="Times New Roman;serif"/>
          <w:b w:val="false"/>
          <w:i/>
          <w:color w:val="000000"/>
          <w:sz w:val="20"/>
        </w:rPr>
        <w:t xml:space="preserve">inter partes </w:t>
      </w:r>
      <w:r>
        <w:rPr>
          <w:rFonts w:ascii="Times New Roman;serif" w:hAnsi="Times New Roman;serif"/>
          <w:b w:val="false"/>
          <w:color w:val="000000"/>
          <w:sz w:val="20"/>
        </w:rPr>
        <w:t>review and post-grant review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filed a complaint against Fresenius Kabi USA LLC in U.S. District Court for the Northern District of Illinois (1:25-cv-08680). The complaint alleges that Fresenius Kabi infringes the Company’s intellectual property rights with respect to its donor-centric blood plasma collection patents, as embodied in the Company’s NexSys PCS with YES technology and NexSys PCS with Persona technology. While the Company will incur costs in the course of pursuing this claim, and the outcome of litigation is inherently uncertain, the Company believes this is a necessary and appropriate action to safeguard its innovations, protect its intellectual property, and further the growth and development of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15. CAPITAL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Compensation cost related to share-based transactions is recognized in the consolidated financial statements based on fair value. The total amount of share-based compensation expense, which is recorded on a straight line basis, is as follows:</w:t>
      </w:r>
    </w:p>
    <w:tbl>
      <w:tblPr>
        <w:tblW w:w="6356" w:type="dxa"/>
        <w:jc w:val="left"/>
        <w:tblInd w:w="0" w:type="dxa"/>
        <w:tblLayout w:type="fixed"/>
        <w:tblCellMar>
          <w:top w:w="28" w:type="dxa"/>
          <w:left w:w="28" w:type="dxa"/>
          <w:bottom w:w="28" w:type="dxa"/>
          <w:right w:w="28" w:type="dxa"/>
        </w:tblCellMar>
      </w:tblPr>
      <w:tblGrid>
        <w:gridCol w:w="1354"/>
        <w:gridCol w:w="1189"/>
        <w:gridCol w:w="1192"/>
        <w:gridCol w:w="253"/>
        <w:gridCol w:w="741"/>
        <w:gridCol w:w="131"/>
        <w:gridCol w:w="109"/>
        <w:gridCol w:w="109"/>
        <w:gridCol w:w="109"/>
        <w:gridCol w:w="251"/>
        <w:gridCol w:w="735"/>
        <w:gridCol w:w="183"/>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for the three months ended June 28, 2025 is as follows:</w:t>
      </w:r>
    </w:p>
    <w:tbl>
      <w:tblPr>
        <w:tblW w:w="8973" w:type="dxa"/>
        <w:jc w:val="left"/>
        <w:tblInd w:w="0" w:type="dxa"/>
        <w:tblLayout w:type="fixed"/>
        <w:tblCellMar>
          <w:top w:w="28" w:type="dxa"/>
          <w:left w:w="28" w:type="dxa"/>
          <w:bottom w:w="28" w:type="dxa"/>
          <w:right w:w="28" w:type="dxa"/>
        </w:tblCellMar>
      </w:tblPr>
      <w:tblGrid>
        <w:gridCol w:w="1315"/>
        <w:gridCol w:w="1154"/>
        <w:gridCol w:w="1161"/>
        <w:gridCol w:w="488"/>
        <w:gridCol w:w="488"/>
        <w:gridCol w:w="336"/>
        <w:gridCol w:w="109"/>
        <w:gridCol w:w="109"/>
        <w:gridCol w:w="109"/>
        <w:gridCol w:w="253"/>
        <w:gridCol w:w="741"/>
        <w:gridCol w:w="131"/>
        <w:gridCol w:w="109"/>
        <w:gridCol w:w="109"/>
        <w:gridCol w:w="109"/>
        <w:gridCol w:w="314"/>
        <w:gridCol w:w="314"/>
        <w:gridCol w:w="316"/>
        <w:gridCol w:w="109"/>
        <w:gridCol w:w="109"/>
        <w:gridCol w:w="109"/>
        <w:gridCol w:w="211"/>
        <w:gridCol w:w="61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 and Per Share Data)</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29,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993,587 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28,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1,108,728 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28, 2025</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651,653 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expected to vest at June 28,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982,146 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there was $15.4 million of total unrecognized compensation cost related to non-vested stock options. This cost is expected to be recognized over a weighted average period of 3.0 years.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Restricted Stock Units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Restricted Stock Units (“RSUs”) generally vest in equal installments over a three or four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RSU activity for the three months ended June 28, 2025 is as follows:</w:t>
      </w:r>
    </w:p>
    <w:tbl>
      <w:tblPr>
        <w:tblW w:w="5652" w:type="dxa"/>
        <w:jc w:val="left"/>
        <w:tblInd w:w="0" w:type="dxa"/>
        <w:tblLayout w:type="fixed"/>
        <w:tblCellMar>
          <w:top w:w="28" w:type="dxa"/>
          <w:left w:w="28" w:type="dxa"/>
          <w:bottom w:w="28" w:type="dxa"/>
          <w:right w:w="28" w:type="dxa"/>
        </w:tblCellMar>
      </w:tblPr>
      <w:tblGrid>
        <w:gridCol w:w="875"/>
        <w:gridCol w:w="768"/>
        <w:gridCol w:w="771"/>
        <w:gridCol w:w="449"/>
        <w:gridCol w:w="451"/>
        <w:gridCol w:w="196"/>
        <w:gridCol w:w="109"/>
        <w:gridCol w:w="109"/>
        <w:gridCol w:w="109"/>
        <w:gridCol w:w="390"/>
        <w:gridCol w:w="1140"/>
        <w:gridCol w:w="285"/>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29,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28,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356,076 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there was $24.5 million of total unrecognized compensation cost related to non-vested restricted stock units. This cost is expected to be recognized over a weighted average period of 2.2 years.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Performance Share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Performance Share Units (“PSUs”), adjusted for estimated forfeitures, is recognized as expense on a straight-line basis from the grant date through the end of the performance period. The value of these PSUs is generally based on (i) relative total shareholder return (“rTSR”), which equals the total shareholder return for the Company as compared with the total shareholder return of a PSU comparison group and; (ii) the average annual organic revenue growth rate (“AAGR”) of the Company, both of which are measured over a three-year performance period. For outstanding rTSR-based PSUs, the comparison group for awards granted prior to fiscal 2026 consists of the components of the Standard and Poor’s (“S&amp;P”) MidCap 400 Index and for awards granted in fiscal 2026 consists of the components of the S&amp;P Health Care Equipment Select Industry Index. Depending on the Company’s performance under the above-mentioned PSU awards during the performance period, a recipient of the award is entitled to receive a number of ordinary shares equal to a percentage, ranging from 0% to 200%, of the award granted. If the Company’s total shareholder return for the performance period is negative, then any share payout for rTSR-based PSU awards will be capped at 100% of the target award, regardless of the Company’s performance relative to the comparison group. As a result, the Company may issue up to 763,062 shares related to outstanding performance-based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PSU activity for the three months ended June 28, 2025 is as follows:</w:t>
      </w:r>
    </w:p>
    <w:tbl>
      <w:tblPr>
        <w:tblW w:w="5651" w:type="dxa"/>
        <w:jc w:val="left"/>
        <w:tblInd w:w="0" w:type="dxa"/>
        <w:tblLayout w:type="fixed"/>
        <w:tblCellMar>
          <w:top w:w="28" w:type="dxa"/>
          <w:left w:w="28" w:type="dxa"/>
          <w:bottom w:w="28" w:type="dxa"/>
          <w:right w:w="28" w:type="dxa"/>
        </w:tblCellMar>
      </w:tblPr>
      <w:tblGrid>
        <w:gridCol w:w="875"/>
        <w:gridCol w:w="768"/>
        <w:gridCol w:w="771"/>
        <w:gridCol w:w="449"/>
        <w:gridCol w:w="451"/>
        <w:gridCol w:w="196"/>
        <w:gridCol w:w="109"/>
        <w:gridCol w:w="109"/>
        <w:gridCol w:w="109"/>
        <w:gridCol w:w="352"/>
        <w:gridCol w:w="1205"/>
        <w:gridCol w:w="257"/>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March 29,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(2)</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28,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6"/>
        </w:rPr>
        <w:t>Includes 35,443 shares issued for awards vested during fiscal 2026 based on achievement of performance metrics.</w:t>
      </w:r>
    </w:p>
    <w:p>
      <w:pPr>
        <w:pStyle w:val="TextBody"/>
        <w:bidi w:val="0"/>
        <w:spacing w:lineRule="auto" w:line="288" w:before="0" w:after="18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Includes the vesting of 162,066 shares that were earned for rTSR-based PSU awards granted in fiscal 2023 for performance periods ending during fiscal 2026, based on actual rTSR of 128%.</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there was $30.0 million of total unrecognized compensation cost related to non-vested performance share units. This cost is expected to be recognized over a weighted average period of 2.3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16. ACCUMULATED OTHER COMPREHENSIVE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AOCL, net of tax, are as follows:</w:t>
      </w:r>
    </w:p>
    <w:tbl>
      <w:tblPr>
        <w:tblW w:w="10205" w:type="dxa"/>
        <w:jc w:val="left"/>
        <w:tblInd w:w="0" w:type="dxa"/>
        <w:tblLayout w:type="fixed"/>
        <w:tblCellMar>
          <w:top w:w="28" w:type="dxa"/>
          <w:left w:w="28" w:type="dxa"/>
          <w:bottom w:w="28" w:type="dxa"/>
          <w:right w:w="28" w:type="dxa"/>
        </w:tblCellMar>
      </w:tblPr>
      <w:tblGrid>
        <w:gridCol w:w="1406"/>
        <w:gridCol w:w="1001"/>
        <w:gridCol w:w="983"/>
        <w:gridCol w:w="240"/>
        <w:gridCol w:w="881"/>
        <w:gridCol w:w="124"/>
        <w:gridCol w:w="109"/>
        <w:gridCol w:w="109"/>
        <w:gridCol w:w="109"/>
        <w:gridCol w:w="297"/>
        <w:gridCol w:w="868"/>
        <w:gridCol w:w="153"/>
        <w:gridCol w:w="109"/>
        <w:gridCol w:w="109"/>
        <w:gridCol w:w="109"/>
        <w:gridCol w:w="561"/>
        <w:gridCol w:w="1280"/>
        <w:gridCol w:w="290"/>
        <w:gridCol w:w="109"/>
        <w:gridCol w:w="109"/>
        <w:gridCol w:w="109"/>
        <w:gridCol w:w="211"/>
        <w:gridCol w:w="768"/>
        <w:gridCol w:w="161"/>
      </w:tblGrid>
      <w:tr>
        <w:trPr/>
        <w:tc>
          <w:tcPr>
            <w:tcW w:w="140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Gain (Loss)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29, 2025</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income (loss) before reclassifications</w:t>
            </w:r>
            <w:r>
              <w:rPr>
                <w:rFonts w:ascii="Times New Roman;serif" w:hAnsi="Times New Roman;serif"/>
                <w:b w:val="false"/>
                <w:color w:val="000000"/>
                <w:sz w:val="13"/>
              </w:rPr>
              <w:t>(1)</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AOCL</w:t>
            </w:r>
            <w:r>
              <w:rPr>
                <w:rFonts w:ascii="Times New Roman;serif" w:hAnsi="Times New Roman;serif"/>
                <w:b w:val="false"/>
                <w:color w:val="000000"/>
                <w:sz w:val="13"/>
              </w:rPr>
              <w:t>(1)</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2025</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(36,941)</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6"/>
        </w:rPr>
        <w:t>Presented net of income taxes, the amounts of which are insignificant.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17. SEGMENT AND ENTERPRISE-WIDE INFORMATION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 (“CODM”), identified as the Company’s Chief Executive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reportable and operating segments are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Plasma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Blood Center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Hospital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measures and evaluates the operating segments based on operating income for purposes of assessing business performance and allocating resources. Certain corporate expenses and amounts considered to be non-recurring or non-operational are excluded from segment operating income. These items include acquisition, integration and divestiture related costs, amortization of acquired assets, restructuring costs, restructuring related costs, digital transformation costs related to the upgrade of the Company’s enterprise resource planning system, impairments and write downs, accelerated device depreciation and related costs, costs related to compliance with the European Union Medical Device Regulation (“MDR”) and In Vitro Diagnostic Regulation (“IVDR”), unusual or infrequent and material litigation-related charges and gains, losses on dispositions and sale of assets, remeasurement of the contingent consideration liability and unusual or infrequent gains such as on repurchases of convertible notes or divestitures. Although these amounts are excluded from segment operating income, as applicable, they are included in the reconciliations that follow. During the fourth quarter of fiscal 2025, the CODM began reviewing financial information including allocations of certain corporate costs including global functional support and overhead costs determined to benefit the segments. The prior period segment disclosures have been recast to reflect the new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does not track its assets by segment, and as a result it is not practical to show assets or depreciation by segment. Consequently, the Company’s CODM does not review assets by segment when assessing business performance and allocating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Selected information by reportable segment is presented below:</w:t>
      </w:r>
    </w:p>
    <w:tbl>
      <w:tblPr>
        <w:tblW w:w="8079" w:type="dxa"/>
        <w:jc w:val="left"/>
        <w:tblInd w:w="0" w:type="dxa"/>
        <w:tblLayout w:type="fixed"/>
        <w:tblCellMar>
          <w:top w:w="28" w:type="dxa"/>
          <w:left w:w="28" w:type="dxa"/>
          <w:bottom w:w="28" w:type="dxa"/>
          <w:right w:w="28" w:type="dxa"/>
        </w:tblCellMar>
      </w:tblPr>
      <w:tblGrid>
        <w:gridCol w:w="1802"/>
        <w:gridCol w:w="1584"/>
        <w:gridCol w:w="1593"/>
        <w:gridCol w:w="211"/>
        <w:gridCol w:w="826"/>
        <w:gridCol w:w="109"/>
        <w:gridCol w:w="109"/>
        <w:gridCol w:w="109"/>
        <w:gridCol w:w="109"/>
        <w:gridCol w:w="211"/>
        <w:gridCol w:w="826"/>
        <w:gridCol w:w="109"/>
        <w:gridCol w:w="109"/>
        <w:gridCol w:w="109"/>
        <w:gridCol w:w="109"/>
        <w:gridCol w:w="154"/>
      </w:tblGrid>
      <w:tr>
        <w:trPr/>
        <w:tc>
          <w:tcPr>
            <w:tcW w:w="180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segment expenses and operating performance: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Plasma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Blood Center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Hospital</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and unallocated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integration and divestiture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restructuring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transformation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Comprised of litigation-related charges for the three months ended June 28, 2025. Comprised of MDR and IVDR costs, litigation-related charges, and gains on sale of property, plant and equipment for the three months ended June 29,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by business unit are as follows:</w:t>
      </w:r>
    </w:p>
    <w:tbl>
      <w:tblPr>
        <w:tblW w:w="5994" w:type="dxa"/>
        <w:jc w:val="left"/>
        <w:tblInd w:w="0" w:type="dxa"/>
        <w:tblLayout w:type="fixed"/>
        <w:tblCellMar>
          <w:top w:w="28" w:type="dxa"/>
          <w:left w:w="28" w:type="dxa"/>
          <w:bottom w:w="28" w:type="dxa"/>
          <w:right w:w="28" w:type="dxa"/>
        </w:tblCellMar>
      </w:tblPr>
      <w:tblGrid>
        <w:gridCol w:w="1046"/>
        <w:gridCol w:w="919"/>
        <w:gridCol w:w="929"/>
        <w:gridCol w:w="211"/>
        <w:gridCol w:w="826"/>
        <w:gridCol w:w="109"/>
        <w:gridCol w:w="109"/>
        <w:gridCol w:w="109"/>
        <w:gridCol w:w="109"/>
        <w:gridCol w:w="211"/>
        <w:gridCol w:w="826"/>
        <w:gridCol w:w="109"/>
        <w:gridCol w:w="109"/>
        <w:gridCol w:w="109"/>
        <w:gridCol w:w="109"/>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Plasma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 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Blood Center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 Blood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Hospital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Interventional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Management Technologies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excluding impairment charges, by business unit are as follows:</w:t>
      </w:r>
    </w:p>
    <w:tbl>
      <w:tblPr>
        <w:tblW w:w="8725" w:type="dxa"/>
        <w:jc w:val="left"/>
        <w:tblInd w:w="0" w:type="dxa"/>
        <w:tblLayout w:type="fixed"/>
        <w:tblCellMar>
          <w:top w:w="28" w:type="dxa"/>
          <w:left w:w="28" w:type="dxa"/>
          <w:bottom w:w="28" w:type="dxa"/>
          <w:right w:w="28" w:type="dxa"/>
        </w:tblCellMar>
      </w:tblPr>
      <w:tblGrid>
        <w:gridCol w:w="2050"/>
        <w:gridCol w:w="1807"/>
        <w:gridCol w:w="1812"/>
        <w:gridCol w:w="228"/>
        <w:gridCol w:w="779"/>
        <w:gridCol w:w="117"/>
        <w:gridCol w:w="109"/>
        <w:gridCol w:w="109"/>
        <w:gridCol w:w="109"/>
        <w:gridCol w:w="228"/>
        <w:gridCol w:w="779"/>
        <w:gridCol w:w="117"/>
        <w:gridCol w:w="109"/>
        <w:gridCol w:w="109"/>
        <w:gridCol w:w="109"/>
        <w:gridCol w:w="154"/>
      </w:tblGrid>
      <w:tr>
        <w:trPr/>
        <w:tc>
          <w:tcPr>
            <w:tcW w:w="205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(excluding impairment charges)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Long-lived assets, comprised of property, plant and equipment, by business unit are as follows:</w:t>
      </w:r>
    </w:p>
    <w:tbl>
      <w:tblPr>
        <w:tblW w:w="4741" w:type="dxa"/>
        <w:jc w:val="left"/>
        <w:tblInd w:w="0" w:type="dxa"/>
        <w:tblLayout w:type="fixed"/>
        <w:tblCellMar>
          <w:top w:w="28" w:type="dxa"/>
          <w:left w:w="28" w:type="dxa"/>
          <w:bottom w:w="28" w:type="dxa"/>
          <w:right w:w="28" w:type="dxa"/>
        </w:tblCellMar>
      </w:tblPr>
      <w:tblGrid>
        <w:gridCol w:w="710"/>
        <w:gridCol w:w="626"/>
        <w:gridCol w:w="628"/>
        <w:gridCol w:w="211"/>
        <w:gridCol w:w="826"/>
        <w:gridCol w:w="109"/>
        <w:gridCol w:w="109"/>
        <w:gridCol w:w="109"/>
        <w:gridCol w:w="109"/>
        <w:gridCol w:w="231"/>
        <w:gridCol w:w="905"/>
        <w:gridCol w:w="168"/>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Long-lived assets, comprised of property, plant and equipment, by operating regions are as follows:</w:t>
      </w:r>
    </w:p>
    <w:tbl>
      <w:tblPr>
        <w:tblW w:w="4742"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31"/>
        <w:gridCol w:w="905"/>
        <w:gridCol w:w="168"/>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by operating regions are as follows:</w:t>
      </w:r>
    </w:p>
    <w:tbl>
      <w:tblPr>
        <w:tblW w:w="4720" w:type="dxa"/>
        <w:jc w:val="left"/>
        <w:tblInd w:w="0" w:type="dxa"/>
        <w:tblLayout w:type="fixed"/>
        <w:tblCellMar>
          <w:top w:w="28" w:type="dxa"/>
          <w:left w:w="28" w:type="dxa"/>
          <w:bottom w:w="28" w:type="dxa"/>
          <w:right w:w="28" w:type="dxa"/>
        </w:tblCellMar>
      </w:tblPr>
      <w:tblGrid>
        <w:gridCol w:w="588"/>
        <w:gridCol w:w="515"/>
        <w:gridCol w:w="517"/>
        <w:gridCol w:w="211"/>
        <w:gridCol w:w="826"/>
        <w:gridCol w:w="109"/>
        <w:gridCol w:w="109"/>
        <w:gridCol w:w="109"/>
        <w:gridCol w:w="109"/>
        <w:gridCol w:w="211"/>
        <w:gridCol w:w="826"/>
        <w:gridCol w:w="109"/>
        <w:gridCol w:w="109"/>
        <w:gridCol w:w="109"/>
        <w:gridCol w:w="109"/>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Asia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29, 2025. The following discussion may contain forward-looking statements and should be read in conjunction with the “Cautionary Statement Regarding Forward-Looking Information” in this discussion. When used in this report, the terms “we,” “us,” “our,” “Haemonetics” and the “Company” mean Haemonetics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our broader strategic objectives.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2025, our Board of Directors (the “Board”) approved a new three-year share repurchase program authorizing the repurchase of up to $500.0 million of our common stock, based on market conditions, through April 2028. This new share repurchase program will help to offset the dilutive impact of recent and future employee equity grants. The timing and amounts of activity under the share repurchase program will be at management’s discretion. In addition to this share repurchase activity, our capital allocation strategy continues to prioritize funding of planned internal investments to support the business as well as inorganic opportunities to accelerate our long-term growth plans.</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Market and Regional Alignment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the Board approved a new market and regional alignment initiative and delegated authority to our management to determine the details of the specific actions that will comprise the initiative. This strategic initiative, which is expected to continue through the end of fiscal 2027, is designed to improve operational performance and reduce costs by directing our resources toward the markets and geographies that offer the greatest growth and portfolio advancement opportunities. The amounts and timing of estimated costs and savings are subject to change until finalized. The actual amounts and timing may vary materially based on various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Financial Summary</w:t>
      </w:r>
    </w:p>
    <w:tbl>
      <w:tblPr>
        <w:tblW w:w="9326" w:type="dxa"/>
        <w:jc w:val="left"/>
        <w:tblInd w:w="0" w:type="dxa"/>
        <w:tblLayout w:type="fixed"/>
        <w:tblCellMar>
          <w:top w:w="28" w:type="dxa"/>
          <w:left w:w="28" w:type="dxa"/>
          <w:bottom w:w="28" w:type="dxa"/>
          <w:right w:w="28" w:type="dxa"/>
        </w:tblCellMar>
      </w:tblPr>
      <w:tblGrid>
        <w:gridCol w:w="1260"/>
        <w:gridCol w:w="1107"/>
        <w:gridCol w:w="1112"/>
        <w:gridCol w:w="250"/>
        <w:gridCol w:w="981"/>
        <w:gridCol w:w="321"/>
        <w:gridCol w:w="129"/>
        <w:gridCol w:w="129"/>
        <w:gridCol w:w="129"/>
        <w:gridCol w:w="250"/>
        <w:gridCol w:w="981"/>
        <w:gridCol w:w="321"/>
        <w:gridCol w:w="109"/>
        <w:gridCol w:w="109"/>
        <w:gridCol w:w="109"/>
        <w:gridCol w:w="381"/>
        <w:gridCol w:w="309"/>
        <w:gridCol w:w="749"/>
        <w:gridCol w:w="109"/>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174,924 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9.9 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35.5 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(225.1)</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33.5 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pre-tax income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(11.3)</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(5.4)</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revenues decreased 4.4% during the three months ended June 28, 2025, as compared with the same period of fiscal 2025. Revenue decreases in Plasma and Blood Center, primarily driven by the previously announced customer transition of CSL and the divestiture of the Whole Blood product line in fiscal 2025, drove the overall decrease in net revenues, but was partially offset by an increase in Hospital, primarily attributable to the Hemostasis Management product line within the Blood Management Technologies franchise, during the three months ended June 28,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income increased 35.5% during the three months ended June 28, 2025, as compared with the same period of fiscal 2025. The increase during the three months ended June 28, 2025 was primarily due to pricing benefits across all business units and product mix, as well as decreased restructuring costs related to portfolio rationalization initiatives and decreased amortization of fair value inventory step-up, partially offset by lower gains on sales of property, plant and equipment.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Use of Non-GAAP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Net Revenues by Geography</w:t>
      </w:r>
    </w:p>
    <w:tbl>
      <w:tblPr>
        <w:tblW w:w="10093" w:type="dxa"/>
        <w:jc w:val="left"/>
        <w:tblInd w:w="0" w:type="dxa"/>
        <w:tblLayout w:type="fixed"/>
        <w:tblCellMar>
          <w:top w:w="28" w:type="dxa"/>
          <w:left w:w="28" w:type="dxa"/>
          <w:bottom w:w="28" w:type="dxa"/>
          <w:right w:w="28" w:type="dxa"/>
        </w:tblCellMar>
      </w:tblPr>
      <w:tblGrid>
        <w:gridCol w:w="588"/>
        <w:gridCol w:w="515"/>
        <w:gridCol w:w="517"/>
        <w:gridCol w:w="211"/>
        <w:gridCol w:w="826"/>
        <w:gridCol w:w="109"/>
        <w:gridCol w:w="109"/>
        <w:gridCol w:w="109"/>
        <w:gridCol w:w="109"/>
        <w:gridCol w:w="211"/>
        <w:gridCol w:w="826"/>
        <w:gridCol w:w="109"/>
        <w:gridCol w:w="109"/>
        <w:gridCol w:w="109"/>
        <w:gridCol w:w="109"/>
        <w:gridCol w:w="300"/>
        <w:gridCol w:w="300"/>
        <w:gridCol w:w="749"/>
        <w:gridCol w:w="109"/>
        <w:gridCol w:w="109"/>
        <w:gridCol w:w="109"/>
        <w:gridCol w:w="297"/>
        <w:gridCol w:w="297"/>
        <w:gridCol w:w="741"/>
        <w:gridCol w:w="109"/>
        <w:gridCol w:w="109"/>
        <w:gridCol w:w="109"/>
        <w:gridCol w:w="445"/>
        <w:gridCol w:w="445"/>
        <w:gridCol w:w="1299"/>
      </w:tblGrid>
      <w:tr>
        <w:trPr/>
        <w:tc>
          <w:tcPr>
            <w:tcW w:w="58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8473" w:type="dxa"/>
            <w:gridSpan w:val="27"/>
            <w:tcBorders/>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7327" w:type="dxa"/>
            <w:gridSpan w:val="24"/>
            <w:tcBorders/>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pPr>
      <w:r>
        <w:rPr>
          <w:rFonts w:ascii="Times New Roman;serif" w:hAnsi="Times New Roman;serif"/>
          <w:b w:val="false"/>
          <w:color w:val="000000"/>
          <w:sz w:val="20"/>
          <w:shd w:fill="FFFFFF" w:val="clear"/>
        </w:rPr>
        <w:t>Our principal operations are in the United St</w:t>
      </w:r>
      <w:r>
        <w:rPr>
          <w:rFonts w:ascii="Times New Roman;serif" w:hAnsi="Times New Roman;serif"/>
          <w:b w:val="false"/>
          <w:color w:val="000000"/>
          <w:sz w:val="20"/>
        </w:rPr>
        <w:t xml:space="preserve">ates, Europe, Japan and other parts of Asia. </w:t>
      </w:r>
      <w:r>
        <w:rPr>
          <w:rFonts w:ascii="Times New Roman;serif" w:hAnsi="Times New Roman;serif"/>
          <w:b w:val="false"/>
          <w:color w:val="000000"/>
          <w:sz w:val="20"/>
          <w:shd w:fill="FFFFFF" w:val="clear"/>
        </w:rPr>
        <w:t>We market and sell our products in approximate</w:t>
      </w:r>
      <w:r>
        <w:rPr>
          <w:rFonts w:ascii="Times New Roman;serif" w:hAnsi="Times New Roman;serif"/>
          <w:b w:val="false"/>
          <w:color w:val="000000"/>
          <w:sz w:val="20"/>
        </w:rPr>
        <w:t>ly 96 countries through a combination of our direct sales force and independent distributors. During the three months ended June 28, 2025, our revenue generated outside the U.S. was 24.6% of total net revenues, as compared with 26.0% during the three months ended June 29, 2024. International sales are generally conducted in local currencies, primarily Japanese Yen, Euro and Chinese Yuan. Our results of operations are impacted by changes in foreign exchange rates, particularly in the value of the Yen and Euro, relative to the U.S. Dol</w:t>
      </w:r>
      <w:r>
        <w:rPr>
          <w:rFonts w:ascii="Times New Roman;serif" w:hAnsi="Times New Roman;serif"/>
          <w:b w:val="false"/>
          <w:color w:val="000000"/>
          <w:sz w:val="20"/>
          <w:shd w:fill="FFFFFF" w:val="clear"/>
        </w:rPr>
        <w:t>lar. We have placed foreign currency hedges on certain foreign currencies to mitigate our exposure to foreign currency fluctuations.</w:t>
      </w:r>
    </w:p>
    <w:p>
      <w:pPr>
        <w:pStyle w:val="TextBody"/>
        <w:bidi w:val="0"/>
        <w:spacing w:lineRule="auto" w:line="288" w:before="0" w:after="180"/>
        <w:jc w:val="both"/>
        <w:rPr/>
      </w:pPr>
      <w:r>
        <w:rPr>
          <w:rFonts w:ascii="Times New Roman;serif" w:hAnsi="Times New Roman;serif"/>
          <w:b w:val="false"/>
          <w:color w:val="000000"/>
          <w:sz w:val="20"/>
          <w:shd w:fill="FFFFFF" w:val="clear"/>
        </w:rPr>
        <w:t>Please see the section entitled “</w:t>
      </w:r>
      <w:r>
        <w:rPr>
          <w:rFonts w:ascii="Times New Roman;serif" w:hAnsi="Times New Roman;serif"/>
          <w:b w:val="false"/>
          <w:i/>
          <w:color w:val="000000"/>
          <w:sz w:val="20"/>
          <w:shd w:fill="FFFFFF" w:val="clear"/>
        </w:rPr>
        <w:t>Foreign Exchange</w:t>
      </w:r>
      <w:r>
        <w:rPr>
          <w:color w:val="000000"/>
          <w:shd w:fill="FFFFFF" w:val="clear"/>
        </w:rPr>
        <w:t xml:space="preserve">” </w:t>
      </w:r>
      <w:r>
        <w:rPr>
          <w:rFonts w:ascii="Times New Roman;serif" w:hAnsi="Times New Roman;serif"/>
          <w:b w:val="false"/>
          <w:color w:val="000000"/>
          <w:sz w:val="20"/>
          <w:shd w:fill="FFFFFF" w:val="clear"/>
        </w:rPr>
        <w:t>in this discussion for a more complete explanation of how foreign currency affects our business and our strategy for managing this exposure.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979"/>
        <w:gridCol w:w="727"/>
        <w:gridCol w:w="736"/>
        <w:gridCol w:w="211"/>
        <w:gridCol w:w="826"/>
        <w:gridCol w:w="109"/>
        <w:gridCol w:w="109"/>
        <w:gridCol w:w="109"/>
        <w:gridCol w:w="109"/>
        <w:gridCol w:w="211"/>
        <w:gridCol w:w="826"/>
        <w:gridCol w:w="109"/>
        <w:gridCol w:w="109"/>
        <w:gridCol w:w="109"/>
        <w:gridCol w:w="109"/>
        <w:gridCol w:w="300"/>
        <w:gridCol w:w="274"/>
        <w:gridCol w:w="639"/>
        <w:gridCol w:w="109"/>
        <w:gridCol w:w="109"/>
        <w:gridCol w:w="109"/>
        <w:gridCol w:w="273"/>
        <w:gridCol w:w="255"/>
        <w:gridCol w:w="637"/>
        <w:gridCol w:w="109"/>
        <w:gridCol w:w="109"/>
        <w:gridCol w:w="109"/>
        <w:gridCol w:w="415"/>
        <w:gridCol w:w="348"/>
        <w:gridCol w:w="1022"/>
      </w:tblGrid>
      <w:tr>
        <w:trPr/>
        <w:tc>
          <w:tcPr>
            <w:tcW w:w="97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r>
      <w:tr>
        <w:trPr/>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Plasma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Plasma 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Blood Center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Apheresis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 Blood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Blood Center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Hospital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Interventional Technologies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Blood Management Technologies</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617" w:type="dxa"/>
            <w:gridSpan w:val="24"/>
            <w:tcBorders/>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44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6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Interventional Technologies includes Vascular Closure, Sensor Guided Technologies and Esophageal Protection product lines of the Hospital business unit.</w:t>
      </w:r>
    </w:p>
    <w:p>
      <w:pPr>
        <w:pStyle w:val="TextBody"/>
        <w:bidi w:val="0"/>
        <w:spacing w:lineRule="auto" w:line="288" w:before="0" w:after="60"/>
        <w:ind w:left="0" w:right="0" w:hanging="360"/>
        <w:jc w:val="both"/>
        <w:rPr/>
      </w:pPr>
      <w:r>
        <w:rPr>
          <w:rFonts w:ascii="Times New Roman;serif" w:hAnsi="Times New Roman;serif"/>
          <w:b w:val="false"/>
          <w:color w:val="000000"/>
          <w:sz w:val="13"/>
        </w:rPr>
        <w:t>(3)    </w:t>
      </w:r>
      <w:r>
        <w:rPr>
          <w:rFonts w:ascii="Times New Roman;serif" w:hAnsi="Times New Roman;serif"/>
          <w:b w:val="false"/>
          <w:color w:val="000000"/>
          <w:sz w:val="16"/>
        </w:rPr>
        <w:t>Blood Management Technologies includes Hemostasis Management, Cell Salvage and Transfusion Management product lines of the Hospital business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Plasma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Plasma revenue decreased by 4.4% on an as reported basis and by 4.7% without the effect of foreign exchange during the three months ended June 28, 2025, as compared with the same period of fiscal 2025. The decrease was driven by lower sales volumes in North America, primarily relating to the previously announced customer transition of CSL Plasma, which was partially offset by pricing benefits, share gains and upfront revenue recognition on execution of a renegotiated long-term software agreement with an existing software customer. We do not expect any North America disposable sales to CSL Plasma in fiscal 2026.</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Blood Center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Blood Center revenue decreased by 21.7% on an as reported basis and by 22.8% without the effect of foreign exchange during the three months ended June 28, 2025, as compared with the same period of fiscal 2025. The decrease was primarily driven by the divestiture of our Whole Blood product line, which was completed in January 2025.</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Hospital</w:t>
      </w:r>
    </w:p>
    <w:p>
      <w:pPr>
        <w:pStyle w:val="TextBody"/>
        <w:bidi w:val="0"/>
        <w:spacing w:lineRule="auto" w:line="288" w:before="0" w:after="180"/>
        <w:jc w:val="both"/>
        <w:rPr/>
      </w:pPr>
      <w:r>
        <w:rPr>
          <w:rFonts w:ascii="Times New Roman;serif" w:hAnsi="Times New Roman;serif"/>
          <w:b w:val="false"/>
          <w:color w:val="000000"/>
          <w:sz w:val="20"/>
          <w:shd w:fill="FFFFFF" w:val="clear"/>
        </w:rPr>
        <w:t>Hospital rev</w:t>
      </w:r>
      <w:r>
        <w:rPr>
          <w:rFonts w:ascii="Times New Roman;serif" w:hAnsi="Times New Roman;serif"/>
          <w:b w:val="false"/>
          <w:color w:val="000000"/>
          <w:sz w:val="20"/>
        </w:rPr>
        <w:t>enue increased by 4.2% on an as reported basis and by 3.8% without the effect of foreign exchange during the three months ended June 28, 2025, as compared with the same period of fiscal 2025. The increase was primarily attributable to the Hemostasis Management product line within the Blood Management franchise, driven by volume growth, which was partially offset by lower volume in the Interventional Technologies franchise.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Gross Profit</w:t>
      </w:r>
    </w:p>
    <w:tbl>
      <w:tblPr>
        <w:tblW w:w="10205" w:type="dxa"/>
        <w:jc w:val="left"/>
        <w:tblInd w:w="0" w:type="dxa"/>
        <w:tblLayout w:type="fixed"/>
        <w:tblCellMar>
          <w:top w:w="28" w:type="dxa"/>
          <w:left w:w="28" w:type="dxa"/>
          <w:bottom w:w="28" w:type="dxa"/>
          <w:right w:w="28" w:type="dxa"/>
        </w:tblCellMar>
      </w:tblPr>
      <w:tblGrid>
        <w:gridCol w:w="518"/>
        <w:gridCol w:w="434"/>
        <w:gridCol w:w="415"/>
        <w:gridCol w:w="211"/>
        <w:gridCol w:w="826"/>
        <w:gridCol w:w="271"/>
        <w:gridCol w:w="109"/>
        <w:gridCol w:w="109"/>
        <w:gridCol w:w="109"/>
        <w:gridCol w:w="211"/>
        <w:gridCol w:w="826"/>
        <w:gridCol w:w="271"/>
        <w:gridCol w:w="109"/>
        <w:gridCol w:w="109"/>
        <w:gridCol w:w="109"/>
        <w:gridCol w:w="281"/>
        <w:gridCol w:w="266"/>
        <w:gridCol w:w="664"/>
        <w:gridCol w:w="109"/>
        <w:gridCol w:w="109"/>
        <w:gridCol w:w="109"/>
        <w:gridCol w:w="278"/>
        <w:gridCol w:w="265"/>
        <w:gridCol w:w="661"/>
        <w:gridCol w:w="109"/>
        <w:gridCol w:w="109"/>
        <w:gridCol w:w="109"/>
        <w:gridCol w:w="412"/>
        <w:gridCol w:w="394"/>
        <w:gridCol w:w="988"/>
        <w:gridCol w:w="109"/>
        <w:gridCol w:w="109"/>
        <w:gridCol w:w="109"/>
        <w:gridCol w:w="109"/>
        <w:gridCol w:w="109"/>
        <w:gridCol w:w="160"/>
      </w:tblGrid>
      <w:tr>
        <w:trPr/>
        <w:tc>
          <w:tcPr>
            <w:tcW w:w="5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Gross profit increased by 9.9% on an as reported basis and by 8.7% without the effect of foreign exchange during the three months ended June 28, 2025, as compared with the same period of fiscal 2025. The increase was driven primarily by pricing benefits across all business units and product mix, decreased restructuring costs related to portfolio rationalization initiatives and decreased amortization of fair value inventory step-up related to the Attune Medical acquisition.</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Expenses</w:t>
      </w:r>
    </w:p>
    <w:tbl>
      <w:tblPr>
        <w:tblW w:w="10205" w:type="dxa"/>
        <w:jc w:val="left"/>
        <w:tblInd w:w="0" w:type="dxa"/>
        <w:tblLayout w:type="fixed"/>
        <w:tblCellMar>
          <w:top w:w="28" w:type="dxa"/>
          <w:left w:w="28" w:type="dxa"/>
          <w:bottom w:w="28" w:type="dxa"/>
          <w:right w:w="28" w:type="dxa"/>
        </w:tblCellMar>
      </w:tblPr>
      <w:tblGrid>
        <w:gridCol w:w="689"/>
        <w:gridCol w:w="531"/>
        <w:gridCol w:w="534"/>
        <w:gridCol w:w="211"/>
        <w:gridCol w:w="826"/>
        <w:gridCol w:w="271"/>
        <w:gridCol w:w="109"/>
        <w:gridCol w:w="109"/>
        <w:gridCol w:w="109"/>
        <w:gridCol w:w="211"/>
        <w:gridCol w:w="826"/>
        <w:gridCol w:w="271"/>
        <w:gridCol w:w="109"/>
        <w:gridCol w:w="109"/>
        <w:gridCol w:w="109"/>
        <w:gridCol w:w="300"/>
        <w:gridCol w:w="229"/>
        <w:gridCol w:w="497"/>
        <w:gridCol w:w="109"/>
        <w:gridCol w:w="109"/>
        <w:gridCol w:w="109"/>
        <w:gridCol w:w="254"/>
        <w:gridCol w:w="201"/>
        <w:gridCol w:w="503"/>
        <w:gridCol w:w="109"/>
        <w:gridCol w:w="109"/>
        <w:gridCol w:w="109"/>
        <w:gridCol w:w="368"/>
        <w:gridCol w:w="232"/>
        <w:gridCol w:w="583"/>
        <w:gridCol w:w="109"/>
        <w:gridCol w:w="109"/>
        <w:gridCol w:w="109"/>
        <w:gridCol w:w="109"/>
        <w:gridCol w:w="109"/>
        <w:gridCol w:w="109"/>
        <w:gridCol w:w="109"/>
        <w:gridCol w:w="109"/>
        <w:gridCol w:w="109"/>
        <w:gridCol w:w="109"/>
        <w:gridCol w:w="109"/>
        <w:gridCol w:w="161"/>
      </w:tblGrid>
      <w:tr>
        <w:trPr/>
        <w:tc>
          <w:tcPr>
            <w:tcW w:w="68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Constant currency growth</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Constant currency growth, a non-GAAP financial measure, measures the change in revenue between the current and prior year periods using a constant currency. See “Management’s Use of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12.5% on an as reported basis and by 12.7% without the effect of foreign exchange during the three months ended June 28, 2025, as compared with the same period of fiscal 2025. The increase was primarily due to increased headcount as a result of recent acquisitions and continued focus on the development of new products.</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w:t>
      </w:r>
    </w:p>
    <w:p>
      <w:pPr>
        <w:pStyle w:val="TextBody"/>
        <w:bidi w:val="0"/>
        <w:spacing w:lineRule="auto" w:line="288" w:before="0" w:after="180"/>
        <w:jc w:val="both"/>
        <w:rPr/>
      </w:pPr>
      <w:r>
        <w:rPr>
          <w:rFonts w:ascii="Times New Roman;serif" w:hAnsi="Times New Roman;serif"/>
          <w:b w:val="false"/>
          <w:color w:val="000000"/>
          <w:sz w:val="20"/>
          <w:shd w:fill="FFFFFF" w:val="clear"/>
        </w:rPr>
        <w:t>SG&amp;A</w:t>
      </w:r>
      <w:r>
        <w:rPr>
          <w:color w:val="000000"/>
        </w:rPr>
        <w:t xml:space="preserve"> </w:t>
      </w:r>
      <w:r>
        <w:rPr>
          <w:rFonts w:ascii="Times New Roman;serif" w:hAnsi="Times New Roman;serif"/>
          <w:b w:val="false"/>
          <w:color w:val="000000"/>
          <w:sz w:val="20"/>
        </w:rPr>
        <w:t>expenses increased by 2.3% on an as reported basis and by 1.9% without the effect of foreign exchange during the three months ended June 28, 2025, as compared with the same period of fiscal 2025. The increase was primarily driven by lower gains on sales of property, plant and equipment and higher performance-based compensation, partially offset by lower integration and transaction costs and lower freight costs.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We recognized amortization expense related to our acquired intangible </w:t>
      </w:r>
      <w:r>
        <w:rPr>
          <w:rFonts w:ascii="Times New Roman;serif" w:hAnsi="Times New Roman;serif"/>
          <w:b w:val="false"/>
          <w:color w:val="000000"/>
          <w:sz w:val="20"/>
        </w:rPr>
        <w:t>assets of $11.4 million du</w:t>
      </w:r>
      <w:r>
        <w:rPr>
          <w:rFonts w:ascii="Times New Roman;serif" w:hAnsi="Times New Roman;serif"/>
          <w:b w:val="false"/>
          <w:color w:val="000000"/>
          <w:sz w:val="20"/>
          <w:shd w:fill="FFFFFF" w:val="clear"/>
        </w:rPr>
        <w:t>ring the three months ended June 28, 2025, as compared with $12.5 million</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June 29,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decrease was primarily due to certain intangible assets becoming fully amortized during fiscal 2025.</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and Other (Expense) Income, Net</w:t>
      </w:r>
    </w:p>
    <w:p>
      <w:pPr>
        <w:pStyle w:val="TextBody"/>
        <w:bidi w:val="0"/>
        <w:spacing w:lineRule="auto" w:line="288" w:before="0" w:after="180"/>
        <w:jc w:val="both"/>
        <w:rPr/>
      </w:pPr>
      <w:r>
        <w:rPr>
          <w:rFonts w:ascii="Times New Roman;serif" w:hAnsi="Times New Roman;serif"/>
          <w:b w:val="false"/>
          <w:color w:val="000000"/>
          <w:sz w:val="20"/>
          <w:shd w:fill="FFFFFF" w:val="clear"/>
        </w:rPr>
        <w:t>Interest and other (exp</w:t>
      </w:r>
      <w:r>
        <w:rPr>
          <w:rFonts w:ascii="Times New Roman;serif" w:hAnsi="Times New Roman;serif"/>
          <w:b w:val="false"/>
          <w:color w:val="000000"/>
          <w:sz w:val="20"/>
        </w:rPr>
        <w:t>ense) income, net decreased by $15.7 million</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June 28, 2025,</w:t>
      </w:r>
      <w:r>
        <w:rPr>
          <w:color w:val="000000"/>
          <w:shd w:fill="FFFFFF" w:val="clear"/>
        </w:rPr>
        <w:t xml:space="preserve"> </w:t>
      </w:r>
      <w:r>
        <w:rPr>
          <w:rFonts w:ascii="Times New Roman;serif" w:hAnsi="Times New Roman;serif"/>
          <w:b w:val="false"/>
          <w:color w:val="000000"/>
          <w:sz w:val="20"/>
          <w:shd w:fill="FFFFFF" w:val="clear"/>
        </w:rPr>
        <w:t xml:space="preserve">as compared with the same period of fiscal </w:t>
      </w:r>
      <w:r>
        <w:rPr>
          <w:rFonts w:ascii="Times New Roman;serif" w:hAnsi="Times New Roman;serif"/>
          <w:b w:val="false"/>
          <w:color w:val="000000"/>
          <w:sz w:val="20"/>
        </w:rPr>
        <w:t xml:space="preserve">2025. The decrease was primarily driven by gains recognized in the first quarter of fiscal 2025 on the repurchase of $200.0 million of aggregate principal of the our 0.0% convertible senior notes due in 2026 (the “2026 Notes”). For further discussion on the 2026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is favorably impacted by jurisdictional mix of earnings and research credits generated.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28, 2025, we reported income tax expense of $11.1 million, representing an effective tax rate of 24.7%. The effective tax rate for the three months ended June 28, 2025 includes $0.1 million of discrete tax expense, primarily related to stock compensation shortfalls.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29, 2024, we reported income tax expense of $8.3 million, representing an effective tax rate of 17.9%. The effective tax rate for the three months ended June 29, 2024 includes $3.6 million of discrete tax benefit, primarily related to stock compensation windfalls. The discrete benefit also includes other items such as provision to return differences.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the reported tax rate for the three months ended June 28, 2025, compared to the same period in fiscal 2025, relates primarily to the decrease in stock compensation windfall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Resources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contains certain key performance indicators we believe depict our liquidity and cash flow position:</w:t>
      </w:r>
    </w:p>
    <w:tbl>
      <w:tblPr>
        <w:tblW w:w="6452" w:type="dxa"/>
        <w:jc w:val="left"/>
        <w:tblInd w:w="0" w:type="dxa"/>
        <w:tblLayout w:type="fixed"/>
        <w:tblCellMar>
          <w:top w:w="28" w:type="dxa"/>
          <w:left w:w="28" w:type="dxa"/>
          <w:bottom w:w="28" w:type="dxa"/>
          <w:right w:w="28" w:type="dxa"/>
        </w:tblCellMar>
      </w:tblPr>
      <w:tblGrid>
        <w:gridCol w:w="1304"/>
        <w:gridCol w:w="1145"/>
        <w:gridCol w:w="1151"/>
        <w:gridCol w:w="211"/>
        <w:gridCol w:w="901"/>
        <w:gridCol w:w="109"/>
        <w:gridCol w:w="109"/>
        <w:gridCol w:w="109"/>
        <w:gridCol w:w="109"/>
        <w:gridCol w:w="217"/>
        <w:gridCol w:w="929"/>
        <w:gridCol w:w="158"/>
      </w:tblGrid>
      <w:tr>
        <w:trPr/>
        <w:tc>
          <w:tcPr>
            <w:tcW w:w="13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revolving credit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debt position</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Days sales outstanding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turnover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Net debt position is the sum of cash and cash equivalents less total debt.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2026 Notes and </w:t>
      </w:r>
      <w:r>
        <w:rPr>
          <w:rFonts w:ascii="Times New Roman;serif" w:hAnsi="Times New Roman;serif"/>
          <w:b w:val="false"/>
          <w:color w:val="000000"/>
          <w:sz w:val="20"/>
        </w:rPr>
        <w:t>2.5%</w:t>
      </w:r>
      <w:r>
        <w:rPr>
          <w:color w:val="000000"/>
          <w:shd w:fill="FFFFFF" w:val="clear"/>
        </w:rPr>
        <w:t xml:space="preserve"> </w:t>
      </w:r>
      <w:r>
        <w:rPr>
          <w:rFonts w:ascii="Times New Roman;serif" w:hAnsi="Times New Roman;serif"/>
          <w:b w:val="false"/>
          <w:color w:val="000000"/>
          <w:sz w:val="20"/>
          <w:shd w:fill="FFFFFF" w:val="clear"/>
        </w:rPr>
        <w:t>convertible senior notes due in 2029 (the “2029 Notes”). Our e</w:t>
      </w:r>
      <w:r>
        <w:rPr>
          <w:rFonts w:ascii="Times New Roman;serif" w:hAnsi="Times New Roman;serif"/>
          <w:b w:val="false"/>
          <w:color w:val="000000"/>
          <w:sz w:val="20"/>
        </w:rPr>
        <w:t>xpected cash outlays relate primarily to acquisitions, investments, capital expenditures, share repurchases, the market and regional alignment initiative and cash principal and interest payments under our revised credit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28, 2025, we had $292.9 million in cash and cash equivalents, the majority of which is held in the U.S. or in countries from which it can be repatriated to the U.S.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0" w:after="180"/>
        <w:jc w:val="both"/>
        <w:rPr/>
      </w:pPr>
      <w:r>
        <w:rPr>
          <w:rFonts w:ascii="Times New Roman;serif" w:hAnsi="Times New Roman;serif"/>
          <w:b w:val="false"/>
          <w:color w:val="000000"/>
          <w:sz w:val="20"/>
        </w:rPr>
        <w:t xml:space="preserve">In the first quarter of fiscal 2025, we used a portion of its proceeds from the 2029 Notes to repurchase $200.0 million of the $500.0 million aggregate principal amount of our 2026 Notes for a total cost of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As of June 28, 2025, the $300.0 million remaining principal balance on the 2026 Notes was netted down by $1.1 million of remaining debt issuance costs, resulting in a net convertible note payable of $298.9 million. The 2026 Notes will mature on March 1, 2026, unless earlier converted, redeemed or repurchased. Interest expense related to the 2026 Notes was $0.4 million for the three months ended June 28, 2025 which is entirely attributable to the amortization of the debt issuance costs. The remaining debt issuance costs are amortized at an effective interest rate of 0.6%. For further discussion on the 2026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As of June 28, 2025, the $700.0 million principal balance of the 2029 Notes was netted down by $13.7 million of remaining debt issuance costs, resulting in a net convertible note payable of $686.3 million. The 2029 Notes will mature on June 1, 2029, unless earlier converted, redeemed or repurchased. Interest expense related to the 2029 Notes was $5.2 million for the three months ended June 28, 2025 which includes nominal interest expense and the amortization of the debt issuance costs. For further discussion on the 2029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both"/>
        <w:rPr/>
      </w:pPr>
      <w:r>
        <w:rPr>
          <w:rFonts w:ascii="Times New Roman;serif" w:hAnsi="Times New Roman;serif"/>
          <w:b w:val="false"/>
          <w:color w:val="000000"/>
          <w:sz w:val="20"/>
        </w:rPr>
        <w:t xml:space="preserve">On April 30, 2024, we entered into a second amended and restated credit agreement with certain lenders to refinance our 2022 unsecured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our 2022 unsecured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our consolidated net leverage ratio (as specified in the second amended and restated credit agreement) at the applicable measurement date. The revolving credit facility carries an unused fee that ranges from 0.125% to 0.250% annually based on our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For further discussion on the 2029 Notes, refer to Note 12, </w:t>
      </w:r>
      <w:r>
        <w:rPr>
          <w:rFonts w:ascii="Times New Roman;serif" w:hAnsi="Times New Roman;serif"/>
          <w:b w:val="false"/>
          <w:i/>
          <w:color w:val="000000"/>
          <w:sz w:val="20"/>
        </w:rPr>
        <w:t>Notes Payable and Long-Term Debt</w:t>
      </w:r>
      <w:r>
        <w:rPr>
          <w:color w:val="000000"/>
        </w:rPr>
        <w:t xml:space="preserve"> </w:t>
      </w:r>
      <w:r>
        <w:rPr>
          <w:rFonts w:ascii="Times New Roman;serif" w:hAnsi="Times New Roman;serif"/>
          <w:b w:val="false"/>
          <w:color w:val="000000"/>
          <w:sz w:val="20"/>
        </w:rPr>
        <w:t>within these condensed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28, 2025, $243.8 million was outstanding under the term loan with an effective interest rate of 6.4%. There were no outstanding borrowings under the revolving credit facilities at June 28, 2025. We also had $19.5 million of uncommitted operating lines of credit to fund its global operations under which there were no outstanding borrowings as of June 28,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scheduled principal payments of $4.7 million required during the remainder of fiscal 2026 related to its term loan.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2025 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2025 our Board approved a new three-year share repurchase program authorizing the repurchase of up to $500.0 million of our common stock, based on market conditions, through April 2028. This new share repurchase program will help to offset the dilutive impact of recent and future employee equity grants. In addition to this share repurchase activity, our capital allocation strategy continues to prioritize funding of planned internal investments to support the business as well as inorganic opportunities to accelerate our long-term growth plans. Under the share repurchase program, we are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our discretion and will depend on a number of factors, including market conditions, applicable legal requirements and compliance with the terms of loan covenants. The share repurchase program may be suspended, modified or discontinued at any time, and we have no obligation to repurchase any amount of our common stock under the program.</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Market and Regional Alignment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our Board approved a new market and regional alignment initiative and delegated authority to management to determine the details of the specific actions that will comprise the initiative. This strategic initiative is designed to improve operational performance and reduce costs by directing Company resources toward the markets and geographies that offer the greatest growth and portfolio advancement opportunities. During the three months ended June 28, 2025, we incurred $2.8 million of restructuring related costs under this initiative. Total cumulative charges under the market and regional alignment initiative are $3.4 million as of June 28, 2025. The amounts and timing of estimated costs and savings are subject to change until finalized. The actual amounts and timing may vary materially based on various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tbl>
      <w:tblPr>
        <w:tblW w:w="8109" w:type="dxa"/>
        <w:jc w:val="left"/>
        <w:tblInd w:w="0" w:type="dxa"/>
        <w:tblLayout w:type="fixed"/>
        <w:tblCellMar>
          <w:top w:w="28" w:type="dxa"/>
          <w:left w:w="28" w:type="dxa"/>
          <w:bottom w:w="28" w:type="dxa"/>
          <w:right w:w="28" w:type="dxa"/>
        </w:tblCellMar>
      </w:tblPr>
      <w:tblGrid>
        <w:gridCol w:w="1901"/>
        <w:gridCol w:w="1667"/>
        <w:gridCol w:w="1681"/>
        <w:gridCol w:w="212"/>
        <w:gridCol w:w="803"/>
        <w:gridCol w:w="109"/>
        <w:gridCol w:w="109"/>
        <w:gridCol w:w="109"/>
        <w:gridCol w:w="109"/>
        <w:gridCol w:w="211"/>
        <w:gridCol w:w="826"/>
        <w:gridCol w:w="109"/>
        <w:gridCol w:w="109"/>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 of exchange rate changes on cash and cash equivalents</w:t>
            </w:r>
            <w:r>
              <w:rPr>
                <w:rFonts w:ascii="Times New Roman;serif" w:hAnsi="Times New Roman;serif"/>
                <w:b w:val="false"/>
                <w:color w:val="000000"/>
                <w:sz w:val="13"/>
              </w:rPr>
              <w:t>(1)</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18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$44.8 million during the three months ended June 28, 2025, as compared with the same period of fiscal 2025. The fiscal 2026 period included cash inflows for net income of $34.0 million and increases in non-cash adjustments of $38.8 million, partially offset by unfavorable working capital adjustments of $55.5 million. The fiscal 2025 period included cash inflows for net income of $38.4 million being more than offset by cash outflows for non-cash adjustments related to a $12.6 million gain on the repurchase of convertible senior notes in the first quarter of fiscal 2025, a $14.3 million gain on the sale of property, plant and equipment, and unfavorable working capital adjustments of $79.0 million.</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by $106.2 million during the three months ended June 28, 2025, as compared with the same period of fiscal 2025. The fiscal 2026 period included cash outflows for strategic investments of $18.1 million and non-cash transfers from inventory of $11.5 million. The fiscal 2025 period included cash outflows for the acquisition of Attune Medical of $149.2 million and non-cash transfers from inventory of $4.2 million, partially offset by proceeds from the sale of property, plant and equipment of $20.4 million.</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by $336.1 million during the three months ended June 28, 2025, as compared with the same period of fiscal 2025. The fiscal 2026 period included cash outflows for repayments of term loan borrowings and employee equity award settlements. The fiscal 2025 period included cash inflows relating to proceeds from the sale of the 2029 Notes of $700.0 million and proceeds from term loan borrowings of $250.0 million, partially offset by cash outflows for the repurchase of a portion of the 2026 Notes of $185.5 million, capped call purchases of $88.2 million, term loan redemptions of $262.5 million, payments on the revolving credit facility of $50.0 million, and debt issuance costs of $23.1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 xml:space="preserve">Note 2, </w:t>
      </w:r>
      <w:r>
        <w:rPr>
          <w:rFonts w:ascii="Times New Roman;serif" w:hAnsi="Times New Roman;serif"/>
          <w:b w:val="false"/>
          <w:i/>
          <w:color w:val="000000"/>
          <w:sz w:val="20"/>
        </w:rPr>
        <w:t>Recent Accounting Pronouncements</w:t>
      </w:r>
      <w:r>
        <w:rPr>
          <w:rFonts w:ascii="Times New Roman;serif" w:hAnsi="Times New Roman;serif"/>
          <w:b w:val="false"/>
          <w:color w:val="000000"/>
          <w:sz w:val="20"/>
          <w:shd w:fill="FFFFFF" w:val="clear"/>
        </w:rPr>
        <w:t>, to the condensed consolidated financial statements for a discussion of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Statement Regarding Forward-Looking Information</w:t>
      </w:r>
    </w:p>
    <w:p>
      <w:pPr>
        <w:pStyle w:val="TextBody"/>
        <w:bidi w:val="0"/>
        <w:spacing w:lineRule="auto" w:line="288" w:before="0" w:after="180"/>
        <w:jc w:val="both"/>
        <w:rPr/>
      </w:pPr>
      <w:r>
        <w:rPr>
          <w:rFonts w:ascii="Times New Roman;serif" w:hAnsi="Times New Roman;serif"/>
          <w:b w:val="false"/>
          <w:color w:val="000000"/>
          <w:sz w:val="20"/>
          <w:shd w:fill="FFFFFF" w:val="clear"/>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w:t>
      </w:r>
      <w:r>
        <w:rPr>
          <w:color w:val="212121"/>
          <w:shd w:fill="FFFFFF" w:val="clear"/>
        </w:rPr>
        <w:t> </w:t>
      </w:r>
      <w:r>
        <w:rPr>
          <w:rFonts w:ascii="Times New Roman;serif" w:hAnsi="Times New Roman;serif"/>
          <w:b w:val="false"/>
          <w:color w:val="000000"/>
          <w:sz w:val="20"/>
          <w:shd w:fill="FFFFFF" w:val="clear"/>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our strategy for growth; product development, commercialization and anticipated performance and benefits; regulatory approvals; impacts of acquisitions or dispositions; and market position and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Because forward-looking statements are based on current beliefs, expectations and assumptions regarding future events, they are subject to uncertainties, risks and changes that are difficult to predict and many of which are outside of our control. Investors should realize that if underlying assumptions prove inaccurate, or known or unknown risks or uncertainties materialize, our actual results and financial condition could vary materially from expectations and projections expressed or implied in its forward-looking statements. Investors are therefore cautioned not to rely on these forward-looking statements.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achieve our long-term strategic and financial-improvement goals;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Demand for and market acceptance risks for new and existing products, including material reductions in purchasing from or loss of a significant customer;</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Product quality or safety concerns, leading to product recalls, withdrawals, regulatory action by the FDA (or similar non-U.S. regulatory agencies), reputational damage, declining sales or litigation;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Security breaches of our products or information technology systems, or those of our customers, suppliers or other business partners, which could impair our ability or our customers’ ability to conduct business or compromise sensitive information of the Company or its customers, suppliers and other business partners, or of customers’ patients;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potential that the expected strategic benefits and opportunities from completed or planned acquisitions, including our acquisitions of OpSens Inc. and Attune Medical, divestitures or other strategic investments by us may not be realized or may take longer to realize than expected;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Pricing pressures resulting from trends toward healthcare cost containment, including the continued consolidation among healthcare providers and other market participants;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obtain the anticipated benefits of restructuring programs that we have or may undertake, including our market and regional alignment and portfolio rationalization initiatives;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enhanced requirements to obtain regulatory approval in the U.S. and around the world and the associated timing and cost of product approval;</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the impact of U.S. and foreign export and import restrictions and tariffs;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changes in U.S. and international tax laws, including with respect to the OBBBA;</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meet our debt obligations and raise additional capital when desired on terms reasonably acceptable to us;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potential impact of our convertible senior notes and related capped call transactions;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Geopolitical and economic conditions in China, Taiwan, Russia, Ukraine, the Middle East and other foreign jurisdictions where we do business;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execute and realize anticipated benefits from our investments in emerging economies;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potential effect of foreign currency fluctuations and interest rate fluctuations on our net revenues, expenses and resulting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protect intellectual property and the outcome of patent litigation;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Costs and risks associated with product liability and other litigation claims we may be subject to now or in the future;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retain and attract key personnel;</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Market conditions impacting our stock price and/or our share repurchase program, and the possibility that such share repurchase program may be delayed, suspended or discontinued;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 achieve against our corporate responsibility initiatives and meet evolving stakeholder expectations concerning corporate responsibility matters; and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The impact of actual or threatened public health crises.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Investors should understand that it is not possible to predict or identify all such factors and should not consider the risks described above and in Item 1A. “Risk Factors” in our Annual Report on Form 10-K to be a complete statement of all potential risks and uncertainties. We do not undertake to publicly update any forward-looking statement that may be made from time to time, whether as a result of new information or future events or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exposures relative to market risk are due to foreign exchange risk, interest rate risk, concentration of credit risk and investment risk.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Foreign Exchange Risk</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During the three months ended June 28, 2025 and </w:t>
      </w:r>
      <w:r>
        <w:rPr>
          <w:rFonts w:ascii="Times New Roman;serif" w:hAnsi="Times New Roman;serif"/>
          <w:b w:val="false"/>
          <w:color w:val="000000"/>
          <w:sz w:val="20"/>
        </w:rPr>
        <w:t>June 29, 2024, 24.6% and 26.0% of our sa</w:t>
      </w:r>
      <w:r>
        <w:rPr>
          <w:rFonts w:ascii="Times New Roman;serif" w:hAnsi="Times New Roman;serif"/>
          <w:b w:val="false"/>
          <w:color w:val="000000"/>
          <w:sz w:val="20"/>
          <w:shd w:fill="FFFFFF" w:val="clear"/>
        </w:rPr>
        <w:t>les were generated outside the U.S., respectively, generally in foreign currencies, yet our reporting currency is the U.S. Dollar. We also incur certain manufacturing, marketi</w:t>
      </w:r>
      <w:r>
        <w:rPr>
          <w:rFonts w:ascii="Times New Roman;serif" w:hAnsi="Times New Roman;serif"/>
          <w:b w:val="false"/>
          <w:color w:val="000000"/>
          <w:sz w:val="20"/>
        </w:rPr>
        <w:t>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w:t>
      </w:r>
      <w:r>
        <w:rPr>
          <w:rFonts w:ascii="Times New Roman;serif" w:hAnsi="Times New Roman;serif"/>
          <w:b w:val="false"/>
          <w:color w:val="000000"/>
          <w:sz w:val="20"/>
          <w:shd w:fill="FFFFFF" w:val="clear"/>
        </w:rPr>
        <w:t>s exposure is partially mitigated by costs and expenses for foreign operations and sourcing products denominated in foreign currencies.</w:t>
      </w:r>
    </w:p>
    <w:p>
      <w:pPr>
        <w:pStyle w:val="TextBody"/>
        <w:bidi w:val="0"/>
        <w:spacing w:lineRule="auto" w:line="288" w:before="0" w:after="180"/>
        <w:jc w:val="both"/>
        <w:rPr/>
      </w:pPr>
      <w:r>
        <w:rPr>
          <w:rFonts w:ascii="Times New Roman;serif" w:hAnsi="Times New Roman;serif"/>
          <w:b w:val="false"/>
          <w:color w:val="000000"/>
          <w:sz w:val="20"/>
          <w:shd w:fill="FFFFFF" w:val="clear"/>
        </w:rPr>
        <w:t>Since our foreign c</w:t>
      </w:r>
      <w:r>
        <w:rPr>
          <w:rFonts w:ascii="Times New Roman;serif" w:hAnsi="Times New Roman;serif"/>
          <w:b w:val="false"/>
          <w:color w:val="000000"/>
          <w:sz w:val="20"/>
        </w:rPr>
        <w:t>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w:t>
      </w:r>
      <w:r>
        <w:rPr>
          <w:rFonts w:ascii="Times New Roman;serif" w:hAnsi="Times New Roman;serif"/>
          <w:b w:val="false"/>
          <w:color w:val="000000"/>
          <w:sz w:val="20"/>
          <w:shd w:fill="FFFFFF" w:val="clear"/>
        </w:rPr>
        <w:t>ely, whenever the U.S. Dollar weakens relative to these currencies, there is an adverse effect on our results of operations.</w:t>
      </w:r>
    </w:p>
    <w:p>
      <w:pPr>
        <w:pStyle w:val="TextBody"/>
        <w:bidi w:val="0"/>
        <w:spacing w:lineRule="auto" w:line="288" w:before="0" w:after="180"/>
        <w:jc w:val="both"/>
        <w:rPr/>
      </w:pPr>
      <w:r>
        <w:rPr>
          <w:rFonts w:ascii="Times New Roman;serif" w:hAnsi="Times New Roman;serif"/>
          <w:b w:val="false"/>
          <w:color w:val="000000"/>
          <w:sz w:val="20"/>
          <w:shd w:fill="FFFFFF" w:val="clear"/>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w:t>
      </w:r>
      <w:r>
        <w:rPr>
          <w:rFonts w:ascii="Times New Roman;serif" w:hAnsi="Times New Roman;serif"/>
          <w:b w:val="false"/>
          <w:color w:val="000000"/>
          <w:sz w:val="20"/>
        </w:rPr>
        <w:t>nge rates. We utilize forward foreign currency contracts to hedge the anticipated cash flows from transactions denominated in foreign currencies, primarily Japanese Yen and Euro, and to a lesser extent Canadian Dollar, Swiss Franc and Mexican Peso. This does not eliminate the volatility of foreign exchange rates, but because we generally enter into forward contracts into the future, rates are fixed at the time of execution; thereby facilitating financial planning and resource allocation. Hedges are executed on a rolling ba</w:t>
      </w:r>
      <w:r>
        <w:rPr>
          <w:rFonts w:ascii="Times New Roman;serif" w:hAnsi="Times New Roman;serif"/>
          <w:b w:val="false"/>
          <w:color w:val="000000"/>
          <w:sz w:val="20"/>
          <w:shd w:fill="FFFFFF" w:val="clear"/>
        </w:rPr>
        <w:t xml:space="preserve">sis over an 18-month horizon, informed by forecasted net income exposures. Both forecasted exposures and active hedges are reviewed periodically throughout the year to ensure effective and efficient mitigation of foreign currency exchange rate risk. These contracts are designated as cash flow hedges. The final impact of currency fluctuations on the results of operations is dependent on the local currency amounts hedged and the actual local currency results. </w:t>
      </w:r>
      <w:r>
        <w:rPr>
          <w:rFonts w:ascii="Times New Roman;serif" w:hAnsi="Times New Roman;serif"/>
          <w:b w:val="false"/>
          <w:color w:val="000000"/>
          <w:sz w:val="20"/>
        </w:rPr>
        <w:t>We do no</w:t>
      </w:r>
      <w:r>
        <w:rPr>
          <w:rFonts w:ascii="Times New Roman;serif" w:hAnsi="Times New Roman;serif"/>
          <w:b w:val="false"/>
          <w:color w:val="000000"/>
          <w:sz w:val="20"/>
          <w:shd w:fill="FFFFFF" w:val="clear"/>
        </w:rPr>
        <w:t xml:space="preserve">t use forward foreign currency contracts for speculative or trading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shd w:fill="FFFFFF" w:val="clear"/>
        </w:rPr>
        <w:t>We estimate the change in the fair value of all forward con</w:t>
      </w:r>
      <w:r>
        <w:rPr>
          <w:rFonts w:ascii="Times New Roman;serif" w:hAnsi="Times New Roman;serif"/>
          <w:b w:val="false"/>
          <w:color w:val="000000"/>
          <w:sz w:val="20"/>
        </w:rPr>
        <w:t>tracts assuming both a 10% strengthening and weakening of the U.S. Dollar relative to all other major cu</w:t>
      </w:r>
      <w:r>
        <w:rPr>
          <w:rFonts w:ascii="Times New Roman;serif" w:hAnsi="Times New Roman;serif"/>
          <w:b w:val="false"/>
          <w:color w:val="000000"/>
          <w:sz w:val="20"/>
          <w:shd w:fill="FFFFFF" w:val="clear"/>
        </w:rPr>
        <w:t>rrencies. As of June 28, 2025, in the event of a 10% strengthening of the U.S. Dollar, the change in fair value of all forward contracts wo</w:t>
      </w:r>
      <w:r>
        <w:rPr>
          <w:rFonts w:ascii="Times New Roman;serif" w:hAnsi="Times New Roman;serif"/>
          <w:b w:val="false"/>
          <w:color w:val="000000"/>
          <w:sz w:val="20"/>
        </w:rPr>
        <w:t>uld result in a $6.4 million increase in the fair value of the forward contracts, whereas a 10% weakening of the U.S. Dollar would result in a $7.9 million decrease in the fair value of the forward contracts.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both"/>
        <w:rPr/>
      </w:pPr>
      <w:r>
        <w:rPr>
          <w:rFonts w:ascii="Times New Roman;serif" w:hAnsi="Times New Roman;serif"/>
          <w:b w:val="false"/>
          <w:color w:val="000000"/>
          <w:sz w:val="20"/>
          <w:shd w:fill="FFFFFF" w:val="clear"/>
        </w:rPr>
        <w:t>Our exposure to changes in interest rates is associated with borrowings under our credit facilities, all of which is variable rate debt. Total outstanding debt under our senior unsecured term loan as of June 28, 2025 wa</w:t>
      </w:r>
      <w:r>
        <w:rPr>
          <w:rFonts w:ascii="Times New Roman;serif" w:hAnsi="Times New Roman;serif"/>
          <w:b w:val="false"/>
          <w:color w:val="000000"/>
          <w:sz w:val="20"/>
        </w:rPr>
        <w:t>s $243.8 million with an effective interest rate of 6.4% based on p</w:t>
      </w:r>
      <w:r>
        <w:rPr>
          <w:rFonts w:ascii="Times New Roman;serif" w:hAnsi="Times New Roman;serif"/>
          <w:b w:val="false"/>
          <w:color w:val="000000"/>
          <w:sz w:val="20"/>
          <w:shd w:fill="FFFFFF" w:val="clear"/>
        </w:rPr>
        <w:t>re</w:t>
      </w:r>
      <w:r>
        <w:rPr>
          <w:rFonts w:ascii="Times New Roman;serif" w:hAnsi="Times New Roman;serif"/>
          <w:b w:val="false"/>
          <w:color w:val="000000"/>
          <w:sz w:val="20"/>
        </w:rPr>
        <w:t xml:space="preserve">vailing Term SOFR rates. An increase of 100 basis points in Term SOFR rates would result in additional annual interest expense of $0.4 million. As of June 28, 2025, the notional amount on our two active interest rate swap agreements to effectively convert borrowings under our 2024 Revised Credit Facilities from a variable rate to a fixed rate were $203.2 million. </w:t>
      </w:r>
      <w:r>
        <w:rPr>
          <w:rFonts w:ascii="Times New Roman;serif" w:hAnsi="Times New Roman;serif"/>
          <w:b w:val="false"/>
          <w:color w:val="000000"/>
          <w:sz w:val="20"/>
          <w:shd w:fill="FFFFFF" w:val="clear"/>
        </w:rPr>
        <w:t>These interest rate swaps are intended to mitigate the exposure to fluctuations in interest rates and qualify for hedge accounting treatment as cash flow hedges.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We have not incurred significant losses on trade accounts or other receivables. We continually evaluate all receivables for potential collection risks associated with the availability of government funding and reimbursement practices. If the financial </w:t>
      </w:r>
      <w:r>
        <w:rPr>
          <w:rFonts w:ascii="Times New Roman;serif" w:hAnsi="Times New Roman;serif"/>
          <w:b w:val="false"/>
          <w:color w:val="000000"/>
          <w:sz w:val="20"/>
        </w:rPr>
        <w:t>condition of customers or the countries’ healthcare systems deteriorate such that their ability to make payments is uncertain, allowances may be required in future periods.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our business development activities, we have made private loans and hold strategic investments in privately held entities, including preferred stock and a special share. The special share allows us to acquire the related entity in accordance with an agreement between the parties. As these equity instruments do not have readily determinable fair values, they have been measured using the measurement alternative,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There is also a risk that we could lose all or a substantial portion of our investment in these privately held entities depending on their solvency and ability to achieve their business objectives. As of June 28, 2025, our strategic investments in privately held entities total $80.9 million and they are classified as other long-term assets on our condensed consolidated balance sheets. We did not record any adjustments to the carrying value of strategic investments for the three months ended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CONTROLS AND PROCEDURES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80"/>
        <w:jc w:val="both"/>
        <w:rPr/>
      </w:pPr>
      <w:r>
        <w:rPr>
          <w:rFonts w:ascii="Times New Roman;serif" w:hAnsi="Times New Roman;serif"/>
          <w:b w:val="false"/>
          <w:color w:val="000000"/>
          <w:sz w:val="20"/>
        </w:rPr>
        <w:t>We conducted an evaluation, as of June 28, 2025,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w:t>
      </w:r>
      <w:r>
        <w:rPr>
          <w:rFonts w:ascii="Times New Roman;serif" w:hAnsi="Times New Roman;serif"/>
          <w:b w:val="false"/>
          <w:color w:val="000000"/>
          <w:sz w:val="20"/>
          <w:shd w:fill="FFFFFF" w:val="clear"/>
        </w:rPr>
        <w:t xml:space="preserve">cer concluded that our disclosure controls and procedures were effective as of June 28, 2025. </w:t>
      </w:r>
    </w:p>
    <w:p>
      <w:pPr>
        <w:pStyle w:val="TextBody"/>
        <w:bidi w:val="0"/>
        <w:spacing w:lineRule="auto" w:line="288"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June 28,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both"/>
        <w:rPr/>
      </w:pPr>
      <w:r>
        <w:rPr>
          <w:rFonts w:ascii="Times New Roman;serif" w:hAnsi="Times New Roman;serif"/>
          <w:b w:val="false"/>
          <w:color w:val="000000"/>
          <w:sz w:val="20"/>
        </w:rPr>
        <w:t xml:space="preserve">Information with respect to this Item may be found in Note 14,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condensed consolidated financial statements in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from the Risk Factors previously disclosed in our Annual Report on Form 10-K for the fiscal year ended March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the Company’s share repurchases during the first quarter of fiscal 2026:</w:t>
      </w:r>
    </w:p>
    <w:tbl>
      <w:tblPr>
        <w:tblW w:w="10205" w:type="dxa"/>
        <w:jc w:val="left"/>
        <w:tblInd w:w="0" w:type="dxa"/>
        <w:tblLayout w:type="fixed"/>
        <w:tblCellMar>
          <w:top w:w="28" w:type="dxa"/>
          <w:left w:w="28" w:type="dxa"/>
          <w:bottom w:w="28" w:type="dxa"/>
          <w:right w:w="28" w:type="dxa"/>
        </w:tblCellMar>
      </w:tblPr>
      <w:tblGrid>
        <w:gridCol w:w="492"/>
        <w:gridCol w:w="433"/>
        <w:gridCol w:w="435"/>
        <w:gridCol w:w="474"/>
        <w:gridCol w:w="474"/>
        <w:gridCol w:w="476"/>
        <w:gridCol w:w="109"/>
        <w:gridCol w:w="109"/>
        <w:gridCol w:w="109"/>
        <w:gridCol w:w="404"/>
        <w:gridCol w:w="404"/>
        <w:gridCol w:w="405"/>
        <w:gridCol w:w="109"/>
        <w:gridCol w:w="109"/>
        <w:gridCol w:w="109"/>
        <w:gridCol w:w="802"/>
        <w:gridCol w:w="802"/>
        <w:gridCol w:w="805"/>
        <w:gridCol w:w="109"/>
        <w:gridCol w:w="109"/>
        <w:gridCol w:w="109"/>
        <w:gridCol w:w="822"/>
        <w:gridCol w:w="822"/>
        <w:gridCol w:w="1174"/>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6"/>
              </w:rPr>
              <w:t>Approximate Dollar Value of Shares that May Yet Be Purchased Under the Program</w:t>
            </w:r>
            <w:r>
              <w:rPr>
                <w:rFonts w:ascii="Times New Roman;serif" w:hAnsi="Times New Roman;serif"/>
                <w:b/>
                <w:color w:val="000000"/>
                <w:sz w:val="10"/>
              </w:rPr>
              <w:t>(1)</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Shares and Per Share Data)</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2025 – April 26, 2025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2025 – May 24, 2025</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May 25, 2025 – June 28, 2025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363,886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363,886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68" w:before="0" w:after="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16"/>
        </w:rPr>
        <w:t xml:space="preserve">In August 2022, our Board </w:t>
      </w:r>
      <w:r>
        <w:rPr>
          <w:rFonts w:ascii="Times New Roman;serif" w:hAnsi="Times New Roman;serif"/>
          <w:b w:val="false"/>
          <w:color w:val="000000"/>
          <w:sz w:val="16"/>
          <w:shd w:fill="FFFFFF" w:val="clear"/>
        </w:rPr>
        <w:t xml:space="preserve">approved a three-year share repurchase program authorizing the repurchase of up to $300.0 million of Haemonetics common stock, based on market conditions, through August 2025. </w:t>
      </w:r>
      <w:r>
        <w:rPr>
          <w:rFonts w:ascii="Times New Roman;serif" w:hAnsi="Times New Roman;serif"/>
          <w:b w:val="false"/>
          <w:color w:val="000000"/>
          <w:sz w:val="16"/>
        </w:rPr>
        <w:t>Under the 2022 share repurchase program, shares may be repurchased in accordance with applicable laws both on the open market, including under trading plans established pursuant to Rule 10b5-1 under the Exchange Act, and in privately negotiated transactions.</w:t>
      </w:r>
    </w:p>
    <w:p>
      <w:pPr>
        <w:pStyle w:val="TextBody"/>
        <w:bidi w:val="0"/>
        <w:spacing w:lineRule="auto" w:line="268" w:before="0" w:after="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16"/>
        </w:rPr>
        <w:t>In April 2025, the Company completed a $150.0 million repurchase of its common stock pursuant to an accelerated share repurchase agreement (“ASR”) entered into with Goldman Sachs &amp; Co. in February 2025. The total number of shares repurchased under the ASR was 2,386,131 at an average price per share upon final settlement of $62.86. As of March 29, 2025, the Company had fully funded the $300.0 million authorization under its 2022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none of our directors or officers (as defined under Rule 16a-1(f) under the Securities Exchange Act of 1934) adopted or terminated trading arrangements for the sale of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2"/>
        <w:gridCol w:w="257"/>
        <w:gridCol w:w="258"/>
        <w:gridCol w:w="109"/>
        <w:gridCol w:w="109"/>
        <w:gridCol w:w="109"/>
        <w:gridCol w:w="2769"/>
        <w:gridCol w:w="2597"/>
        <w:gridCol w:w="370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1" w:type="dxa"/>
            <w:gridSpan w:val="3"/>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1" w:type="dxa"/>
            <w:gridSpan w:val="3"/>
            <w:tcBorders/>
            <w:vAlign w:val="center"/>
          </w:tcPr>
          <w:p>
            <w:pPr>
              <w:pStyle w:val="TableContents"/>
              <w:bidi w:val="0"/>
              <w:spacing w:before="0" w:after="283"/>
              <w:jc w:val="left"/>
              <w:rPr>
                <w:sz w:val="4"/>
                <w:szCs w:val="4"/>
              </w:rPr>
            </w:pPr>
            <w:r>
              <w:rPr>
                <w:sz w:val="4"/>
                <w:szCs w:val="4"/>
              </w:rPr>
            </w:r>
          </w:p>
        </w:tc>
      </w:tr>
      <w:tr>
        <w:trPr/>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Articles of Organization of the Company, reflecting Articles of Amendment dated August 23, 1993, August 21, 2006, July 26, 2018 and July 25, 2019 (filed as Exhibit 3.1 to the Company’s Form 8-K dated July 29, 2019 and incorporated herein by reference).</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the Company, as amended through June 29, 2020 (filed as Exhibit 3.1 to the Company’s Form 8-K dated June 30, 2020 and incorporated herein by reference).</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1junex101.htm">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Unit Award Agreement under 2019 Long-Term Incentive Compensation Plan (AAGR) (adopted fiscal 2026) (1).</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1jun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Sarbanes-Oxley Act of 2002, of Christopher A. Simon, President and Chief Executive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1jun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Sarbanes-Oxley of 2002, of James C. D'Arecca, Executive Vice President, Chief Financial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1jun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haefy26q1june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United States Code Section 1350, as adopted Pursuant to Section 906 of the Sarbanes-Oxley Act of 2002, of James C. D'Arecca, Executive Vice President, Chief Financial Officer of the Company.</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Haemonetics Corporation on Form 10-Q for the quarter ended June 28, 2025 formatted in inline Extensible Business Reporting Language (XBRL) includes: (i) Condensed Consolidated Statements of Income, (ii) Condensed Consolidated Statements of Comprehensive Income, (iii) Condensed Consolidated Balance Sheets, (iv) Condensed Consolidated Statement of Stockholders' Equity, (v) Condensed Consolidated Statements of Cash Flows, and (vi) Notes to Condensed Consolidated Financial Statements.</w:t>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contained in Exhibit 101).</w:t>
            </w:r>
          </w:p>
        </w:tc>
      </w:tr>
    </w:tbl>
    <w:tbl>
      <w:tblPr>
        <w:tblW w:w="7616" w:type="dxa"/>
        <w:jc w:val="left"/>
        <w:tblInd w:w="0" w:type="dxa"/>
        <w:tblLayout w:type="fixed"/>
        <w:tblCellMar>
          <w:top w:w="28" w:type="dxa"/>
          <w:left w:w="28" w:type="dxa"/>
          <w:bottom w:w="28" w:type="dxa"/>
          <w:right w:w="28" w:type="dxa"/>
        </w:tblCellMar>
      </w:tblPr>
      <w:tblGrid>
        <w:gridCol w:w="125"/>
        <w:gridCol w:w="110"/>
        <w:gridCol w:w="110"/>
        <w:gridCol w:w="109"/>
        <w:gridCol w:w="109"/>
        <w:gridCol w:w="109"/>
        <w:gridCol w:w="2032"/>
        <w:gridCol w:w="2032"/>
        <w:gridCol w:w="288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Document filed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Document furnished with this report.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Agreement, plan, or arrangement related to the compensation of officers or directors.</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6e3bcfe217c488db721bb1aa20630f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865" w:type="dxa"/>
        <w:jc w:val="left"/>
        <w:tblInd w:w="0" w:type="dxa"/>
        <w:tblLayout w:type="fixed"/>
        <w:tblCellMar>
          <w:top w:w="28" w:type="dxa"/>
          <w:left w:w="28" w:type="dxa"/>
          <w:bottom w:w="28" w:type="dxa"/>
          <w:right w:w="28" w:type="dxa"/>
        </w:tblCellMar>
      </w:tblPr>
      <w:tblGrid>
        <w:gridCol w:w="493"/>
        <w:gridCol w:w="435"/>
        <w:gridCol w:w="437"/>
        <w:gridCol w:w="481"/>
        <w:gridCol w:w="481"/>
        <w:gridCol w:w="481"/>
        <w:gridCol w:w="1885"/>
        <w:gridCol w:w="1885"/>
        <w:gridCol w:w="1915"/>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HAEMONETICS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HAEMONETICS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2019 LONG-TERM INCENTIVE COMPENSATION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SHARE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PERFORMANCE SHARE UNIT AWARD AGREEMENT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dated as of [●] (the “</w:t>
      </w:r>
      <w:r>
        <w:rPr>
          <w:rFonts w:ascii="Times New Roman;serif" w:hAnsi="Times New Roman;serif"/>
          <w:b w:val="false"/>
          <w:color w:val="000000"/>
          <w:sz w:val="24"/>
          <w:u w:val="single"/>
        </w:rPr>
        <w:t>Date of Grant</w:t>
      </w:r>
      <w:r>
        <w:rPr>
          <w:color w:val="000000"/>
        </w:rPr>
        <w:t>”</w:t>
      </w:r>
      <w:r>
        <w:rPr>
          <w:rFonts w:ascii="Times New Roman;serif" w:hAnsi="Times New Roman;serif"/>
          <w:b w:val="false"/>
          <w:color w:val="000000"/>
          <w:sz w:val="24"/>
        </w:rPr>
        <w:t>), is delivered by Haemonetics Corporation</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to [●]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The Haemonetics Corporation 2019 Long-Term Incentive Compensation Plan (as amended and/or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xml:space="preserve">) provides for the grant of performance-based restricted share units in accordance with the terms and conditions of the Plan. The Committee has decided to make this grant of performance-based restricted share units as an inducement for the Participant to promote the best interests of the Company and its stockholders. This Award Agreement is made pursuant to the Plan and is subject in its entirety to all applicable provisions of the Plan. Capitalized terms used herein and not otherwise defined will have the meanings set forth in the Plan. </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Performance Share Units</w:t>
      </w:r>
      <w:r>
        <w:rPr>
          <w:rFonts w:ascii="Times New Roman;serif" w:hAnsi="Times New Roman;serif"/>
          <w:b w:val="false"/>
          <w:color w:val="000000"/>
          <w:sz w:val="24"/>
        </w:rPr>
        <w:t>. Subject to the terms and conditions set forth in this Award Agreement and in the Plan, the Company hereby grants the Participant a target award of [●] performance-based restricted share units (the “</w:t>
      </w:r>
      <w:r>
        <w:rPr>
          <w:rFonts w:ascii="Times New Roman;serif" w:hAnsi="Times New Roman;serif"/>
          <w:b w:val="false"/>
          <w:color w:val="000000"/>
          <w:sz w:val="24"/>
          <w:u w:val="single"/>
        </w:rPr>
        <w:t>Performance Share Units</w:t>
      </w:r>
      <w:r>
        <w:rPr>
          <w:color w:val="000000"/>
        </w:rPr>
        <w:t>”</w:t>
      </w:r>
      <w:r>
        <w:rPr>
          <w:rFonts w:ascii="Times New Roman;serif" w:hAnsi="Times New Roman;serif"/>
          <w:b w:val="false"/>
          <w:color w:val="000000"/>
          <w:sz w:val="24"/>
        </w:rPr>
        <w:t>), subject to the terms and restrictions set forth below and in the Plan (such amount of Performance Share Units, the “</w:t>
      </w:r>
      <w:r>
        <w:rPr>
          <w:rFonts w:ascii="Times New Roman;serif" w:hAnsi="Times New Roman;serif"/>
          <w:b w:val="false"/>
          <w:color w:val="000000"/>
          <w:sz w:val="24"/>
          <w:u w:val="single"/>
        </w:rPr>
        <w:t>Target Award</w:t>
      </w:r>
      <w:r>
        <w:rPr>
          <w:color w:val="000000"/>
        </w:rPr>
        <w:t>”</w:t>
      </w:r>
      <w:r>
        <w:rPr>
          <w:rFonts w:ascii="Times New Roman;serif" w:hAnsi="Times New Roman;serif"/>
          <w:b w:val="false"/>
          <w:color w:val="000000"/>
          <w:sz w:val="24"/>
        </w:rPr>
        <w:t>). Each Performance Share Unit represents the right of the Participant to receive a share of common stock of the Company (“</w:t>
      </w:r>
      <w:r>
        <w:rPr>
          <w:rFonts w:ascii="Times New Roman;serif" w:hAnsi="Times New Roman;serif"/>
          <w:b w:val="false"/>
          <w:color w:val="000000"/>
          <w:sz w:val="24"/>
          <w:u w:val="single"/>
        </w:rPr>
        <w:t>Company Stock</w:t>
      </w:r>
      <w:r>
        <w:rPr>
          <w:color w:val="000000"/>
        </w:rPr>
        <w:t>”</w:t>
      </w:r>
      <w:r>
        <w:rPr>
          <w:rFonts w:ascii="Times New Roman;serif" w:hAnsi="Times New Roman;serif"/>
          <w:b w:val="false"/>
          <w:color w:val="000000"/>
          <w:sz w:val="24"/>
        </w:rPr>
        <w:t xml:space="preserve">), if and when the specified conditions are met in Section 3 below, and on the applicable payment date set forth in Section 5 below. </w:t>
      </w:r>
    </w:p>
    <w:p>
      <w:pPr>
        <w:pStyle w:val="TextBody"/>
        <w:bidi w:val="0"/>
        <w:spacing w:lineRule="auto" w:line="240"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Performance Share Units are Hypothetical Shares</w:t>
      </w:r>
      <w:r>
        <w:rPr>
          <w:rFonts w:ascii="Times New Roman;serif" w:hAnsi="Times New Roman;serif"/>
          <w:b w:val="false"/>
          <w:color w:val="000000"/>
          <w:sz w:val="24"/>
        </w:rPr>
        <w:t>. Performance Share Units represent hypothetical shares of Company Stock, and not actual shares of stock. No shares of Company Stock shall be issued to the Participant at the time the grant is made, and the Participant shall not be, and shall not have any of the rights or privileges of, a stockholder of the Company with respect to any Performance Share Units. The Participant shall not have any interest in any fund or specific assets of the Company by reason of this Award.</w:t>
      </w:r>
    </w:p>
    <w:p>
      <w:pPr>
        <w:pStyle w:val="TextBody"/>
        <w:bidi w:val="0"/>
        <w:spacing w:lineRule="auto" w:line="240"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terms of this Section 3 and the terms of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which is incorporated by reference herein, the Performance Share Units shall become vested upon satisfaction of the Performance Goals and terms as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to this Award Agreement. The Committee shall determine whether such Performance Goals have been satisfied.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 xml:space="preserve">If the vesting terms set forth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would produce fractional Performance Share Units, the number of Performance Share Units that vest shall be rounded down to the nearest whole Performance Share Unit.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to the contrary contained in a written employment agreement, severance agreement, change of control agreement or other agreement entered into by and between the Participant and the Employer, this Section 3(c) shall apply in the event of a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Change of Control before the Vesting Date (a “</w:t>
      </w:r>
      <w:r>
        <w:rPr>
          <w:rFonts w:ascii="Times New Roman;serif" w:hAnsi="Times New Roman;serif"/>
          <w:b w:val="false"/>
          <w:color w:val="000000"/>
          <w:sz w:val="24"/>
          <w:u w:val="single"/>
        </w:rPr>
        <w:t>Qualifying Change of Control</w:t>
      </w:r>
      <w:r>
        <w:rPr>
          <w:color w:val="000000"/>
        </w:rPr>
        <w:t>”</w:t>
      </w:r>
      <w:r>
        <w:rPr>
          <w:rFonts w:ascii="Times New Roman;serif" w:hAnsi="Times New Roman;serif"/>
          <w:b w:val="false"/>
          <w:color w:val="000000"/>
          <w:sz w:val="24"/>
        </w:rPr>
        <w:t>) and while the Participant continues to be employed by the Employer.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Effective as of immediately prior to a Qualifying Change of Control, but subject to the occurrence of such Change of Control, the number of Performance Share Units eligible to be vested shall be equal to the greater of the number of shares of Common Stock under the (a) the Target Award multiplied by a fraction, the numerator of which is the number of days elapsed from the Date of Grant to the date of the Qualifying Change of Control, and the denominator of which is the number of days in the Vesting Period, and (b) the Share Payout as a Percentage of Target Award as determined by the Committee under the terms of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through the latest practicable date prior to such Change of Control. For purposes of this Section 3(c)(i), the Company’s average Annual Organic Revenue growth rate shall be determined by reference to the Company’s average Annual Organic Revenue growth rate for the completed fiscal years covered under this Award Agreement as set forth in </w:t>
      </w:r>
      <w:r>
        <w:rPr>
          <w:rFonts w:ascii="Times New Roman;serif" w:hAnsi="Times New Roman;serif"/>
          <w:b w:val="false"/>
          <w:color w:val="000000"/>
          <w:sz w:val="24"/>
          <w:u w:val="single"/>
        </w:rPr>
        <w:t>Appendix A</w:t>
      </w:r>
      <w:r>
        <w:rPr>
          <w:rFonts w:ascii="Times New Roman;serif" w:hAnsi="Times New Roman;serif"/>
          <w:b w:val="false"/>
          <w:color w:val="000000"/>
          <w:sz w:val="24"/>
        </w:rPr>
        <w:t>, if any, preceding the Qualifying Change of Control. The number of Performance Share Units determined in accordance with this Section 3(c)(i) is referred to as the “</w:t>
      </w:r>
      <w:r>
        <w:rPr>
          <w:rFonts w:ascii="Times New Roman;serif" w:hAnsi="Times New Roman;serif"/>
          <w:b w:val="false"/>
          <w:color w:val="000000"/>
          <w:sz w:val="24"/>
          <w:u w:val="single"/>
        </w:rPr>
        <w:t>Change of Control Adjusted Performance Share Units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The Change of Control Adjusted Performance Share Units shall become vested on a Qualifying Change of Control and paid as soon as administratively practicable (but no later than thirty (30) days) following the occurrence of such Change of Control if a replacement or substitute award meeting the requirements of this Section 3(c)(ii) is not provided to the Participant in respect of such Performance Share Units. An award meeting the requirements of this Section 3(c)(ii) is referred to below as a “</w:t>
      </w:r>
      <w:r>
        <w:rPr>
          <w:rFonts w:ascii="Times New Roman;serif" w:hAnsi="Times New Roman;serif"/>
          <w:b w:val="false"/>
          <w:color w:val="000000"/>
          <w:sz w:val="24"/>
          <w:u w:val="single"/>
        </w:rPr>
        <w:t>Replacement Award</w:t>
      </w:r>
      <w:r>
        <w:rPr>
          <w:color w:val="000000"/>
        </w:rPr>
        <w:t>”</w:t>
      </w:r>
      <w:r>
        <w:rPr>
          <w:rFonts w:ascii="Times New Roman;serif" w:hAnsi="Times New Roman;serif"/>
          <w:b w:val="false"/>
          <w:color w:val="000000"/>
          <w:sz w:val="24"/>
        </w:rPr>
        <w:t xml:space="preserve">. An award shall qualify as a Replacement Award if: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It is comprised of restricted stock units with respect to a publicly traded equity security of the Company or the surviving corporation or the ultimate parent of the applicable entity following a Qualifying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It has a fair market value at least equal to the fair market value of the Change of Control Adjusted Performance Share Units as of the date of a Qualifying Change of Control;</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It contains terms relating to service-based vesting (including with respect to termination of employment) that are substantially identical to the terms set forth in this Award Agreement and does not contain any terms related to performance-based vesting;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Its other terms and conditions are not less favorable to the Participant than the terms and conditions set forth in this Award Agreement or in the Plan (including provisions that apply in the event of a subsequent change of control) as of the date of a Qualifying Change of Control.</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The determination of whether the conditions of this Section 3(c)(ii) are satisfied shall be made by the Committee, as constituted immediately prior to a Qualifying Change of Control, in its sole discretion, prior to such Change of Control. If a Replacement Award is provided, the Change of Control Adjusted Performance Share Units shall not be settled upon a Qualifying Change of Control, but instead as provided under Section 3(c)(iii) below.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If, in connection with a Qualifying Change of Control, the Participant is provided with a Replacement Award, such Replacement Award shall vest on the Vesting Date and be settled at the time as set forth in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subject to the Participant having not incurred a termination of employment with the Employer prior to such Vesting Date; provided that, if, within two years following such Qualifying Change of Control, the Participant incurs a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termination of employment due to being a Good Leaver (as defined below), then the Replacement Award shall become fully vested effective as of such termination of employment, and the Company shall issue one share to the Participant for each share under the Replacement Award as soon as reasonably practicable (but not later than 30 days) following such termination of 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For purposes of this Award Agreement, the following terms have the meanings set forth below: </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color w:val="000000"/>
        </w:rPr>
        <w:t>“</w:t>
      </w:r>
      <w:r>
        <w:rPr>
          <w:rFonts w:ascii="Times New Roman;serif" w:hAnsi="Times New Roman;serif"/>
          <w:b w:val="false"/>
          <w:color w:val="000000"/>
          <w:sz w:val="24"/>
          <w:u w:val="single"/>
        </w:rPr>
        <w:t>Good Leaver</w:t>
      </w:r>
      <w:r>
        <w:rPr>
          <w:color w:val="000000"/>
        </w:rPr>
        <w:t xml:space="preserve">” </w:t>
      </w:r>
      <w:r>
        <w:rPr>
          <w:rFonts w:ascii="Times New Roman;serif" w:hAnsi="Times New Roman;serif"/>
          <w:b w:val="false"/>
          <w:color w:val="000000"/>
          <w:sz w:val="24"/>
        </w:rPr>
        <w:t xml:space="preserve">means the involuntary termination of the Participant’s employment by the Employer other than a termination for Cause, the Participant’s resignation for Good Reason, or the Participant’s termination of employment due to death, Disability or a Qualifying Retirement. </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shall have the meaning given to such term in an employment agreement, severance or change in control agreement or, if there is no such agreement or if it does not define Good Reason, then Good Reason shall mean the occurrence of any one of the following in the absence of the Participant’s written consent: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A material diminution in the Participant’s annual base salary or target annual incentive compensation from that in effect immediately prior to a Qualifying Change of Control;</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The assignment to the Participant of any duties materially inconsistent with the Participant’s positions (including status, offices, titles, and reporting requirements), authority, duties, or responsibilities, or any other action by the Employer that results in a material diminution in such positions, authority, duties, or responsibilities, in each case, from those in effect immediately prior to a Qualifying Change of Control; or</w:t>
      </w:r>
    </w:p>
    <w:p>
      <w:pPr>
        <w:pStyle w:val="TextBody"/>
        <w:bidi w:val="0"/>
        <w:spacing w:lineRule="auto" w:line="240"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The relocation of the Participant to a work location more than 50 miles from the Participant’s current work location (unless, as a result of such relocation, the Participant’s work location is closer to his or her place of residence);</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provided that, in each case the Participant provides written notice to the Employer of the existence of one or more of the conditions described in clauses described above within 30 days following the Participant’s knowledge of the initial existence of such condition or conditions, specifying in reasonable detail the conditions constituting Good Reason, (ii) the Employer fails to cure such event or condition within 30 days following the receipt of such notice and (iii) the Participant incurs a termination of employment within 30 days following the expiration of such cure period.</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color w:val="000000"/>
        </w:rPr>
        <w:t>“</w:t>
      </w:r>
      <w:r>
        <w:rPr>
          <w:rFonts w:ascii="Times New Roman;serif" w:hAnsi="Times New Roman;serif"/>
          <w:b w:val="false"/>
          <w:color w:val="000000"/>
          <w:sz w:val="24"/>
          <w:u w:val="single"/>
        </w:rPr>
        <w:t>employed by the Employer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employment with the Employer</w:t>
      </w:r>
      <w:r>
        <w:rPr>
          <w:color w:val="000000"/>
        </w:rPr>
        <w:t xml:space="preserve">” </w:t>
      </w:r>
      <w:r>
        <w:rPr>
          <w:rFonts w:ascii="Times New Roman;serif" w:hAnsi="Times New Roman;serif"/>
          <w:b w:val="false"/>
          <w:color w:val="000000"/>
          <w:sz w:val="24"/>
        </w:rPr>
        <w:t xml:space="preserve">shall mean employment with the Company, or employment with any corporation, partnership, joint venture or other entity in which the Company, directly or indirectly, has a majority voting interest. </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Performance Share Units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in this Award Agreement, if the Participant ceases to be employed by the Employer for any reason before the Vesting Date, the unvested Performance Share Units shall automatically terminate and shall be forfeited as of the date of the Participant’s termination of employment. No payment shall be made with respect to any unvested Performance Share Units that terminate. For the avoidance of doubt, except as provided in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Section 3(c) of this Award Agreement, vesting shall not be pro-rated between the Date of Grant and the Vesting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Participant ceases to be employed by the Employer as a result of the Participant’s Disability or the Participant becoming Disabled,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Disability, and the denominator of which is the number of days in the Vesting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Participant ceases to be employed by the Employer as a result of the Participant’s death,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Participant’s estate or other applicable party shall be multiplied by a fraction, the numerator of which is the number of days elapsed from the Date of Grant to the Participant’s death, and the denominator of which is the number of days in the Vesting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the Participant ceases to be employed by the Employer as a result of the Participant’s Qualifying Retirement, the Performance Share Units shall continue to vest pursuant to Section 3(a) and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Award Agreement, and the Share Payout as a Percentage of Target Award for the Performance Share Units shall be determined as of the Vesting Date and paid in accordance with Section 5 of this Award Agreement; provided, however that the number of shares of Company Stock paid to the Participant shall be multiplied by a fraction, the numerator of which is the number of days elapsed from the Date of Grant to the Participant’s Qualifying Retirement, and the denominator of which is the number of days in the Vesting Period. For purposes of this Award Agreement, a “</w:t>
      </w:r>
      <w:r>
        <w:rPr>
          <w:rFonts w:ascii="Times New Roman;serif" w:hAnsi="Times New Roman;serif"/>
          <w:b w:val="false"/>
          <w:color w:val="000000"/>
          <w:sz w:val="24"/>
          <w:u w:val="single"/>
        </w:rPr>
        <w:t>Qualifying Retirement</w:t>
      </w:r>
      <w:r>
        <w:rPr>
          <w:color w:val="000000"/>
        </w:rPr>
        <w:t xml:space="preserve">” </w:t>
      </w:r>
      <w:r>
        <w:rPr>
          <w:rFonts w:ascii="Times New Roman;serif" w:hAnsi="Times New Roman;serif"/>
          <w:b w:val="false"/>
          <w:color w:val="000000"/>
          <w:sz w:val="24"/>
        </w:rPr>
        <w:t>shall mean that the Participant voluntarily retires from the employ of the Employer at or after both attaining age fifty-five (55) and completing five (5) consecutive years of service. For purposes of this Award Agreement, a “year of service” shall mean a twelve (12) month period of continuous full-time employment with the Employer (determined without regard to any breaks in service due to a paid leave of absence or any unpaid leave of absence authorized in writing by the Employer). For the avoidance of doubt, termination of the Participant’s employment with the Employer, either with or without Cause, shall not be treated as a Qualifying Retirement.</w: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Payment of Performance Share Units and Tax Withholding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and when the Performance Share Units vest, the Company shall issue to the Participant one share of Company Stock for each vested Performance Share Unit, subject to applicable tax withholding obligations. Subject to Sections 5(b) and 19 below, the issuance of shares of Company Stock pursuant to the preceding sentence of this Section 5(a) shall be made as soon as administratively practicable (but no later than thirty (30) days) following the applicable Vesting Date and following the certification by the Committee of the of the Company’s achievement, if any, of the Performance Goals set forth on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obligations of the Company under this Award Agreement shall be subject to the rights of the Employer as set forth in the Plan to withhold amounts required to be withheld for any taxes, if applicable. The Participant agrees that the Company shall automatically and mandatorily withhold a number of shares of Company Stock having a value (as measured on the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date the Performance Share Units are subject to tax) equal to the Participant’s FICA, federal income, state, local and other tax liabilities required by law to be withheld with respect to the payment of the Performance Share Units. To the extent Participant’s tax liabilities are not satisfied in accordance with the immediately preceding sentence, the Participant shall be required to pay to the Employer or make other arrangements satisfactory to the Employer to provide for the payment of, any federal, state, local or other taxes that the Employer is required to withhold with respect to the Performance Share Units.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The obligation of the Company to deliver Company Stock shall also be subject to the condition that if at any time the Board shall determine in its discretion that the listing, registration or qualification of the shares upon any securities exchange or under any state or federal law, or the consent or approval of any governmental regulatory body is necessary or desirable as a condition of, or in connection with, the issuance of shares, the shares may not be issued in whole or in part unless such listing, registration, qualification, consent or approval shall have been effected or obtained free of any conditions not acceptable to the Board. The issuance of shares, if any, to the Participant pursuant to this Award Agreement is subject to any applicable taxes and other laws or regulations of the United States or of any state, municipality or other country having jurisdiction thereof.</w:t>
      </w:r>
    </w:p>
    <w:p>
      <w:pPr>
        <w:pStyle w:val="TextBody"/>
        <w:bidi w:val="0"/>
        <w:spacing w:lineRule="auto" w:line="240"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No Stockholder Rights</w:t>
      </w:r>
      <w:r>
        <w:rPr>
          <w:rFonts w:ascii="Times New Roman;serif" w:hAnsi="Times New Roman;serif"/>
          <w:b w:val="false"/>
          <w:color w:val="000000"/>
          <w:sz w:val="24"/>
        </w:rPr>
        <w:t>. Neither the Participant, nor any person or entity entitled to receive payment in the event of the Participant’s death, shall have any of the rights and privileges of a stockholder with respect to shares of Company Stock, including voting or dividend rights (including Dividend Equivalents), until certificates for shares have been issued upon payment of Performance Share Units. The Participant acknowledges that no election under Section 83(b) of the Code is available with respect to the Performance Share Units.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Grant Subject to Plan Provisions</w:t>
      </w:r>
      <w:r>
        <w:rPr>
          <w:rFonts w:ascii="Times New Roman;serif" w:hAnsi="Times New Roman;serif"/>
          <w:b w:val="false"/>
          <w:color w:val="000000"/>
          <w:sz w:val="24"/>
        </w:rPr>
        <w:t>. This grant is made pursuant to the Plan, the terms of which are incorporated herein by reference, and in all respects shall be interpreted in accordance with the Plan. The grant and payment of the Performance Share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Performance Share Units pursuant to the terms of the Plan, and its decisions shall be conclusive as to any questions arising hereunder.</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 Employment or Other Rights</w:t>
      </w:r>
      <w:r>
        <w:rPr>
          <w:rFonts w:ascii="Times New Roman;serif" w:hAnsi="Times New Roman;serif"/>
          <w:b w:val="false"/>
          <w:color w:val="000000"/>
          <w:sz w:val="24"/>
        </w:rPr>
        <w:t xml:space="preserve">. The grant of the Performance Share Units shall not confer upon the Participant any right to be retained by or in the employ of any Employer and shall not interfere in any way with the right of any Employer to terminate the Participant’s employment at any time. The right of any Employer to terminate at will the Participant’s employment at any time for any reason is specifically reserved. The obligations of the Company hereunder will be that of an unfunded and unsecured promise of the Company to deliver, for each vested Performance Share Unit, one share of Company Stock, and the rights of the Participant will be no greater than that of an unsecured general creditor. No assets of the Company will be held or set aside as security for the obligations of the Company hereunder. </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Assignment and Transfers</w:t>
      </w:r>
      <w:r>
        <w:rPr>
          <w:rFonts w:ascii="Times New Roman;serif" w:hAnsi="Times New Roman;serif"/>
          <w:b w:val="false"/>
          <w:color w:val="000000"/>
          <w:sz w:val="24"/>
        </w:rPr>
        <w:t xml:space="preserve">. Except as the Committee may otherwise permit pursuant to the Plan, the rights and interests of the Participant under this Award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Performance Share Units or any right hereunder, except as provided for in this Award Agreement, or in the event of the levy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any attachment, execution or similar process upon the rights or interests hereby conferred, the Company may terminate the Performance Share Units by notice to the Participant, and the Performance Share Units and all rights hereunder shall thereupon become null and void. The rights and protections of the Company hereunder shall extend to any successors or assigns of the Company and to the Company’s parents, subsidiaries, and affiliates. This Award Agreement may be assigned by the Company without the Participant’s consent.</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Applicable Law; Jurisdiction</w:t>
      </w:r>
      <w:r>
        <w:rPr>
          <w:rFonts w:ascii="Times New Roman;serif" w:hAnsi="Times New Roman;serif"/>
          <w:b w:val="false"/>
          <w:color w:val="000000"/>
          <w:sz w:val="24"/>
        </w:rPr>
        <w:t>. The validity, construction, interpretation and effect of this Award Agreement shall be governed by and construed in accordance with the laws of the Commonwealth of Massachusetts, without giving effect to the conflicts of laws provisions thereof. Any action arising out of, or relating to, any of the provisions of this Award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Subject to Section 13 of this Award Agreement, any notice to the Company provided for in this instrument shall be addressed to the Company in care of the General Counsel at the corporate headquarters of the Company, and any notice to the Participant shall be addressed to such Participant at the current address shown on the payroll of the Employer.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 </w: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Recoupment Policy</w:t>
      </w:r>
      <w:r>
        <w:rPr>
          <w:rFonts w:ascii="Times New Roman;serif" w:hAnsi="Times New Roman;serif"/>
          <w:b w:val="false"/>
          <w:color w:val="000000"/>
          <w:sz w:val="24"/>
        </w:rPr>
        <w:t>. The Participant agrees that, subject to the requirements of applicable law, the Performance Share Units, and the right to receive and retain any Company Stock covered by this Award Agreement, shall be subject to rescission, cancellation or recoupment, in whole or part, if and to the extent so provided under any “clawback” or recoupment policies, securities exchange listing standard, share trading policy or and similar standard or policy that may be required by law or implemented by the Company and that is in effect on the Date of Grant or that may be established thereafter</w:t>
      </w:r>
      <w:r>
        <w:rPr>
          <w:rFonts w:ascii="Times New Roman;serif" w:hAnsi="Times New Roman;serif"/>
          <w:b w:val="false"/>
          <w:color w:val="000000"/>
          <w:sz w:val="20"/>
        </w:rPr>
        <w:t xml:space="preserve">, </w:t>
      </w:r>
      <w:r>
        <w:rPr>
          <w:rFonts w:ascii="Times New Roman;serif" w:hAnsi="Times New Roman;serif"/>
          <w:b w:val="false"/>
          <w:color w:val="000000"/>
          <w:sz w:val="24"/>
        </w:rPr>
        <w:t>including, but not limited to, the Company’s Clawback Policy as set forth in the Principles of Corporate Governance, or other policy in effect from time to time, and any successor policy, whether approved before or after the Date of Grant. By accepting the Performance Share Units, the Participant agrees and acknowledges that the Participant is obligated to cooperate with, and provide any and all assistance necessary to, the Company to recover or recoup any such Performance Share Units or shares or amounts paid under the Performance Share Units subject to clawback or recoupment pursuant to such policy, listing standard or law. Such cooperation and assistance shall include, but is not limited to, executing, completing and submitting any documentation necessary to recover or recoup any such Performance Share Units or shares or amount paid from the Participant’s accounts, or pending or future compensation or Awards under the Plan.</w: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Electronic Delivery</w:t>
      </w:r>
      <w:r>
        <w:rPr>
          <w:rFonts w:ascii="Times New Roman;serif" w:hAnsi="Times New Roman;serif"/>
          <w:b w:val="false"/>
          <w:color w:val="000000"/>
          <w:sz w:val="24"/>
        </w:rPr>
        <w:t>. The Company may, in its sole discretion, deliver any documents relating to the Participant’s Performance Share Units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third-party designated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Award Agreement is held to be unenforceable, illegal or invalid for any reason, the unenforceability, illegality or invalidity will not affect the remaining provisions of the Award Agreement, and the Award Agreement is to be construed and enforced as if the unenforceable, illegal or invalid provision had not been inserted, and the provisions so held to be invalid, unenforceable or otherwise illegal shall be reformed to the extent (and only to the extent) necessary to make it enforceable, valid and legal.</w:t>
      </w:r>
    </w:p>
    <w:p>
      <w:pPr>
        <w:pStyle w:val="TextBody"/>
        <w:bidi w:val="0"/>
        <w:spacing w:lineRule="auto" w:line="240"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Waiver</w:t>
      </w:r>
      <w:r>
        <w:rPr>
          <w:rFonts w:ascii="Times New Roman;serif" w:hAnsi="Times New Roman;serif"/>
          <w:b w:val="false"/>
          <w:color w:val="000000"/>
          <w:sz w:val="24"/>
        </w:rPr>
        <w:t>. The waiver by the Company with respect to the Participant’s (or any other participant’s) compliance of any provision of this Award Agreement shall not operate or be construed as a waiver of any other provision of this Award Agreement, or of any subsequent breach by such party of a provision of this Award Agreement.</w:t>
      </w:r>
    </w:p>
    <w:p>
      <w:pPr>
        <w:pStyle w:val="TextBody"/>
        <w:bidi w:val="0"/>
        <w:spacing w:lineRule="auto" w:line="240"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Amendment</w:t>
      </w:r>
      <w:r>
        <w:rPr>
          <w:rFonts w:ascii="Times New Roman;serif" w:hAnsi="Times New Roman;serif"/>
          <w:b w:val="false"/>
          <w:color w:val="000000"/>
          <w:sz w:val="24"/>
        </w:rPr>
        <w:t xml:space="preserve">. Except as permitted by the Plan, this Award Agreement may not be amended, modified, terminated or otherwise altered except by the written consent of the Company and the Participant. </w:t>
      </w:r>
    </w:p>
    <w:p>
      <w:pPr>
        <w:pStyle w:val="TextBody"/>
        <w:bidi w:val="0"/>
        <w:spacing w:lineRule="auto" w:line="240"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Award Agreement may be executed in one or more counterparts, each of which will be deemed to be an original but all of which together will constitute one and the same instrument.</w:t>
      </w:r>
    </w:p>
    <w:p>
      <w:pPr>
        <w:pStyle w:val="TextBody"/>
        <w:bidi w:val="0"/>
        <w:spacing w:lineRule="auto" w:line="240" w:before="0" w:after="2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Binding Effect; No Third Party Beneficiaries</w:t>
      </w:r>
      <w:r>
        <w:rPr>
          <w:rFonts w:ascii="Times New Roman;serif" w:hAnsi="Times New Roman;serif"/>
          <w:b w:val="false"/>
          <w:color w:val="000000"/>
          <w:sz w:val="24"/>
        </w:rPr>
        <w:t>. This Award Agreement shall be binding upon and inure to the benefit of the Company and the Participant and each of their respective heirs, representatives, successors and permitted assigns. This Award Agreement shall not confer any rights or remedies upon any person other than the Company and the Participant and each of their respective heirs, representatives, successor and permitted assigns.</w:t>
      </w:r>
    </w:p>
    <w:p>
      <w:pPr>
        <w:pStyle w:val="TextBody"/>
        <w:bidi w:val="0"/>
        <w:spacing w:lineRule="auto" w:line="240" w:before="0" w:after="2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Application of Section 409A of the Code</w:t>
      </w:r>
      <w:r>
        <w:rPr>
          <w:rFonts w:ascii="Times New Roman;serif" w:hAnsi="Times New Roman;serif"/>
          <w:b w:val="false"/>
          <w:color w:val="000000"/>
          <w:sz w:val="24"/>
        </w:rPr>
        <w:t>. The Award covered by this Award Agreement is intended to be exempt from or otherwise comply with the provisions of Section 409A of the Code, as amended, and the regulations and other guidance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Notwithstanding the foregoing, if the Performance Share Units constitute “deferred compensation” under Section 409A and the Performance Share Units become vested and settled upon the Participant’s termination of employment, payment with respect to the Performance Share Units shall be delayed for a period of six months after the Participant’s termination of employment if the Participant is a “specified employee” as defined under Section 409A and if required pursuant to Section 409A. If payment is delayed, the Performance Share Units shall be settled and paid within thirty (30) days after the date that is six (6) months following the Participant’s termination of employment. Payments with respect to the Performance Share Units may only be paid in a manner and upon an event permitted by Section 409A, and each payment under the Performance Share Units shall be treated as a separate payment, and the right to a series of installment payments under the Performance Share Units shall be treated as a right to a series of separate payments. In no event shall the Participant, directly or indirectly, designate the calendar year of payment. The Company may change or modify the terms of this Award Agreement without the Participant’s consent or signature if the Company determines, in its sole discretion, that such change or modification is necessary for purposes of compliance with or exemption from the requirements of Section 409A or any regulations or other guidance issued thereunder. Notwithstanding the foregoing, the Company makes no representations and/or warranties with respect to compliance with Section 409A, and the Participant recognizes and acknowledges that Section 409A could potentially impose upon the Participant certain taxes and/or interest charges for which the Participant is and shall remain solely responsible. </w:t>
      </w:r>
    </w:p>
    <w:p>
      <w:pPr>
        <w:pStyle w:val="TextBody"/>
        <w:bidi w:val="0"/>
        <w:spacing w:lineRule="auto" w:line="240" w:before="0" w:after="240"/>
        <w:jc w:val="both"/>
        <w:rPr/>
      </w:pPr>
      <w:r>
        <w:rPr>
          <w:rFonts w:ascii="Times New Roman;serif" w:hAnsi="Times New Roman;serif"/>
          <w:b w:val="false"/>
          <w:color w:val="000000"/>
          <w:sz w:val="24"/>
        </w:rPr>
        <w:t>20.</w:t>
      </w:r>
      <w:r>
        <w:rPr>
          <w:color w:val="000000"/>
        </w:rPr>
        <w:t xml:space="preserve"> </w:t>
      </w:r>
      <w:r>
        <w:rPr>
          <w:rFonts w:ascii="Times New Roman;serif" w:hAnsi="Times New Roman;serif"/>
          <w:b/>
          <w:color w:val="000000"/>
          <w:sz w:val="24"/>
          <w:u w:val="single"/>
        </w:rPr>
        <w:t>Time for Acceptance</w:t>
      </w:r>
      <w:r>
        <w:rPr>
          <w:rFonts w:ascii="Times New Roman;serif" w:hAnsi="Times New Roman;serif"/>
          <w:b/>
          <w:color w:val="000000"/>
          <w:sz w:val="24"/>
        </w:rPr>
        <w:t>. Unless the Participant shall evidence acceptance of this Performance Share Unit Award Agreement by electronic or other means prescribed by the Committee within ninety (90) days after its delivery, the Performance Share Units shall be null and void (unless waived by the Committee).</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its duly authorized officer to execute this Award Agreement, and the Participant has executed this Award Agreement, effective as of the Date of Grant.</w:t>
      </w:r>
    </w:p>
    <w:p>
      <w:pPr>
        <w:pStyle w:val="TextBody"/>
        <w:bidi w:val="0"/>
        <w:spacing w:lineRule="auto" w:line="240" w:before="0" w:after="0"/>
        <w:jc w:val="left"/>
        <w:rPr>
          <w:color w:val="000000"/>
        </w:rPr>
      </w:pPr>
      <w:r>
        <w:rPr>
          <w:color w:val="000000"/>
        </w:rPr>
        <w:t>                    </w:t>
      </w:r>
      <w:r>
        <w:rPr>
          <w:rFonts w:ascii="Times New Roman;serif" w:hAnsi="Times New Roman;serif"/>
          <w:b w:val="false"/>
          <w:color w:val="000000"/>
          <w:sz w:val="24"/>
        </w:rPr>
        <w:t>HAEMONETICS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40" w:before="0" w:after="720"/>
        <w:jc w:val="both"/>
        <w:rPr>
          <w:rFonts w:ascii="Times New Roman;serif" w:hAnsi="Times New Roman;serif"/>
          <w:b w:val="false"/>
          <w:color w:val="000000"/>
          <w:sz w:val="24"/>
        </w:rPr>
      </w:pPr>
      <w:r>
        <w:rPr>
          <w:rFonts w:ascii="Times New Roman;serif" w:hAnsi="Times New Roman;serif"/>
          <w:b w:val="false"/>
          <w:color w:val="000000"/>
          <w:sz w:val="24"/>
        </w:rPr>
        <w:t>I hereby accept the award of Performance Share Units described in this Award Agreement, and I agree to be bound by the terms of the Plan and this Award Agreement. I hereby agree that all decisions and determinations of the Committee with respect to the Performance Share Units shall be final and binding.</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pPr>
      <w:r>
        <w:rPr>
          <w:rFonts w:ascii="Times New Roman;serif" w:hAnsi="Times New Roman;serif"/>
          <w:b/>
          <w:color w:val="000000"/>
          <w:sz w:val="24"/>
        </w:rPr>
        <w:br/>
      </w:r>
      <w:r>
        <w:rPr>
          <w:rFonts w:ascii="Times New Roman;serif" w:hAnsi="Times New Roman;serif"/>
          <w:b w:val="false"/>
          <w:color w:val="000000"/>
          <w:sz w:val="24"/>
        </w:rPr>
        <w:t>*</w:t>
      </w:r>
      <w:r>
        <w:rPr>
          <w:rFonts w:ascii="Times New Roman;serif" w:hAnsi="Times New Roman;serif"/>
          <w:b w:val="false"/>
          <w:color w:val="000000"/>
          <w:sz w:val="24"/>
          <w:u w:val="single"/>
        </w:rPr>
        <w:t>Appendix A</w:t>
      </w:r>
      <w:r>
        <w:rPr>
          <w:color w:val="000000"/>
        </w:rPr>
        <w:t> </w:t>
      </w:r>
      <w:r>
        <w:rPr>
          <w:rFonts w:ascii="Times New Roman;serif" w:hAnsi="Times New Roman;serif"/>
          <w:b w:val="false"/>
          <w:color w:val="000000"/>
          <w:sz w:val="24"/>
        </w:rPr>
        <w:t>omitted pursuant to Item 601(a)(5) of Regulation S-K. A copy of any omitted schedule and/or exhibit will be furnished as a supplement to the Securities and Exchange Commission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Christopher A. Simon,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7, 2025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James C. D'Arecca,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Haemonetics Corporation;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2025</w:t>
      </w:r>
    </w:p>
    <w:tbl>
      <w:tblPr>
        <w:tblW w:w="6366" w:type="dxa"/>
        <w:jc w:val="left"/>
        <w:tblInd w:w="0" w:type="dxa"/>
        <w:tblLayout w:type="fixed"/>
        <w:tblCellMar>
          <w:top w:w="28" w:type="dxa"/>
          <w:left w:w="28" w:type="dxa"/>
          <w:bottom w:w="28" w:type="dxa"/>
          <w:right w:w="28" w:type="dxa"/>
        </w:tblCellMar>
      </w:tblPr>
      <w:tblGrid>
        <w:gridCol w:w="124"/>
        <w:gridCol w:w="109"/>
        <w:gridCol w:w="109"/>
        <w:gridCol w:w="628"/>
        <w:gridCol w:w="628"/>
        <w:gridCol w:w="628"/>
        <w:gridCol w:w="628"/>
        <w:gridCol w:w="628"/>
        <w:gridCol w:w="628"/>
        <w:gridCol w:w="628"/>
        <w:gridCol w:w="628"/>
        <w:gridCol w:w="62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Haemonetics Corporation (the “Company”) on Form 10-Q for the period ended June 28, 2025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7, 2025 </w:t>
      </w:r>
    </w:p>
    <w:tbl>
      <w:tblPr>
        <w:tblW w:w="3918" w:type="dxa"/>
        <w:jc w:val="left"/>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356"/>
        <w:gridCol w:w="356"/>
        <w:gridCol w:w="3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Haemonetics Corporation (the “Company”) on Form 10-Q for the period ended June 28, 2025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7, 2025 </w:t>
      </w:r>
    </w:p>
    <w:tbl>
      <w:tblPr>
        <w:tblW w:w="4809" w:type="dxa"/>
        <w:jc w:val="left"/>
        <w:tblInd w:w="0" w:type="dxa"/>
        <w:tblLayout w:type="fixed"/>
        <w:tblCellMar>
          <w:top w:w="28" w:type="dxa"/>
          <w:left w:w="28" w:type="dxa"/>
          <w:bottom w:w="28" w:type="dxa"/>
          <w:right w:w="28" w:type="dxa"/>
        </w:tblCellMar>
      </w:tblPr>
      <w:tblGrid>
        <w:gridCol w:w="124"/>
        <w:gridCol w:w="109"/>
        <w:gridCol w:w="109"/>
        <w:gridCol w:w="455"/>
        <w:gridCol w:w="455"/>
        <w:gridCol w:w="455"/>
        <w:gridCol w:w="455"/>
        <w:gridCol w:w="455"/>
        <w:gridCol w:w="455"/>
        <w:gridCol w:w="455"/>
        <w:gridCol w:w="455"/>
        <w:gridCol w:w="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D'Arecca,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3143/000031314319000035/exhibit31-restatedarticles.htm" TargetMode="External"/><Relationship Id="rId3" Type="http://schemas.openxmlformats.org/officeDocument/2006/relationships/hyperlink" Target="https://www.sec.gov/Archives/edgar/data/313143/000031314320000052/by-lawsasamended62920.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27432</Words>
  <Characters>150985</Characters>
  <CharactersWithSpaces>176952</CharactersWithSpaces>
  <Paragraphs>2914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